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62230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4" w:lineRule="exact"/>
        <w:rPr>
          <w:sz w:val="24"/>
          <w:szCs w:val="24"/>
          <w:color w:val="auto"/>
        </w:rPr>
      </w:pPr>
    </w:p>
    <w:p>
      <w:pPr>
        <w:ind w:left="3660" w:right="1640" w:hanging="3652"/>
        <w:spacing w:after="0" w:line="391" w:lineRule="auto"/>
        <w:tabs>
          <w:tab w:leader="none" w:pos="45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8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ADDUS HOMECARE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3"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3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20-5340172</w:t>
            </w:r>
          </w:p>
        </w:tc>
      </w:tr>
      <w:tr>
        <w:trPr>
          <w:trHeight w:val="216"/>
        </w:trPr>
        <w:tc>
          <w:tcPr>
            <w:tcW w:w="3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44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4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6303 Cowboys Way, Suite 600</w:t>
            </w:r>
          </w:p>
        </w:tc>
        <w:tc>
          <w:tcPr>
            <w:tcW w:w="4480" w:type="dxa"/>
            <w:vAlign w:val="bottom"/>
          </w:tcPr>
          <w:p>
            <w:pPr>
              <w:spacing w:after="0"/>
              <w:rPr>
                <w:sz w:val="24"/>
                <w:szCs w:val="24"/>
                <w:color w:val="auto"/>
              </w:rPr>
            </w:pPr>
          </w:p>
        </w:tc>
      </w:tr>
      <w:tr>
        <w:trPr>
          <w:trHeight w:val="216"/>
        </w:trPr>
        <w:tc>
          <w:tcPr>
            <w:tcW w:w="33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Frisco, TX</w:t>
            </w:r>
          </w:p>
        </w:tc>
        <w:tc>
          <w:tcPr>
            <w:tcW w:w="44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75034</w:t>
            </w:r>
          </w:p>
        </w:tc>
      </w:tr>
      <w:tr>
        <w:trPr>
          <w:trHeight w:val="216"/>
        </w:trPr>
        <w:tc>
          <w:tcPr>
            <w:tcW w:w="33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4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238"/>
        </w:trPr>
        <w:tc>
          <w:tcPr>
            <w:tcW w:w="3340" w:type="dxa"/>
            <w:vAlign w:val="bottom"/>
          </w:tcPr>
          <w:p>
            <w:pPr>
              <w:spacing w:after="0"/>
              <w:rPr>
                <w:sz w:val="20"/>
                <w:szCs w:val="20"/>
                <w:color w:val="auto"/>
              </w:rPr>
            </w:pPr>
          </w:p>
        </w:tc>
        <w:tc>
          <w:tcPr>
            <w:tcW w:w="4480" w:type="dxa"/>
            <w:vAlign w:val="bottom"/>
          </w:tcPr>
          <w:p>
            <w:pPr>
              <w:jc w:val="right"/>
              <w:ind w:right="2930"/>
              <w:spacing w:after="0"/>
              <w:rPr>
                <w:sz w:val="20"/>
                <w:szCs w:val="20"/>
                <w:color w:val="auto"/>
              </w:rPr>
            </w:pPr>
            <w:r>
              <w:rPr>
                <w:rFonts w:ascii="Times New Roman" w:cs="Times New Roman" w:eastAsia="Times New Roman" w:hAnsi="Times New Roman"/>
                <w:sz w:val="18"/>
                <w:szCs w:val="18"/>
                <w:b w:val="1"/>
                <w:bCs w:val="1"/>
                <w:color w:val="auto"/>
              </w:rPr>
              <w:t>(469) 535-8200</w:t>
            </w:r>
          </w:p>
        </w:tc>
      </w:tr>
    </w:tbl>
    <w:p>
      <w:pPr>
        <w:ind w:left="3820"/>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9"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3"/>
          </w:tcPr>
          <w:p>
            <w:pPr>
              <w:jc w:val="center"/>
              <w:ind w:right="329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120"/>
        </w:trPr>
        <w:tc>
          <w:tcPr>
            <w:tcW w:w="34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r>
      <w:tr>
        <w:trPr>
          <w:trHeight w:val="209"/>
        </w:trPr>
        <w:tc>
          <w:tcPr>
            <w:tcW w:w="3400" w:type="dxa"/>
            <w:vAlign w:val="bottom"/>
            <w:tcBorders>
              <w:left w:val="single" w:sz="8" w:color="auto"/>
              <w:bottom w:val="single" w:sz="8" w:color="auto"/>
            </w:tcBorders>
          </w:tcPr>
          <w:p>
            <w:pPr>
              <w:jc w:val="center"/>
              <w:ind w:left="590"/>
              <w:spacing w:after="0" w:line="189" w:lineRule="exact"/>
              <w:rPr>
                <w:sz w:val="20"/>
                <w:szCs w:val="20"/>
                <w:color w:val="auto"/>
              </w:rPr>
            </w:pPr>
            <w:r>
              <w:rPr>
                <w:rFonts w:ascii="Times New Roman" w:cs="Times New Roman" w:eastAsia="Times New Roman" w:hAnsi="Times New Roman"/>
                <w:sz w:val="18"/>
                <w:szCs w:val="18"/>
                <w:color w:val="auto"/>
                <w:w w:val="98"/>
              </w:rPr>
              <w:t>Title of each class</w:t>
            </w:r>
          </w:p>
        </w:tc>
        <w:tc>
          <w:tcPr>
            <w:tcW w:w="680" w:type="dxa"/>
            <w:vAlign w:val="bottom"/>
            <w:tcBorders>
              <w:bottom w:val="single" w:sz="8" w:color="auto"/>
              <w:right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Trading Symbol(s)</w:t>
            </w:r>
          </w:p>
        </w:tc>
        <w:tc>
          <w:tcPr>
            <w:tcW w:w="402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3"/>
        </w:trPr>
        <w:tc>
          <w:tcPr>
            <w:tcW w:w="3400" w:type="dxa"/>
            <w:vAlign w:val="bottom"/>
            <w:tcBorders>
              <w:left w:val="single" w:sz="8" w:color="auto"/>
              <w:bottom w:val="single" w:sz="8" w:color="auto"/>
            </w:tcBorders>
          </w:tcPr>
          <w:p>
            <w:pPr>
              <w:jc w:val="center"/>
              <w:ind w:left="590"/>
              <w:spacing w:after="0" w:line="193" w:lineRule="exact"/>
              <w:rPr>
                <w:sz w:val="20"/>
                <w:szCs w:val="20"/>
                <w:color w:val="auto"/>
              </w:rPr>
            </w:pPr>
            <w:r>
              <w:rPr>
                <w:rFonts w:ascii="Times New Roman" w:cs="Times New Roman" w:eastAsia="Times New Roman" w:hAnsi="Times New Roman"/>
                <w:sz w:val="18"/>
                <w:szCs w:val="18"/>
                <w:color w:val="auto"/>
                <w:w w:val="99"/>
              </w:rPr>
              <w:t>Common Stock, $0.001 par value</w:t>
            </w:r>
          </w:p>
        </w:tc>
        <w:tc>
          <w:tcPr>
            <w:tcW w:w="680" w:type="dxa"/>
            <w:vAlign w:val="bottom"/>
            <w:tcBorders>
              <w:bottom w:val="single" w:sz="8" w:color="auto"/>
              <w:right w:val="single" w:sz="8" w:color="auto"/>
            </w:tcBorders>
          </w:tcPr>
          <w:p>
            <w:pPr>
              <w:spacing w:after="0"/>
              <w:rPr>
                <w:sz w:val="16"/>
                <w:szCs w:val="16"/>
                <w:color w:val="auto"/>
              </w:rPr>
            </w:pPr>
          </w:p>
        </w:tc>
        <w:tc>
          <w:tcPr>
            <w:tcW w:w="31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ADUS</w:t>
            </w:r>
          </w:p>
        </w:tc>
        <w:tc>
          <w:tcPr>
            <w:tcW w:w="40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0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00" w:firstLine="45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Accelerated Filer</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70" w:lineRule="exact"/>
        <w:rPr>
          <w:sz w:val="20"/>
          <w:szCs w:val="20"/>
          <w:color w:val="auto"/>
        </w:rPr>
      </w:pPr>
    </w:p>
    <w:p>
      <w:pPr>
        <w:ind w:firstLine="45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0"/>
          <w:szCs w:val="20"/>
          <w:color w:val="auto"/>
        </w:rPr>
      </w:pPr>
    </w:p>
    <w:p>
      <w:pPr>
        <w:ind w:left="460" w:right="156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28, 2026, Addus HomeCare Corporation had 18,633,316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96"/>
        </w:trPr>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180" w:type="dxa"/>
            <w:vAlign w:val="bottom"/>
            <w:gridSpan w:val="8"/>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ADDUS HOMECARE CORPORATION</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20" w:type="dxa"/>
            <w:vAlign w:val="bottom"/>
            <w:gridSpan w:val="7"/>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20" w:type="dxa"/>
            <w:vAlign w:val="bottom"/>
            <w:gridSpan w:val="7"/>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60" w:type="dxa"/>
            <w:vAlign w:val="bottom"/>
          </w:tcPr>
          <w:p>
            <w:pPr>
              <w:spacing w:after="0"/>
              <w:rPr>
                <w:sz w:val="24"/>
                <w:szCs w:val="24"/>
                <w:color w:val="auto"/>
              </w:rPr>
            </w:pPr>
          </w:p>
        </w:tc>
        <w:tc>
          <w:tcPr>
            <w:tcW w:w="29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EE"/>
                <w:w w:val="97"/>
              </w:rPr>
              <w:t>PART I. FINANCIAL INFORMATION</w:t>
            </w:r>
          </w:p>
        </w:tc>
        <w:tc>
          <w:tcPr>
            <w:tcW w:w="7580" w:type="dxa"/>
            <w:vAlign w:val="bottom"/>
            <w:gridSpan w:val="10"/>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September 30, 2026 and December 31, 2025</w:t>
            </w:r>
          </w:p>
        </w:tc>
        <w:tc>
          <w:tcPr>
            <w:tcW w:w="3240" w:type="dxa"/>
            <w:vAlign w:val="bottom"/>
            <w:gridSpan w:val="5"/>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 For the Three and Nine Months Ended September 30, 2026 and 2025</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Nine Months Ended September 30, 2026 and 2025</w:t>
            </w:r>
          </w:p>
        </w:tc>
        <w:tc>
          <w:tcPr>
            <w:tcW w:w="40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2026 and 2025</w:t>
            </w:r>
          </w:p>
        </w:tc>
        <w:tc>
          <w:tcPr>
            <w:tcW w:w="40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960" w:type="dxa"/>
            <w:vAlign w:val="bottom"/>
            <w:gridSpan w:val="4"/>
          </w:tcPr>
          <w:p>
            <w:pPr>
              <w:spacing w:after="0"/>
              <w:rPr>
                <w:sz w:val="24"/>
                <w:szCs w:val="24"/>
                <w:color w:val="auto"/>
              </w:rPr>
            </w:pPr>
          </w:p>
        </w:tc>
        <w:tc>
          <w:tcPr>
            <w:tcW w:w="1860" w:type="dxa"/>
            <w:vAlign w:val="bottom"/>
            <w:gridSpan w:val="3"/>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312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21</w:t>
            </w: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39</w:t>
            </w: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Item 4. Controls and Procedures</w:t>
            </w:r>
          </w:p>
        </w:tc>
        <w:tc>
          <w:tcPr>
            <w:tcW w:w="2580" w:type="dxa"/>
            <w:vAlign w:val="bottom"/>
            <w:tcBorders>
              <w:top w:val="single" w:sz="8" w:color="0000EE"/>
            </w:tcBorders>
            <w:gridSpan w:val="5"/>
          </w:tcPr>
          <w:p>
            <w:pPr>
              <w:spacing w:after="0"/>
              <w:rPr>
                <w:sz w:val="24"/>
                <w:szCs w:val="24"/>
                <w:color w:val="auto"/>
              </w:rPr>
            </w:pPr>
          </w:p>
        </w:tc>
        <w:tc>
          <w:tcPr>
            <w:tcW w:w="524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39</w:t>
            </w:r>
          </w:p>
        </w:tc>
      </w:tr>
      <w:tr>
        <w:trPr>
          <w:trHeight w:val="412"/>
        </w:trPr>
        <w:tc>
          <w:tcPr>
            <w:tcW w:w="160" w:type="dxa"/>
            <w:vAlign w:val="bottom"/>
          </w:tcPr>
          <w:p>
            <w:pPr>
              <w:spacing w:after="0"/>
              <w:rPr>
                <w:sz w:val="24"/>
                <w:szCs w:val="24"/>
                <w:color w:val="auto"/>
              </w:rPr>
            </w:pPr>
          </w:p>
        </w:tc>
        <w:tc>
          <w:tcPr>
            <w:tcW w:w="1048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EE"/>
              </w:rPr>
              <w:t>PART II. OTHER INFORMATION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39</w:t>
            </w:r>
          </w:p>
        </w:tc>
      </w:tr>
      <w:tr>
        <w:trPr>
          <w:trHeight w:val="412"/>
        </w:trPr>
        <w:tc>
          <w:tcPr>
            <w:tcW w:w="16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Item 1. Legal Proceedings</w:t>
            </w:r>
          </w:p>
        </w:tc>
        <w:tc>
          <w:tcPr>
            <w:tcW w:w="7900" w:type="dxa"/>
            <w:vAlign w:val="bottom"/>
            <w:gridSpan w:val="12"/>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39</w:t>
            </w: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8260" w:type="dxa"/>
            <w:vAlign w:val="bottom"/>
            <w:gridSpan w:val="13"/>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40</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524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40</w:t>
            </w: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726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40</w:t>
            </w: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Item 4. Mine Safety Disclosures</w:t>
            </w:r>
          </w:p>
        </w:tc>
        <w:tc>
          <w:tcPr>
            <w:tcW w:w="7820" w:type="dxa"/>
            <w:vAlign w:val="bottom"/>
            <w:gridSpan w:val="11"/>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40</w:t>
            </w: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5. Other Information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40</w:t>
            </w: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8280" w:type="dxa"/>
            <w:vAlign w:val="bottom"/>
            <w:gridSpan w:val="14"/>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41</w:t>
            </w:r>
          </w:p>
        </w:tc>
      </w:tr>
      <w:tr>
        <w:trPr>
          <w:trHeight w:val="453"/>
        </w:trPr>
        <w:tc>
          <w:tcPr>
            <w:tcW w:w="500" w:type="dxa"/>
            <w:vAlign w:val="bottom"/>
            <w:gridSpan w:val="2"/>
          </w:tcPr>
          <w:p>
            <w:pPr>
              <w:spacing w:after="0"/>
              <w:rPr>
                <w:sz w:val="24"/>
                <w:szCs w:val="24"/>
                <w:color w:val="auto"/>
              </w:rPr>
            </w:pPr>
          </w:p>
        </w:tc>
        <w:tc>
          <w:tcPr>
            <w:tcW w:w="1140" w:type="dxa"/>
            <w:vAlign w:val="bottom"/>
            <w:tcBorders>
              <w:top w:val="single" w:sz="8" w:color="0000EE"/>
            </w:tcBorders>
            <w:gridSpan w:val="3"/>
          </w:tcPr>
          <w:p>
            <w:pPr>
              <w:spacing w:after="0"/>
              <w:rPr>
                <w:sz w:val="24"/>
                <w:szCs w:val="24"/>
                <w:color w:val="auto"/>
              </w:rPr>
            </w:pPr>
          </w:p>
        </w:tc>
        <w:tc>
          <w:tcPr>
            <w:tcW w:w="5760" w:type="dxa"/>
            <w:vAlign w:val="bottom"/>
            <w:gridSpan w:val="11"/>
          </w:tcPr>
          <w:p>
            <w:pPr>
              <w:jc w:val="center"/>
              <w:ind w:left="2110"/>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INFORMATION</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2026 and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10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98,480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81,617</w:t>
            </w:r>
          </w:p>
        </w:tc>
        <w:tc>
          <w:tcPr>
            <w:tcW w:w="0" w:type="dxa"/>
            <w:vAlign w:val="bottom"/>
          </w:tcPr>
          <w:p>
            <w:pPr>
              <w:spacing w:after="0"/>
              <w:rPr>
                <w:sz w:val="1"/>
                <w:szCs w:val="1"/>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for credit losses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160,866</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151,695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21,880</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36,179</w:t>
            </w:r>
          </w:p>
        </w:tc>
        <w:tc>
          <w:tcPr>
            <w:tcW w:w="0" w:type="dxa"/>
            <w:vAlign w:val="bottom"/>
          </w:tcPr>
          <w:p>
            <w:pPr>
              <w:spacing w:after="0"/>
              <w:rPr>
                <w:sz w:val="1"/>
                <w:szCs w:val="1"/>
                <w:color w:val="auto"/>
              </w:rPr>
            </w:pPr>
          </w:p>
        </w:tc>
      </w:tr>
      <w:tr>
        <w:trPr>
          <w:trHeight w:val="209"/>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281,226</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1,008,053</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996,696</w:t>
            </w:r>
          </w:p>
        </w:tc>
        <w:tc>
          <w:tcPr>
            <w:tcW w:w="0" w:type="dxa"/>
            <w:vAlign w:val="bottom"/>
          </w:tcPr>
          <w:p>
            <w:pPr>
              <w:spacing w:after="0"/>
              <w:rPr>
                <w:sz w:val="1"/>
                <w:szCs w:val="1"/>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 net of accumulated amortization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97,466</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102,410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39,704</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43,713</w:t>
            </w:r>
          </w:p>
        </w:tc>
        <w:tc>
          <w:tcPr>
            <w:tcW w:w="0" w:type="dxa"/>
            <w:vAlign w:val="bottom"/>
          </w:tcPr>
          <w:p>
            <w:pPr>
              <w:spacing w:after="0"/>
              <w:rPr>
                <w:sz w:val="1"/>
                <w:szCs w:val="1"/>
                <w:color w:val="auto"/>
              </w:rPr>
            </w:pPr>
          </w:p>
        </w:tc>
      </w:tr>
      <w:tr>
        <w:trPr>
          <w:trHeight w:val="209"/>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3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1,145,223</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1,142,819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1,450,181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20,130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16,832</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70,485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65,941</w:t>
            </w:r>
          </w:p>
        </w:tc>
        <w:tc>
          <w:tcPr>
            <w:tcW w:w="0" w:type="dxa"/>
            <w:vAlign w:val="bottom"/>
          </w:tcPr>
          <w:p>
            <w:pPr>
              <w:spacing w:after="0"/>
              <w:rPr>
                <w:sz w:val="1"/>
                <w:szCs w:val="1"/>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42,758</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28,191</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12,755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13,144</w:t>
            </w:r>
          </w:p>
        </w:tc>
        <w:tc>
          <w:tcPr>
            <w:tcW w:w="0" w:type="dxa"/>
            <w:vAlign w:val="bottom"/>
          </w:tcPr>
          <w:p>
            <w:pPr>
              <w:spacing w:after="0"/>
              <w:rPr>
                <w:sz w:val="1"/>
                <w:szCs w:val="1"/>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stimulus advances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11,607</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11,699</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workers' compensation insurance</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13,708</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13,680</w:t>
            </w:r>
          </w:p>
        </w:tc>
        <w:tc>
          <w:tcPr>
            <w:tcW w:w="0" w:type="dxa"/>
            <w:vAlign w:val="bottom"/>
          </w:tcPr>
          <w:p>
            <w:pPr>
              <w:spacing w:after="0"/>
              <w:rPr>
                <w:sz w:val="1"/>
                <w:szCs w:val="1"/>
                <w:color w:val="auto"/>
              </w:rPr>
            </w:pPr>
          </w:p>
        </w:tc>
      </w:tr>
      <w:tr>
        <w:trPr>
          <w:trHeight w:val="209"/>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171,443</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21,921</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120,959</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32,649</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37,259</w:t>
            </w:r>
          </w:p>
        </w:tc>
        <w:tc>
          <w:tcPr>
            <w:tcW w:w="0" w:type="dxa"/>
            <w:vAlign w:val="bottom"/>
          </w:tcPr>
          <w:p>
            <w:pPr>
              <w:spacing w:after="0"/>
              <w:rPr>
                <w:sz w:val="1"/>
                <w:szCs w:val="1"/>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44,355</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44,065</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0"/>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98,979</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stock—$.001 par value; 40,000 authorized and 18,633 and 18,518 shares issued and</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September 30, 2026 and December 31, 2025, respectively</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626,130</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612,945</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553,610</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472,340</w:t>
            </w:r>
          </w:p>
        </w:tc>
        <w:tc>
          <w:tcPr>
            <w:tcW w:w="0" w:type="dxa"/>
            <w:vAlign w:val="bottom"/>
          </w:tcPr>
          <w:p>
            <w:pPr>
              <w:spacing w:after="0"/>
              <w:rPr>
                <w:sz w:val="1"/>
                <w:szCs w:val="1"/>
                <w:color w:val="auto"/>
              </w:rPr>
            </w:pPr>
          </w:p>
        </w:tc>
      </w:tr>
      <w:tr>
        <w:trPr>
          <w:trHeight w:val="210"/>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1,179,759</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1,085,303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1,450,181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9"/>
                <w:szCs w:val="19"/>
                <w:color w:val="auto"/>
              </w:rPr>
            </w:pPr>
          </w:p>
        </w:tc>
        <w:tc>
          <w:tcPr>
            <w:tcW w:w="24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24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387,733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263,335</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245,586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766,930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711,183</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124,398</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361,831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80,442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236,706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229,667</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4,138</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4,408</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12,293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12,264</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84,580</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83,778</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248,999</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39,818</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32,937</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1,264</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3,343</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10,886</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10,546</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28,085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21,169</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income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income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and potential common shares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18,301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18,072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18,574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18,365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620" w:type="dxa"/>
            <w:vAlign w:val="bottom"/>
          </w:tcPr>
          <w:p>
            <w:pPr>
              <w:spacing w:after="0"/>
              <w:rPr>
                <w:sz w:val="17"/>
                <w:szCs w:val="17"/>
                <w:color w:val="auto"/>
              </w:rPr>
            </w:pPr>
          </w:p>
        </w:tc>
        <w:tc>
          <w:tcPr>
            <w:tcW w:w="2300" w:type="dxa"/>
            <w:vAlign w:val="bottom"/>
            <w:gridSpan w:val="4"/>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2300" w:type="dxa"/>
            <w:vAlign w:val="bottom"/>
            <w:tcBorders>
              <w:bottom w:val="single" w:sz="8" w:color="auto"/>
            </w:tcBorders>
            <w:gridSpan w:val="4"/>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2026</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18,674</w:t>
            </w: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623,122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525,016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1,148,157</w:t>
            </w:r>
          </w:p>
        </w:tc>
        <w:tc>
          <w:tcPr>
            <w:tcW w:w="0" w:type="dxa"/>
            <w:vAlign w:val="bottom"/>
          </w:tcPr>
          <w:p>
            <w:pPr>
              <w:spacing w:after="0"/>
              <w:rPr>
                <w:sz w:val="1"/>
                <w:szCs w:val="1"/>
                <w:color w:val="auto"/>
              </w:rPr>
            </w:pPr>
          </w:p>
        </w:tc>
      </w:tr>
      <w:tr>
        <w:trPr>
          <w:trHeight w:val="191"/>
        </w:trPr>
        <w:tc>
          <w:tcPr>
            <w:tcW w:w="4620" w:type="dxa"/>
            <w:vAlign w:val="bottom"/>
            <w:tcBorders>
              <w:top w:val="single" w:sz="8" w:color="CCEEFF"/>
            </w:tcBorders>
          </w:tcPr>
          <w:p>
            <w:pPr>
              <w:spacing w:after="0" w:line="191" w:lineRule="exact"/>
              <w:rPr>
                <w:sz w:val="20"/>
                <w:szCs w:val="20"/>
                <w:color w:val="auto"/>
              </w:rPr>
            </w:pPr>
            <w:r>
              <w:rPr>
                <w:rFonts w:ascii="Times New Roman" w:cs="Times New Roman" w:eastAsia="Times New Roman" w:hAnsi="Times New Roman"/>
                <w:sz w:val="18"/>
                <w:szCs w:val="18"/>
                <w:color w:val="auto"/>
              </w:rPr>
              <w:t>Issuance of shares of common stock under restricted stock</w:t>
            </w: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award agreements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Forfeiture of shares of common stock under restricted stock</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 agreements</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28,594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28,594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626,130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553,610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1,179,759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 2026</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620" w:type="dxa"/>
            <w:vAlign w:val="bottom"/>
          </w:tcPr>
          <w:p>
            <w:pPr>
              <w:spacing w:after="0"/>
              <w:rPr>
                <w:sz w:val="17"/>
                <w:szCs w:val="17"/>
                <w:color w:val="auto"/>
              </w:rPr>
            </w:pPr>
          </w:p>
        </w:tc>
        <w:tc>
          <w:tcPr>
            <w:tcW w:w="2300" w:type="dxa"/>
            <w:vAlign w:val="bottom"/>
            <w:gridSpan w:val="4"/>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2300" w:type="dxa"/>
            <w:vAlign w:val="bottom"/>
            <w:tcBorders>
              <w:bottom w:val="single" w:sz="8" w:color="auto"/>
            </w:tcBorders>
            <w:gridSpan w:val="4"/>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18,518</w:t>
            </w: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612,945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472,340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1,085,303</w:t>
            </w:r>
          </w:p>
        </w:tc>
        <w:tc>
          <w:tcPr>
            <w:tcW w:w="0" w:type="dxa"/>
            <w:vAlign w:val="bottom"/>
          </w:tcPr>
          <w:p>
            <w:pPr>
              <w:spacing w:after="0"/>
              <w:rPr>
                <w:sz w:val="1"/>
                <w:szCs w:val="1"/>
                <w:color w:val="auto"/>
              </w:rPr>
            </w:pPr>
          </w:p>
        </w:tc>
      </w:tr>
      <w:tr>
        <w:trPr>
          <w:trHeight w:val="191"/>
        </w:trPr>
        <w:tc>
          <w:tcPr>
            <w:tcW w:w="4620" w:type="dxa"/>
            <w:vAlign w:val="bottom"/>
            <w:tcBorders>
              <w:top w:val="single" w:sz="8" w:color="CCEEFF"/>
            </w:tcBorders>
          </w:tcPr>
          <w:p>
            <w:pPr>
              <w:spacing w:after="0" w:line="191" w:lineRule="exact"/>
              <w:rPr>
                <w:sz w:val="20"/>
                <w:szCs w:val="20"/>
                <w:color w:val="auto"/>
              </w:rPr>
            </w:pPr>
            <w:r>
              <w:rPr>
                <w:rFonts w:ascii="Times New Roman" w:cs="Times New Roman" w:eastAsia="Times New Roman" w:hAnsi="Times New Roman"/>
                <w:sz w:val="18"/>
                <w:szCs w:val="18"/>
                <w:color w:val="auto"/>
              </w:rPr>
              <w:t>Issuance of shares of common stock under restricted stock</w:t>
            </w: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award agreements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Forfeiture of shares of common stock under restricted stock</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 agreements</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12,398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81,270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81,270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626,130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553,610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1,179,759</w:t>
            </w:r>
          </w:p>
        </w:tc>
        <w:tc>
          <w:tcPr>
            <w:tcW w:w="0" w:type="dxa"/>
            <w:vAlign w:val="bottom"/>
          </w:tcPr>
          <w:p>
            <w:pPr>
              <w:spacing w:after="0"/>
              <w:rPr>
                <w:sz w:val="1"/>
                <w:szCs w:val="1"/>
                <w:color w:val="auto"/>
              </w:rPr>
            </w:pPr>
          </w:p>
        </w:tc>
      </w:tr>
      <w:tr>
        <w:trPr>
          <w:trHeight w:val="413"/>
        </w:trPr>
        <w:tc>
          <w:tcPr>
            <w:tcW w:w="46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620" w:type="dxa"/>
            <w:vAlign w:val="bottom"/>
          </w:tcPr>
          <w:p>
            <w:pPr>
              <w:spacing w:after="0"/>
              <w:rPr>
                <w:sz w:val="17"/>
                <w:szCs w:val="17"/>
                <w:color w:val="auto"/>
              </w:rPr>
            </w:pPr>
          </w:p>
        </w:tc>
        <w:tc>
          <w:tcPr>
            <w:tcW w:w="2300" w:type="dxa"/>
            <w:vAlign w:val="bottom"/>
            <w:gridSpan w:val="4"/>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2300" w:type="dxa"/>
            <w:vAlign w:val="bottom"/>
            <w:tcBorders>
              <w:bottom w:val="single" w:sz="8" w:color="auto"/>
            </w:tcBorders>
            <w:gridSpan w:val="4"/>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2025</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18,407</w:t>
            </w: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602,126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419,710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1,021,854</w:t>
            </w:r>
          </w:p>
        </w:tc>
        <w:tc>
          <w:tcPr>
            <w:tcW w:w="0" w:type="dxa"/>
            <w:vAlign w:val="bottom"/>
          </w:tcPr>
          <w:p>
            <w:pPr>
              <w:spacing w:after="0"/>
              <w:rPr>
                <w:sz w:val="1"/>
                <w:szCs w:val="1"/>
                <w:color w:val="auto"/>
              </w:rPr>
            </w:pPr>
          </w:p>
        </w:tc>
      </w:tr>
      <w:tr>
        <w:trPr>
          <w:trHeight w:val="191"/>
        </w:trPr>
        <w:tc>
          <w:tcPr>
            <w:tcW w:w="4620" w:type="dxa"/>
            <w:vAlign w:val="bottom"/>
            <w:tcBorders>
              <w:top w:val="single" w:sz="8" w:color="CCEEFF"/>
            </w:tcBorders>
          </w:tcPr>
          <w:p>
            <w:pPr>
              <w:spacing w:after="0" w:line="191" w:lineRule="exact"/>
              <w:rPr>
                <w:sz w:val="20"/>
                <w:szCs w:val="20"/>
                <w:color w:val="auto"/>
              </w:rPr>
            </w:pPr>
            <w:r>
              <w:rPr>
                <w:rFonts w:ascii="Times New Roman" w:cs="Times New Roman" w:eastAsia="Times New Roman" w:hAnsi="Times New Roman"/>
                <w:sz w:val="18"/>
                <w:szCs w:val="18"/>
                <w:color w:val="auto"/>
              </w:rPr>
              <w:t>Issuance of shares of common stock under restricted stock</w:t>
            </w: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award agreements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Forfeiture of shares of common stock under restricted stock</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 agreements</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22,848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22,848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607,398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442,558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1,049,974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 2025</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620" w:type="dxa"/>
            <w:vAlign w:val="bottom"/>
          </w:tcPr>
          <w:p>
            <w:pPr>
              <w:spacing w:after="0"/>
              <w:rPr>
                <w:sz w:val="17"/>
                <w:szCs w:val="17"/>
                <w:color w:val="auto"/>
              </w:rPr>
            </w:pPr>
          </w:p>
        </w:tc>
        <w:tc>
          <w:tcPr>
            <w:tcW w:w="2300" w:type="dxa"/>
            <w:vAlign w:val="bottom"/>
            <w:gridSpan w:val="4"/>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2300" w:type="dxa"/>
            <w:vAlign w:val="bottom"/>
            <w:tcBorders>
              <w:bottom w:val="single" w:sz="8" w:color="auto"/>
            </w:tcBorders>
            <w:gridSpan w:val="4"/>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18,148</w:t>
            </w: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594,044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376,430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970,492</w:t>
            </w:r>
          </w:p>
        </w:tc>
        <w:tc>
          <w:tcPr>
            <w:tcW w:w="0" w:type="dxa"/>
            <w:vAlign w:val="bottom"/>
          </w:tcPr>
          <w:p>
            <w:pPr>
              <w:spacing w:after="0"/>
              <w:rPr>
                <w:sz w:val="1"/>
                <w:szCs w:val="1"/>
                <w:color w:val="auto"/>
              </w:rPr>
            </w:pPr>
          </w:p>
        </w:tc>
      </w:tr>
      <w:tr>
        <w:trPr>
          <w:trHeight w:val="191"/>
        </w:trPr>
        <w:tc>
          <w:tcPr>
            <w:tcW w:w="4620" w:type="dxa"/>
            <w:vAlign w:val="bottom"/>
            <w:tcBorders>
              <w:top w:val="single" w:sz="8" w:color="CCEEFF"/>
            </w:tcBorders>
          </w:tcPr>
          <w:p>
            <w:pPr>
              <w:spacing w:after="0" w:line="191" w:lineRule="exact"/>
              <w:rPr>
                <w:sz w:val="20"/>
                <w:szCs w:val="20"/>
                <w:color w:val="auto"/>
              </w:rPr>
            </w:pPr>
            <w:r>
              <w:rPr>
                <w:rFonts w:ascii="Times New Roman" w:cs="Times New Roman" w:eastAsia="Times New Roman" w:hAnsi="Times New Roman"/>
                <w:sz w:val="18"/>
                <w:szCs w:val="18"/>
                <w:color w:val="auto"/>
              </w:rPr>
              <w:t>Issuance of shares of common stock under restricted stock</w:t>
            </w: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award agreements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Forfeiture of shares of common stock under restricted stock</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 agreements</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66,128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66,128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607,398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442,558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1,049,974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40" w:type="dxa"/>
            <w:vAlign w:val="bottom"/>
            <w:gridSpan w:val="6"/>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8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81,270</w:t>
            </w:r>
          </w:p>
        </w:tc>
        <w:tc>
          <w:tcPr>
            <w:tcW w:w="5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66,128</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 net of</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12,293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12,264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12,398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11,877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 under the credit facility</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loss on termination of operating leases</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(8,513)</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14,146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9,848</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Government stimulus advances</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(5,455)</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2,263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payroll</w:t>
            </w:r>
          </w:p>
        </w:tc>
        <w:tc>
          <w:tcPr>
            <w:tcW w:w="30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4,544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11,439</w:t>
            </w:r>
          </w:p>
        </w:tc>
      </w:tr>
      <w:tr>
        <w:trPr>
          <w:trHeight w:val="22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14,414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4,672</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133,290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92,744</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(24,181)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received from disposal of assets</w:t>
            </w:r>
          </w:p>
        </w:tc>
        <w:tc>
          <w:tcPr>
            <w:tcW w:w="30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received from previous acquisition</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2,937</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received from divestiture of business</w:t>
            </w:r>
          </w:p>
        </w:tc>
        <w:tc>
          <w:tcPr>
            <w:tcW w:w="300" w:type="dxa"/>
            <w:vAlign w:val="bottom"/>
          </w:tcPr>
          <w:p>
            <w:pPr>
              <w:spacing w:after="0"/>
              <w:rPr>
                <w:sz w:val="19"/>
                <w:szCs w:val="19"/>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3,848</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(17,192</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revolver — credit facility</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borrowings on revolver — credit facility</w:t>
            </w:r>
          </w:p>
        </w:tc>
        <w:tc>
          <w:tcPr>
            <w:tcW w:w="30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11,335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for debt issuance costs under the credit facility</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received from exercise of stock options</w:t>
            </w:r>
          </w:p>
        </w:tc>
        <w:tc>
          <w:tcPr>
            <w:tcW w:w="300" w:type="dxa"/>
            <w:vAlign w:val="bottom"/>
          </w:tcPr>
          <w:p>
            <w:pPr>
              <w:spacing w:after="0"/>
              <w:rPr>
                <w:sz w:val="19"/>
                <w:szCs w:val="19"/>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1,477</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(99,235</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81,617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98,911</w:t>
            </w: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98,480</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101,918</w:t>
            </w:r>
          </w:p>
        </w:tc>
        <w:tc>
          <w:tcPr>
            <w:tcW w:w="100" w:type="dxa"/>
            <w:vAlign w:val="bottom"/>
            <w:tcBorders>
              <w:bottom w:val="single" w:sz="8" w:color="CCEEFF"/>
            </w:tcBorders>
          </w:tcPr>
          <w:p>
            <w:pPr>
              <w:spacing w:after="0"/>
              <w:rPr>
                <w:sz w:val="22"/>
                <w:szCs w:val="22"/>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4,159</w:t>
            </w:r>
          </w:p>
        </w:tc>
        <w:tc>
          <w:tcPr>
            <w:tcW w:w="5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10,071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12,363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9,240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Consolidation, and Presentation of Financial Statements</w:t>
      </w:r>
    </w:p>
    <w:p>
      <w:pPr>
        <w:spacing w:after="0" w:line="229"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Addus HomeCare Corporation (“Holdings”) and its subsidiaries (together with Holdings, the “Company”, “we”, “us”, or “our”) operate as a multi-state provider of three distinct but related business segments providing in-home services. 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20" w:firstLine="45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have been prepared in accordance with the rules and regulations of the U.S. Securities and Exchange Commission (“SEC”) for Quarterly Reports on Form 10-Q. The accompanying balance sheet as of December 31, 2025 has been derived from the Company’s audited financial statements for the year ended December 31, 2025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2025 included in our Annual Report on Form 10-K, as amended (“Annual Report on Form 10-K”), which includes information and disclosures not included herein.</w:t>
      </w:r>
    </w:p>
    <w:p>
      <w:pPr>
        <w:spacing w:after="0" w:line="189" w:lineRule="exact"/>
        <w:rPr>
          <w:sz w:val="20"/>
          <w:szCs w:val="20"/>
          <w:color w:val="auto"/>
        </w:rPr>
      </w:pPr>
    </w:p>
    <w:p>
      <w:pPr>
        <w:jc w:val="both"/>
        <w:ind w:right="140" w:firstLine="450"/>
        <w:spacing w:after="0" w:line="266" w:lineRule="auto"/>
        <w:rPr>
          <w:sz w:val="20"/>
          <w:szCs w:val="20"/>
          <w:color w:val="auto"/>
        </w:rPr>
      </w:pPr>
      <w:r>
        <w:rPr>
          <w:rFonts w:ascii="Times New Roman" w:cs="Times New Roman" w:eastAsia="Times New Roman" w:hAnsi="Times New Roman"/>
          <w:sz w:val="18"/>
          <w:szCs w:val="18"/>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460" w:firstLine="450"/>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Addus HomeCare Corporation and its subsidiaries. All intercompany balances and transactions have been eliminated in consolidation.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w:t>
      </w:r>
    </w:p>
    <w:p>
      <w:pPr>
        <w:spacing w:after="0" w:line="229"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18"/>
          <w:szCs w:val="18"/>
          <w:color w:val="auto"/>
        </w:rPr>
        <w:t>The financial statements are prepared by management in conformity with GAAP and include estimated amounts and certain disclosures based on assumptions about future events. The Company’s critical accounting estimates include the following areas: revenue recognition, goodwill and intangibles and business combinations, and when required, the quantitative assessment of goodwill. Actual results could differ from those estimates.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Computation of Weighted Average Shares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common shares: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7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(Amounts in thousands)</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(Amounts in thousands)</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for basic per share calculation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potential shares: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awards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weighted average shares for diluted per share calculation</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Anti-dilutive shares:</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awards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200" w:firstLine="450"/>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Improvements to Income Tax Disclosures, which requires disclosure of disaggregated income taxes paid, prescribes standard categories for the components of the effective tax rate reconciliation, and modifies other income tax-related disclosures. ASU 2023-09 is effective for fiscal years beginning after December 15, 2024. The Company adopted ASU 2023-09 during the year ended December 31, 2025. Adoption of the standard did not have a material impact on the Company’s consolidated financial statements and expanded income tax disclosures.</w:t>
      </w:r>
    </w:p>
    <w:p>
      <w:pPr>
        <w:spacing w:after="0" w:line="164" w:lineRule="exact"/>
        <w:rPr>
          <w:sz w:val="20"/>
          <w:szCs w:val="20"/>
          <w:color w:val="auto"/>
        </w:rPr>
      </w:pPr>
    </w:p>
    <w:p>
      <w:pPr>
        <w:ind w:right="160" w:firstLine="450"/>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Measurement of Credit Losses for Accounts Receivable and Contract Assets, which provides a practical expedient for estimating expected credit losses on current accounts receivable and current contract assets arising from transactions accounted for under ASC 606. ASU 2025-05 is effective for annual reporting periods beginning after December 15, 2025, and interim reporting periods within those annual reporting periods, with early adoption permitted. The guidance is required to be applied prospectively. The Company evaluated and adopted ASU 2025-05 during the three months ended March 31, 2026 and determined that the guidance did not have a material impact on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intends to provide investors more detailed disclosures around specific types of expenses. The new disclosures require certain details for expenses presented on the face of the Consolidated Statements of Operations as well as selling expenses to be presented in the notes to the financial statements. ASU 2024-03 is effective for fiscal years beginning after December 15, 2026, and interim periods within fiscal years beginning after December 15, 2027, with early adoption permitted. The disclosure updates are required to be applied prospectively with the option for retrospective application. The Company is currently assessing the impact and timing of adopting the updated provisions.</w:t>
      </w:r>
    </w:p>
    <w:p>
      <w:pPr>
        <w:spacing w:after="0" w:line="187"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The new guidance intends to modernize the guidance related to internal-use software costs to reflect current software development methods. It requires entities to begin capitalizing software costs when management authorizes and commits to funding the software project, and it is probable the project will be completed and the software will be used for its intended purpose. ASU 2025-06 is effective for fiscal years beginning after December 15, 2027, and interim periods within those fiscal years, and may be adopted using a prospective, retrospective, or modified transition approach. Early adoption is permitted. The Company is currently evaluating the impact on its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80" w:firstLine="450"/>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which provides guidance on the recognition, measurement, and presentation of government grants. ASU 2025-10 is effective for fiscal years beginning after December 15, 2028, and interim periods within those fiscal years, and permits modified prospective, modified retrospective, or full retrospective adoption, with early adoption permitted. The Company has evaluated the guidance and does not expect adoption to have a material impact on its consolidated financial statements or related disclosures.</w:t>
      </w:r>
    </w:p>
    <w:p>
      <w:pPr>
        <w:spacing w:after="0" w:line="183" w:lineRule="exact"/>
        <w:rPr>
          <w:sz w:val="20"/>
          <w:szCs w:val="20"/>
          <w:color w:val="auto"/>
        </w:rPr>
      </w:pPr>
    </w:p>
    <w:p>
      <w:pPr>
        <w:ind w:right="320" w:firstLine="450"/>
        <w:spacing w:after="0" w:line="26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clarifies certain interim reporting guidance. ASU 2025-11 is effective for fiscal years beginning after December 15, 2027, and interim periods within those fiscal years. The Company has evaluated the guidance and does not expect adoption to have a material impact on its consolidated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 and Divestiture</w:t>
      </w:r>
    </w:p>
    <w:p>
      <w:pPr>
        <w:spacing w:after="0" w:line="229"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18"/>
          <w:szCs w:val="18"/>
          <w:color w:val="auto"/>
        </w:rPr>
        <w:t>On September 12, 2026, the Company entered into a definitive equity and asset purchase agreement to acquire the personal care division of AccentCare, Inc. (the “AccentCare Acquisition”) for an anticipated purchase price, after customary purchase price adjustments, of approximately $275.0 million. The AccentCare Acquisition relates only to the seller’s personal care operations outside of New York and does not relate to its hospice and home health operations. The acquired operations serve an average daily census of approximately 13,700 customers through locations in Texas, Illinois, California, Arizona, Colorado, Georgia, Minnesota, Pennsylvania, Tennessee, and Washington. The Company expects to close the AccentCare Acquisition following completion of regulatory approvals and subject to customary closing conditions and to fund it through a combination of the Company’s revolver and cash on hand.</w:t>
      </w:r>
    </w:p>
    <w:p>
      <w:pPr>
        <w:spacing w:after="0" w:line="189"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18"/>
          <w:szCs w:val="18"/>
          <w:color w:val="auto"/>
        </w:rPr>
        <w:t>Effective May 20, 2024, the Company entered into a definitive asset purchase agreement to sell all of the Company’s New York operations for a purchase price of up to $23.0 million in cash, subject to certain adjustments, including adjustments for future operating requirements (the “New York Asset Sale”). The purchase price included 50% cash consideration, paid out as an initial payment of $4.6 million and $6.9 million paid pro rata as a deferred payment as caregivers are transferred, and 50% in the form of contingent consideration for the Company’s New York Consumer Directed Personal Assistance Program (“CDPAP”) business. No amount was recorded related to the CDPAP business contingent consideration. The Company entered into a consulting agreement with the purchaser effective May 20, 2024, as the transfer of clients and caregivers and payment for assets pursuant to the New York Asset Sale was occurring over time. The Company determined that the consulting agreement gave it the ability to control the business until October 2024, when the Company determined that it no longer controlled the business as it transferred more than 50% of the clients and caregivers and therefore qualified for sale consideration of the New York Asset Sale. As a result, the Company deconsolidated the results of its New York operations and recorded a gain on divestiture of $3.7 million during the year ended December 31, 2024. The gain was reflected within general and administrative expenses on the consolidated statement of operations. During the nine months ended September 30, 2026, the Company recorded a lease modification reducing operating lease assets and liabilities by $1.6 million.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Amounts reported on the Company’s Unaudited Condensed Consolidated Balance Sheets for operating leases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tcPr>
          <w:p>
            <w:pPr>
              <w:spacing w:after="0"/>
              <w:rPr>
                <w:sz w:val="18"/>
                <w:szCs w:val="18"/>
                <w:color w:val="auto"/>
              </w:rPr>
            </w:pPr>
          </w:p>
        </w:tc>
        <w:tc>
          <w:tcPr>
            <w:tcW w:w="3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39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39,704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3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13,144</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37,259</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9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92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Costs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Components of lease costs were reported in general and administrative expenses in the Company’s Unaudited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80" w:type="dxa"/>
            <w:vAlign w:val="bottom"/>
            <w:gridSpan w:val="8"/>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(Amounts in Thousands)</w:t>
            </w:r>
          </w:p>
        </w:tc>
        <w:tc>
          <w:tcPr>
            <w:tcW w:w="140" w:type="dxa"/>
            <w:vAlign w:val="bottom"/>
          </w:tcPr>
          <w:p>
            <w:pPr>
              <w:spacing w:after="0"/>
              <w:rPr>
                <w:sz w:val="20"/>
                <w:szCs w:val="20"/>
                <w:color w:val="auto"/>
              </w:rPr>
            </w:pPr>
          </w:p>
        </w:tc>
        <w:tc>
          <w:tcPr>
            <w:tcW w:w="240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(Amounts in Thousands)</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3,631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19"/>
                <w:szCs w:val="19"/>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3,874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sublease income</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3,444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 and Discount Rate</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Weighted average remaining lease terms and discount rates were as follows: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8"/>
              </w:rPr>
              <w:t>6.37%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of Lease Liabilities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Remaining operating lease payments as of September 30, 2026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(Amounts in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the 12-month period ended September 30,</w:t>
            </w:r>
          </w:p>
        </w:tc>
        <w:tc>
          <w:tcPr>
            <w:tcW w:w="26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2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14,969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2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11,410</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2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2030</w:t>
            </w:r>
          </w:p>
        </w:tc>
        <w:tc>
          <w:tcPr>
            <w:tcW w:w="2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6,497</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2031</w:t>
            </w:r>
          </w:p>
        </w:tc>
        <w:tc>
          <w:tcPr>
            <w:tcW w:w="2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2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6,448</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rental commitments</w:t>
            </w:r>
          </w:p>
        </w:tc>
        <w:tc>
          <w:tcPr>
            <w:tcW w:w="2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2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(7,766)</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Flows Information</w:t>
            </w:r>
          </w:p>
        </w:tc>
        <w:tc>
          <w:tcPr>
            <w:tcW w:w="2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vMerge w:val="continue"/>
          </w:tcPr>
          <w:p>
            <w:pPr>
              <w:spacing w:after="0"/>
              <w:rPr>
                <w:sz w:val="24"/>
                <w:szCs w:val="24"/>
                <w:color w:val="auto"/>
              </w:rPr>
            </w:pPr>
          </w:p>
        </w:tc>
        <w:tc>
          <w:tcPr>
            <w:tcW w:w="2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24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40" w:type="dxa"/>
            <w:vAlign w:val="bottom"/>
            <w:gridSpan w:val="8"/>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12,438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36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7,156</w:t>
            </w: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4"/>
                <w:szCs w:val="24"/>
                <w:color w:val="auto"/>
              </w:rPr>
            </w:pPr>
          </w:p>
        </w:tc>
        <w:tc>
          <w:tcPr>
            <w:tcW w:w="268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goodwill by segment and related adjustments is provided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Hospice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Personal Care</w:t>
            </w:r>
          </w:p>
        </w:tc>
        <w:tc>
          <w:tcPr>
            <w:tcW w:w="12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Home Health</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Goodwill as of December 31, 2025</w:t>
            </w: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432,866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468,981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94,849</w:t>
            </w:r>
          </w:p>
        </w:tc>
        <w:tc>
          <w:tcPr>
            <w:tcW w:w="3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acquisitions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11,332</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11,332</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previously recorded goodwill</w:t>
            </w: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as of September 30, 2026</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450"/>
        <w:spacing w:after="0" w:line="266" w:lineRule="auto"/>
        <w:rPr>
          <w:sz w:val="20"/>
          <w:szCs w:val="20"/>
          <w:color w:val="auto"/>
        </w:rPr>
      </w:pPr>
      <w:r>
        <w:rPr>
          <w:rFonts w:ascii="Times New Roman" w:cs="Times New Roman" w:eastAsia="Times New Roman" w:hAnsi="Times New Roman"/>
          <w:sz w:val="18"/>
          <w:szCs w:val="18"/>
          <w:color w:val="auto"/>
        </w:rPr>
        <w:t>On May 1, 2026, the Company completed its acquisition of substantially all of the assets of an Indiana limited liability company doing business as HomeCourt Home Care for $12.2 million (the “HomeCourt Acquisition”), with funding provided by available cash. With the HomeCourt Acquisition, the Company expanded its personal care segment to Indiana and recognized goodwill in its personal care segment of $11.3 million.</w:t>
      </w:r>
    </w:p>
    <w:p>
      <w:pPr>
        <w:spacing w:after="0" w:line="176" w:lineRule="exact"/>
        <w:rPr>
          <w:sz w:val="20"/>
          <w:szCs w:val="20"/>
          <w:color w:val="auto"/>
        </w:rPr>
      </w:pPr>
    </w:p>
    <w:p>
      <w:pPr>
        <w:ind w:right="400" w:firstLine="450"/>
        <w:spacing w:after="0" w:line="261" w:lineRule="auto"/>
        <w:rPr>
          <w:sz w:val="20"/>
          <w:szCs w:val="20"/>
          <w:color w:val="auto"/>
        </w:rPr>
      </w:pPr>
      <w:r>
        <w:rPr>
          <w:rFonts w:ascii="Times New Roman" w:cs="Times New Roman" w:eastAsia="Times New Roman" w:hAnsi="Times New Roman"/>
          <w:sz w:val="18"/>
          <w:szCs w:val="18"/>
          <w:color w:val="auto"/>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one to twenty years. Customer and referral relationships are amortized systematically over the periods of expected economic benefit, which range from three to fifteen years.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carrying amount and accumulated amortization of each identifiable intangible asset category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(Amounts in Thousands)</w:t>
            </w:r>
          </w:p>
        </w:tc>
        <w:tc>
          <w:tcPr>
            <w:tcW w:w="140" w:type="dxa"/>
            <w:vAlign w:val="bottom"/>
          </w:tcPr>
          <w:p>
            <w:pPr>
              <w:spacing w:after="0"/>
              <w:rPr>
                <w:sz w:val="20"/>
                <w:szCs w:val="20"/>
                <w:color w:val="auto"/>
              </w:rPr>
            </w:pPr>
          </w:p>
        </w:tc>
        <w:tc>
          <w:tcPr>
            <w:tcW w:w="3540" w:type="dxa"/>
            <w:vAlign w:val="bottom"/>
            <w:gridSpan w:val="9"/>
          </w:tcPr>
          <w:p>
            <w:pPr>
              <w:ind w:left="70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0" w:type="dxa"/>
            <w:vAlign w:val="bottom"/>
          </w:tcPr>
          <w:p>
            <w:pPr>
              <w:spacing w:after="0"/>
              <w:rPr>
                <w:sz w:val="1"/>
                <w:szCs w:val="1"/>
                <w:color w:val="auto"/>
              </w:rPr>
            </w:pPr>
          </w:p>
        </w:tc>
      </w:tr>
      <w:tr>
        <w:trPr>
          <w:trHeight w:val="187"/>
        </w:trPr>
        <w:tc>
          <w:tcPr>
            <w:tcW w:w="27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4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and referral relationships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3 - 15</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34,026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(33,725)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34,201</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(33,656)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1 - 20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57,987</w:t>
            </w: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(28,629)</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29,358</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32,831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3 - 5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(6,754)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State Licenses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6 - 10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27,069</w:t>
            </w: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(6,176)</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20,893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22,339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Licenses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46,630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46,630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46,630</w:t>
            </w:r>
          </w:p>
        </w:tc>
        <w:tc>
          <w:tcPr>
            <w:tcW w:w="0" w:type="dxa"/>
            <w:vAlign w:val="bottom"/>
          </w:tcPr>
          <w:p>
            <w:pPr>
              <w:spacing w:after="0"/>
              <w:rPr>
                <w:sz w:val="1"/>
                <w:szCs w:val="1"/>
                <w:color w:val="auto"/>
              </w:rPr>
            </w:pPr>
          </w:p>
        </w:tc>
      </w:tr>
      <w:tr>
        <w:trPr>
          <w:trHeight w:val="20"/>
        </w:trPr>
        <w:tc>
          <w:tcPr>
            <w:tcW w:w="27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90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172,750</w:t>
            </w: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(75,284)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97,466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173,454</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(71,044)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102,410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acquired state licenses and a non-competition agreement of $0.6 million and $0.3 million, respectively, in its personal care services segment related to the HomeCourt Acquisition.</w:t>
      </w:r>
    </w:p>
    <w:p>
      <w:pPr>
        <w:spacing w:after="0" w:line="162" w:lineRule="exact"/>
        <w:rPr>
          <w:sz w:val="20"/>
          <w:szCs w:val="20"/>
          <w:color w:val="auto"/>
        </w:rPr>
      </w:pPr>
    </w:p>
    <w:p>
      <w:pPr>
        <w:jc w:val="both"/>
        <w:ind w:right="340" w:firstLine="450"/>
        <w:spacing w:after="0" w:line="266" w:lineRule="auto"/>
        <w:rPr>
          <w:sz w:val="20"/>
          <w:szCs w:val="20"/>
          <w:color w:val="auto"/>
        </w:rPr>
      </w:pPr>
      <w:r>
        <w:rPr>
          <w:rFonts w:ascii="Times New Roman" w:cs="Times New Roman" w:eastAsia="Times New Roman" w:hAnsi="Times New Roman"/>
          <w:sz w:val="18"/>
          <w:szCs w:val="18"/>
          <w:color w:val="auto"/>
        </w:rPr>
        <w:t>Amortization expense related to the intangible assets was $1.9 million and $5.8 million for the three and nine months ended September 30, 2026, respectively, and $2.4 million and $6.4 million for the three and nine months ended September 30, 2025, respectively. The weighted average remaining useful lives of identifiable intangible assets as of September 30, 2026 were 8.58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Details of Certain Balance Sheet Accounts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payroll</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workers' compensation and liability insurance</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licensing fees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Workers' compensation insurance receivable</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r>
      <w:tr>
        <w:trPr>
          <w:trHeight w:val="230"/>
        </w:trPr>
        <w:tc>
          <w:tcPr>
            <w:tcW w:w="800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6"/>
                <w:szCs w:val="26"/>
                <w:color w:val="auto"/>
                <w:vertAlign w:val="superscript"/>
              </w:rPr>
              <w:t>(1)</w:t>
            </w: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7,364</w:t>
            </w:r>
          </w:p>
        </w:tc>
      </w:tr>
      <w:tr>
        <w:trPr>
          <w:trHeight w:val="223"/>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right="1080" w:firstLine="196"/>
        <w:spacing w:after="0" w:line="498" w:lineRule="auto"/>
        <w:tabs>
          <w:tab w:leader="none" w:pos="9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$2.3 million related to the New York Asset Sale deferred payments as of September 30, 2026 and December 31, 2025. Accrued expenses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health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other taxes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2,242</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12,916</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ARPA Spending Plans</w:t>
      </w:r>
    </w:p>
    <w:p>
      <w:pPr>
        <w:spacing w:after="0" w:line="22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To mitigate the fiscal effects of the COVID-19 public health emergency, the American Rescue Plan Act of 2021 (“ARPA”) provided for a 10-percentage point increase in federal matching funds for Medicaid home and community-based services (“HCBS”) from April 1, 2021, through March 31, 2022, provided the states satisfied certain conditions. States must submit periodic HCBS spending plans to CMS regarding the federal and state funds tied to the increase in federal matching funds. States were generally permitted to use the associated state funds by March 31, 2025, but several states received extensions through September 30, 2026 and Michigan’s spending plan continues through December 31, 2026.</w:t>
      </w:r>
    </w:p>
    <w:p>
      <w:pPr>
        <w:spacing w:after="0" w:line="183" w:lineRule="exact"/>
        <w:rPr>
          <w:sz w:val="20"/>
          <w:szCs w:val="20"/>
          <w:color w:val="auto"/>
        </w:rPr>
      </w:pPr>
    </w:p>
    <w:p>
      <w:pPr>
        <w:ind w:right="180" w:firstLine="450"/>
        <w:spacing w:after="0" w:line="261" w:lineRule="auto"/>
        <w:rPr>
          <w:sz w:val="20"/>
          <w:szCs w:val="20"/>
          <w:color w:val="auto"/>
        </w:rPr>
      </w:pPr>
      <w:r>
        <w:rPr>
          <w:rFonts w:ascii="Times New Roman" w:cs="Times New Roman" w:eastAsia="Times New Roman" w:hAnsi="Times New Roman"/>
          <w:sz w:val="18"/>
          <w:szCs w:val="18"/>
          <w:color w:val="auto"/>
        </w:rPr>
        <w:t>HCBS spending plans for the additional matching funds vary by state, but common initiatives in which the Company participates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w:t>
      </w:r>
    </w:p>
    <w:p>
      <w:pPr>
        <w:spacing w:after="0" w:line="180" w:lineRule="exact"/>
        <w:rPr>
          <w:sz w:val="20"/>
          <w:szCs w:val="20"/>
          <w:color w:val="auto"/>
        </w:rPr>
      </w:pPr>
    </w:p>
    <w:p>
      <w:pPr>
        <w:ind w:right="40" w:firstLine="450"/>
        <w:spacing w:after="0" w:line="274" w:lineRule="auto"/>
        <w:rPr>
          <w:sz w:val="20"/>
          <w:szCs w:val="20"/>
          <w:color w:val="auto"/>
        </w:rPr>
      </w:pPr>
      <w:r>
        <w:rPr>
          <w:rFonts w:ascii="Times New Roman" w:cs="Times New Roman" w:eastAsia="Times New Roman" w:hAnsi="Times New Roman"/>
          <w:sz w:val="17"/>
          <w:szCs w:val="17"/>
          <w:color w:val="auto"/>
        </w:rPr>
        <w:t>The Company did not receive additional state funding provided by the ARPA during the three months ended September 30, 2026. During the nine months ended September 30, 2026, the Company received additional state funding provided by the ARPA of $6.3 million. Of the total state funding received by the Company pursuant to the ARPA through September 30, 2026, the Company utilized $0.8 million and $6.4 million during the three and nine months ended September 30, 2026, respectively, primarily for caregivers and adding support to recruiting and retention efforts, included as a reduction of cost of service revenues in the Company’s Unaudited Condensed Consolidated Statements of Income. As of September 30, 2026, the deferred portion of ARPA funding of $11.6 million is included within Government stimulus advances on the Company’s Unaudited Condensed Consolidated Balance Sheets.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loan under the credit facility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124,335</w:t>
            </w: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1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(3,376)</w:t>
            </w:r>
          </w:p>
        </w:tc>
      </w:tr>
      <w:tr>
        <w:trPr>
          <w:trHeight w:val="223"/>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Senior Secured Credit Facility</w:t>
      </w:r>
    </w:p>
    <w:p>
      <w:pPr>
        <w:spacing w:after="0" w:line="229" w:lineRule="exact"/>
        <w:rPr>
          <w:sz w:val="20"/>
          <w:szCs w:val="20"/>
          <w:color w:val="auto"/>
        </w:rPr>
      </w:pPr>
    </w:p>
    <w:p>
      <w:pPr>
        <w:ind w:right="120" w:firstLine="450"/>
        <w:spacing w:after="0" w:line="254" w:lineRule="auto"/>
        <w:rPr>
          <w:sz w:val="20"/>
          <w:szCs w:val="20"/>
          <w:color w:val="auto"/>
        </w:rPr>
      </w:pPr>
      <w:r>
        <w:rPr>
          <w:rFonts w:ascii="Times New Roman" w:cs="Times New Roman" w:eastAsia="Times New Roman" w:hAnsi="Times New Roman"/>
          <w:sz w:val="18"/>
          <w:szCs w:val="18"/>
          <w:color w:val="auto"/>
        </w:rPr>
        <w:t>On October 31, 2018, the Company entered into the Amended and Restated Credit Agreement, with certain lenders and Capital One, National Association, as a lender and as agent for all lenders, as amended by the First Amendment to Amended and Restated Credit Agreement, dated as of September 12, 2019, as further amended by the Second Amendment to Amended and Restated Credit Agreement, dated as of July 30, 2021, as further amended by the Third Amendment to Amended and Restated Credit Agreement, dated as of April 26, 2023, and as further amended by the Fourth Amendment to Amended and Restated Credit Agreement, dated as of October 22, 2024 (as amended, the “Credit Agreement”, as used throughout this Quarterly Report on Form 10-Q, “credit facility” shall mean the credit facility evidenced by the Credit Agreement). The credit facility consists of a $650.0 million revolving credit facility and a $150.0 million incremental loan facility, which incremental loan facility may be for term loans or an increase to the revolving loan commitments. The maturity of this credit facility is July 30, 2028.</w:t>
      </w:r>
    </w:p>
    <w:p>
      <w:pPr>
        <w:spacing w:after="0" w:line="192" w:lineRule="exact"/>
        <w:rPr>
          <w:sz w:val="20"/>
          <w:szCs w:val="20"/>
          <w:color w:val="auto"/>
        </w:rPr>
      </w:pPr>
    </w:p>
    <w:p>
      <w:pPr>
        <w:ind w:right="120" w:firstLine="450"/>
        <w:spacing w:after="0" w:line="255" w:lineRule="auto"/>
        <w:rPr>
          <w:sz w:val="20"/>
          <w:szCs w:val="20"/>
          <w:color w:val="auto"/>
        </w:rPr>
      </w:pPr>
      <w:r>
        <w:rPr>
          <w:rFonts w:ascii="Times New Roman" w:cs="Times New Roman" w:eastAsia="Times New Roman" w:hAnsi="Times New Roman"/>
          <w:sz w:val="18"/>
          <w:szCs w:val="18"/>
          <w:color w:val="auto"/>
        </w:rPr>
        <w:t>Interest on the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Term Secured Overnight Financing Rate (“SOFR”) (as published by the CME Group Benchmark Administration Limited) for an interest period of one month for such applicable day (not to be less than 0.00%), plus a margin of 1.00% or (y) the sum of (i) an applicable margin ranging from 1.75% to 2.50% based on the applicable senior net leverage ratio plus (ii) the rate per annum equal to the sum of Term SOFR (as published by the CME Group Benchmark Administration Limited) for the applicable interest period (not to be less than 0.00%). Swing loans may not be SOFR loans.</w:t>
      </w:r>
    </w:p>
    <w:p>
      <w:pPr>
        <w:spacing w:after="0" w:line="189"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18"/>
          <w:szCs w:val="18"/>
          <w:color w:val="auto"/>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spacing w:after="0" w:line="192" w:lineRule="exact"/>
        <w:rPr>
          <w:sz w:val="20"/>
          <w:szCs w:val="20"/>
          <w:color w:val="auto"/>
        </w:rPr>
      </w:pPr>
    </w:p>
    <w:p>
      <w:pPr>
        <w:ind w:right="280" w:firstLine="450"/>
        <w:spacing w:after="0" w:line="282" w:lineRule="auto"/>
        <w:rPr>
          <w:sz w:val="20"/>
          <w:szCs w:val="20"/>
          <w:color w:val="auto"/>
        </w:rPr>
      </w:pPr>
      <w:r>
        <w:rPr>
          <w:rFonts w:ascii="Times New Roman" w:cs="Times New Roman" w:eastAsia="Times New Roman" w:hAnsi="Times New Roman"/>
          <w:sz w:val="18"/>
          <w:szCs w:val="18"/>
          <w:color w:val="auto"/>
        </w:rPr>
        <w:t>The Company pays a fee ranging from 0.20% to 0.35% based on the applicable senior net leverage ratio times the unused portion of the revolving loan portion of the credit facility.</w:t>
      </w:r>
    </w:p>
    <w:p>
      <w:pPr>
        <w:spacing w:after="0" w:line="162"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18"/>
          <w:szCs w:val="18"/>
          <w:color w:val="auto"/>
        </w:rPr>
        <w:t xml:space="preserve">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and a requirement to stay below a maximum Total Net Leverage Ratio (as defined in the Credit Agreement). The Credit Agreement also contains restrictions on guarantees, indebtedness, liens, investments and loans, subject to customary carve-outs, a restriction on dividends (provided that Addus HealthCare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xml:space="preserve"> make distributions to the Company in an amount that does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exceed $10.0 million in any year absent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300" w:firstLine="45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did not draw on its credit facility and repaid $100.0 million under the revolving credit facility.</w:t>
      </w:r>
    </w:p>
    <w:p>
      <w:pPr>
        <w:spacing w:after="0" w:line="162"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 had a total of $24.3 million of revolving loans, with an interest rate of 5.65%, outstanding on its credit facility. After giving effect to the amount drawn on its credit facility, approximately $7.9 million of outstanding letters of credit and borrowing limits based on an advance multiple of adjusted EBITDA (as defined in the Credit Agreement), the Company had $650.0 million of capacity and $617.8 million available for borrowing under its credit facility. As of December 31, 2025, the Company had a total of $124.3 million of revolving loans, with an interest rate of 5.48%, outstanding on its credit facility.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2026, the Company was in compliance with all financial covenants under the Credit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The effective income tax rates were 26.9% and 24.7% for the three months ended September 30, 2026 and 2025, respectively, compared to our federal statutory rate of 21%. The effective income tax rates were 25.7% and 24.3% for the nine months ended September 30, 2026 and 2025, respectively, compared to our federal statutory rate of 21%.</w:t>
      </w:r>
    </w:p>
    <w:p>
      <w:pPr>
        <w:spacing w:after="0" w:line="176"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 difference between our federal statutory and effective income tax rates was principally due to the inclusion of state taxes and non-deductible compensation, partially offset by the use of federal employment tax credits and excess tax benefit.</w:t>
      </w:r>
    </w:p>
    <w:p>
      <w:pPr>
        <w:spacing w:after="0" w:line="176"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The Work Opportunity Tax Credit (“WOTC”) is a federal tax credit available to employers for hiring individuals from certain targeted groups. The Company has historically benefited from this credit; however, because the program expired on December 31, 2025, and had not been renewed as of January 1, 2026, the effective income tax rate for the current quarter includes only the benefit associated with employees hired on or before December 31, 2025. For both the three months ended September 30, 2026 and 2025, the effective tax rates were inclusive of an excess tax benefit of 0.0% and 3.6%, respectively. The excess tax expense and tax benefit are discrete items, related to the vesting of equity shares, which requires the Company to recognize the expense or benefit fully in the period. An excess tax expense results if the Company’s cumulative costs of the award recognized exceed the income tax deduction, whereas an excess tax benefit results if the Company’s cumulative costs of the award recognized are less than the income tax deduction.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time to time, the Company is subject to legal and/or administrative proceedings incidental to its business.</w:t>
      </w:r>
    </w:p>
    <w:p>
      <w:pPr>
        <w:spacing w:after="0" w:line="225" w:lineRule="exact"/>
        <w:rPr>
          <w:sz w:val="20"/>
          <w:szCs w:val="20"/>
          <w:color w:val="auto"/>
        </w:rPr>
      </w:pPr>
    </w:p>
    <w:p>
      <w:pPr>
        <w:ind w:right="860" w:firstLine="450"/>
        <w:spacing w:after="0" w:line="282" w:lineRule="auto"/>
        <w:rPr>
          <w:sz w:val="20"/>
          <w:szCs w:val="20"/>
          <w:color w:val="auto"/>
        </w:rPr>
      </w:pPr>
      <w:r>
        <w:rPr>
          <w:rFonts w:ascii="Times New Roman" w:cs="Times New Roman" w:eastAsia="Times New Roman" w:hAnsi="Times New Roman"/>
          <w:sz w:val="18"/>
          <w:szCs w:val="18"/>
          <w:color w:val="auto"/>
        </w:rPr>
        <w:t>It is the opinion of management that the outcome of pending legal and/or administrative proceedings will not have a material effect on the Company’s Unaudited Condensed Consolidated Balance Sheets and Unaudited Condensed Consolidated Statements of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right="80" w:firstLine="45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 (“CODM”). The Company identifies its Chief Executive Officer and Chief Operating Officer together as CODMs to assess the performance of the individual segments and make decisions about resources to be allocated to the segments. The Company operates as a multi-state provider of three business segments providing in-home services.</w:t>
      </w:r>
    </w:p>
    <w:p>
      <w:pPr>
        <w:spacing w:after="0" w:line="183"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The Company’s method for measuring profitability on each reportable segment basis is the same as those described in the summary of significant accounting policies and its CODMs frequently review the actual result to budget variance to allocate resources to the segment and assess its performance. 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187" w:lineRule="exact"/>
        <w:rPr>
          <w:sz w:val="20"/>
          <w:szCs w:val="20"/>
          <w:color w:val="auto"/>
        </w:rPr>
      </w:pPr>
    </w:p>
    <w:p>
      <w:pPr>
        <w:ind w:right="300" w:firstLine="450"/>
        <w:spacing w:after="0" w:line="282" w:lineRule="auto"/>
        <w:rPr>
          <w:sz w:val="20"/>
          <w:szCs w:val="20"/>
          <w:color w:val="auto"/>
        </w:rPr>
      </w:pPr>
      <w:r>
        <w:rPr>
          <w:rFonts w:ascii="Times New Roman" w:cs="Times New Roman" w:eastAsia="Times New Roman" w:hAnsi="Times New Roman"/>
          <w:sz w:val="18"/>
          <w:szCs w:val="18"/>
          <w:color w:val="auto"/>
        </w:rPr>
        <w:t>The CODMs do not review disaggregated assets by segment. The measure of segment assets is reported on the balance sheet as total consolidated assets.</w:t>
      </w:r>
    </w:p>
    <w:p>
      <w:pPr>
        <w:spacing w:after="0" w:line="162" w:lineRule="exact"/>
        <w:rPr>
          <w:sz w:val="20"/>
          <w:szCs w:val="20"/>
          <w:color w:val="auto"/>
        </w:rPr>
      </w:pPr>
    </w:p>
    <w:p>
      <w:pPr>
        <w:ind w:right="860" w:firstLine="450"/>
        <w:spacing w:after="0" w:line="282" w:lineRule="auto"/>
        <w:rPr>
          <w:sz w:val="20"/>
          <w:szCs w:val="20"/>
          <w:color w:val="auto"/>
        </w:rPr>
      </w:pPr>
      <w:r>
        <w:rPr>
          <w:rFonts w:ascii="Times New Roman" w:cs="Times New Roman" w:eastAsia="Times New Roman" w:hAnsi="Times New Roman"/>
          <w:sz w:val="18"/>
          <w:szCs w:val="18"/>
          <w:color w:val="auto"/>
        </w:rPr>
        <w:t>The tables below set forth information about the Company’s reportable segments, along with the items necessary to reconcile the segment information to the totals reported in the accompanying Unaudited Condensed Consolidated Financial Statements.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40" w:type="dxa"/>
            <w:vAlign w:val="bottom"/>
            <w:gridSpan w:val="1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September 30, 2026</w:t>
            </w:r>
          </w:p>
        </w:tc>
      </w:tr>
      <w:tr>
        <w:trPr>
          <w:trHeight w:val="209"/>
        </w:trPr>
        <w:tc>
          <w:tcPr>
            <w:tcW w:w="59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(Amounts in Thousands)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59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Personal Care</w:t>
            </w:r>
          </w:p>
        </w:tc>
        <w:tc>
          <w:tcPr>
            <w:tcW w:w="16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Hospice</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Home Health</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301,008</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69,022</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2"/>
              </w:rPr>
              <w:t>17,703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Direct service personnel</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215,344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30,600</w:t>
            </w:r>
          </w:p>
        </w:tc>
        <w:tc>
          <w:tcPr>
            <w:tcW w:w="36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9,674</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255,618</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salaries, wages and benefits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19,344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12,419</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3,736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35,499</w:t>
            </w:r>
          </w:p>
        </w:tc>
        <w:tc>
          <w:tcPr>
            <w:tcW w:w="8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6"/>
                <w:szCs w:val="26"/>
                <w:color w:val="auto"/>
                <w:vertAlign w:val="superscript"/>
              </w:rPr>
              <w:t>(1)</w:t>
            </w:r>
          </w:p>
        </w:tc>
        <w:tc>
          <w:tcPr>
            <w:tcW w:w="3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6,356</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10,824</w:t>
            </w:r>
          </w:p>
        </w:tc>
        <w:tc>
          <w:tcPr>
            <w:tcW w:w="360" w:type="dxa"/>
            <w:vAlign w:val="bottom"/>
          </w:tcPr>
          <w:p>
            <w:pPr>
              <w:spacing w:after="0"/>
              <w:rPr>
                <w:sz w:val="19"/>
                <w:szCs w:val="19"/>
                <w:color w:val="auto"/>
              </w:rPr>
            </w:pP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1,229</w:t>
            </w: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18,409</w:t>
            </w:r>
          </w:p>
        </w:tc>
        <w:tc>
          <w:tcPr>
            <w:tcW w:w="80" w:type="dxa"/>
            <w:vAlign w:val="bottom"/>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15,179</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3"/>
              </w:rPr>
              <w:t>3,064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Segment reconciliation: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not allocated at segment level:</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34,251</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4,138</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20" w:right="380" w:hanging="329"/>
        <w:spacing w:after="0" w:line="282"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other costs for direct service personnel, office expense, licenses and taxes, communication, medical director fees, travel, and bad debt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40" w:type="dxa"/>
            <w:vAlign w:val="bottom"/>
            <w:gridSpan w:val="1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tc>
      </w:tr>
      <w:tr>
        <w:trPr>
          <w:trHeight w:val="210"/>
        </w:trPr>
        <w:tc>
          <w:tcPr>
            <w:tcW w:w="59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59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Personal Care</w:t>
            </w:r>
          </w:p>
        </w:tc>
        <w:tc>
          <w:tcPr>
            <w:tcW w:w="16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Hospice</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Home Health</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275,770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68,891</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Direct service personnel</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199,656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28,287</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10,155</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238,098</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salaries, wages and benefits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18,629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11,658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33,825</w:t>
            </w:r>
          </w:p>
        </w:tc>
        <w:tc>
          <w:tcPr>
            <w:tcW w:w="8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6"/>
                <w:szCs w:val="26"/>
                <w:color w:val="auto"/>
                <w:vertAlign w:val="superscript"/>
              </w:rPr>
              <w:t>(1)</w:t>
            </w:r>
          </w:p>
        </w:tc>
        <w:tc>
          <w:tcPr>
            <w:tcW w:w="3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6,395</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10,131</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w:t>
            </w: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17,926</w:t>
            </w:r>
          </w:p>
        </w:tc>
        <w:tc>
          <w:tcPr>
            <w:tcW w:w="80" w:type="dxa"/>
            <w:vAlign w:val="bottom"/>
          </w:tcPr>
          <w:p>
            <w:pPr>
              <w:spacing w:after="0"/>
              <w:rPr>
                <w:sz w:val="19"/>
                <w:szCs w:val="19"/>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Segment reconciliation: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not allocated at segment level:</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35,107</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4,408</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(760)</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3,343</w:t>
            </w:r>
          </w:p>
        </w:tc>
        <w:tc>
          <w:tcPr>
            <w:tcW w:w="80" w:type="dxa"/>
            <w:vAlign w:val="bottom"/>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20" w:right="380" w:hanging="329"/>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other costs for direct service personnel, office expense, licenses and taxes, communication, medical director fees, travel, and bad debt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93"/>
        </w:trPr>
        <w:tc>
          <w:tcPr>
            <w:tcW w:w="1280" w:type="dxa"/>
            <w:vAlign w:val="bottom"/>
            <w:tcBorders>
              <w:top w:val="single" w:sz="8" w:color="0000EE"/>
            </w:tcBorders>
          </w:tcPr>
          <w:p>
            <w:pPr>
              <w:spacing w:after="0"/>
              <w:rPr>
                <w:sz w:val="24"/>
                <w:szCs w:val="24"/>
                <w:color w:val="auto"/>
              </w:rPr>
            </w:pPr>
          </w:p>
        </w:tc>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40" w:type="dxa"/>
            <w:vAlign w:val="bottom"/>
            <w:gridSpan w:val="1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w:t>
            </w: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12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Personal Care</w:t>
            </w:r>
          </w:p>
        </w:tc>
        <w:tc>
          <w:tcPr>
            <w:tcW w:w="16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Hospice</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Home Health</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r>
      <w:tr>
        <w:trPr>
          <w:trHeight w:val="209"/>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878,097</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199,054</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service personnel</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628,105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89,529</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27,711</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745,345</w:t>
            </w:r>
          </w:p>
        </w:tc>
        <w:tc>
          <w:tcPr>
            <w:tcW w:w="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salaries, wages and benefits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58,132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36,863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10,936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105,931</w:t>
            </w:r>
          </w:p>
        </w:tc>
        <w:tc>
          <w:tcPr>
            <w:tcW w:w="80" w:type="dxa"/>
            <w:vAlign w:val="bottom"/>
            <w:shd w:val="clear" w:color="auto" w:fill="CCEEFF"/>
          </w:tcPr>
          <w:p>
            <w:pPr>
              <w:spacing w:after="0"/>
              <w:rPr>
                <w:sz w:val="18"/>
                <w:szCs w:val="18"/>
                <w:color w:val="auto"/>
              </w:rPr>
            </w:pPr>
          </w:p>
        </w:tc>
      </w:tr>
      <w:tr>
        <w:trPr>
          <w:trHeight w:val="230"/>
        </w:trPr>
        <w:tc>
          <w:tcPr>
            <w:tcW w:w="598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6"/>
                <w:szCs w:val="26"/>
                <w:color w:val="auto"/>
                <w:vertAlign w:val="superscript"/>
              </w:rPr>
              <w:t>(1)</w:t>
            </w:r>
          </w:p>
        </w:tc>
        <w:tc>
          <w:tcPr>
            <w:tcW w:w="3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18,650</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30,726</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3,449</w:t>
            </w:r>
          </w:p>
        </w:tc>
        <w:tc>
          <w:tcPr>
            <w:tcW w:w="22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52,825</w:t>
            </w:r>
          </w:p>
        </w:tc>
      </w:tr>
      <w:tr>
        <w:trPr>
          <w:trHeight w:val="209"/>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41,936</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reconciliation: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not allocated at segment level:</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99,535</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12,293</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(1,662)</w:t>
            </w:r>
          </w:p>
        </w:tc>
      </w:tr>
      <w:tr>
        <w:trPr>
          <w:trHeight w:val="22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5,139</w:t>
            </w:r>
          </w:p>
        </w:tc>
        <w:tc>
          <w:tcPr>
            <w:tcW w:w="80" w:type="dxa"/>
            <w:vAlign w:val="bottom"/>
            <w:shd w:val="clear" w:color="auto" w:fill="CCEEFF"/>
          </w:tcPr>
          <w:p>
            <w:pPr>
              <w:spacing w:after="0"/>
              <w:rPr>
                <w:sz w:val="19"/>
                <w:szCs w:val="19"/>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3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other costs for direct service personnel, office expense, licenses and taxes, communication, medical director fees, travel, and bad debt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40" w:type="dxa"/>
            <w:vAlign w:val="bottom"/>
            <w:gridSpan w:val="1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tc>
      </w:tr>
      <w:tr>
        <w:trPr>
          <w:trHeight w:val="209"/>
        </w:trPr>
        <w:tc>
          <w:tcPr>
            <w:tcW w:w="59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59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Personal Care</w:t>
            </w:r>
          </w:p>
        </w:tc>
        <w:tc>
          <w:tcPr>
            <w:tcW w:w="16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Hospice</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Home Health</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803,238</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Direct service personnel</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579,174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80,670</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30,019</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689,863</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salaries, wages and benefits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55,276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34,085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9,846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99,207</w:t>
            </w:r>
          </w:p>
        </w:tc>
        <w:tc>
          <w:tcPr>
            <w:tcW w:w="8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6"/>
                <w:szCs w:val="26"/>
                <w:color w:val="auto"/>
                <w:vertAlign w:val="superscript"/>
              </w:rPr>
              <w:t>(1)</w:t>
            </w:r>
          </w:p>
        </w:tc>
        <w:tc>
          <w:tcPr>
            <w:tcW w:w="3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18,468</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29,531</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3,866</w:t>
            </w: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51,865</w:t>
            </w:r>
          </w:p>
        </w:tc>
        <w:tc>
          <w:tcPr>
            <w:tcW w:w="80" w:type="dxa"/>
            <w:vAlign w:val="bottom"/>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48,254</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Segment reconciliation: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not allocated at segment level:</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99,915</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12,264</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(1,845)</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10,886</w:t>
            </w:r>
          </w:p>
        </w:tc>
        <w:tc>
          <w:tcPr>
            <w:tcW w:w="80" w:type="dxa"/>
            <w:vAlign w:val="bottom"/>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3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other costs for direct service personnel, office expense, licenses and taxes, communication, medical director fees, travel, and bad debt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Significant Payors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revenue by payor type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Personal Care Segment</w:t>
            </w:r>
          </w:p>
        </w:tc>
        <w:tc>
          <w:tcPr>
            <w:tcW w:w="120" w:type="dxa"/>
            <w:vAlign w:val="bottom"/>
          </w:tcPr>
          <w:p>
            <w:pPr>
              <w:spacing w:after="0"/>
              <w:rPr>
                <w:sz w:val="18"/>
                <w:szCs w:val="18"/>
                <w:color w:val="auto"/>
              </w:rPr>
            </w:pPr>
          </w:p>
        </w:tc>
        <w:tc>
          <w:tcPr>
            <w:tcW w:w="4360" w:type="dxa"/>
            <w:vAlign w:val="bottom"/>
            <w:gridSpan w:val="9"/>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20" w:type="dxa"/>
            <w:vAlign w:val="bottom"/>
          </w:tcPr>
          <w:p>
            <w:pPr>
              <w:spacing w:after="0"/>
              <w:rPr>
                <w:sz w:val="18"/>
                <w:szCs w:val="18"/>
                <w:color w:val="auto"/>
              </w:rPr>
            </w:pPr>
          </w:p>
        </w:tc>
        <w:tc>
          <w:tcPr>
            <w:tcW w:w="4260" w:type="dxa"/>
            <w:vAlign w:val="bottom"/>
            <w:gridSpan w:val="9"/>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0" w:type="dxa"/>
            <w:vAlign w:val="bottom"/>
          </w:tcPr>
          <w:p>
            <w:pPr>
              <w:spacing w:after="0"/>
              <w:rPr>
                <w:sz w:val="1"/>
                <w:szCs w:val="1"/>
                <w:color w:val="auto"/>
              </w:rPr>
            </w:pPr>
          </w:p>
        </w:tc>
      </w:tr>
      <w:tr>
        <w:trPr>
          <w:trHeight w:val="172"/>
        </w:trPr>
        <w:tc>
          <w:tcPr>
            <w:tcW w:w="23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State, local and other</w:t>
            </w: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governmental programs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151,043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139,383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439,501</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410,781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Managed care organizations</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142,278</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127,293</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415,237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366,210</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 pay</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6,299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7,064</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19,020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21,331</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Commercial insurance</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1,249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1,860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3,545</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4,356</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794</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560</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personal care segment net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80" w:type="dxa"/>
            <w:vAlign w:val="bottom"/>
            <w:vMerge w:val="continue"/>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301,008</w:t>
            </w:r>
          </w:p>
        </w:tc>
        <w:tc>
          <w:tcPr>
            <w:tcW w:w="220" w:type="dxa"/>
            <w:vAlign w:val="bottom"/>
            <w:vMerge w:val="restart"/>
          </w:tcPr>
          <w:p>
            <w:pPr>
              <w:spacing w:after="0"/>
              <w:rPr>
                <w:sz w:val="14"/>
                <w:szCs w:val="14"/>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275,770</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878,097</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803,238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revenues</w:t>
            </w:r>
          </w:p>
        </w:tc>
        <w:tc>
          <w:tcPr>
            <w:tcW w:w="1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Hospice Segment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9"/>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20" w:type="dxa"/>
            <w:vAlign w:val="bottom"/>
          </w:tcPr>
          <w:p>
            <w:pPr>
              <w:spacing w:after="0"/>
              <w:rPr>
                <w:sz w:val="24"/>
                <w:szCs w:val="24"/>
                <w:color w:val="auto"/>
              </w:rPr>
            </w:pPr>
          </w:p>
        </w:tc>
        <w:tc>
          <w:tcPr>
            <w:tcW w:w="4260" w:type="dxa"/>
            <w:vAlign w:val="bottom"/>
            <w:gridSpan w:val="9"/>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Medicare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65,101</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64,148</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187,215</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178,784</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Commercial insurance</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1,717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2,140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5,436</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6,518</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Managed care organizations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1,840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2,216</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5,260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6,245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1,143</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993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hospice segment net service</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380" w:type="dxa"/>
            <w:vAlign w:val="bottom"/>
            <w:vMerge w:val="continue"/>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69,022</w:t>
            </w:r>
          </w:p>
        </w:tc>
        <w:tc>
          <w:tcPr>
            <w:tcW w:w="220" w:type="dxa"/>
            <w:vAlign w:val="bottom"/>
            <w:vMerge w:val="restart"/>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68,891</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199,054</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192,540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Home Health Segment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9"/>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20" w:type="dxa"/>
            <w:vAlign w:val="bottom"/>
          </w:tcPr>
          <w:p>
            <w:pPr>
              <w:spacing w:after="0"/>
              <w:rPr>
                <w:sz w:val="24"/>
                <w:szCs w:val="24"/>
                <w:color w:val="auto"/>
              </w:rPr>
            </w:pPr>
          </w:p>
        </w:tc>
        <w:tc>
          <w:tcPr>
            <w:tcW w:w="4260" w:type="dxa"/>
            <w:vAlign w:val="bottom"/>
            <w:gridSpan w:val="9"/>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Medicare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11,206</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11,617</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32,335</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36,711</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Managed care organizations</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4,421</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4,492</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12,803</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12,564</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local and other</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governmental programs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(excluding Medicare)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1,415</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993</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4,781</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2,878</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538</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1,691</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1,521</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home health segment net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380" w:type="dxa"/>
            <w:vAlign w:val="bottom"/>
            <w:vMerge w:val="continue"/>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17,703</w:t>
            </w:r>
          </w:p>
        </w:tc>
        <w:tc>
          <w:tcPr>
            <w:tcW w:w="220" w:type="dxa"/>
            <w:vAlign w:val="bottom"/>
            <w:vMerge w:val="restart"/>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17,640</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51,610</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53,674</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revenues</w:t>
            </w: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40" w:firstLine="450"/>
        <w:spacing w:after="0" w:line="312" w:lineRule="auto"/>
        <w:rPr>
          <w:sz w:val="20"/>
          <w:szCs w:val="20"/>
          <w:color w:val="auto"/>
        </w:rPr>
      </w:pPr>
      <w:r>
        <w:rPr>
          <w:rFonts w:ascii="Times New Roman" w:cs="Times New Roman" w:eastAsia="Times New Roman" w:hAnsi="Times New Roman"/>
          <w:sz w:val="17"/>
          <w:szCs w:val="17"/>
          <w:color w:val="auto"/>
        </w:rPr>
        <w:t>The Company derives a significant amount of its revenue from its operations in Illinois, New Mexico, Ohio, Tennessee, and Texas. The percentages of segment revenue for each of these significant states for the three and nine months ended September 30, 2026 and 2025, respectively,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Personal Care Segment</w:t>
            </w:r>
          </w:p>
        </w:tc>
        <w:tc>
          <w:tcPr>
            <w:tcW w:w="120" w:type="dxa"/>
            <w:vAlign w:val="bottom"/>
          </w:tcPr>
          <w:p>
            <w:pPr>
              <w:spacing w:after="0"/>
              <w:rPr>
                <w:sz w:val="18"/>
                <w:szCs w:val="18"/>
                <w:color w:val="auto"/>
              </w:rPr>
            </w:pPr>
          </w:p>
        </w:tc>
        <w:tc>
          <w:tcPr>
            <w:tcW w:w="4360" w:type="dxa"/>
            <w:vAlign w:val="bottom"/>
            <w:gridSpan w:val="9"/>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20" w:type="dxa"/>
            <w:vAlign w:val="bottom"/>
          </w:tcPr>
          <w:p>
            <w:pPr>
              <w:spacing w:after="0"/>
              <w:rPr>
                <w:sz w:val="18"/>
                <w:szCs w:val="18"/>
                <w:color w:val="auto"/>
              </w:rPr>
            </w:pPr>
          </w:p>
        </w:tc>
        <w:tc>
          <w:tcPr>
            <w:tcW w:w="4260" w:type="dxa"/>
            <w:vAlign w:val="bottom"/>
            <w:gridSpan w:val="9"/>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Illinois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120,804</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358,643</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342,629</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Texas</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59,520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53,449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176,050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155,773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Mexico</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33,913</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30,029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96,365</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87,320</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All other states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86,771</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76,303</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247,039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217,516</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personal care segment net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380" w:type="dxa"/>
            <w:vAlign w:val="bottom"/>
            <w:vMerge w:val="continue"/>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301,008</w:t>
            </w:r>
          </w:p>
        </w:tc>
        <w:tc>
          <w:tcPr>
            <w:tcW w:w="220" w:type="dxa"/>
            <w:vAlign w:val="bottom"/>
            <w:vMerge w:val="restart"/>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275,770</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878,097</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803,238</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revenues</w:t>
            </w: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Hospice Segment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9"/>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20" w:type="dxa"/>
            <w:vAlign w:val="bottom"/>
          </w:tcPr>
          <w:p>
            <w:pPr>
              <w:spacing w:after="0"/>
              <w:rPr>
                <w:sz w:val="24"/>
                <w:szCs w:val="24"/>
                <w:color w:val="auto"/>
              </w:rPr>
            </w:pPr>
          </w:p>
        </w:tc>
        <w:tc>
          <w:tcPr>
            <w:tcW w:w="4260" w:type="dxa"/>
            <w:vAlign w:val="bottom"/>
            <w:gridSpan w:val="9"/>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Ohio</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27,294</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26,913</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77,967</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73,304</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Illinois</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14,071</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15,532</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42,118</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44,516</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Mexico</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8,821</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8,769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25,167</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24,865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All other states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17,677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53,802</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49,855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hospice segment net service</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380" w:type="dxa"/>
            <w:vAlign w:val="bottom"/>
            <w:vMerge w:val="continue"/>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69,022</w:t>
            </w:r>
          </w:p>
        </w:tc>
        <w:tc>
          <w:tcPr>
            <w:tcW w:w="220" w:type="dxa"/>
            <w:vAlign w:val="bottom"/>
            <w:vMerge w:val="restart"/>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68,891</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199,054</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192,540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Home Health Segment</w:t>
            </w:r>
          </w:p>
        </w:tc>
        <w:tc>
          <w:tcPr>
            <w:tcW w:w="120" w:type="dxa"/>
            <w:vAlign w:val="bottom"/>
          </w:tcPr>
          <w:p>
            <w:pPr>
              <w:spacing w:after="0"/>
              <w:rPr>
                <w:sz w:val="24"/>
                <w:szCs w:val="24"/>
                <w:color w:val="auto"/>
              </w:rPr>
            </w:pPr>
          </w:p>
        </w:tc>
        <w:tc>
          <w:tcPr>
            <w:tcW w:w="4360" w:type="dxa"/>
            <w:vAlign w:val="bottom"/>
            <w:gridSpan w:val="9"/>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20" w:type="dxa"/>
            <w:vAlign w:val="bottom"/>
          </w:tcPr>
          <w:p>
            <w:pPr>
              <w:spacing w:after="0"/>
              <w:rPr>
                <w:sz w:val="24"/>
                <w:szCs w:val="24"/>
                <w:color w:val="auto"/>
              </w:rPr>
            </w:pPr>
          </w:p>
        </w:tc>
        <w:tc>
          <w:tcPr>
            <w:tcW w:w="4260" w:type="dxa"/>
            <w:vAlign w:val="bottom"/>
            <w:gridSpan w:val="9"/>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Mexico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Tennessee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other states</w:t>
      </w:r>
    </w:p>
    <w:p>
      <w:pPr>
        <w:spacing w:after="0" w:line="26"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Total home health segment net service revenues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140" w:type="dxa"/>
            <w:vAlign w:val="bottom"/>
          </w:tcPr>
          <w:p>
            <w:pPr>
              <w:spacing w:after="0"/>
              <w:rPr>
                <w:sz w:val="15"/>
                <w:szCs w:val="15"/>
                <w:color w:val="auto"/>
              </w:rPr>
            </w:pPr>
          </w:p>
        </w:tc>
      </w:tr>
      <w:tr>
        <w:trPr>
          <w:trHeight w:val="203"/>
        </w:trPr>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Segment</w:t>
            </w:r>
          </w:p>
        </w:tc>
      </w:tr>
      <w:tr>
        <w:trPr>
          <w:trHeight w:val="203"/>
        </w:trPr>
        <w:tc>
          <w:tcPr>
            <w:tcW w:w="120" w:type="dxa"/>
            <w:vAlign w:val="bottom"/>
          </w:tcPr>
          <w:p>
            <w:pPr>
              <w:spacing w:after="0"/>
              <w:rPr>
                <w:sz w:val="17"/>
                <w:szCs w:val="17"/>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Net Service</w:t>
            </w:r>
          </w:p>
        </w:tc>
      </w:tr>
      <w:tr>
        <w:trPr>
          <w:trHeight w:val="203"/>
        </w:trPr>
        <w:tc>
          <w:tcPr>
            <w:tcW w:w="120" w:type="dxa"/>
            <w:vAlign w:val="bottom"/>
          </w:tcPr>
          <w:p>
            <w:pPr>
              <w:spacing w:after="0"/>
              <w:rPr>
                <w:sz w:val="17"/>
                <w:szCs w:val="17"/>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gridSpan w:val="2"/>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240" w:type="dxa"/>
            <w:vAlign w:val="bottom"/>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140" w:type="dxa"/>
            <w:vAlign w:val="bottom"/>
          </w:tcPr>
          <w:p>
            <w:pPr>
              <w:spacing w:after="0"/>
              <w:rPr>
                <w:sz w:val="18"/>
                <w:szCs w:val="18"/>
                <w:color w:val="auto"/>
              </w:rPr>
            </w:pPr>
          </w:p>
        </w:tc>
      </w:tr>
      <w:tr>
        <w:trPr>
          <w:trHeight w:val="188"/>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8,644</w:t>
            </w:r>
          </w:p>
        </w:tc>
        <w:tc>
          <w:tcPr>
            <w:tcW w:w="2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26,959</w:t>
            </w:r>
          </w:p>
        </w:tc>
        <w:tc>
          <w:tcPr>
            <w:tcW w:w="2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25,937</w:t>
            </w:r>
          </w:p>
        </w:tc>
        <w:tc>
          <w:tcPr>
            <w:tcW w:w="2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10"/>
        </w:trPr>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7,162</w:t>
            </w: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6,852</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20,579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21,672</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40.4</w:t>
            </w:r>
          </w:p>
        </w:tc>
      </w:tr>
      <w:tr>
        <w:trPr>
          <w:trHeight w:val="208"/>
        </w:trPr>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1,287</w:t>
            </w: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1,759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4,072</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5,680</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10.6</w:t>
            </w:r>
          </w:p>
        </w:tc>
      </w:tr>
      <w:tr>
        <w:trPr>
          <w:trHeight w:val="213"/>
        </w:trPr>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385</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0.7</w:t>
            </w:r>
          </w:p>
        </w:tc>
      </w:tr>
      <w:tr>
        <w:trPr>
          <w:trHeight w:val="20"/>
        </w:trPr>
        <w:tc>
          <w:tcPr>
            <w:tcW w:w="12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17,703</w:t>
            </w: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17,640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51,610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53,674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-788035</wp:posOffset>
            </wp:positionV>
            <wp:extent cx="713232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-530860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-256540</wp:posOffset>
            </wp:positionV>
            <wp:extent cx="7132320"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2000" w:space="380"/>
            <w:col w:w="8860"/>
          </w:cols>
          <w:pgMar w:left="320" w:top="121" w:right="339" w:bottom="1440" w:gutter="0" w:footer="0" w:header="0"/>
          <w:type w:val="continuous"/>
        </w:sect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A substantial portion of the Company’s revenue and accounts receivable are derived from services performed for federal, state, and local governmental agencies. The personal care segment derives a significant amount of its net service revenues in Illinois, which represented 31.2% and 32.0% of our net service revenues for the three months ended September 30, 2026 and 2025, respectively, and accounted for 31.8% and 32.6% of our net service revenues for the nine months ended September 30, 2026 and 2025, respectively. The Illinois Department on Aging, the largest payor program for the Company’s Illinois personal care operations, accounted for 17.4% and 18.1% of the Company’s net service revenues for the three months ended September 30, 2026 and 2025, respectively, and accounted for 17.6% and 18.4% of the Company’s net service revenues for the nine months ended September 30, 2026 and 2025, respectively.</w:t>
      </w:r>
    </w:p>
    <w:p>
      <w:pPr>
        <w:spacing w:after="0" w:line="189" w:lineRule="exact"/>
        <w:rPr>
          <w:sz w:val="20"/>
          <w:szCs w:val="20"/>
          <w:color w:val="auto"/>
        </w:rPr>
      </w:pPr>
    </w:p>
    <w:p>
      <w:pPr>
        <w:ind w:right="560" w:firstLine="450"/>
        <w:spacing w:after="0" w:line="282" w:lineRule="auto"/>
        <w:rPr>
          <w:sz w:val="20"/>
          <w:szCs w:val="20"/>
          <w:color w:val="auto"/>
        </w:rPr>
      </w:pPr>
      <w:r>
        <w:rPr>
          <w:rFonts w:ascii="Times New Roman" w:cs="Times New Roman" w:eastAsia="Times New Roman" w:hAnsi="Times New Roman"/>
          <w:sz w:val="18"/>
          <w:szCs w:val="18"/>
          <w:color w:val="auto"/>
        </w:rPr>
        <w:t>The related receivables due from the Illinois Department on Aging represented 21.1% and 25.2% of the Company’s net accounts receivable at September 30, 2026 and December 31, 2025,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You should read the following discussion together with our unaudited condensed consolidated financial statements and the related notes included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elsewhere in this quarterly report on Form 10-Q. This discussion contains forward-looking statements about our business and operations. Statements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are predictive in nature, that depend upon or refer to future events or conditions or that include words like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might,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similar expressions are intended to be forward-looking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statements as defined by the Private Securities Litigation Reform Act of 1995. These statements are based on the beliefs and assumptions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based on information currently available to management. Such forward-looking statements are subject to risks, uncertainties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factors that could cause actual results and the timing of certain events to differ materially from future results expressed or implied by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 These risks and uncertainties include, but are not limited to: the impact of macroeconomic conditions, including inflation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rates, legislative and political developments, including federal government shutdowns, any lapse in appropriations and any hold on or cancellation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 congressionally authorized spending or interruptions in the distribution of government funds, trade policies and tensions, including changes in,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imposition of, tariffs and/or trade barriers and the economic impacts, volatility and uncertainty resulting therefrom, and the potential adverse effects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conditions; business disruptions due to inclement weather, natural disasters, acts of terrorism, military conflicts, pandemics, civil insurrection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unrest; changes in operational and reimbursement processes and payment structures at the state or federal levels; changes in Medicaid, Medicare,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government program and managed care organizations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policies and payment rates, and the timeliness of reimbursements received under government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programs; the implementation of new, and possible changes to existing, federal and state laws or regulations, or our failure to comply with such laws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or comply on a timely basis; the impact of decisions of the U.S. Supreme Court regarding the actions of federal agencies; changes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branch of the federal government; changes in the structure and administration of, and funding for, federal and state agencies and programs;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 in the healthcare industry; the geographical concentration of our operations; changes in the case mix of consumers and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methodologies; operational changes resulting from the assumption by managed care organizations of responsibility for managing and paying for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to consumers; the nature and success of future financial and/or delivery system reforms; changes in estimates and judgments associated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our ability to maintain or establish new referral sources; our ability to renew significant agreements or groups of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attract and retain qualified personnel; federal, state and city minimum wage pressure, including any failure of any governmental entity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enact a minimum wage offset and/or the timing of any such enactment; changes in payments and covered services due to overall economic conditions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deficit or spending reduction measures by federal and state governments, and our expectations regarding these changes; cost containment initiatives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undertaken by federal and state governmental and other third-party payors; our ability to access financing through the capital and credit markets;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ability to meet debt service requirements and comply with covenants in debt agreements; our ability to integrate and manage our information systems;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breaches, cyber-attacks, loss of data, or cybersecurity threats or incidents, and any actual or perceived failures to comply with legal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to the privacy of confidential consumer data and other sensitive information; the size and growth of the markets for our services, including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expectations regarding the markets for our services; eligibility standards, moratoria on new provider enrollments and limits on services imposed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legislation or by governmental agencies or other third-party payors; the potential for litigation, audits, and investigations; discretionary determinations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officials; our ability to successfully implement our business model to grow our business; our ability to continue identifying, pursuing,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consummating, and integrating acquisition opportunities and expanding into new geographic markets; the impact of acquisitions and dispositions on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including the potential inability to realize the benefits of potential acquisitions; the effectiveness, quality, and cost of our services; our ability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successfully execute our growth strategy; changes in tax rates; and various other matters, many of which are beyond our control. In addition,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 are subject to the risk factors set forth in Part I, Item 1A of our Annual Report on Form 10-K for the period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31, 2025, filed with the SEC on February 24, 2026, as updated by the risk factors set forth in Part II, Item 1A of this Quarterly Report on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10-Q. You should carefully review all of these factors. Moreover, our business may be materially adversely affected by factors that are not currently known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 us, by factors that we currently consider immaterial or by factors that are not specific to us, such as general economic conditions. These forward-looking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statements were based on information, plans, and estimates at the date of this report, and we assume no obligation to update any forward-looking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statements to reflect changes in underlying assumptions or factors, new information, future events or other changes, except as may be required by law.</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120" w:firstLine="450"/>
        <w:spacing w:after="0" w:line="258" w:lineRule="auto"/>
        <w:rPr>
          <w:sz w:val="20"/>
          <w:szCs w:val="20"/>
          <w:color w:val="auto"/>
        </w:rPr>
      </w:pPr>
      <w:r>
        <w:rPr>
          <w:rFonts w:ascii="Times New Roman" w:cs="Times New Roman" w:eastAsia="Times New Roman" w:hAnsi="Times New Roman"/>
          <w:sz w:val="18"/>
          <w:szCs w:val="18"/>
          <w:color w:val="auto"/>
        </w:rPr>
        <w:t>We are a home care services provider operating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organizations accounted for 38.3% and 37.0% of our net service revenues during the three months ended September 30, 2026 and 2025, respectively, and 38.4% and 36.7% of our net service revenues during the nine months ended September 30, 2026 and 2025, respectively.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certain consolidated financial results is provided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24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0"/>
                <w:szCs w:val="20"/>
                <w:color w:val="auto"/>
              </w:rPr>
            </w:pPr>
          </w:p>
        </w:tc>
        <w:tc>
          <w:tcPr>
            <w:tcW w:w="24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service revenues by segment:</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(Amounts in 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(Amounts 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Personal care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301,008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275,770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878,097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803,238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Hospice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69,022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68,891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199,054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192,540</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 health</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17,703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17,640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51,610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53,674</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service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387,733</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362,301</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7"/>
              </w:rPr>
              <w:t>1,128,761</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1,049,452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28,594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81,270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66,128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450"/>
        <w:spacing w:after="0" w:line="282" w:lineRule="auto"/>
        <w:rPr>
          <w:sz w:val="20"/>
          <w:szCs w:val="20"/>
          <w:color w:val="auto"/>
        </w:rPr>
      </w:pPr>
      <w:r>
        <w:rPr>
          <w:rFonts w:ascii="Times New Roman" w:cs="Times New Roman" w:eastAsia="Times New Roman" w:hAnsi="Times New Roman"/>
          <w:sz w:val="18"/>
          <w:szCs w:val="18"/>
          <w:color w:val="auto"/>
        </w:rPr>
        <w:t>As of September 30, 2026, we provided our services in 24 states through 263 offices. Our personal care segment also includes staffing services, with clients including assisted living facilities, nursing homes, and hospice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18"/>
          <w:szCs w:val="18"/>
          <w:color w:val="auto"/>
        </w:rPr>
        <w:t>In addition to our organic growth, we have grown through acquisitions that have expanded our presence in current markets, with the goal of having all three levels of in-home care in our markets or facilitating our entry into new markets where in-home care has been moving to managed care organizations or that present other strategic opportunities.</w:t>
      </w:r>
    </w:p>
    <w:p>
      <w:pPr>
        <w:spacing w:after="0" w:line="176"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On January 1, 2025, the Company completed its acquisition of its Jacksonville affiliate (the “Jacksonville Acquisition”), for approximately $0.8 million, with funding provided by available cash. With the Jacksonville Acquisition, the Company expanded its personal care segment in Florida and recorded goodwill of $0.8 million.</w:t>
      </w:r>
    </w:p>
    <w:p>
      <w:pPr>
        <w:spacing w:after="0" w:line="17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On March 1, 2025, the Company completed its acquisition of the assets of Great Lakes Home Care Unlimited, LLC (the “Great Lakes Acquisition”), for $2.6 million, with funding provided by available cash. With the Great Lakes Acquisition, the Company expanded its personal care segment in Michigan and recognized goodwill in its personal care segment of $2.6 million.</w:t>
      </w:r>
    </w:p>
    <w:p>
      <w:pPr>
        <w:spacing w:after="0" w:line="176"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On August 1, 2025, the Company completed its acquisition of Helping Hands Home Care Service, Inc. (the “Helping Hands Acquisition”), for approximately $21.4 million, with funding through the Company’s revolving credit facility and available cash. With the Helping Hands Acquisition, the Company expanded its services within its personal care segment and entered the hospice and home health markets in Pennsylvania and recognized goodwill in its personal care segment of $19.0 million.</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October 1, 2025, the Company completed its acquisition of Gold Horses, LLC (the “Gold Horses Acquisition”), for approximately</w:t>
      </w:r>
    </w:p>
    <w:p>
      <w:pPr>
        <w:spacing w:after="0" w:line="27"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$7.4 million, with funding provided by available cash. With the Gold Horses Acquisition, the Company expanded its services within its personal care segment in Texas and recognized goodwill in its personal care segment of $7.4 million.</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May 1, 2026, the Company completed its acquisition of HomeCourt Home Care (the “HomeCourt Acquisition”), for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 million, with funding provided by available cash. With the HomeCourt Acquisition, the Company expanded its services within its personal 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to Indiana and recognized goodwill in its personal care segment of $11.3 million.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20" w:firstLine="486"/>
        <w:spacing w:after="0" w:line="274" w:lineRule="auto"/>
        <w:rPr>
          <w:sz w:val="20"/>
          <w:szCs w:val="20"/>
          <w:color w:val="auto"/>
        </w:rPr>
      </w:pPr>
      <w:r>
        <w:rPr>
          <w:rFonts w:ascii="Times New Roman" w:cs="Times New Roman" w:eastAsia="Times New Roman" w:hAnsi="Times New Roman"/>
          <w:sz w:val="17"/>
          <w:szCs w:val="17"/>
          <w:color w:val="auto"/>
        </w:rPr>
        <w:t>On September 12, 2026, the Company entered into a definitive equity and asset purchase agreement to acquire the personal care division of AccentCare, Inc. for an anticipated purchase price, after customary purchase price adjustments, of approximately $275.0 million. The AccentCare Acquisition relates only to the seller’s personal care operations outside of New York and does not relate to its hospice and home health operations. The acquired operations serve an average daily census of approximately 13,700 customers through locations in Texas, Illinois, California, Arizona, Colorado, Georgia, Minnesota, Pennsylvania, Tennessee, and Washington. The Company expects to close the AccentCare Acquisition following completion of regulatory approvals and subject to customary closing conditions and to fund it through a combination of the Company’s revolver and cash on hand.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York Asset Sale</w:t>
      </w:r>
    </w:p>
    <w:p>
      <w:pPr>
        <w:spacing w:after="0" w:line="229"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 xml:space="preserve">Effective May 20, 2024, we entered into the New York Asset Sale. The Company entered into a consulting agreement with the purchaser, as the transfer of clients and caregivers and payment for assets pursuant to the New York Asset Sale was occurring over time. In connection with this transaction, the Company ceased operations in New York. See Note 3 to the Notes to Unaudited Condensed Consolidated Financial Statements,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Divestiture</w:t>
      </w:r>
      <w:r>
        <w:rPr>
          <w:rFonts w:ascii="Times New Roman" w:cs="Times New Roman" w:eastAsia="Times New Roman" w:hAnsi="Times New Roman"/>
          <w:sz w:val="18"/>
          <w:szCs w:val="18"/>
          <w:color w:val="auto"/>
        </w:rPr>
        <w:t>, for additional details regarding our divestiture.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Recruiting</w:t>
      </w:r>
    </w:p>
    <w:p>
      <w:pPr>
        <w:spacing w:after="0" w:line="229" w:lineRule="exact"/>
        <w:rPr>
          <w:sz w:val="20"/>
          <w:szCs w:val="20"/>
          <w:color w:val="auto"/>
        </w:rPr>
      </w:pPr>
    </w:p>
    <w:p>
      <w:pPr>
        <w:ind w:right="100" w:firstLine="450"/>
        <w:spacing w:after="0" w:line="261" w:lineRule="auto"/>
        <w:rPr>
          <w:sz w:val="20"/>
          <w:szCs w:val="20"/>
          <w:color w:val="auto"/>
        </w:rPr>
      </w:pPr>
      <w:r>
        <w:rPr>
          <w:rFonts w:ascii="Times New Roman" w:cs="Times New Roman" w:eastAsia="Times New Roman" w:hAnsi="Times New Roman"/>
          <w:sz w:val="18"/>
          <w:szCs w:val="18"/>
          <w:color w:val="auto"/>
        </w:rPr>
        <w:t>As the labor market continues to be tight and unemployment remains at low levels, the competition for new caregivers, including skilled healthcare staff, and support staff continues to be significant. In addition, the United States economy continues to experience inflationary pressures. To the extent that we continue to experience a shortage of caregivers, it may hinder our ability to fully meet the continuing demand for both our non-clinical and clinical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Payor and Significant States</w:t>
      </w:r>
    </w:p>
    <w:p>
      <w:pPr>
        <w:spacing w:after="0" w:line="229" w:lineRule="exact"/>
        <w:rPr>
          <w:sz w:val="20"/>
          <w:szCs w:val="20"/>
          <w:color w:val="auto"/>
        </w:rPr>
      </w:pPr>
    </w:p>
    <w:p>
      <w:pPr>
        <w:ind w:right="300" w:firstLine="450"/>
        <w:spacing w:after="0" w:line="261" w:lineRule="auto"/>
        <w:rPr>
          <w:sz w:val="20"/>
          <w:szCs w:val="20"/>
          <w:color w:val="auto"/>
        </w:rPr>
      </w:pPr>
      <w:r>
        <w:rPr>
          <w:rFonts w:ascii="Times New Roman" w:cs="Times New Roman" w:eastAsia="Times New Roman" w:hAnsi="Times New Roman"/>
          <w:sz w:val="18"/>
          <w:szCs w:val="18"/>
          <w:color w:val="auto"/>
        </w:rPr>
        <w:t>Our payors are principally federal, state, and local governmental agencies and managed care organizations. The federal, state, and local programs under which the agencies operate are subject to legislative and budgetary changes and other risks that can influence reimbursement rates. We have experienced a transition of business from government payors to managed care organizations, which we believe aligns with our emphasis on coordinated care and the reduction of the need for acute care.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revenue by payor and significant states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Personal Care Segment</w:t>
            </w:r>
          </w:p>
        </w:tc>
        <w:tc>
          <w:tcPr>
            <w:tcW w:w="120" w:type="dxa"/>
            <w:vAlign w:val="bottom"/>
          </w:tcPr>
          <w:p>
            <w:pPr>
              <w:spacing w:after="0"/>
              <w:rPr>
                <w:sz w:val="18"/>
                <w:szCs w:val="18"/>
                <w:color w:val="auto"/>
              </w:rPr>
            </w:pPr>
          </w:p>
        </w:tc>
        <w:tc>
          <w:tcPr>
            <w:tcW w:w="4360" w:type="dxa"/>
            <w:vAlign w:val="bottom"/>
            <w:gridSpan w:val="9"/>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20" w:type="dxa"/>
            <w:vAlign w:val="bottom"/>
          </w:tcPr>
          <w:p>
            <w:pPr>
              <w:spacing w:after="0"/>
              <w:rPr>
                <w:sz w:val="18"/>
                <w:szCs w:val="18"/>
                <w:color w:val="auto"/>
              </w:rPr>
            </w:pPr>
          </w:p>
        </w:tc>
        <w:tc>
          <w:tcPr>
            <w:tcW w:w="4260" w:type="dxa"/>
            <w:vAlign w:val="bottom"/>
            <w:gridSpan w:val="9"/>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0" w:type="dxa"/>
            <w:vAlign w:val="bottom"/>
          </w:tcPr>
          <w:p>
            <w:pPr>
              <w:spacing w:after="0"/>
              <w:rPr>
                <w:sz w:val="1"/>
                <w:szCs w:val="1"/>
                <w:color w:val="auto"/>
              </w:rPr>
            </w:pPr>
          </w:p>
        </w:tc>
      </w:tr>
      <w:tr>
        <w:trPr>
          <w:trHeight w:val="172"/>
        </w:trPr>
        <w:tc>
          <w:tcPr>
            <w:tcW w:w="23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State, local and other</w:t>
            </w: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governmental programs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151,043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139,383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439,501</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410,781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Managed care organizations</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142,278</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127,293</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415,237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366,210</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 pay</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6,299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7,064</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19,020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21,331</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Commercial insurance</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1,249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1,860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3,545</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4,356</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794</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560</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personal care segment net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80" w:type="dxa"/>
            <w:vAlign w:val="bottom"/>
            <w:vMerge w:val="continue"/>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301,008</w:t>
            </w:r>
          </w:p>
        </w:tc>
        <w:tc>
          <w:tcPr>
            <w:tcW w:w="220" w:type="dxa"/>
            <w:vAlign w:val="bottom"/>
            <w:vMerge w:val="restart"/>
          </w:tcPr>
          <w:p>
            <w:pPr>
              <w:spacing w:after="0"/>
              <w:rPr>
                <w:sz w:val="14"/>
                <w:szCs w:val="14"/>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275,770</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878,097</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803,238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revenues</w:t>
            </w:r>
          </w:p>
        </w:tc>
        <w:tc>
          <w:tcPr>
            <w:tcW w:w="1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Illinois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120,804</w:t>
            </w:r>
          </w:p>
        </w:tc>
        <w:tc>
          <w:tcPr>
            <w:tcW w:w="220" w:type="dxa"/>
            <w:vAlign w:val="bottom"/>
            <w:vMerge w:val="continue"/>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220" w:type="dxa"/>
            <w:vAlign w:val="bottom"/>
            <w:vMerge w:val="continue"/>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358,643</w:t>
            </w:r>
          </w:p>
        </w:tc>
        <w:tc>
          <w:tcPr>
            <w:tcW w:w="220" w:type="dxa"/>
            <w:vAlign w:val="bottom"/>
            <w:vMerge w:val="continue"/>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342,629</w:t>
            </w:r>
          </w:p>
        </w:tc>
        <w:tc>
          <w:tcPr>
            <w:tcW w:w="220" w:type="dxa"/>
            <w:vAlign w:val="bottom"/>
            <w:vMerge w:val="continue"/>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Texas</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59,520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53,449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176,050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155,773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Mexico</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33,913</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30,029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96,365</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87,320</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All other states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86,771</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76,303</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247,039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217,516</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personal care segment net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380" w:type="dxa"/>
            <w:vAlign w:val="bottom"/>
            <w:vMerge w:val="continue"/>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301,008</w:t>
            </w:r>
          </w:p>
        </w:tc>
        <w:tc>
          <w:tcPr>
            <w:tcW w:w="220" w:type="dxa"/>
            <w:vAlign w:val="bottom"/>
            <w:vMerge w:val="restart"/>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275,770</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878,097</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803,238</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revenues</w:t>
            </w: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Hospice Segment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gridSpan w:val="16"/>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14"/>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 of</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104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80" w:type="dxa"/>
            <w:vAlign w:val="bottom"/>
          </w:tcPr>
          <w:p>
            <w:pPr>
              <w:spacing w:after="0"/>
              <w:rPr>
                <w:sz w:val="17"/>
                <w:szCs w:val="17"/>
                <w:color w:val="auto"/>
              </w:rPr>
            </w:pPr>
          </w:p>
        </w:tc>
        <w:tc>
          <w:tcPr>
            <w:tcW w:w="74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14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240" w:type="dxa"/>
            <w:vAlign w:val="bottom"/>
            <w:tcBorders>
              <w:bottom w:val="single" w:sz="8" w:color="CCEEFF"/>
            </w:tcBorders>
            <w:gridSpan w:val="2"/>
          </w:tcPr>
          <w:p>
            <w:pPr>
              <w:spacing w:after="0"/>
              <w:rPr>
                <w:sz w:val="18"/>
                <w:szCs w:val="18"/>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Borders>
              <w:bottom w:val="single" w:sz="8" w:color="CCEEFF"/>
            </w:tcBorders>
            <w:gridSpan w:val="2"/>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Medicare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65,101</w:t>
            </w:r>
          </w:p>
        </w:tc>
        <w:tc>
          <w:tcPr>
            <w:tcW w:w="22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64,148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93.1%</w:t>
            </w:r>
          </w:p>
        </w:tc>
        <w:tc>
          <w:tcPr>
            <w:tcW w:w="240" w:type="dxa"/>
            <w:vAlign w:val="bottom"/>
            <w:tcBorders>
              <w:left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187,215</w:t>
            </w:r>
          </w:p>
        </w:tc>
        <w:tc>
          <w:tcPr>
            <w:tcW w:w="24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94.1%</w:t>
            </w: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178,784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Commercial insurance</w:t>
            </w:r>
          </w:p>
        </w:tc>
        <w:tc>
          <w:tcPr>
            <w:tcW w:w="1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5,436</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6,518</w:t>
            </w:r>
          </w:p>
        </w:tc>
        <w:tc>
          <w:tcPr>
            <w:tcW w:w="1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Managed care organizations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22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lef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5,260</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6,245</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1,143</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993</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hospice segment net service</w:t>
            </w: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380" w:type="dxa"/>
            <w:vAlign w:val="bottom"/>
            <w:vMerge w:val="continue"/>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69,022</w:t>
            </w:r>
          </w:p>
        </w:tc>
        <w:tc>
          <w:tcPr>
            <w:tcW w:w="22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68,891</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tcBorders>
              <w:left w:val="single" w:sz="8" w:color="CCEEFF"/>
            </w:tcBorders>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Borders>
              <w:left w:val="single" w:sz="8" w:color="CCEEFF"/>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199,054</w:t>
            </w:r>
          </w:p>
        </w:tc>
        <w:tc>
          <w:tcPr>
            <w:tcW w:w="10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spacing w:after="0"/>
              <w:rPr>
                <w:sz w:val="14"/>
                <w:szCs w:val="14"/>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192,540</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00" w:type="dxa"/>
            <w:vAlign w:val="bottom"/>
            <w:gridSpan w:val="3"/>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left w:val="single" w:sz="8" w:color="CCEEFF"/>
            </w:tcBorders>
            <w:gridSpan w:val="3"/>
            <w:vMerge w:val="continue"/>
            <w:shd w:val="clear" w:color="auto" w:fill="CCEEFF"/>
          </w:tcPr>
          <w:p>
            <w:pPr>
              <w:spacing w:after="0"/>
              <w:rPr>
                <w:sz w:val="17"/>
                <w:szCs w:val="17"/>
                <w:color w:val="auto"/>
              </w:rPr>
            </w:pPr>
          </w:p>
        </w:tc>
        <w:tc>
          <w:tcPr>
            <w:tcW w:w="240" w:type="dxa"/>
            <w:vAlign w:val="bottom"/>
            <w:tcBorders>
              <w:left w:val="single" w:sz="8" w:color="CCEEFF"/>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vMerge w:val="continue"/>
            <w:shd w:val="clear" w:color="auto" w:fill="CCEEFF"/>
          </w:tcPr>
          <w:p>
            <w:pPr>
              <w:spacing w:after="0"/>
              <w:rPr>
                <w:sz w:val="17"/>
                <w:szCs w:val="17"/>
                <w:color w:val="auto"/>
              </w:rPr>
            </w:pPr>
          </w:p>
        </w:tc>
        <w:tc>
          <w:tcPr>
            <w:tcW w:w="102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Ohio</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27,294</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vMerge w:val="continue"/>
          </w:tcPr>
          <w:p>
            <w:pPr>
              <w:spacing w:after="0"/>
              <w:rPr>
                <w:sz w:val="15"/>
                <w:szCs w:val="15"/>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26,913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39.1%</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77,967</w:t>
            </w:r>
          </w:p>
        </w:tc>
        <w:tc>
          <w:tcPr>
            <w:tcW w:w="240" w:type="dxa"/>
            <w:vAlign w:val="bottom"/>
            <w:vMerge w:val="continue"/>
          </w:tcPr>
          <w:p>
            <w:pPr>
              <w:spacing w:after="0"/>
              <w:rPr>
                <w:sz w:val="15"/>
                <w:szCs w:val="15"/>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39.2%</w:t>
            </w:r>
          </w:p>
        </w:tc>
        <w:tc>
          <w:tcPr>
            <w:tcW w:w="8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73,304</w:t>
            </w:r>
          </w:p>
        </w:tc>
        <w:tc>
          <w:tcPr>
            <w:tcW w:w="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Illinois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14,071</w:t>
            </w:r>
          </w:p>
        </w:tc>
        <w:tc>
          <w:tcPr>
            <w:tcW w:w="22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lef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22.5</w:t>
            </w: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42,118</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44,516</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New Mexico</w:t>
            </w:r>
          </w:p>
        </w:tc>
        <w:tc>
          <w:tcPr>
            <w:tcW w:w="1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8,821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8,769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12.7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25,167</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24,865</w:t>
            </w:r>
          </w:p>
        </w:tc>
        <w:tc>
          <w:tcPr>
            <w:tcW w:w="1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other states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18,836</w:t>
            </w:r>
          </w:p>
        </w:tc>
        <w:tc>
          <w:tcPr>
            <w:tcW w:w="22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lef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25.7</w:t>
            </w: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53,802</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49,855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hospice segment net service</w:t>
            </w: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80" w:type="dxa"/>
            <w:vAlign w:val="bottom"/>
            <w:vMerge w:val="continue"/>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69,022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68,891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4"/>
                <w:szCs w:val="14"/>
                <w:color w:val="auto"/>
              </w:rPr>
            </w:pPr>
          </w:p>
        </w:tc>
        <w:tc>
          <w:tcPr>
            <w:tcW w:w="80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199,054</w:t>
            </w:r>
          </w:p>
        </w:tc>
        <w:tc>
          <w:tcPr>
            <w:tcW w:w="10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4"/>
                <w:szCs w:val="14"/>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192,540</w:t>
            </w:r>
          </w:p>
        </w:tc>
        <w:tc>
          <w:tcPr>
            <w:tcW w:w="140" w:type="dxa"/>
            <w:vAlign w:val="bottom"/>
          </w:tcPr>
          <w:p>
            <w:pPr>
              <w:spacing w:after="0"/>
              <w:rPr>
                <w:sz w:val="14"/>
                <w:szCs w:val="14"/>
                <w:color w:val="auto"/>
              </w:rPr>
            </w:pPr>
          </w:p>
        </w:tc>
        <w:tc>
          <w:tcPr>
            <w:tcW w:w="10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Home Health Segment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80" w:type="dxa"/>
            <w:vAlign w:val="bottom"/>
            <w:gridSpan w:val="1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14"/>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4"/>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0"/>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Segment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180" w:type="dxa"/>
            <w:vAlign w:val="bottom"/>
          </w:tcPr>
          <w:p>
            <w:pPr>
              <w:spacing w:after="0"/>
              <w:rPr>
                <w:sz w:val="17"/>
                <w:szCs w:val="17"/>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7"/>
                <w:szCs w:val="17"/>
                <w:color w:val="auto"/>
              </w:rPr>
            </w:pPr>
          </w:p>
        </w:tc>
        <w:tc>
          <w:tcPr>
            <w:tcW w:w="1160" w:type="dxa"/>
            <w:vAlign w:val="bottom"/>
            <w:gridSpan w:val="4"/>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80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7"/>
                <w:szCs w:val="17"/>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Net Service</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gridSpan w:val="3"/>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(in</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Thousands)</w:t>
            </w:r>
          </w:p>
        </w:tc>
        <w:tc>
          <w:tcPr>
            <w:tcW w:w="140" w:type="dxa"/>
            <w:vAlign w:val="bottom"/>
          </w:tcPr>
          <w:p>
            <w:pPr>
              <w:spacing w:after="0"/>
              <w:rPr>
                <w:sz w:val="18"/>
                <w:szCs w:val="18"/>
                <w:color w:val="auto"/>
              </w:rPr>
            </w:pPr>
          </w:p>
        </w:tc>
        <w:tc>
          <w:tcPr>
            <w:tcW w:w="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tcPr>
          <w:p>
            <w:pPr>
              <w:spacing w:after="0"/>
              <w:rPr>
                <w:sz w:val="18"/>
                <w:szCs w:val="18"/>
                <w:color w:val="auto"/>
              </w:rPr>
            </w:pPr>
          </w:p>
        </w:tc>
        <w:tc>
          <w:tcPr>
            <w:tcW w:w="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40" w:type="dxa"/>
            <w:vAlign w:val="bottom"/>
          </w:tcPr>
          <w:p>
            <w:pPr>
              <w:spacing w:after="0"/>
              <w:rPr>
                <w:sz w:val="18"/>
                <w:szCs w:val="18"/>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240" w:type="dxa"/>
            <w:vAlign w:val="bottom"/>
          </w:tcPr>
          <w:p>
            <w:pPr>
              <w:spacing w:after="0"/>
              <w:rPr>
                <w:sz w:val="18"/>
                <w:szCs w:val="18"/>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Thousands)</w:t>
            </w:r>
          </w:p>
        </w:tc>
        <w:tc>
          <w:tcPr>
            <w:tcW w:w="140" w:type="dxa"/>
            <w:vAlign w:val="bottom"/>
          </w:tcPr>
          <w:p>
            <w:pPr>
              <w:spacing w:after="0"/>
              <w:rPr>
                <w:sz w:val="18"/>
                <w:szCs w:val="18"/>
                <w:color w:val="auto"/>
              </w:rPr>
            </w:pPr>
          </w:p>
        </w:tc>
        <w:tc>
          <w:tcPr>
            <w:tcW w:w="8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Medicare</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lef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11,206</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7"/>
              </w:rPr>
              <w:t>63.3% $</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11,617</w:t>
            </w:r>
          </w:p>
        </w:tc>
        <w:tc>
          <w:tcPr>
            <w:tcW w:w="1300" w:type="dxa"/>
            <w:vAlign w:val="bottom"/>
            <w:tcBorders>
              <w:lef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 $</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32,335</w:t>
            </w:r>
          </w:p>
        </w:tc>
        <w:tc>
          <w:tcPr>
            <w:tcW w:w="12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 $</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36,711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Managed care organizations</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4,421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2"/>
              </w:rPr>
              <w:t>25.0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4,492</w:t>
            </w:r>
          </w:p>
        </w:tc>
        <w:tc>
          <w:tcPr>
            <w:tcW w:w="120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12,803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12,564</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local and other governmental</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programs (excluding Medicare)</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89"/>
              </w:rPr>
              <w:t>8.0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200" w:type="dxa"/>
            <w:vAlign w:val="bottom"/>
            <w:tcBorders>
              <w:left w:val="single" w:sz="8" w:color="CCEEFF"/>
            </w:tcBorders>
            <w:gridSpan w:val="4"/>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4,781</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2,878</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89"/>
              </w:rPr>
              <w:t>3.7</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Total home health segment net service</w:t>
            </w:r>
          </w:p>
        </w:tc>
        <w:tc>
          <w:tcPr>
            <w:tcW w:w="76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17,703</w:t>
            </w:r>
          </w:p>
        </w:tc>
        <w:tc>
          <w:tcPr>
            <w:tcW w:w="140" w:type="dxa"/>
            <w:vAlign w:val="bottom"/>
            <w:shd w:val="clear" w:color="auto" w:fill="CCEEFF"/>
          </w:tcPr>
          <w:p>
            <w:pPr>
              <w:spacing w:after="0"/>
              <w:rPr>
                <w:sz w:val="15"/>
                <w:szCs w:val="15"/>
                <w:color w:val="auto"/>
              </w:rPr>
            </w:pPr>
          </w:p>
        </w:tc>
        <w:tc>
          <w:tcPr>
            <w:tcW w:w="1420" w:type="dxa"/>
            <w:vAlign w:val="bottom"/>
            <w:gridSpan w:val="6"/>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100.0% $</w:t>
            </w:r>
          </w:p>
        </w:tc>
        <w:tc>
          <w:tcPr>
            <w:tcW w:w="5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17,640</w:t>
            </w:r>
          </w:p>
        </w:tc>
        <w:tc>
          <w:tcPr>
            <w:tcW w:w="1300" w:type="dxa"/>
            <w:vAlign w:val="bottom"/>
            <w:tcBorders>
              <w:left w:val="single" w:sz="8" w:color="CCEEFF"/>
            </w:tcBorders>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51,610</w:t>
            </w:r>
          </w:p>
        </w:tc>
        <w:tc>
          <w:tcPr>
            <w:tcW w:w="1260" w:type="dxa"/>
            <w:vAlign w:val="bottom"/>
            <w:gridSpan w:val="6"/>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9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53,674</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revenues</w:t>
            </w: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520" w:type="dxa"/>
            <w:vAlign w:val="bottom"/>
            <w:tcBorders>
              <w:left w:val="single" w:sz="8" w:color="CCEEFF"/>
            </w:tcBorders>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6"/>
            <w:vMerge w:val="continue"/>
            <w:shd w:val="clear" w:color="auto" w:fill="CCEEFF"/>
          </w:tcPr>
          <w:p>
            <w:pPr>
              <w:spacing w:after="0"/>
              <w:rPr>
                <w:sz w:val="17"/>
                <w:szCs w:val="17"/>
                <w:color w:val="auto"/>
              </w:rPr>
            </w:pPr>
          </w:p>
        </w:tc>
        <w:tc>
          <w:tcPr>
            <w:tcW w:w="540" w:type="dxa"/>
            <w:vAlign w:val="bottom"/>
            <w:gridSpan w:val="3"/>
            <w:vMerge w:val="continue"/>
            <w:shd w:val="clear" w:color="auto" w:fill="CCEEFF"/>
          </w:tcPr>
          <w:p>
            <w:pPr>
              <w:spacing w:after="0"/>
              <w:rPr>
                <w:sz w:val="17"/>
                <w:szCs w:val="17"/>
                <w:color w:val="auto"/>
              </w:rPr>
            </w:pPr>
          </w:p>
        </w:tc>
        <w:tc>
          <w:tcPr>
            <w:tcW w:w="1300" w:type="dxa"/>
            <w:vAlign w:val="bottom"/>
            <w:tcBorders>
              <w:left w:val="single" w:sz="8" w:color="CCEEFF"/>
            </w:tcBorders>
            <w:gridSpan w:val="5"/>
            <w:vMerge w:val="continue"/>
            <w:shd w:val="clear" w:color="auto" w:fill="CCEEFF"/>
          </w:tcPr>
          <w:p>
            <w:pPr>
              <w:spacing w:after="0"/>
              <w:rPr>
                <w:sz w:val="17"/>
                <w:szCs w:val="17"/>
                <w:color w:val="auto"/>
              </w:rPr>
            </w:pPr>
          </w:p>
        </w:tc>
        <w:tc>
          <w:tcPr>
            <w:tcW w:w="800" w:type="dxa"/>
            <w:vAlign w:val="bottom"/>
            <w:tcBorders>
              <w:right w:val="single" w:sz="8" w:color="CCEEFF"/>
            </w:tcBorders>
            <w:gridSpan w:val="2"/>
            <w:vMerge w:val="continue"/>
            <w:shd w:val="clear" w:color="auto" w:fill="CCEEFF"/>
          </w:tcPr>
          <w:p>
            <w:pPr>
              <w:spacing w:after="0"/>
              <w:rPr>
                <w:sz w:val="17"/>
                <w:szCs w:val="17"/>
                <w:color w:val="auto"/>
              </w:rPr>
            </w:pPr>
          </w:p>
        </w:tc>
        <w:tc>
          <w:tcPr>
            <w:tcW w:w="1260" w:type="dxa"/>
            <w:vAlign w:val="bottom"/>
            <w:gridSpan w:val="6"/>
            <w:vMerge w:val="continue"/>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New Mexico</w:t>
            </w:r>
          </w:p>
        </w:tc>
        <w:tc>
          <w:tcPr>
            <w:tcW w:w="140" w:type="dxa"/>
            <w:vAlign w:val="bottom"/>
          </w:tcPr>
          <w:p>
            <w:pPr>
              <w:spacing w:after="0"/>
              <w:rPr>
                <w:sz w:val="15"/>
                <w:szCs w:val="15"/>
                <w:color w:val="auto"/>
              </w:rPr>
            </w:pPr>
          </w:p>
        </w:tc>
        <w:tc>
          <w:tcPr>
            <w:tcW w:w="7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9,254</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color w:val="auto"/>
                <w:w w:val="97"/>
              </w:rPr>
              <w:t>52.3% $</w:t>
            </w:r>
          </w:p>
        </w:tc>
        <w:tc>
          <w:tcPr>
            <w:tcW w:w="16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8,644</w:t>
            </w: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49.0%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26,959</w:t>
            </w:r>
          </w:p>
        </w:tc>
        <w:tc>
          <w:tcPr>
            <w:tcW w:w="12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52.2% $</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25,937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Tennessee</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40.5</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6,852</w:t>
            </w:r>
          </w:p>
        </w:tc>
        <w:tc>
          <w:tcPr>
            <w:tcW w:w="1200" w:type="dxa"/>
            <w:vAlign w:val="bottom"/>
            <w:tcBorders>
              <w:left w:val="single" w:sz="8" w:color="CCEEFF"/>
            </w:tcBorders>
            <w:gridSpan w:val="4"/>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20,579</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21,672</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Illinois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89"/>
              </w:rPr>
              <w:t>7.2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1,759</w:t>
            </w:r>
          </w:p>
        </w:tc>
        <w:tc>
          <w:tcPr>
            <w:tcW w:w="120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4,072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5,680</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other states</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0" w:type="dxa"/>
            <w:vAlign w:val="bottom"/>
            <w:tcBorders>
              <w:left w:val="single" w:sz="8" w:color="CCEEFF"/>
            </w:tcBorders>
            <w:gridSpan w:val="4"/>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color w:val="auto"/>
              </w:rPr>
              <w:t>Total home health segment net service</w:t>
            </w:r>
          </w:p>
        </w:tc>
        <w:tc>
          <w:tcPr>
            <w:tcW w:w="7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17,703</w:t>
            </w:r>
          </w:p>
        </w:tc>
        <w:tc>
          <w:tcPr>
            <w:tcW w:w="140" w:type="dxa"/>
            <w:vAlign w:val="bottom"/>
          </w:tcPr>
          <w:p>
            <w:pPr>
              <w:spacing w:after="0"/>
              <w:rPr>
                <w:sz w:val="15"/>
                <w:szCs w:val="15"/>
                <w:color w:val="auto"/>
              </w:rPr>
            </w:pPr>
          </w:p>
        </w:tc>
        <w:tc>
          <w:tcPr>
            <w:tcW w:w="1420" w:type="dxa"/>
            <w:vAlign w:val="bottom"/>
            <w:gridSpan w:val="6"/>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100.0% $</w:t>
            </w: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17,640</w:t>
            </w:r>
          </w:p>
        </w:tc>
        <w:tc>
          <w:tcPr>
            <w:tcW w:w="13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51,610</w:t>
            </w:r>
          </w:p>
        </w:tc>
        <w:tc>
          <w:tcPr>
            <w:tcW w:w="12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9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53,674</w:t>
            </w:r>
          </w:p>
        </w:tc>
        <w:tc>
          <w:tcPr>
            <w:tcW w:w="10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76"/>
        </w:trPr>
        <w:tc>
          <w:tcPr>
            <w:tcW w:w="23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revenues</w:t>
            </w: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6"/>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300" w:type="dxa"/>
            <w:vAlign w:val="bottom"/>
            <w:gridSpan w:val="5"/>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60" w:type="dxa"/>
            <w:vAlign w:val="bottom"/>
            <w:gridSpan w:val="6"/>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18"/>
          <w:szCs w:val="18"/>
          <w:color w:val="auto"/>
        </w:rPr>
        <w:t>The personal care segment derives a significant amount of its net service revenues in Illinois, which represented 31.2% and 32.0% of our net service revenues for the three months ended September 30, 2026 and 2025, respectively, and accounted for 31.8% and 32.6% of our net service revenues for the nine months ended September 30, 2026 and 2025, respectively.</w:t>
      </w:r>
    </w:p>
    <w:p>
      <w:pPr>
        <w:spacing w:after="0" w:line="176" w:lineRule="exact"/>
        <w:rPr>
          <w:sz w:val="20"/>
          <w:szCs w:val="20"/>
          <w:color w:val="auto"/>
        </w:rPr>
      </w:pPr>
    </w:p>
    <w:p>
      <w:pPr>
        <w:ind w:right="120" w:firstLine="450"/>
        <w:spacing w:after="0" w:line="289" w:lineRule="auto"/>
        <w:rPr>
          <w:sz w:val="20"/>
          <w:szCs w:val="20"/>
          <w:color w:val="auto"/>
        </w:rPr>
      </w:pPr>
      <w:r>
        <w:rPr>
          <w:rFonts w:ascii="Times New Roman" w:cs="Times New Roman" w:eastAsia="Times New Roman" w:hAnsi="Times New Roman"/>
          <w:sz w:val="17"/>
          <w:szCs w:val="17"/>
          <w:color w:val="auto"/>
        </w:rPr>
        <w:t>A significant amount of our net service revenues are derived from one payor, the Illinois Department on Aging, the largest payor program for our Illinois personal care operations, which accounted for 17.4% and 18.1% of our net service revenues for the three months ended September 30, 2026 and 2025, respectively, and accounted for 17.6% and 18.4% of our net service revenues for the nine months ended September 30, 2026 and 2025, respectively.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Illinois Reimbursement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noted above, we derive a significant amount of our net service revenues in Illinois. Changes to reimbursement rates and minimum wage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may materially impact our revenues. The Illinois fiscal year 2026 budget included an increase in hourly rates for in-home care services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$30.80, effective January 1, 2026, and required a minimum wage of $18.75 per hour for direct service workers. These rates remain stable under the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 2027 budget. CMS approved an amendment to Illinois’ Persons Who are Elderly waiver program that included the 2026 rate increase,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2026. Effective October 1, 2026, CMS approved a five-year renewal of the Persons Who are Elderly waiver, which currently maintains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$30.80 hourly in-home service rate.</w:t>
      </w:r>
    </w:p>
    <w:p>
      <w:pPr>
        <w:spacing w:after="0" w:line="20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City of Chicago requires the Chicago minimum wage to be adjusted annually based on increases in the Consumer Price Index (“CPI”), subject to a cap and other requirements. Effective July 1, 2026, the rate was adjusted to $17.05 per hour based on the increase in the CPI.</w:t>
      </w:r>
    </w:p>
    <w:p>
      <w:pPr>
        <w:spacing w:after="0" w:line="162"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Our business will benefit from the rate increases noted above for 2026, but there is no assurance that there will be additional rate increases in Illinois in future fiscal years to offset increases in minimum wage, and our financial performance will be adversely impacted for any periods in which an additional offsetting reimbursement rate increase is not in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Texas Reimbursement</w:t>
      </w:r>
    </w:p>
    <w:p>
      <w:pPr>
        <w:spacing w:after="0" w:line="229" w:lineRule="exact"/>
        <w:rPr>
          <w:sz w:val="20"/>
          <w:szCs w:val="20"/>
          <w:color w:val="auto"/>
        </w:rPr>
      </w:pPr>
    </w:p>
    <w:p>
      <w:pPr>
        <w:ind w:left="160" w:right="380" w:firstLine="324"/>
        <w:spacing w:after="0" w:line="282" w:lineRule="auto"/>
        <w:rPr>
          <w:sz w:val="20"/>
          <w:szCs w:val="20"/>
          <w:color w:val="auto"/>
        </w:rPr>
      </w:pPr>
      <w:r>
        <w:rPr>
          <w:rFonts w:ascii="Times New Roman" w:cs="Times New Roman" w:eastAsia="Times New Roman" w:hAnsi="Times New Roman"/>
          <w:sz w:val="18"/>
          <w:szCs w:val="18"/>
          <w:color w:val="auto"/>
        </w:rPr>
        <w:t>The Texas fiscal year 2026-2027 biennial budget included an increase in hourly rates to $17.13 for in-home care services effective September 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Medicare Reimbursement</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Hospice</w:t>
      </w:r>
    </w:p>
    <w:p>
      <w:pPr>
        <w:spacing w:after="0" w:line="227"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Hospice services provided to Medicare beneficiaries are paid under the Medicare Hospice Prospective Payment System, under which CMS sets a daily rate for each day a patient is enrolled in the hospice benefit. The daily rate depends on the level of care provided to a patient (routine home care, continuous home care, inpatient respite care, or general inpatient care). Daily rates are adjusted for factors such as area wage levels. CMS updates hospice payment rates each federal fiscal year. Effective October 1, 2026, CMS increased hospice payment rates by 2.36%. This reflects a 3.2% market basket increase and a negative 0.9 percentage point productivity adjustment. Hospices that do not satisfy quality reporting requirements are subject to a 4-percentage point reduction to the market basket update.</w:t>
      </w:r>
    </w:p>
    <w:p>
      <w:pPr>
        <w:spacing w:after="0" w:line="187"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Overall payments made by Medicare to each hospice provider number are subject to an inpatient cap and an aggregate cap. The inpatient cap limits the number of days of inpatient care for which Medicare will pay to no more than 20% of total patient care days. Days in excess of the limitation are paid at the routine home care rate. The aggregate cap limits the total Medicare reimbursement that a hospice may receive in a cap year (typically the federal fiscal year) based on an annual per-beneficiary cap amount, which is set each federal fiscal year, and the number of Medicare patients served. The per-beneficiary cap amount was updated to $36,174.75 for federal fiscal year 2027. If a hospice’s Medicare payments exceed its inpatient or aggregate caps, it must repay Medicare the excess amount.</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Home Health</w:t>
      </w:r>
    </w:p>
    <w:p>
      <w:pPr>
        <w:spacing w:after="0" w:line="227"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18"/>
          <w:szCs w:val="18"/>
          <w:color w:val="auto"/>
        </w:rPr>
        <w:t>Home health services provided to Medicare beneficiaries are paid under the Medicare Home Health Prospective Payment System (“HHPPS”), which uses national, standardized 30-day period payment rates for periods of care that meet a certain threshold of home health visits (periods of care that do not meet the visit threshold are paid a per-visit payment rate for the discipline providing care). Although payment is made for each 30-day period, the HHPPS permits continuous 60-day certification periods through which beneficiaries are verified as eligible for the home health benefit. The daily home health payment rate is adjusted for case-mix and area wage levels. CMS uses the Patient-Driven Groupings Model (“PDGM”) as the case-mix classification model to place periods of care into payment categories, classifying patients based on clinical characteristics and their resource needs. An outlier adjustment may be paid for periods of care where costs exceed a specific threshold amount.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CMS updates the HHPPS payment rates each calendar year. For calendar year 2026, CMS estimates that Medicare payments to home health agencies will decrease by 1.3%. This is based on a home health payment update percentage of 2.4%, which reflects a 3.2% market basket update, reduced by a productivity adjustment of 0.8 percentage points, among other changes. Home health providers that do not comply with quality data reporting requirements are subject to a 2-percentage point reduction to their market basket update. In addition, Medicare requires home health agencies to submit a one-time Notice of Admission (“NOA”) for each patient that establishes that the beneficiary is under a Medicare home health period of care. Failure to submit the NOA within five calendar days from the start of care will result in a reduction to the 30-day period payment amount for each day from the start of care date until the date the NOA is submitted.</w:t>
      </w:r>
    </w:p>
    <w:p>
      <w:pPr>
        <w:spacing w:after="0" w:line="189" w:lineRule="exact"/>
        <w:rPr>
          <w:sz w:val="20"/>
          <w:szCs w:val="20"/>
          <w:color w:val="auto"/>
        </w:rPr>
      </w:pPr>
    </w:p>
    <w:p>
      <w:pPr>
        <w:ind w:right="240" w:firstLine="450"/>
        <w:spacing w:after="0" w:line="266" w:lineRule="auto"/>
        <w:rPr>
          <w:sz w:val="20"/>
          <w:szCs w:val="20"/>
          <w:color w:val="auto"/>
        </w:rPr>
      </w:pPr>
      <w:r>
        <w:rPr>
          <w:rFonts w:ascii="Times New Roman" w:cs="Times New Roman" w:eastAsia="Times New Roman" w:hAnsi="Times New Roman"/>
          <w:sz w:val="18"/>
          <w:szCs w:val="18"/>
          <w:color w:val="auto"/>
        </w:rPr>
        <w:t>Under the nationwide Home Health Value-Based Purchasing (“HHVBP”) Model, home health agencies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w:t>
      </w:r>
    </w:p>
    <w:p>
      <w:pPr>
        <w:spacing w:after="0" w:line="176" w:lineRule="exact"/>
        <w:rPr>
          <w:sz w:val="20"/>
          <w:szCs w:val="20"/>
          <w:color w:val="auto"/>
        </w:rPr>
      </w:pPr>
    </w:p>
    <w:p>
      <w:pPr>
        <w:ind w:right="100" w:firstLine="450"/>
        <w:spacing w:after="0" w:line="277" w:lineRule="auto"/>
        <w:rPr>
          <w:sz w:val="20"/>
          <w:szCs w:val="20"/>
          <w:color w:val="auto"/>
        </w:rPr>
      </w:pPr>
      <w:r>
        <w:rPr>
          <w:rFonts w:ascii="Times New Roman" w:cs="Times New Roman" w:eastAsia="Times New Roman" w:hAnsi="Times New Roman"/>
          <w:sz w:val="17"/>
          <w:szCs w:val="17"/>
          <w:color w:val="auto"/>
        </w:rPr>
        <w:t>Payment of claims may be impacted by the Review Choice Demonstration for Home Health Services, a program intended to identify and prevent fraud, reduce the number of Medicare appeals and improve provider compliance with Medicare program requirements. The program is currently limited to home health agencies in Illinois, Ohio, Oklahoma, North Carolina, Florida, and Texas. Providers in states subject to the Review Choice Demonstration for Home Health Services may initially select either pre-claim review or post-payment review. Home health agencies that maintain high compliance levels are eligible for additional options that may be less burdensome. This program has not had a material impact on our results of operations or financial position.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CMS Final Rule: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Ensuring Access to Medicaid Services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450"/>
        <w:spacing w:after="0" w:line="254" w:lineRule="auto"/>
        <w:rPr>
          <w:sz w:val="20"/>
          <w:szCs w:val="20"/>
          <w:color w:val="auto"/>
        </w:rPr>
      </w:pPr>
      <w:r>
        <w:rPr>
          <w:rFonts w:ascii="Times New Roman" w:cs="Times New Roman" w:eastAsia="Times New Roman" w:hAnsi="Times New Roman"/>
          <w:sz w:val="18"/>
          <w:szCs w:val="18"/>
          <w:color w:val="auto"/>
        </w:rPr>
        <w:t>In May 2024, CMS finalized a rule intended to improve access to services and quality of care for Medicaid beneficiaries across fee-for-service and managed care delivery systems. The final rule includes significant provisions related to HCBS, including the “80/20” or “payment adequacy” requirement, which will require states to ensure by mid-2030 that at least 80% of all Medicaid payments a provider receives for homemaker, home health aide, and personal care services, less certain excluded costs, under specified programs are spent on total compensation (including benefits) for direct care workers furnishing these services, rather than administrative overhead or profit, subject to limited exceptions. The final rule includes several other measures intended to promote transparency and enhance quality and access to services, including a variety of reporting requirements for states. Given the long implementation period and the likelihood of further changes as a result of litigation, administration and congressional changes, further rule-making and state changes in response to the final rule, it is premature to predict the ultimate impact of the final rule on our business. Some states have adopted or may consider adopting similar caregiver compensation requirements.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Developments</w:t>
      </w:r>
    </w:p>
    <w:p>
      <w:pPr>
        <w:spacing w:after="0" w:line="22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Home care and other healthcare providers may be significantly impacted by changes to the Medicaid program, including changes resulting from legislation and administrative actions at the federal and state levels. Federal actions may impact funding for, or the structure of, the Medicaid program, including through changes to Medicaid waiver programs, and may shape provider reimbursement rates, eligibility and coverage policies, waiver programs and other aspects of state Medicaid programs at the state level. For example, the budget reconciliation legislation enacted on July 4, 2025, commonly known as the “One Big Beautiful Bill Act” (“OBBBA”), includes provisions that have resulted in and are expected to continue to result in Medicaid spending reductions and changes in the structure and administration of state Medicaid programs. Among other changes, the law requires changes to Medicaid financing mechanisms, including restrictions intended to reduce the federal matching funds received by state Medicaid programs, with greater restrictions in states that have expanded Medicaid. In addition, some members of Congress and the executive branch have raised, and Congress in the future may adopt, other proposals intended to reduce Medicaid expenditures such as restructuring the Medicaid program to give states a “block grant” or fixed amount of overall funding for their respective Medicaid programs or to impose spending caps such as per Medicaid beneficiary limits on federal contributions. Reductions in federal funding or changes to the federal funding formula for Medicaid under the OBBBA or future initiatives could have a significant impact, particularly in states that expanded Medicaid under the Patient Protection and Affordable Care Act, as amended by the Health Care and Education Reconciliation Act of 2010 (collectively, the “ACA”), and especially if federal contributions for Medicaid expansion populations decrease and states are unable to offset the reductions. Decreased federal funding and increased state obligations and administrative burden could strain state budgets, which could result in state limitations on Medicaid eligibility or coverage, payment rate reductions, and changes to Medicaid waiver programs, among other effects.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addition, the President has issued executive orders that impact or may impact the healthcare industry. Further, some members of Congress and the presidential administration have raised potential measures intended to accelerate the shift from traditional Medicare to Medicare Advantage or eliminate some or all of the consumer protections established by the ACA.</w:t>
      </w:r>
    </w:p>
    <w:p>
      <w:pPr>
        <w:spacing w:after="0" w:line="17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CMS has increased program integrity efforts within the Medicare and Medicaid programs, including by withholding or deferring federal Medicaid funding in states (currently, California and Minnesota) that federal administrators determine do not have sufficient anti-fraud systems, which may delay or otherwise affect the reimbursement providers in affected states receive. In May 2026, CMS issued a six-month nationwide moratorium on new Medicare enrollments for hospices and home health agencies, temporarily restricting all new applications and branch expansions. The rule also effectively limits transactional activity requiring a new application under the existing 36-month rule, which requires a home health or hospice to submit an initial Medicare application if it experiences a change in majority ownership within 36 months after its initial enrollment or most recent change in majority ownership. The moratorium may also indirectly affect Medicaid enrollment in states requiring Medicare certification for Medicaid enrollment. In addition, some states have imposed similar temporary Medicaid moratoria for specific provider types, including home health, hospice, and personal care providers.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Statements of Income</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Net Service Revenues</w:t>
      </w:r>
    </w:p>
    <w:p>
      <w:pPr>
        <w:spacing w:after="0" w:line="227"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private consumers and payors, including federal, state, and local governmental agencies, managed care organizations, and commercial insurers.</w:t>
      </w:r>
    </w:p>
    <w:p>
      <w:pPr>
        <w:spacing w:after="0" w:line="176"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227" w:lineRule="exact"/>
        <w:rPr>
          <w:sz w:val="20"/>
          <w:szCs w:val="20"/>
          <w:color w:val="auto"/>
        </w:rPr>
      </w:pPr>
    </w:p>
    <w:p>
      <w:pPr>
        <w:ind w:right="500" w:firstLine="450"/>
        <w:spacing w:after="0" w:line="266" w:lineRule="auto"/>
        <w:rPr>
          <w:sz w:val="20"/>
          <w:szCs w:val="20"/>
          <w:color w:val="auto"/>
        </w:rPr>
      </w:pPr>
      <w:r>
        <w:rPr>
          <w:rFonts w:ascii="Times New Roman" w:cs="Times New Roman" w:eastAsia="Times New Roman" w:hAnsi="Times New Roman"/>
          <w:sz w:val="18"/>
          <w:szCs w:val="18"/>
          <w:color w:val="auto"/>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240" w:firstLine="450"/>
        <w:spacing w:after="0" w:line="254" w:lineRule="auto"/>
        <w:rPr>
          <w:sz w:val="20"/>
          <w:szCs w:val="20"/>
          <w:color w:val="auto"/>
        </w:rPr>
      </w:pPr>
      <w:r>
        <w:rPr>
          <w:rFonts w:ascii="Times New Roman" w:cs="Times New Roman" w:eastAsia="Times New Roman" w:hAnsi="Times New Roman"/>
          <w:sz w:val="18"/>
          <w:szCs w:val="18"/>
          <w:color w:val="auto"/>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22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expense is reported when incurred and principally consists of interest and unused credit line fees on the credit facility.</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states in which we operate. The effective income tax rates were 26.9% and 24.7% for the three months ended September 30, 2026 and 2025, respectively. The effective income tax rates were 25.7% and 24.3% for the nine months ended September 30, 2026 and 2025, respectively, compared to our federal statutory rate of 21%. The difference between our federal statutory and effective income tax rates was principally due to the inclusion of state taxes and non-deductible compensation, partially offset by the use of federal employment tax credits and excess tax benefit.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Consolidated</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 Compared to Three Months Ended September 30, 2025</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unaudited condensed consolidated results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gridSpan w:val="11"/>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180" w:type="dxa"/>
            <w:vAlign w:val="bottom"/>
          </w:tcPr>
          <w:p>
            <w:pPr>
              <w:spacing w:after="0"/>
              <w:rPr>
                <w:sz w:val="20"/>
                <w:szCs w:val="20"/>
                <w:color w:val="auto"/>
              </w:rPr>
            </w:pPr>
          </w:p>
        </w:tc>
        <w:tc>
          <w:tcPr>
            <w:tcW w:w="1480" w:type="dxa"/>
            <w:vAlign w:val="bottom"/>
            <w:gridSpan w:val="3"/>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Net Service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Net Service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40" w:type="dxa"/>
            <w:vAlign w:val="bottom"/>
            <w:tcBorders>
              <w:bottom w:val="single" w:sz="8" w:color="auto"/>
            </w:tcBorders>
            <w:gridSpan w:val="1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Percentages)</w:t>
            </w: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387,733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362,301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25,432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263,335</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245,586</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17,749</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124,398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116,715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7,683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80,442</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79,370</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1,072</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84,580</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83,778</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39,818</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32,937</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(1,905)</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39,140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30,354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10,546</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7,506</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28,594</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22,848</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5,746</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Net service revenues increased by 7.0% to $387.7 million for the three months ended September 30, 2026 compared to $362.3 million for the three months ended September 30, 2025. Revenue increased by $25.2 million in our personal care segment, increased by $0.1 million in our hospice segment and increased by $0.1 million in our home health segment during the three months ended September 30, 2026, compared to the same period in 2025. The increase in our personal care segment was primarily attributable to organic growth in billable hours combined with the HomeCourt Acquisition, the Gold Horses Acquisition and the Helping Hands Acquisition. Net service revenues in our hospice and home health segments remained relatively consistent with the prior year period.</w:t>
      </w:r>
    </w:p>
    <w:p>
      <w:pPr>
        <w:spacing w:after="0" w:line="187" w:lineRule="exact"/>
        <w:rPr>
          <w:sz w:val="20"/>
          <w:szCs w:val="20"/>
          <w:color w:val="auto"/>
        </w:rPr>
      </w:pPr>
    </w:p>
    <w:p>
      <w:pPr>
        <w:ind w:right="180" w:firstLine="450"/>
        <w:spacing w:after="0" w:line="282"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was 32.1% for the three months ended September 30, 2026, compared to 32.2% for the same period in 2025.</w:t>
      </w:r>
    </w:p>
    <w:p>
      <w:pPr>
        <w:spacing w:after="0" w:line="162"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to $80.4 million for the three months ended September 30, 2026, compared to $79.4 million for the three months ended September 30, 2025. The increase in general and administrative expenses reflected a $2.4 million increase in administrative employee wage, bonus, tax and benefit costs associated in part with the HomeCourt Acquisition, the Gold Horses Acquisition and the Helping Hands Acquisition, as well as a $1.9 million increase in acquisition expenses. These increases were partially offset by a $1.7 million decrease in professional fees, a $1.3 million decrease in stock-based compensation and other decreases in general and administrative expenses. General and administrative expenses, expressed as a percentage of net service revenues, were 20.7% for the three months ended September 30, 2026, compared to 21.9% for the three months ended September 30, 2025.</w:t>
      </w:r>
    </w:p>
    <w:p>
      <w:pPr>
        <w:spacing w:after="0" w:line="189"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Interest expense decreased to $1.3 million for the three months ended September 30, 2026 from $3.3 million for the three months ended September 30, 2025. The decrease in interest expense was primarily due to lower average outstanding borrowings and a lower weighted average interest rate under our credit facility for the three months ended September 30, 2026, compared to the three months ended September 30, 2025.</w:t>
      </w:r>
    </w:p>
    <w:p>
      <w:pPr>
        <w:spacing w:after="0" w:line="176" w:lineRule="exact"/>
        <w:rPr>
          <w:sz w:val="20"/>
          <w:szCs w:val="20"/>
          <w:color w:val="auto"/>
        </w:rPr>
      </w:pPr>
    </w:p>
    <w:p>
      <w:pPr>
        <w:ind w:right="280" w:firstLine="450"/>
        <w:spacing w:after="0" w:line="261"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states in which we operate. The effective income tax rate was 26.9% and 24.7% for the three months ended September 30, 2026 and 2025, respectively. Our higher effective income tax rate for the three months</w:t>
      </w:r>
    </w:p>
    <w:p>
      <w:pPr>
        <w:ind w:right="260"/>
        <w:spacing w:after="0" w:line="260" w:lineRule="auto"/>
        <w:rPr>
          <w:sz w:val="20"/>
          <w:szCs w:val="20"/>
          <w:color w:val="auto"/>
        </w:rPr>
      </w:pPr>
      <w:r>
        <w:rPr>
          <w:rFonts w:ascii="Times New Roman" w:cs="Times New Roman" w:eastAsia="Times New Roman" w:hAnsi="Times New Roman"/>
          <w:sz w:val="18"/>
          <w:szCs w:val="18"/>
          <w:color w:val="auto"/>
        </w:rPr>
        <w:t>ended September 30, 2026 was principally due to a lower excess tax benefit with a lower benefit from the use of federal employment tax credits. For the three months ended September 30, 2026 and 2025, the excess tax benefit and federal employment tax credits were 0.7% and 6.5%,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Compared to Nine Months Ended September 30, 2025</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unaudited condensed consolidated results of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gridSpan w:val="11"/>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Net Service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Net Service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tcBorders>
              <w:bottom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tcBorders>
              <w:bottom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40" w:type="dxa"/>
            <w:vAlign w:val="bottom"/>
            <w:tcBorders>
              <w:bottom w:val="single" w:sz="8" w:color="auto"/>
            </w:tcBorders>
            <w:gridSpan w:val="1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Percentages)</w:t>
            </w: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1,128,761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1,049,452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79,309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766,930</w:t>
            </w:r>
          </w:p>
        </w:tc>
        <w:tc>
          <w:tcPr>
            <w:tcW w:w="80" w:type="dxa"/>
            <w:vAlign w:val="bottom"/>
          </w:tcPr>
          <w:p>
            <w:pPr>
              <w:spacing w:after="0"/>
              <w:rPr>
                <w:sz w:val="19"/>
                <w:szCs w:val="19"/>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711,183</w:t>
            </w:r>
          </w:p>
        </w:tc>
        <w:tc>
          <w:tcPr>
            <w:tcW w:w="80" w:type="dxa"/>
            <w:vAlign w:val="bottom"/>
          </w:tcPr>
          <w:p>
            <w:pPr>
              <w:spacing w:after="0"/>
              <w:rPr>
                <w:sz w:val="19"/>
                <w:szCs w:val="19"/>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55,747</w:t>
            </w:r>
          </w:p>
        </w:tc>
        <w:tc>
          <w:tcPr>
            <w:tcW w:w="320" w:type="dxa"/>
            <w:vAlign w:val="bottom"/>
          </w:tcPr>
          <w:p>
            <w:pPr>
              <w:spacing w:after="0"/>
              <w:rPr>
                <w:sz w:val="19"/>
                <w:szCs w:val="19"/>
                <w:color w:val="auto"/>
              </w:rPr>
            </w:pP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361,831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338,269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236,706</w:t>
            </w:r>
          </w:p>
        </w:tc>
        <w:tc>
          <w:tcPr>
            <w:tcW w:w="8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229,667</w:t>
            </w:r>
          </w:p>
        </w:tc>
        <w:tc>
          <w:tcPr>
            <w:tcW w:w="8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7,039</w:t>
            </w:r>
          </w:p>
        </w:tc>
        <w:tc>
          <w:tcPr>
            <w:tcW w:w="32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12,293</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12,264</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248,999</w:t>
            </w:r>
          </w:p>
        </w:tc>
        <w:tc>
          <w:tcPr>
            <w:tcW w:w="2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241,931</w:t>
            </w:r>
          </w:p>
        </w:tc>
        <w:tc>
          <w:tcPr>
            <w:tcW w:w="2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112,832</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96,338</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(5,747)</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w:t>
            </w:r>
          </w:p>
        </w:tc>
        <w:tc>
          <w:tcPr>
            <w:tcW w:w="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2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109,355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87,297</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22,058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28,085</w:t>
            </w:r>
          </w:p>
        </w:tc>
        <w:tc>
          <w:tcPr>
            <w:tcW w:w="80" w:type="dxa"/>
            <w:vAlign w:val="bottom"/>
          </w:tcPr>
          <w:p>
            <w:pPr>
              <w:spacing w:after="0"/>
              <w:rPr>
                <w:sz w:val="19"/>
                <w:szCs w:val="19"/>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21,169</w:t>
            </w:r>
          </w:p>
        </w:tc>
        <w:tc>
          <w:tcPr>
            <w:tcW w:w="80" w:type="dxa"/>
            <w:vAlign w:val="bottom"/>
          </w:tcPr>
          <w:p>
            <w:pPr>
              <w:spacing w:after="0"/>
              <w:rPr>
                <w:sz w:val="19"/>
                <w:szCs w:val="19"/>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6,916</w:t>
            </w:r>
          </w:p>
        </w:tc>
        <w:tc>
          <w:tcPr>
            <w:tcW w:w="320" w:type="dxa"/>
            <w:vAlign w:val="bottom"/>
          </w:tcPr>
          <w:p>
            <w:pPr>
              <w:spacing w:after="0"/>
              <w:rPr>
                <w:sz w:val="19"/>
                <w:szCs w:val="19"/>
                <w:color w:val="auto"/>
              </w:rPr>
            </w:pP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color w:val="auto"/>
        </w:rPr>
        <w:t>Net service revenues increased by 7.6% to $1,128.8 million for the nine months ended September 30, 2026 compared to $1,049.5 million for the nine months ended September 30, 2025. Revenue increased by $74.9 million in our personal care segment, increased by $6.5 million in our hospice segment and decreased by $2.1 million in our home health segment during the nine months ended September 30, 2026, compared to the same period in 2025. The increase in our personal care segment was primarily attributable to organic growth in billable hours combined with the HomeCourt Acquisition, the Gold Horses Acquisition and the Helping Hands Acquisition. The increase in our hospice segment revenue was due to organic growth. The decrease in our home health segment was primarily attributed to lower patient visits.</w:t>
      </w:r>
    </w:p>
    <w:p>
      <w:pPr>
        <w:spacing w:after="0" w:line="187" w:lineRule="exact"/>
        <w:rPr>
          <w:sz w:val="20"/>
          <w:szCs w:val="20"/>
          <w:color w:val="auto"/>
        </w:rPr>
      </w:pPr>
    </w:p>
    <w:p>
      <w:pPr>
        <w:ind w:right="240" w:firstLine="450"/>
        <w:spacing w:after="0" w:line="282"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was 32.1% for the nine months ended September 30, 2026, compared to 32.2% for the same period in 2025.</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General and administrative expenses increased to $236.7 million for the nine months ended September 30, 2026, compared to $229.7 million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2025. The increase in general and administrative expenses reflected a $9.8 million increase in administrative 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wage, bonus, tax and benefit costs associated in part with the HomeCourt Acquisition, the Gold Horses Acquisition and the Helping Hands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partially offset by a $3.6 million decrease in professional fees. General and administrative expenses, expressed as a percentage of net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21.0% for the nine months ended September 30, 2026, compared to 21.9% for the nine months ended September 30, 2025.</w:t>
      </w:r>
    </w:p>
    <w:p>
      <w:pPr>
        <w:spacing w:after="0" w:line="207"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Interest expense decreased to $5.1 million for the nine months ended September 30, 2026 from $10.9 million for the nine months ended September 30, 2025. The decrease in interest expense was primarily due to lower average outstanding borrowings and a lower weighted average interest rate under our credit facility for the nine months ended September 30, 2026, compared to the nine months ended September 30, 2025.</w:t>
      </w:r>
    </w:p>
    <w:p>
      <w:pPr>
        <w:spacing w:after="0" w:line="176" w:lineRule="exact"/>
        <w:rPr>
          <w:sz w:val="20"/>
          <w:szCs w:val="20"/>
          <w:color w:val="auto"/>
        </w:rPr>
      </w:pPr>
    </w:p>
    <w:p>
      <w:pPr>
        <w:ind w:right="280" w:firstLine="450"/>
        <w:spacing w:after="0" w:line="261"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states in which we operate. The effective income tax rate was 25.7% and 24.3% for the nine months ended September 30, 2026 and 2025, respectively. Our higher effective income tax rate for the nine months</w:t>
      </w:r>
    </w:p>
    <w:p>
      <w:pPr>
        <w:ind w:right="220"/>
        <w:spacing w:after="0" w:line="260" w:lineRule="auto"/>
        <w:rPr>
          <w:sz w:val="20"/>
          <w:szCs w:val="20"/>
          <w:color w:val="auto"/>
        </w:rPr>
      </w:pPr>
      <w:r>
        <w:rPr>
          <w:rFonts w:ascii="Times New Roman" w:cs="Times New Roman" w:eastAsia="Times New Roman" w:hAnsi="Times New Roman"/>
          <w:sz w:val="18"/>
          <w:szCs w:val="18"/>
          <w:color w:val="auto"/>
        </w:rPr>
        <w:t>ended September 30, 2026, was principally due to a lower excess tax benefit with a lower benefit from the use of federal employment tax credits. For the nine months ended September 30, 2026 and 2025, the excess tax benefit and federal employment tax credits were 2.3% and 5.4%,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Segments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and related analysis summarize our operating results and business metrics by segment:</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Personal Care Segment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1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1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469"/>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46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469"/>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46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Borders>
              <w:bottom w:val="single" w:sz="8" w:color="auto"/>
            </w:tcBorders>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Borders>
              <w:bottom w:val="single" w:sz="8" w:color="auto"/>
            </w:tcBorders>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Borders>
              <w:bottom w:val="single" w:sz="8" w:color="auto"/>
            </w:tcBorders>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Borders>
              <w:bottom w:val="single" w:sz="8" w:color="auto"/>
            </w:tcBorders>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360" w:type="dxa"/>
            <w:vAlign w:val="bottom"/>
            <w:gridSpan w:val="14"/>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380" w:type="dxa"/>
            <w:vAlign w:val="bottom"/>
            <w:gridSpan w:val="14"/>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Results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service revenues</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301,008</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275,770</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25,238</w:t>
            </w:r>
          </w:p>
        </w:tc>
        <w:tc>
          <w:tcPr>
            <w:tcW w:w="1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878,097</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803,238</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74,859</w:t>
            </w:r>
          </w:p>
        </w:tc>
        <w:tc>
          <w:tcPr>
            <w:tcW w:w="1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services revenues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215,813</w:t>
            </w:r>
          </w:p>
        </w:tc>
        <w:tc>
          <w:tcPr>
            <w:tcW w:w="8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200,108</w:t>
            </w:r>
          </w:p>
        </w:tc>
        <w:tc>
          <w:tcPr>
            <w:tcW w:w="8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15,705</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629,438</w:t>
            </w:r>
          </w:p>
        </w:tc>
        <w:tc>
          <w:tcPr>
            <w:tcW w:w="8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580,452</w:t>
            </w:r>
          </w:p>
        </w:tc>
        <w:tc>
          <w:tcPr>
            <w:tcW w:w="8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48,986</w:t>
            </w:r>
          </w:p>
        </w:tc>
        <w:tc>
          <w:tcPr>
            <w:tcW w:w="1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42"/>
        </w:trPr>
        <w:tc>
          <w:tcPr>
            <w:tcW w:w="17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85,195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75,662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9,533</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248,659</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222,786</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25,873</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General and administrative</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25,231</w:t>
            </w:r>
          </w:p>
        </w:tc>
        <w:tc>
          <w:tcPr>
            <w:tcW w:w="800" w:type="dxa"/>
            <w:vAlign w:val="bottom"/>
            <w:gridSpan w:val="3"/>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8.4</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24,572</w:t>
            </w:r>
          </w:p>
        </w:tc>
        <w:tc>
          <w:tcPr>
            <w:tcW w:w="800" w:type="dxa"/>
            <w:vAlign w:val="bottom"/>
            <w:gridSpan w:val="3"/>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8.9</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659</w:t>
            </w:r>
          </w:p>
        </w:tc>
        <w:tc>
          <w:tcPr>
            <w:tcW w:w="1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75,449</w:t>
            </w:r>
          </w:p>
        </w:tc>
        <w:tc>
          <w:tcPr>
            <w:tcW w:w="800" w:type="dxa"/>
            <w:vAlign w:val="bottom"/>
            <w:gridSpan w:val="3"/>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8.6</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72,466</w:t>
            </w:r>
          </w:p>
        </w:tc>
        <w:tc>
          <w:tcPr>
            <w:tcW w:w="800" w:type="dxa"/>
            <w:vAlign w:val="bottom"/>
            <w:gridSpan w:val="3"/>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9.0</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2,983</w:t>
            </w:r>
          </w:p>
        </w:tc>
        <w:tc>
          <w:tcPr>
            <w:tcW w:w="1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1"/>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72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Segment operating income</w:t>
            </w:r>
          </w:p>
        </w:tc>
        <w:tc>
          <w:tcPr>
            <w:tcW w:w="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59,964</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19.9</w:t>
            </w:r>
          </w:p>
        </w:tc>
        <w:tc>
          <w:tcPr>
            <w:tcW w:w="18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51,090</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18.5</w:t>
            </w:r>
          </w:p>
        </w:tc>
        <w:tc>
          <w:tcPr>
            <w:tcW w:w="18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8,874</w:t>
            </w:r>
          </w:p>
        </w:tc>
        <w:tc>
          <w:tcPr>
            <w:tcW w:w="2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17.4</w:t>
            </w:r>
          </w:p>
        </w:tc>
        <w:tc>
          <w:tcPr>
            <w:tcW w:w="18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173,210</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19.7</w:t>
            </w:r>
          </w:p>
        </w:tc>
        <w:tc>
          <w:tcPr>
            <w:tcW w:w="18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150,320</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18.7</w:t>
            </w:r>
          </w:p>
        </w:tc>
        <w:tc>
          <w:tcPr>
            <w:tcW w:w="18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22,890</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15.2</w:t>
            </w:r>
          </w:p>
        </w:tc>
        <w:tc>
          <w:tcPr>
            <w:tcW w:w="12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77"/>
        </w:trPr>
        <w:tc>
          <w:tcPr>
            <w:tcW w:w="1720" w:type="dxa"/>
            <w:vAlign w:val="bottom"/>
            <w:shd w:val="clear" w:color="auto" w:fill="CCEEFF"/>
          </w:tcPr>
          <w:p>
            <w:pPr>
              <w:spacing w:after="0" w:line="78" w:lineRule="exact"/>
              <w:rPr>
                <w:sz w:val="20"/>
                <w:szCs w:val="20"/>
                <w:color w:val="auto"/>
              </w:rPr>
            </w:pPr>
            <w:r>
              <w:rPr>
                <w:rFonts w:ascii="Times New Roman" w:cs="Times New Roman" w:eastAsia="Times New Roman" w:hAnsi="Times New Roman"/>
                <w:sz w:val="8"/>
                <w:szCs w:val="8"/>
                <w:b w:val="1"/>
                <w:bCs w:val="1"/>
                <w:color w:val="auto"/>
              </w:rPr>
              <w:t>Business Metrics (Actual</w:t>
            </w: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Numbers, Except Billable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Hours in Thousands)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Locations at period end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Average billable census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50,948</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50,480</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468</w:t>
            </w:r>
          </w:p>
        </w:tc>
        <w:tc>
          <w:tcPr>
            <w:tcW w:w="1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50,864</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50,708</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156</w:t>
            </w:r>
          </w:p>
        </w:tc>
        <w:tc>
          <w:tcPr>
            <w:tcW w:w="1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Billable hours * (2)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11,286</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10,855</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160" w:type="dxa"/>
            <w:vAlign w:val="bottom"/>
          </w:tcPr>
          <w:p>
            <w:pPr>
              <w:spacing w:after="0"/>
              <w:rPr>
                <w:sz w:val="12"/>
                <w:szCs w:val="12"/>
                <w:color w:val="auto"/>
              </w:rPr>
            </w:pPr>
          </w:p>
        </w:tc>
        <w:tc>
          <w:tcPr>
            <w:tcW w:w="5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33,164</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31,615</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1,549</w:t>
            </w:r>
          </w:p>
        </w:tc>
        <w:tc>
          <w:tcPr>
            <w:tcW w:w="180" w:type="dxa"/>
            <w:vAlign w:val="bottom"/>
          </w:tcPr>
          <w:p>
            <w:pPr>
              <w:spacing w:after="0"/>
              <w:rPr>
                <w:sz w:val="12"/>
                <w:szCs w:val="12"/>
                <w:color w:val="auto"/>
              </w:rPr>
            </w:pPr>
          </w:p>
        </w:tc>
        <w:tc>
          <w:tcPr>
            <w:tcW w:w="5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26"/>
        </w:trPr>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Average billable hours per</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73.8</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72.0</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72.7</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70.2</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1"/>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census per month * (2)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Billable hours per business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171,004</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164,474</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6,530</w:t>
            </w:r>
          </w:p>
        </w:tc>
        <w:tc>
          <w:tcPr>
            <w:tcW w:w="160" w:type="dxa"/>
            <w:vAlign w:val="bottom"/>
          </w:tcPr>
          <w:p>
            <w:pPr>
              <w:spacing w:after="0"/>
              <w:rPr>
                <w:sz w:val="10"/>
                <w:szCs w:val="10"/>
                <w:color w:val="auto"/>
              </w:rPr>
            </w:pPr>
          </w:p>
        </w:tc>
        <w:tc>
          <w:tcPr>
            <w:tcW w:w="56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170,074</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162,128</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7,946</w:t>
            </w:r>
          </w:p>
        </w:tc>
        <w:tc>
          <w:tcPr>
            <w:tcW w:w="180" w:type="dxa"/>
            <w:vAlign w:val="bottom"/>
          </w:tcPr>
          <w:p>
            <w:pPr>
              <w:spacing w:after="0"/>
              <w:rPr>
                <w:sz w:val="10"/>
                <w:szCs w:val="10"/>
                <w:color w:val="auto"/>
              </w:rPr>
            </w:pPr>
          </w:p>
        </w:tc>
        <w:tc>
          <w:tcPr>
            <w:tcW w:w="5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day * (2)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Revenues per billable hour *</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26.67</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25.40</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1.27</w:t>
            </w:r>
          </w:p>
        </w:tc>
        <w:tc>
          <w:tcPr>
            <w:tcW w:w="1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26.47</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25.40</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1.07</w:t>
            </w:r>
          </w:p>
        </w:tc>
        <w:tc>
          <w:tcPr>
            <w:tcW w:w="1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1"/>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Same store growth revenue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6.9%</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tcPr>
          <w:p>
            <w:pPr>
              <w:spacing w:after="0"/>
              <w:rPr>
                <w:sz w:val="10"/>
                <w:szCs w:val="10"/>
                <w:color w:val="auto"/>
              </w:rPr>
            </w:pPr>
          </w:p>
        </w:tc>
        <w:tc>
          <w:tcPr>
            <w:tcW w:w="56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6.7%</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7.1%</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(0.4)</w:t>
            </w:r>
          </w:p>
        </w:tc>
        <w:tc>
          <w:tcPr>
            <w:tcW w:w="180" w:type="dxa"/>
            <w:vAlign w:val="bottom"/>
          </w:tcPr>
          <w:p>
            <w:pPr>
              <w:spacing w:after="0"/>
              <w:rPr>
                <w:sz w:val="10"/>
                <w:szCs w:val="10"/>
                <w:color w:val="auto"/>
              </w:rPr>
            </w:pPr>
          </w:p>
        </w:tc>
        <w:tc>
          <w:tcPr>
            <w:tcW w:w="5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 * (3)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660" w:right="1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billable census is the number of unique clients receiving a billable service during the period and is the total census divided by months in operation during the period.</w:t>
      </w:r>
    </w:p>
    <w:p>
      <w:pPr>
        <w:spacing w:after="0" w:line="161" w:lineRule="exact"/>
        <w:rPr>
          <w:rFonts w:ascii="Times New Roman" w:cs="Times New Roman" w:eastAsia="Times New Roman" w:hAnsi="Times New Roman"/>
          <w:sz w:val="18"/>
          <w:szCs w:val="18"/>
          <w:color w:val="auto"/>
        </w:rPr>
      </w:pPr>
    </w:p>
    <w:p>
      <w:pPr>
        <w:ind w:left="660" w:right="22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hours, divided by billable hours.</w:t>
      </w:r>
    </w:p>
    <w:p>
      <w:pPr>
        <w:spacing w:after="0" w:line="175" w:lineRule="exact"/>
        <w:rPr>
          <w:rFonts w:ascii="Times New Roman" w:cs="Times New Roman" w:eastAsia="Times New Roman" w:hAnsi="Times New Roman"/>
          <w:sz w:val="18"/>
          <w:szCs w:val="18"/>
          <w:color w:val="auto"/>
        </w:rPr>
      </w:pPr>
    </w:p>
    <w:p>
      <w:pPr>
        <w:ind w:left="660" w:right="18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store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 and ARPA associated revenue from this calculation.</w:t>
      </w:r>
    </w:p>
    <w:p>
      <w:pPr>
        <w:spacing w:after="0" w:line="176" w:lineRule="exact"/>
        <w:rPr>
          <w:sz w:val="20"/>
          <w:szCs w:val="20"/>
          <w:color w:val="auto"/>
        </w:rPr>
      </w:pPr>
    </w:p>
    <w:p>
      <w:pPr>
        <w:ind w:right="40" w:firstLine="8"/>
        <w:spacing w:after="0" w:line="254" w:lineRule="auto"/>
        <w:tabs>
          <w:tab w:leader="none" w:pos="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metrics provides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450"/>
        <w:spacing w:after="0" w:line="257" w:lineRule="auto"/>
        <w:rPr>
          <w:sz w:val="20"/>
          <w:szCs w:val="20"/>
          <w:color w:val="auto"/>
        </w:rPr>
      </w:pPr>
      <w:r>
        <w:rPr>
          <w:rFonts w:ascii="Times New Roman" w:cs="Times New Roman" w:eastAsia="Times New Roman" w:hAnsi="Times New Roman"/>
          <w:sz w:val="18"/>
          <w:szCs w:val="18"/>
          <w:color w:val="auto"/>
        </w:rPr>
        <w:t>The personal care segment derives a significant amount of its net service revenues from operations in Illinois, which represented 31.2% and 32.0% of our net service revenues for the three months ended September 30, 2026 and 2025, respectively, and accounted for 31.8% and 32.6% of our net service revenues for the nine months ended September 30, 2026 and 2025, respectively. One payor, the Illinois Department on Aging, accounted for 17.4% and</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18.1% of net service revenues for the three months ended September 30, 2026 and 2025, respectively, and accounted for 17.6% and 18.4% of net service revenues for the nine months ended September 30, 2026 and 2025, respectively.</w:t>
      </w:r>
    </w:p>
    <w:p>
      <w:pPr>
        <w:spacing w:after="0" w:line="181"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Net service revenues from state, local, and other governmental programs accounted for 50.2% and 50.5% of net service revenues for the three months ended September 30, 2026 and 2025, respectively. Managed care organizations accounted for 47.3% and 46.2% of net service revenues for the three months ended September 30, 2026 and 2025, respectively, with commercial insurance, private pay, and other payors accounting for the remainder of net service revenues. Net service revenues from state, local, and other governmental programs accounted for 50.1% and 51.1% of net service revenues for the nine months ended September 30, 2026 and 2025, respectively. Managed care organizations accounted for 47.3% and 45.6% of net service revenues for the nine months ended September 30, 2026 and 2025, respectively, with commercial insurance, private pay, and other payors accounting for the remainder of net service revenues.</w:t>
      </w:r>
    </w:p>
    <w:p>
      <w:pPr>
        <w:spacing w:after="0" w:line="189" w:lineRule="exact"/>
        <w:rPr>
          <w:sz w:val="20"/>
          <w:szCs w:val="20"/>
          <w:color w:val="auto"/>
        </w:rPr>
      </w:pPr>
    </w:p>
    <w:p>
      <w:pPr>
        <w:ind w:right="200" w:firstLine="450"/>
        <w:spacing w:after="0" w:line="266" w:lineRule="auto"/>
        <w:rPr>
          <w:sz w:val="20"/>
          <w:szCs w:val="20"/>
          <w:color w:val="auto"/>
        </w:rPr>
      </w:pPr>
      <w:r>
        <w:rPr>
          <w:rFonts w:ascii="Times New Roman" w:cs="Times New Roman" w:eastAsia="Times New Roman" w:hAnsi="Times New Roman"/>
          <w:sz w:val="18"/>
          <w:szCs w:val="18"/>
          <w:color w:val="auto"/>
        </w:rPr>
        <w:t>Net service revenues increased by 9.2% and 9.3% for the three and nine months ended September 30, 2026 respectively, compared to the three and nine months ended September 30, 2025. Net service revenues reflected a 4.0% and 4.9% increase in billable hours and a 5.0% and 4.2% increase in revenues per billable hour for the three and nine months ended September 30, 2026, respectively.</w:t>
      </w:r>
    </w:p>
    <w:p>
      <w:pPr>
        <w:spacing w:after="0" w:line="176" w:lineRule="exact"/>
        <w:rPr>
          <w:sz w:val="20"/>
          <w:szCs w:val="20"/>
          <w:color w:val="auto"/>
        </w:rPr>
      </w:pPr>
    </w:p>
    <w:p>
      <w:pPr>
        <w:jc w:val="both"/>
        <w:ind w:right="100" w:firstLine="450"/>
        <w:spacing w:after="0" w:line="266"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increased to 28.3% for the three months ended September 30, 2026 from 27.4% for the three months ended September 30, 2025 and increased to 28.3% for the nine months ended September 30, 2026 from 27.7% for the nine months ended September 30, 2025. The increases primarily reflected higher revenues per billable hour.</w:t>
      </w:r>
    </w:p>
    <w:p>
      <w:pPr>
        <w:spacing w:after="0" w:line="176"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The personal care segment’s general and administrative expenses primarily consist of administrative employee wages, taxes, and benefit costs, rent, information technology, and office expenses. General and administrative expenses, expressed as a percentage of net service revenues, were 8.4% and 8.9% for the three months ended September 30, 2026 and 2025, respectively, and 8.6% and 9.0% for the nine months ended September 30, 2026 and 2025,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Hospice Segment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1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right"/>
              <w:ind w:right="469"/>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44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243"/>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223"/>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7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bottom w:val="single" w:sz="8" w:color="auto"/>
            </w:tcBorders>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Amount</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8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Revenues   Amount</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0" w:type="dxa"/>
            <w:vAlign w:val="bottom"/>
            <w:gridSpan w:val="13"/>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60" w:type="dxa"/>
            <w:vAlign w:val="bottom"/>
            <w:gridSpan w:val="1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Results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service revenues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69,022</w:t>
            </w:r>
          </w:p>
        </w:tc>
        <w:tc>
          <w:tcPr>
            <w:tcW w:w="88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68,891</w:t>
            </w:r>
          </w:p>
        </w:tc>
        <w:tc>
          <w:tcPr>
            <w:tcW w:w="8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 $</w:t>
            </w:r>
          </w:p>
        </w:tc>
        <w:tc>
          <w:tcPr>
            <w:tcW w:w="5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60" w:type="dxa"/>
            <w:vAlign w:val="bottom"/>
          </w:tcPr>
          <w:p>
            <w:pPr>
              <w:spacing w:after="0"/>
              <w:rPr>
                <w:sz w:val="12"/>
                <w:szCs w:val="12"/>
                <w:color w:val="auto"/>
              </w:rPr>
            </w:pPr>
          </w:p>
        </w:tc>
        <w:tc>
          <w:tcPr>
            <w:tcW w:w="5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199,054</w:t>
            </w:r>
          </w:p>
        </w:tc>
        <w:tc>
          <w:tcPr>
            <w:tcW w:w="90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 $</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192,540</w:t>
            </w:r>
          </w:p>
        </w:tc>
        <w:tc>
          <w:tcPr>
            <w:tcW w:w="860" w:type="dxa"/>
            <w:vAlign w:val="bottom"/>
            <w:gridSpan w:val="3"/>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100.0% $</w:t>
            </w:r>
          </w:p>
        </w:tc>
        <w:tc>
          <w:tcPr>
            <w:tcW w:w="5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6,514</w:t>
            </w:r>
          </w:p>
        </w:tc>
        <w:tc>
          <w:tcPr>
            <w:tcW w:w="1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services revenues</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37,471</w:t>
            </w:r>
          </w:p>
        </w:tc>
        <w:tc>
          <w:tcPr>
            <w:tcW w:w="88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34,865</w:t>
            </w:r>
          </w:p>
        </w:tc>
        <w:tc>
          <w:tcPr>
            <w:tcW w:w="7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2,606</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108,755</w:t>
            </w:r>
          </w:p>
        </w:tc>
        <w:tc>
          <w:tcPr>
            <w:tcW w:w="82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99,549</w:t>
            </w:r>
          </w:p>
        </w:tc>
        <w:tc>
          <w:tcPr>
            <w:tcW w:w="740" w:type="dxa"/>
            <w:vAlign w:val="bottom"/>
            <w:tcBorders>
              <w:left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9,206</w:t>
            </w: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31,551</w:t>
            </w:r>
          </w:p>
        </w:tc>
        <w:tc>
          <w:tcPr>
            <w:tcW w:w="1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45.7</w:t>
            </w: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34,026</w:t>
            </w:r>
          </w:p>
        </w:tc>
        <w:tc>
          <w:tcPr>
            <w:tcW w:w="1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49.4</w:t>
            </w:r>
          </w:p>
        </w:tc>
        <w:tc>
          <w:tcPr>
            <w:tcW w:w="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(2,475)</w:t>
            </w:r>
          </w:p>
        </w:tc>
        <w:tc>
          <w:tcPr>
            <w:tcW w:w="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90,299</w:t>
            </w:r>
          </w:p>
        </w:tc>
        <w:tc>
          <w:tcPr>
            <w:tcW w:w="1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45.4</w:t>
            </w:r>
          </w:p>
        </w:tc>
        <w:tc>
          <w:tcPr>
            <w:tcW w:w="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92,991</w:t>
            </w:r>
          </w:p>
        </w:tc>
        <w:tc>
          <w:tcPr>
            <w:tcW w:w="160" w:type="dxa"/>
            <w:vAlign w:val="bottom"/>
            <w:vMerge w:val="continue"/>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48.3</w:t>
            </w:r>
          </w:p>
        </w:tc>
        <w:tc>
          <w:tcPr>
            <w:tcW w:w="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(2,692)</w:t>
            </w:r>
          </w:p>
        </w:tc>
        <w:tc>
          <w:tcPr>
            <w:tcW w:w="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26"/>
        </w:trPr>
        <w:tc>
          <w:tcPr>
            <w:tcW w:w="21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16,372</w:t>
            </w:r>
          </w:p>
        </w:tc>
        <w:tc>
          <w:tcPr>
            <w:tcW w:w="880" w:type="dxa"/>
            <w:vAlign w:val="bottom"/>
            <w:gridSpan w:val="3"/>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15,211</w:t>
            </w:r>
          </w:p>
        </w:tc>
        <w:tc>
          <w:tcPr>
            <w:tcW w:w="760" w:type="dxa"/>
            <w:vAlign w:val="bottom"/>
            <w:gridSpan w:val="3"/>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1,161</w:t>
            </w:r>
          </w:p>
        </w:tc>
        <w:tc>
          <w:tcPr>
            <w:tcW w:w="1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7.6</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48,363</w:t>
            </w:r>
          </w:p>
        </w:tc>
        <w:tc>
          <w:tcPr>
            <w:tcW w:w="820" w:type="dxa"/>
            <w:vAlign w:val="bottom"/>
            <w:gridSpan w:val="3"/>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44,737</w:t>
            </w:r>
          </w:p>
        </w:tc>
        <w:tc>
          <w:tcPr>
            <w:tcW w:w="740" w:type="dxa"/>
            <w:vAlign w:val="bottom"/>
            <w:tcBorders>
              <w:left w:val="single" w:sz="8" w:color="CCEEFF"/>
            </w:tcBorders>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3,626</w:t>
            </w:r>
          </w:p>
        </w:tc>
        <w:tc>
          <w:tcPr>
            <w:tcW w:w="1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tcBorders>
              <w:lef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6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Segment operating income</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15,179</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22.0</w:t>
            </w:r>
          </w:p>
        </w:tc>
        <w:tc>
          <w:tcPr>
            <w:tcW w:w="220" w:type="dxa"/>
            <w:vAlign w:val="bottom"/>
            <w:tcBorders>
              <w:bottom w:val="single" w:sz="8" w:color="CCEEFF"/>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18,815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27.3</w:t>
            </w:r>
          </w:p>
        </w:tc>
        <w:tc>
          <w:tcPr>
            <w:tcW w:w="16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(3,636</w:t>
            </w:r>
          </w:p>
        </w:tc>
        <w:tc>
          <w:tcPr>
            <w:tcW w:w="140" w:type="dxa"/>
            <w:vAlign w:val="bottom"/>
            <w:tcBorders>
              <w:bottom w:val="single" w:sz="8" w:color="CCEEFF"/>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(19.3</w:t>
            </w:r>
          </w:p>
        </w:tc>
        <w:tc>
          <w:tcPr>
            <w:tcW w:w="22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41,936</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21.1</w:t>
            </w:r>
          </w:p>
        </w:tc>
        <w:tc>
          <w:tcPr>
            <w:tcW w:w="16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48,254</w:t>
            </w:r>
          </w:p>
        </w:tc>
        <w:tc>
          <w:tcPr>
            <w:tcW w:w="16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25.1</w:t>
            </w:r>
          </w:p>
        </w:tc>
        <w:tc>
          <w:tcPr>
            <w:tcW w:w="16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(6,318</w:t>
            </w:r>
          </w:p>
        </w:tc>
        <w:tc>
          <w:tcPr>
            <w:tcW w:w="140" w:type="dxa"/>
            <w:vAlign w:val="bottom"/>
            <w:tcBorders>
              <w:bottom w:val="single" w:sz="8" w:color="CCEEFF"/>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(13.1</w:t>
            </w:r>
          </w:p>
        </w:tc>
        <w:tc>
          <w:tcPr>
            <w:tcW w:w="18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7"/>
              </w:rPr>
              <w:t>)%</w:t>
            </w:r>
          </w:p>
        </w:tc>
        <w:tc>
          <w:tcPr>
            <w:tcW w:w="0" w:type="dxa"/>
            <w:vAlign w:val="bottom"/>
          </w:tcPr>
          <w:p>
            <w:pPr>
              <w:spacing w:after="0"/>
              <w:rPr>
                <w:sz w:val="1"/>
                <w:szCs w:val="1"/>
                <w:color w:val="auto"/>
              </w:rPr>
            </w:pPr>
          </w:p>
        </w:tc>
      </w:tr>
      <w:tr>
        <w:trPr>
          <w:trHeight w:val="77"/>
        </w:trPr>
        <w:tc>
          <w:tcPr>
            <w:tcW w:w="2160" w:type="dxa"/>
            <w:vAlign w:val="bottom"/>
            <w:shd w:val="clear" w:color="auto" w:fill="CCEEFF"/>
          </w:tcPr>
          <w:p>
            <w:pPr>
              <w:spacing w:after="0" w:line="78" w:lineRule="exact"/>
              <w:rPr>
                <w:sz w:val="20"/>
                <w:szCs w:val="20"/>
                <w:color w:val="auto"/>
              </w:rPr>
            </w:pPr>
            <w:r>
              <w:rPr>
                <w:rFonts w:ascii="Times New Roman" w:cs="Times New Roman" w:eastAsia="Times New Roman" w:hAnsi="Times New Roman"/>
                <w:sz w:val="8"/>
                <w:szCs w:val="8"/>
                <w:b w:val="1"/>
                <w:bCs w:val="1"/>
                <w:color w:val="auto"/>
              </w:rPr>
              <w:t>Business Metrics (Actual</w:t>
            </w: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80" w:type="dxa"/>
            <w:vAlign w:val="bottom"/>
            <w:tcBorders>
              <w:left w:val="single" w:sz="8" w:color="CCEEFF"/>
            </w:tcBorders>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Numbers)</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Locations at period end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Admissions * (1)</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3,344</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3,326</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10,008</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10,060</w:t>
            </w:r>
          </w:p>
        </w:tc>
        <w:tc>
          <w:tcPr>
            <w:tcW w:w="58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Average daily census * (2)</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4,037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3,889</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60" w:type="dxa"/>
            <w:vAlign w:val="bottom"/>
          </w:tcPr>
          <w:p>
            <w:pPr>
              <w:spacing w:after="0"/>
              <w:rPr>
                <w:sz w:val="12"/>
                <w:szCs w:val="12"/>
                <w:color w:val="auto"/>
              </w:rPr>
            </w:pPr>
          </w:p>
        </w:tc>
        <w:tc>
          <w:tcPr>
            <w:tcW w:w="5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3,947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3,720</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160" w:type="dxa"/>
            <w:vAlign w:val="bottom"/>
          </w:tcPr>
          <w:p>
            <w:pPr>
              <w:spacing w:after="0"/>
              <w:rPr>
                <w:sz w:val="12"/>
                <w:szCs w:val="12"/>
                <w:color w:val="auto"/>
              </w:rPr>
            </w:pPr>
          </w:p>
        </w:tc>
        <w:tc>
          <w:tcPr>
            <w:tcW w:w="52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26"/>
        </w:trPr>
        <w:tc>
          <w:tcPr>
            <w:tcW w:w="21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Average discharge length of stay *</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108.8</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89.6</w:t>
            </w: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19.3</w:t>
            </w:r>
          </w:p>
        </w:tc>
        <w:tc>
          <w:tcPr>
            <w:tcW w:w="1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106.6</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92.6</w:t>
            </w:r>
          </w:p>
        </w:tc>
        <w:tc>
          <w:tcPr>
            <w:tcW w:w="580" w:type="dxa"/>
            <w:vAlign w:val="bottom"/>
            <w:tcBorders>
              <w:lef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1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58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Patient days * (4)</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371,399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357,221</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14,178</w:t>
            </w:r>
          </w:p>
        </w:tc>
        <w:tc>
          <w:tcPr>
            <w:tcW w:w="160" w:type="dxa"/>
            <w:vAlign w:val="bottom"/>
          </w:tcPr>
          <w:p>
            <w:pPr>
              <w:spacing w:after="0"/>
              <w:rPr>
                <w:sz w:val="12"/>
                <w:szCs w:val="12"/>
                <w:color w:val="auto"/>
              </w:rPr>
            </w:pPr>
          </w:p>
        </w:tc>
        <w:tc>
          <w:tcPr>
            <w:tcW w:w="5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1,074,450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1,012,045</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62,405</w:t>
            </w:r>
          </w:p>
        </w:tc>
        <w:tc>
          <w:tcPr>
            <w:tcW w:w="160" w:type="dxa"/>
            <w:vAlign w:val="bottom"/>
          </w:tcPr>
          <w:p>
            <w:pPr>
              <w:spacing w:after="0"/>
              <w:rPr>
                <w:sz w:val="12"/>
                <w:szCs w:val="12"/>
                <w:color w:val="auto"/>
              </w:rPr>
            </w:pPr>
          </w:p>
        </w:tc>
        <w:tc>
          <w:tcPr>
            <w:tcW w:w="52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 per patient day * (5)</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190.36</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191.66</w:t>
            </w:r>
          </w:p>
        </w:tc>
        <w:tc>
          <w:tcPr>
            <w:tcW w:w="88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190.80</w:t>
            </w:r>
          </w:p>
        </w:tc>
        <w:tc>
          <w:tcPr>
            <w:tcW w:w="90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190.21</w:t>
            </w:r>
          </w:p>
        </w:tc>
        <w:tc>
          <w:tcPr>
            <w:tcW w:w="860" w:type="dxa"/>
            <w:vAlign w:val="bottom"/>
            <w:tcBorders>
              <w:left w:val="single" w:sz="8" w:color="CCEEFF"/>
            </w:tcBorders>
            <w:gridSpan w:val="3"/>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0.59</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Organic growth</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Revenue * (6)</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(78.4)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58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88"/>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 Average daily census * (6)</w:t>
            </w:r>
          </w:p>
        </w:tc>
        <w:tc>
          <w:tcPr>
            <w:tcW w:w="10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7.1%</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referral process and new patients on service during the period.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census is total patient days divided by the number of days in the period.</w:t>
      </w:r>
    </w:p>
    <w:p>
      <w:pPr>
        <w:spacing w:after="0" w:line="225" w:lineRule="exact"/>
        <w:rPr>
          <w:rFonts w:ascii="Times New Roman" w:cs="Times New Roman" w:eastAsia="Times New Roman" w:hAnsi="Times New Roman"/>
          <w:sz w:val="18"/>
          <w:szCs w:val="18"/>
          <w:color w:val="auto"/>
        </w:rPr>
      </w:pPr>
    </w:p>
    <w:p>
      <w:pPr>
        <w:ind w:left="660" w:right="24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length of stay is the average number of days a patient is on service, calculated upon discharge, and is total patient days divided by total discharges in the period.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days is days of service for all patients in the period.</w:t>
      </w:r>
    </w:p>
    <w:p>
      <w:pPr>
        <w:spacing w:after="0" w:line="22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patient day is hospice revenue divided by the number of patient days in the period. Hospice revenue excludes the impact of one-time adjustments such as ARPA, Medicare cap or specific situational reserves.</w:t>
      </w:r>
    </w:p>
    <w:p>
      <w:pPr>
        <w:spacing w:after="0" w:line="161" w:lineRule="exact"/>
        <w:rPr>
          <w:rFonts w:ascii="Times New Roman" w:cs="Times New Roman" w:eastAsia="Times New Roman" w:hAnsi="Times New Roman"/>
          <w:sz w:val="18"/>
          <w:szCs w:val="18"/>
          <w:color w:val="auto"/>
        </w:rPr>
      </w:pPr>
    </w:p>
    <w:p>
      <w:pPr>
        <w:ind w:left="660" w:right="18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organic growth and average daily census organic growth reflect the change in year-over-year revenue and average daily census for the same store base. We define the same store base to include those stores open for at least 52 full weeks. These measures highlight the performance of existing stores, while excluding the impact of one-time adjustments such as ARPA, Medicare cap or specific situational reserves as well as acquisitions, new store openings and closures.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8"/>
        <w:spacing w:after="0" w:line="254" w:lineRule="auto"/>
        <w:tabs>
          <w:tab w:leader="none" w:pos="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metrics provides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92"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The hospice segment generates revenue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home care, continuous home care, general inpatient care and respite care. Our hospice segment principally provides routine home care.</w:t>
      </w:r>
    </w:p>
    <w:p>
      <w:pPr>
        <w:spacing w:after="0" w:line="176"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Net service revenues from Medicare accounted for 94.3% and 93.1% for the three months ended September 30, 2026 and 2025, respectively, and 94.1% and 92.9% for the nine months ended September 30, 2026 and 2025, respectively. Net service revenues from managed care organizations accounted for 2.7% and 3.2% for the three months ended September 30, 2026 and 2025, respectively, and for 2.6% and 3.2% for the nine months ended September 30, 2026 and 2025, respectively.</w:t>
      </w:r>
    </w:p>
    <w:p>
      <w:pPr>
        <w:spacing w:after="0" w:line="180"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Net service revenues increased by 0.2% and 3.4% for the three and nine months ended September 30, 2026, respectively, compared to the three and nine months ended September 30, 2025. Net service revenues included organic growth in average daily census during both periods, partially offset by lower revenues per patient day during the three months ended September 30, 2026.</w:t>
      </w:r>
    </w:p>
    <w:p>
      <w:pPr>
        <w:spacing w:after="0" w:line="176"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was 45.7% and 49.4% for the three months ended September 30, 2026 and 2025, respectively, and 45.4% and 48.3% for the nine months ended September 30, 2026 and 2025, respectively. The decreases were primarily attributable to an increase in direct wages, taxes and benefit costs as a percentage of net service revenues.</w:t>
      </w:r>
    </w:p>
    <w:p>
      <w:pPr>
        <w:spacing w:after="0" w:line="176" w:lineRule="exact"/>
        <w:rPr>
          <w:sz w:val="20"/>
          <w:szCs w:val="20"/>
          <w:color w:val="auto"/>
        </w:rPr>
      </w:pPr>
    </w:p>
    <w:p>
      <w:pPr>
        <w:ind w:right="780" w:firstLine="450"/>
        <w:spacing w:after="0" w:line="261" w:lineRule="auto"/>
        <w:rPr>
          <w:sz w:val="20"/>
          <w:szCs w:val="20"/>
          <w:color w:val="auto"/>
        </w:rPr>
      </w:pPr>
      <w:r>
        <w:rPr>
          <w:rFonts w:ascii="Times New Roman" w:cs="Times New Roman" w:eastAsia="Times New Roman" w:hAnsi="Times New Roman"/>
          <w:sz w:val="18"/>
          <w:szCs w:val="18"/>
          <w:color w:val="auto"/>
        </w:rPr>
        <w:t>The hospice segment’s general and administrative expenses primarily consist of administrative employee wage, tax, and benefit costs, rent, information technology, and office expenses. General and administrative expenses, expressed as a percentage of net service revenues,</w:t>
      </w:r>
    </w:p>
    <w:p>
      <w:pPr>
        <w:ind w:right="100"/>
        <w:spacing w:after="0" w:line="260" w:lineRule="auto"/>
        <w:rPr>
          <w:sz w:val="20"/>
          <w:szCs w:val="20"/>
          <w:color w:val="auto"/>
        </w:rPr>
      </w:pPr>
      <w:r>
        <w:rPr>
          <w:rFonts w:ascii="Times New Roman" w:cs="Times New Roman" w:eastAsia="Times New Roman" w:hAnsi="Times New Roman"/>
          <w:sz w:val="18"/>
          <w:szCs w:val="18"/>
          <w:color w:val="auto"/>
        </w:rPr>
        <w:t>was 23.7% and 22.1% for the three months ended September 30, 2026 and 2025, respectively, and 24.3% and 23.2% for the nine months ended September 30, 2026 and 2025,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Health Segment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1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1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468"/>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center"/>
              <w:ind w:right="4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368"/>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488"/>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50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ind w:left="32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gridSpan w:val="1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60" w:type="dxa"/>
            <w:vAlign w:val="bottom"/>
            <w:gridSpan w:val="13"/>
          </w:tcPr>
          <w:p>
            <w:pPr>
              <w:jc w:val="center"/>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Results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service revenues</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17,703</w:t>
            </w: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17,640</w:t>
            </w: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51,610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53,674</w:t>
            </w: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(2,064)</w:t>
            </w:r>
          </w:p>
        </w:tc>
        <w:tc>
          <w:tcPr>
            <w:tcW w:w="1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services revenues</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10,051</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56.8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10,613</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60.2</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(562)</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28,737</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55.7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31,182</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58.1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(2,445)</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42"/>
        </w:trPr>
        <w:tc>
          <w:tcPr>
            <w:tcW w:w="15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7,652</w:t>
            </w:r>
          </w:p>
        </w:tc>
        <w:tc>
          <w:tcPr>
            <w:tcW w:w="22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7,027</w:t>
            </w:r>
          </w:p>
        </w:tc>
        <w:tc>
          <w:tcPr>
            <w:tcW w:w="28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625</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22,873</w:t>
            </w:r>
          </w:p>
        </w:tc>
        <w:tc>
          <w:tcPr>
            <w:tcW w:w="26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22,492</w:t>
            </w:r>
          </w:p>
        </w:tc>
        <w:tc>
          <w:tcPr>
            <w:tcW w:w="28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381</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General and</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4,588</w:t>
            </w:r>
          </w:p>
        </w:tc>
        <w:tc>
          <w:tcPr>
            <w:tcW w:w="220" w:type="dxa"/>
            <w:vAlign w:val="bottom"/>
            <w:vMerge w:val="restart"/>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60" w:type="dxa"/>
            <w:vAlign w:val="bottom"/>
            <w:vMerge w:val="restart"/>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4,480</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25.4</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108</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13,359</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25.9</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12,549</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23.4</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810</w:t>
            </w:r>
          </w:p>
        </w:tc>
        <w:tc>
          <w:tcPr>
            <w:tcW w:w="1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administrative expenses</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126" w:lineRule="exact"/>
              <w:rPr>
                <w:sz w:val="20"/>
                <w:szCs w:val="20"/>
                <w:color w:val="auto"/>
              </w:rPr>
            </w:pPr>
            <w:r>
              <w:rPr>
                <w:rFonts w:ascii="Times New Roman" w:cs="Times New Roman" w:eastAsia="Times New Roman" w:hAnsi="Times New Roman"/>
                <w:sz w:val="14"/>
                <w:szCs w:val="14"/>
                <w:color w:val="auto"/>
              </w:rPr>
              <w:t>Segment operating</w:t>
            </w: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580" w:type="dxa"/>
            <w:vAlign w:val="bottom"/>
            <w:vMerge w:val="continue"/>
          </w:tcPr>
          <w:p>
            <w:pPr>
              <w:spacing w:after="0"/>
              <w:rPr>
                <w:sz w:val="9"/>
                <w:szCs w:val="9"/>
                <w:color w:val="auto"/>
              </w:rPr>
            </w:pPr>
          </w:p>
        </w:tc>
        <w:tc>
          <w:tcPr>
            <w:tcW w:w="60" w:type="dxa"/>
            <w:vAlign w:val="bottom"/>
            <w:vMerge w:val="restart"/>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220" w:type="dxa"/>
            <w:vAlign w:val="bottom"/>
            <w:vMerge w:val="restart"/>
          </w:tcPr>
          <w:p>
            <w:pPr>
              <w:spacing w:after="0"/>
              <w:rPr>
                <w:sz w:val="9"/>
                <w:szCs w:val="9"/>
                <w:color w:val="auto"/>
              </w:rPr>
            </w:pPr>
          </w:p>
        </w:tc>
        <w:tc>
          <w:tcPr>
            <w:tcW w:w="740" w:type="dxa"/>
            <w:vAlign w:val="bottom"/>
            <w:gridSpan w:val="2"/>
            <w:vMerge w:val="restart"/>
          </w:tcPr>
          <w:p>
            <w:pPr>
              <w:jc w:val="right"/>
              <w:ind w:right="40"/>
              <w:spacing w:after="0" w:line="263" w:lineRule="exact"/>
              <w:rPr>
                <w:sz w:val="20"/>
                <w:szCs w:val="20"/>
                <w:color w:val="auto"/>
              </w:rPr>
            </w:pPr>
            <w:r>
              <w:rPr>
                <w:rFonts w:ascii="Times New Roman" w:cs="Times New Roman" w:eastAsia="Times New Roman" w:hAnsi="Times New Roman"/>
                <w:sz w:val="14"/>
                <w:szCs w:val="14"/>
                <w:color w:val="auto"/>
              </w:rPr>
              <w:t>17.3</w:t>
            </w:r>
            <w:r>
              <w:rPr>
                <w:rFonts w:ascii="Times New Roman" w:cs="Times New Roman" w:eastAsia="Times New Roman" w:hAnsi="Times New Roman"/>
                <w:sz w:val="28"/>
                <w:szCs w:val="28"/>
                <w:color w:val="auto"/>
                <w:vertAlign w:val="superscript"/>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2,547</w:t>
            </w:r>
          </w:p>
        </w:tc>
        <w:tc>
          <w:tcPr>
            <w:tcW w:w="740" w:type="dxa"/>
            <w:vAlign w:val="bottom"/>
            <w:gridSpan w:val="2"/>
            <w:vMerge w:val="restart"/>
          </w:tcPr>
          <w:p>
            <w:pPr>
              <w:jc w:val="right"/>
              <w:ind w:right="40"/>
              <w:spacing w:after="0" w:line="263" w:lineRule="exact"/>
              <w:rPr>
                <w:sz w:val="20"/>
                <w:szCs w:val="20"/>
                <w:color w:val="auto"/>
              </w:rPr>
            </w:pPr>
            <w:r>
              <w:rPr>
                <w:rFonts w:ascii="Times New Roman" w:cs="Times New Roman" w:eastAsia="Times New Roman" w:hAnsi="Times New Roman"/>
                <w:sz w:val="14"/>
                <w:szCs w:val="14"/>
                <w:color w:val="auto"/>
              </w:rPr>
              <w:t>14.4</w:t>
            </w:r>
            <w:r>
              <w:rPr>
                <w:rFonts w:ascii="Times New Roman" w:cs="Times New Roman" w:eastAsia="Times New Roman" w:hAnsi="Times New Roman"/>
                <w:sz w:val="28"/>
                <w:szCs w:val="28"/>
                <w:color w:val="auto"/>
                <w:vertAlign w:val="superscript"/>
              </w:rPr>
              <w:t>%</w:t>
            </w:r>
          </w:p>
        </w:tc>
        <w:tc>
          <w:tcPr>
            <w:tcW w:w="2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517</w:t>
            </w:r>
          </w:p>
        </w:tc>
        <w:tc>
          <w:tcPr>
            <w:tcW w:w="840" w:type="dxa"/>
            <w:vAlign w:val="bottom"/>
            <w:gridSpan w:val="2"/>
            <w:vMerge w:val="restart"/>
          </w:tcPr>
          <w:p>
            <w:pPr>
              <w:jc w:val="right"/>
              <w:ind w:right="100"/>
              <w:spacing w:after="0" w:line="263" w:lineRule="exact"/>
              <w:rPr>
                <w:sz w:val="20"/>
                <w:szCs w:val="20"/>
                <w:color w:val="auto"/>
              </w:rPr>
            </w:pPr>
            <w:r>
              <w:rPr>
                <w:rFonts w:ascii="Times New Roman" w:cs="Times New Roman" w:eastAsia="Times New Roman" w:hAnsi="Times New Roman"/>
                <w:sz w:val="14"/>
                <w:szCs w:val="14"/>
                <w:color w:val="auto"/>
              </w:rPr>
              <w:t>20.3</w:t>
            </w:r>
            <w:r>
              <w:rPr>
                <w:rFonts w:ascii="Times New Roman" w:cs="Times New Roman" w:eastAsia="Times New Roman" w:hAnsi="Times New Roman"/>
                <w:sz w:val="28"/>
                <w:szCs w:val="28"/>
                <w:color w:val="auto"/>
                <w:vertAlign w:val="superscript"/>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9,514</w:t>
            </w:r>
          </w:p>
        </w:tc>
        <w:tc>
          <w:tcPr>
            <w:tcW w:w="760" w:type="dxa"/>
            <w:vAlign w:val="bottom"/>
            <w:gridSpan w:val="2"/>
            <w:vMerge w:val="restart"/>
          </w:tcPr>
          <w:p>
            <w:pPr>
              <w:jc w:val="right"/>
              <w:ind w:right="60"/>
              <w:spacing w:after="0" w:line="263" w:lineRule="exact"/>
              <w:rPr>
                <w:sz w:val="20"/>
                <w:szCs w:val="20"/>
                <w:color w:val="auto"/>
              </w:rPr>
            </w:pPr>
            <w:r>
              <w:rPr>
                <w:rFonts w:ascii="Times New Roman" w:cs="Times New Roman" w:eastAsia="Times New Roman" w:hAnsi="Times New Roman"/>
                <w:sz w:val="14"/>
                <w:szCs w:val="14"/>
                <w:color w:val="auto"/>
              </w:rPr>
              <w:t>18.4</w:t>
            </w:r>
            <w:r>
              <w:rPr>
                <w:rFonts w:ascii="Times New Roman" w:cs="Times New Roman" w:eastAsia="Times New Roman" w:hAnsi="Times New Roman"/>
                <w:sz w:val="28"/>
                <w:szCs w:val="28"/>
                <w:color w:val="auto"/>
                <w:vertAlign w:val="superscript"/>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9,943</w:t>
            </w:r>
          </w:p>
        </w:tc>
        <w:tc>
          <w:tcPr>
            <w:tcW w:w="740" w:type="dxa"/>
            <w:vAlign w:val="bottom"/>
            <w:gridSpan w:val="2"/>
            <w:vMerge w:val="restart"/>
          </w:tcPr>
          <w:p>
            <w:pPr>
              <w:jc w:val="right"/>
              <w:ind w:right="40"/>
              <w:spacing w:after="0" w:line="263" w:lineRule="exact"/>
              <w:rPr>
                <w:sz w:val="20"/>
                <w:szCs w:val="20"/>
                <w:color w:val="auto"/>
              </w:rPr>
            </w:pPr>
            <w:r>
              <w:rPr>
                <w:rFonts w:ascii="Times New Roman" w:cs="Times New Roman" w:eastAsia="Times New Roman" w:hAnsi="Times New Roman"/>
                <w:sz w:val="14"/>
                <w:szCs w:val="14"/>
                <w:color w:val="auto"/>
              </w:rPr>
              <w:t>18.5</w:t>
            </w:r>
            <w:r>
              <w:rPr>
                <w:rFonts w:ascii="Times New Roman" w:cs="Times New Roman" w:eastAsia="Times New Roman" w:hAnsi="Times New Roman"/>
                <w:sz w:val="28"/>
                <w:szCs w:val="28"/>
                <w:color w:val="auto"/>
                <w:vertAlign w:val="superscript"/>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40"/>
              <w:spacing w:after="0" w:line="263" w:lineRule="exact"/>
              <w:rPr>
                <w:sz w:val="20"/>
                <w:szCs w:val="20"/>
                <w:color w:val="auto"/>
              </w:rPr>
            </w:pPr>
            <w:r>
              <w:rPr>
                <w:rFonts w:ascii="Times New Roman" w:cs="Times New Roman" w:eastAsia="Times New Roman" w:hAnsi="Times New Roman"/>
                <w:sz w:val="14"/>
                <w:szCs w:val="14"/>
                <w:color w:val="auto"/>
              </w:rPr>
              <w:t>(429</w:t>
            </w:r>
            <w:r>
              <w:rPr>
                <w:rFonts w:ascii="Times New Roman" w:cs="Times New Roman" w:eastAsia="Times New Roman" w:hAnsi="Times New Roman"/>
                <w:sz w:val="28"/>
                <w:szCs w:val="28"/>
                <w:color w:val="auto"/>
                <w:vertAlign w:val="superscript"/>
              </w:rPr>
              <w:t>)</w:t>
            </w:r>
          </w:p>
        </w:tc>
        <w:tc>
          <w:tcPr>
            <w:tcW w:w="160" w:type="dxa"/>
            <w:vAlign w:val="bottom"/>
          </w:tcPr>
          <w:p>
            <w:pPr>
              <w:spacing w:after="0"/>
              <w:rPr>
                <w:sz w:val="9"/>
                <w:szCs w:val="9"/>
                <w:color w:val="auto"/>
              </w:rPr>
            </w:pPr>
          </w:p>
        </w:tc>
        <w:tc>
          <w:tcPr>
            <w:tcW w:w="560" w:type="dxa"/>
            <w:vAlign w:val="bottom"/>
            <w:gridSpan w:val="2"/>
            <w:vMerge w:val="restart"/>
          </w:tcPr>
          <w:p>
            <w:pPr>
              <w:jc w:val="right"/>
              <w:spacing w:after="0" w:line="263" w:lineRule="exact"/>
              <w:rPr>
                <w:sz w:val="20"/>
                <w:szCs w:val="20"/>
                <w:color w:val="auto"/>
              </w:rPr>
            </w:pPr>
            <w:r>
              <w:rPr>
                <w:rFonts w:ascii="Times New Roman" w:cs="Times New Roman" w:eastAsia="Times New Roman" w:hAnsi="Times New Roman"/>
                <w:sz w:val="14"/>
                <w:szCs w:val="14"/>
                <w:color w:val="auto"/>
              </w:rPr>
              <w:t>(4.3</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198"/>
        </w:trPr>
        <w:tc>
          <w:tcPr>
            <w:tcW w:w="15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income</w:t>
            </w:r>
          </w:p>
        </w:tc>
        <w:tc>
          <w:tcPr>
            <w:tcW w:w="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tcBorders>
              <w:top w:val="single" w:sz="8" w:color="CCEEFF"/>
            </w:tcBorders>
            <w:shd w:val="clear" w:color="auto" w:fill="CCEEFF"/>
          </w:tcPr>
          <w:p>
            <w:pPr>
              <w:spacing w:after="0" w:line="78" w:lineRule="exact"/>
              <w:rPr>
                <w:sz w:val="20"/>
                <w:szCs w:val="20"/>
                <w:color w:val="auto"/>
              </w:rPr>
            </w:pPr>
            <w:r>
              <w:rPr>
                <w:rFonts w:ascii="Times New Roman" w:cs="Times New Roman" w:eastAsia="Times New Roman" w:hAnsi="Times New Roman"/>
                <w:sz w:val="8"/>
                <w:szCs w:val="8"/>
                <w:b w:val="1"/>
                <w:bCs w:val="1"/>
                <w:color w:val="auto"/>
              </w:rPr>
              <w:t>Business Metrics (Actual</w:t>
            </w: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Numbers)</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Locations at period end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New admissions * (1)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5,043</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4,577</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14,753</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13,853</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8"/>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Recertifications * (2)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2,784</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2,627</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8,092</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8,442</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volume * (3)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7,827</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7,204</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623.0</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22,845</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22,295</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550.0</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8"/>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Visits * (4)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90,240</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90,639</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259,648</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279,924</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(20,276)</w:t>
            </w:r>
          </w:p>
        </w:tc>
        <w:tc>
          <w:tcPr>
            <w:tcW w:w="1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Organic growth</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Revenue * (5)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Admissions * (5)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(13900.0)%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new patients during the period.</w:t>
      </w:r>
    </w:p>
    <w:p>
      <w:pPr>
        <w:spacing w:after="0" w:line="225" w:lineRule="exact"/>
        <w:rPr>
          <w:rFonts w:ascii="Times New Roman" w:cs="Times New Roman" w:eastAsia="Times New Roman" w:hAnsi="Times New Roman"/>
          <w:sz w:val="18"/>
          <w:szCs w:val="18"/>
          <w:color w:val="auto"/>
        </w:rPr>
      </w:pPr>
    </w:p>
    <w:p>
      <w:pPr>
        <w:jc w:val="both"/>
        <w:ind w:left="660" w:right="22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volume is total admissions and total recertifications in the period.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number of services to patients in the period.</w:t>
      </w:r>
    </w:p>
    <w:p>
      <w:pPr>
        <w:spacing w:after="0" w:line="225" w:lineRule="exact"/>
        <w:rPr>
          <w:rFonts w:ascii="Times New Roman" w:cs="Times New Roman" w:eastAsia="Times New Roman" w:hAnsi="Times New Roman"/>
          <w:sz w:val="18"/>
          <w:szCs w:val="18"/>
          <w:color w:val="auto"/>
        </w:rPr>
      </w:pPr>
    </w:p>
    <w:p>
      <w:pPr>
        <w:ind w:left="660" w:right="140" w:hanging="652"/>
        <w:spacing w:after="0" w:line="289" w:lineRule="auto"/>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organic growth and admissions organic growth reflect the change in year-over-year revenue and admissions for the same store base. We define the same store base to include those stores open for at least 52 full weeks. These measures highlight the performance of existing stores, while excluding the impact of one-time adjustments such as specific situational reserves as well as acquisitions, new store openings and closures.</w:t>
      </w:r>
    </w:p>
    <w:p>
      <w:pPr>
        <w:spacing w:after="0" w:line="158" w:lineRule="exact"/>
        <w:rPr>
          <w:sz w:val="20"/>
          <w:szCs w:val="20"/>
          <w:color w:val="auto"/>
        </w:rPr>
      </w:pPr>
    </w:p>
    <w:p>
      <w:pPr>
        <w:ind w:right="40" w:firstLine="8"/>
        <w:spacing w:after="0" w:line="254" w:lineRule="auto"/>
        <w:tabs>
          <w:tab w:leader="none" w:pos="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metrics provides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The home health segment generates net service revenues by providing home health services on a short-term, intermittent or episodic basis to individuals, generally to treat an illness or injury. Net service revenues from Medicare accounted for 63.3% and 65.9%, managed care organizations accounted for 25.0% and 25.5%, and state, local, and other governmental programs accounted for 8.0% and 5.6% for the three months ended September 30, 2026 and 2025, respectively. Net service revenues from Medicare accounted for 62.7% and 68.4%, managed care organizations accounted for 24.8% and 23.4%, and state, local, and other governmental programs accounted for 9.3% and 5.3% for the nine months ended September 30, 2026 and 2025, respectively. Home health services provided to Medicare beneficiaries are paid under the Medicare Home Health Prospective Payment System, which uses national, standardized 30-day period payment rates for periods of care. CMS uses the PDGM as the case-mix classification model to place periods of care into payment categories, classifying patients based on clinical characteristics. An outlier adjustment may be paid for periods of care in which costs exceed a specific threshold amount.</w:t>
      </w:r>
    </w:p>
    <w:p>
      <w:pPr>
        <w:spacing w:after="0" w:line="188" w:lineRule="exact"/>
        <w:rPr>
          <w:sz w:val="20"/>
          <w:szCs w:val="20"/>
          <w:color w:val="auto"/>
        </w:rPr>
      </w:pPr>
    </w:p>
    <w:p>
      <w:pPr>
        <w:ind w:right="100" w:firstLine="450"/>
        <w:spacing w:after="0" w:line="261" w:lineRule="auto"/>
        <w:rPr>
          <w:sz w:val="20"/>
          <w:szCs w:val="20"/>
          <w:color w:val="auto"/>
        </w:rPr>
      </w:pPr>
      <w:r>
        <w:rPr>
          <w:rFonts w:ascii="Times New Roman" w:cs="Times New Roman" w:eastAsia="Times New Roman" w:hAnsi="Times New Roman"/>
          <w:sz w:val="18"/>
          <w:szCs w:val="18"/>
          <w:color w:val="auto"/>
        </w:rPr>
        <w:t>Net service revenues increased by 0.4% and decreased by 3.8% for the three and nine months ended September 30, 2026, respectively, compared to the three and nine months ended September 30, 2025. Net service revenues remained relatively consistent for the three months ended September 30, 2026, compared to the prior year period. The decrease in net service revenues for the nine months ended September 30, 2026 primarily reflected lower patient visits, partially offset by a favorable payor mix.</w:t>
      </w:r>
    </w:p>
    <w:p>
      <w:pPr>
        <w:spacing w:after="0" w:line="180"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was 43.2% and 39.8% for the three months ended September 30, 2026 and 2025, respectively, and 44.3% and 41.9% for the nine months ended September 30, 2026 and 2025, respectively. The increase for both the three and nine months ended September 30, 2026 was primarily attributable to a decrease in direct wages, taxes and benefit costs as a percentage of net service revenues.</w:t>
      </w:r>
    </w:p>
    <w:p>
      <w:pPr>
        <w:spacing w:after="0" w:line="176" w:lineRule="exact"/>
        <w:rPr>
          <w:sz w:val="20"/>
          <w:szCs w:val="20"/>
          <w:color w:val="auto"/>
        </w:rPr>
      </w:pPr>
    </w:p>
    <w:p>
      <w:pPr>
        <w:ind w:right="480" w:firstLine="450"/>
        <w:spacing w:after="0" w:line="261" w:lineRule="auto"/>
        <w:rPr>
          <w:sz w:val="20"/>
          <w:szCs w:val="20"/>
          <w:color w:val="auto"/>
        </w:rPr>
      </w:pPr>
      <w:r>
        <w:rPr>
          <w:rFonts w:ascii="Times New Roman" w:cs="Times New Roman" w:eastAsia="Times New Roman" w:hAnsi="Times New Roman"/>
          <w:sz w:val="18"/>
          <w:szCs w:val="18"/>
          <w:color w:val="auto"/>
        </w:rPr>
        <w:t>The home health segment’s general and administrative expenses primarily consist of administrative employee wage, tax and benefit costs, rent, information technology, and office expenses. General and administrative expenses, expressed as a percentage of net service revenues,</w:t>
      </w:r>
    </w:p>
    <w:p>
      <w:pPr>
        <w:ind w:right="20"/>
        <w:spacing w:after="0" w:line="260" w:lineRule="auto"/>
        <w:rPr>
          <w:sz w:val="20"/>
          <w:szCs w:val="20"/>
          <w:color w:val="auto"/>
        </w:rPr>
      </w:pPr>
      <w:r>
        <w:rPr>
          <w:rFonts w:ascii="Times New Roman" w:cs="Times New Roman" w:eastAsia="Times New Roman" w:hAnsi="Times New Roman"/>
          <w:sz w:val="18"/>
          <w:szCs w:val="18"/>
          <w:color w:val="auto"/>
        </w:rPr>
        <w:t>were 25.9% and 25.4% for the three months ended September 30, 2026 and 2025, respectively, and 25.9% and 23.4% for the nine months ended September 30, 2026 and 2025,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right="320" w:firstLine="450"/>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from operations and borrowings under our credit facility. At September 30, 2026 and December 31, 2025, we had cash balances of $98.5 million and $81.6 million, respectively. At September 30, 2026, we had a $650.0 million revolving credit facility and a $150.0 million incremental loan facility, which may be for term loans or an increase to the revolving loan commitments. This credit facility matures on July 30, 2028.</w:t>
      </w:r>
    </w:p>
    <w:p>
      <w:pPr>
        <w:spacing w:after="0" w:line="180"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we repaid $100.0 million under our revolving credit facility. As of September 30, 2026, we had a total of $24.3 million in revolving loans, with an interest rate of 5.65%, outstanding on our credit facility, and after giving effect to the amount drawn on our credit facility, approximately $7.9 million of outstanding letters of credit and borrowing limits based on an advance multiple of adjusted EBITDA (as defined in the Credit Agreement), we had $650.0 million of capacity and $617.8 million available for borrowing under our credit facility. At December 31, 2025, we had a total of $124.3 million in revolving credit loans, with an interest rate of 5.48%, outstanding on our credit facility.</w:t>
      </w:r>
    </w:p>
    <w:p>
      <w:pPr>
        <w:spacing w:after="0" w:line="18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credit facility requires us to maintain a total net leverage ratio not exceeding 3.75:1.00. At September 30, 2026,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spacing w:after="0" w:line="1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 xml:space="preserve">See Note 8 to the Notes to Unaudited Condensed Consolidated Financial Statements,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additional details of our long-term debt.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Current Macroeconomic Conditions and American Rescue Plan Act of 2021 Relief Funding</w:t>
      </w:r>
    </w:p>
    <w:p>
      <w:pPr>
        <w:spacing w:after="0" w:line="229"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Economic conditions in the United States continue to be challenging in various respects. For example, the United States economy continues to experience inflationary pressures, elevated interest rates, challenging labor market conditions and uncertainty regarding the impact of increased tariffs and trade disruptions. Any economic downturn would pose a risk to states’ revenues, which in turn could affect our reimbursements and collections received for services rendered. Depending on the severity and length of any potential economic downturn as well as the extent of any federal support, states could face significant fiscal challenges and revise their revenue forecasts and adjust their budgets, and sales tax collections and income tax withholdings could be depressed.</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ARPA Spending Plans</w:t>
      </w:r>
    </w:p>
    <w:p>
      <w:pPr>
        <w:spacing w:after="0" w:line="227" w:lineRule="exact"/>
        <w:rPr>
          <w:sz w:val="20"/>
          <w:szCs w:val="20"/>
          <w:color w:val="auto"/>
        </w:rPr>
      </w:pPr>
    </w:p>
    <w:p>
      <w:pPr>
        <w:ind w:right="80" w:firstLine="450"/>
        <w:spacing w:after="0" w:line="258" w:lineRule="auto"/>
        <w:rPr>
          <w:sz w:val="20"/>
          <w:szCs w:val="20"/>
          <w:color w:val="auto"/>
        </w:rPr>
      </w:pPr>
      <w:r>
        <w:rPr>
          <w:rFonts w:ascii="Times New Roman" w:cs="Times New Roman" w:eastAsia="Times New Roman" w:hAnsi="Times New Roman"/>
          <w:sz w:val="18"/>
          <w:szCs w:val="18"/>
          <w:color w:val="auto"/>
        </w:rPr>
        <w:t>To mitigate the fiscal effects of the COVID-19 public health emergency, the ARPA provided for a 10 percentage point increase in federal matching funds for Medicaid HCBS from April 1, 2021, through March 31, 2022, provided the states satisfied certain conditions. States must submit periodic HCBS spending plans to CMS regarding the federal and state funds tied to the increase in federal matching funds. States were generally permitted to use the associated state funds by March 31, 2025, but several states received extensions through September 30, 2026, and Michigan’s spending plan continues through December 31, 2026.</w:t>
      </w:r>
    </w:p>
    <w:p>
      <w:pPr>
        <w:spacing w:after="0" w:line="183" w:lineRule="exact"/>
        <w:rPr>
          <w:sz w:val="20"/>
          <w:szCs w:val="20"/>
          <w:color w:val="auto"/>
        </w:rPr>
      </w:pPr>
    </w:p>
    <w:p>
      <w:pPr>
        <w:ind w:right="180" w:firstLine="450"/>
        <w:spacing w:after="0" w:line="261" w:lineRule="auto"/>
        <w:rPr>
          <w:sz w:val="20"/>
          <w:szCs w:val="20"/>
          <w:color w:val="auto"/>
        </w:rPr>
      </w:pPr>
      <w:r>
        <w:rPr>
          <w:rFonts w:ascii="Times New Roman" w:cs="Times New Roman" w:eastAsia="Times New Roman" w:hAnsi="Times New Roman"/>
          <w:sz w:val="18"/>
          <w:szCs w:val="18"/>
          <w:color w:val="auto"/>
        </w:rPr>
        <w:t>HCBS spending plans for the additional matching funds vary by state, but common initiatives in which the Company participates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w:t>
      </w:r>
    </w:p>
    <w:p>
      <w:pPr>
        <w:spacing w:after="0" w:line="180" w:lineRule="exact"/>
        <w:rPr>
          <w:sz w:val="20"/>
          <w:szCs w:val="20"/>
          <w:color w:val="auto"/>
        </w:rPr>
      </w:pPr>
    </w:p>
    <w:p>
      <w:pPr>
        <w:ind w:right="40" w:firstLine="450"/>
        <w:spacing w:after="0" w:line="274" w:lineRule="auto"/>
        <w:rPr>
          <w:sz w:val="20"/>
          <w:szCs w:val="20"/>
          <w:color w:val="auto"/>
        </w:rPr>
      </w:pPr>
      <w:r>
        <w:rPr>
          <w:rFonts w:ascii="Times New Roman" w:cs="Times New Roman" w:eastAsia="Times New Roman" w:hAnsi="Times New Roman"/>
          <w:sz w:val="17"/>
          <w:szCs w:val="17"/>
          <w:color w:val="auto"/>
        </w:rPr>
        <w:t>The Company did not receive additional state funding provided by the ARPA during the three months ended September 30, 2026. During the nine months ended September 30, 2026, the Company received additional state funding provided by the ARPA of $6.3 million. Of the total state funding received by the Company pursuant to the ARPA through September 30, 2026, the Company utilized $0.8 million and $6.4 million during the three and nine months ended September 30, 2026, respectively, primarily for caregivers and adding support to recruiting and retention efforts, included as a reduction of cost of service revenues in the Company’s Unaudited Condensed Consolidated Statements of Income. As of September 30, 2026, the deferred portion of ARPA funding of $11.6 million is included within Government stimulus advances on the Company’s Unaudited Condensed Consolidated Balance Sheets.</w:t>
      </w:r>
    </w:p>
    <w:p>
      <w:pPr>
        <w:sectPr>
          <w:pgSz w:w="11900" w:h="16838" w:orient="portrait"/>
          <w:cols w:equalWidth="0" w:num="1">
            <w:col w:w="11240"/>
          </w:cols>
          <w:pgMar w:left="320" w:top="121" w:right="339" w:bottom="1440" w:gutter="0" w:footer="0" w:header="0"/>
        </w:sectPr>
      </w:pP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changes in our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207" w:lineRule="exact"/>
        <w:rPr>
          <w:sz w:val="20"/>
          <w:szCs w:val="20"/>
          <w:color w:val="auto"/>
        </w:rPr>
      </w:pPr>
    </w:p>
    <w:p>
      <w:pPr>
        <w:jc w:val="right"/>
        <w:ind w:right="15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9"/>
                <w:szCs w:val="19"/>
                <w:color w:val="auto"/>
              </w:rPr>
            </w:pPr>
          </w:p>
        </w:tc>
      </w:tr>
      <w:tr>
        <w:trPr>
          <w:trHeight w:val="210"/>
        </w:trPr>
        <w:tc>
          <w:tcPr>
            <w:tcW w:w="3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60" w:type="dxa"/>
            <w:vAlign w:val="bottom"/>
          </w:tcPr>
          <w:p>
            <w:pPr>
              <w:spacing w:after="0"/>
              <w:rPr>
                <w:sz w:val="18"/>
                <w:szCs w:val="18"/>
                <w:color w:val="auto"/>
              </w:rPr>
            </w:pP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133,290</w:t>
            </w:r>
          </w:p>
        </w:tc>
        <w:tc>
          <w:tcPr>
            <w:tcW w:w="40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92,744</w:t>
            </w:r>
          </w:p>
        </w:tc>
        <w:tc>
          <w:tcPr>
            <w:tcW w:w="6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(17,192)</w:t>
            </w:r>
          </w:p>
        </w:tc>
        <w:tc>
          <w:tcPr>
            <w:tcW w:w="4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(22,444)</w:t>
            </w:r>
          </w:p>
        </w:tc>
      </w:tr>
      <w:tr>
        <w:trPr>
          <w:trHeight w:val="234"/>
        </w:trPr>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(99,235)</w:t>
            </w:r>
          </w:p>
        </w:tc>
        <w:tc>
          <w:tcPr>
            <w:tcW w:w="4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(67,293)</w:t>
            </w:r>
          </w:p>
        </w:tc>
      </w:tr>
    </w:tbl>
    <w:p>
      <w:pPr>
        <w:sectPr>
          <w:pgSz w:w="11900" w:h="16838" w:orient="portrait"/>
          <w:cols w:equalWidth="0" w:num="2">
            <w:col w:w="7280" w:space="720"/>
            <w:col w:w="3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Compared to Nine Months Ended September 30, 2025</w:t>
      </w:r>
    </w:p>
    <w:p>
      <w:pPr>
        <w:spacing w:after="0" w:line="227"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18"/>
          <w:szCs w:val="18"/>
          <w:color w:val="auto"/>
        </w:rPr>
        <w:t>Cash flows from operating activities represent the inflow of cash from our payors and the outflow of cash for payroll and payroll taxes, operating expenses, interest, and taxes. Net cash provided by operating activities was $133.3 million for the nine months ended September 30, 2026, compared to net cash provided by operating activities of $92.7 million for the same period in 2025. The increase in cash provided by operations was primarily due to the timing of receipts on accounts receivable and the timing of payments related to payroll and accounts payable. The changes in accounts receivable were primarily related to the growth in revenue and an increase in days sales outstanding (“DSO”) during the nine months ended September 30, 2026 as compared to the nine months ended September 30, 2025. The related receivables due from the Illinois Department on Aging represented 21.1% and 16.6% of the Company’s net accounts receivable at September 30, 2026 and September 30, 2025, respectively.</w:t>
      </w:r>
    </w:p>
    <w:p>
      <w:pPr>
        <w:spacing w:after="0" w:line="189" w:lineRule="exact"/>
        <w:rPr>
          <w:sz w:val="20"/>
          <w:szCs w:val="20"/>
          <w:color w:val="auto"/>
        </w:rPr>
      </w:pPr>
    </w:p>
    <w:p>
      <w:pPr>
        <w:ind w:right="120" w:firstLine="450"/>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2026, primarily consisted of $12.2 million of net cash used for the HomeCourt Acquisition and $5.2 million of cash used for property and equipment purchases, primarily related to our ongoing investments in technology infrastructure fixed assets. Net cash used in investing activities for the nine months ended September 30, 2025 primarily consisted of $24.2 million of net cash used for the Helping Hands Acquisition, the Jacksonville Acquisition and the Great Lakes Acquisition, $5.1 million of cash used for property and equipment purchases, primarily related to our ongoing investments in technology infrastructure fixed assets, offset by $3.8 million in proceeds received relating to the New York Asset Sale and $2.9 million in proceeds received relating to the December 2024 acquisition of the personal care business of Curo Health Services, LLC, a Delaware limited liability company that does business as Gentiva.</w:t>
      </w:r>
    </w:p>
    <w:p>
      <w:pPr>
        <w:spacing w:after="0" w:line="189" w:lineRule="exact"/>
        <w:rPr>
          <w:sz w:val="20"/>
          <w:szCs w:val="20"/>
          <w:color w:val="auto"/>
        </w:rPr>
      </w:pPr>
    </w:p>
    <w:p>
      <w:pPr>
        <w:ind w:right="60" w:firstLine="450"/>
        <w:spacing w:after="0" w:line="281" w:lineRule="auto"/>
        <w:rPr>
          <w:sz w:val="20"/>
          <w:szCs w:val="20"/>
          <w:color w:val="auto"/>
        </w:rPr>
      </w:pPr>
      <w:r>
        <w:rPr>
          <w:rFonts w:ascii="Times New Roman" w:cs="Times New Roman" w:eastAsia="Times New Roman" w:hAnsi="Times New Roman"/>
          <w:sz w:val="17"/>
          <w:szCs w:val="17"/>
          <w:color w:val="auto"/>
        </w:rPr>
        <w:t>Net cash used in financing activities for the nine months ended September 30, 2026, primarily consisted of a $100.0 million payment on our revolving credit facility, offset by cash received from the exercise of stock options of $0.8 million. Net cash used in financing activities for the nine months ended September 30, 2025 primarily consisted of an $80.0 million payment on our revolving credit facility, offset by borrowings of $11.3 million on the revolver portion of our credit facility to fund, in part, the Helping Hands Acquisition and cash received from the exercise of stock options of $1.5 million.</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Outstanding Accounts Receivable</w:t>
      </w:r>
    </w:p>
    <w:p>
      <w:pPr>
        <w:spacing w:after="0" w:line="22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Outstanding accounts receivable, net of the allowance for credit losses as of September 30, 2026 and December 31, 2025 were approximately $160.9 million and $151.7 million, respectively, an increase of $9.2 million as of September 30, 2026 as compared to December 31, 2025. Accounts receivable for the Illinois Department on Aging decreased approximately $3.2 million during the nine months ended September 30, 2026.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spacing w:after="0" w:line="183"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We calculate our DSO by taking the trade accounts receivable outstanding, net of allowance for credit losses for doubtful accounts, divided by the net service revenues for the last quarter, multiplied by the number of days in that quarter. Our DSOs were 39 days and 38 days at September 30, 2026 and December 31, 2025, respectively. The DSOs for our largest payor, the Illinois Department on Aging, were 48 days and 55 days at September 30, 2026 and December 31,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2026, we did not have any off-balance sheet guarantees or arrangements with unconsolidated entities.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previously disclosed under the caption “Management’s Discussion and Analysis of Financial Condition and Results of Operations — Critical Accounting Policies and Estimates” set forth in Part II, Item 7 of our Annual Report on Form 10-K for the period ended December 31, 2025,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 to Note 2 to the Notes to Unaudited Condensed Consolidated Financial Statements for further discussion.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80" w:firstLine="450"/>
        <w:spacing w:after="0" w:line="258"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on our variable rate long-term debt. As of September 30, 2026, we had outstanding borrowings of approximately $24.3 million on our credit facility, and all of such borrowings were subject to variable interest rates. If the variable rates on this debt were 100 basis points higher than the rate applicable to the borrowing during the nine-month period ended September 30, 2026, our net income would have decreased by $0.4 million, or $0.02 per diluted share. We do not currently have any derivative or hedging arrangements, or other known exposures, to changes in interest rates.</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2026.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480" w:firstLine="450"/>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Chief Executive Officer and Chief Financial Officer concluded that our disclosure controls and procedures were effective as of September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140" w:firstLine="45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that occurred during the fiscal quarter ended September 30, 2026 that have materially affected, or are reasonably likely to materially affect, our internal control over financial reporting.</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380" w:firstLine="450"/>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160" w:firstLine="450"/>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risk factors discussed under the caption “Risk Factors” set forth in Part I, Item 1A, of our Annual Report on Form 10-K for the year ended December 31, 2025, filed with the SEC. Except as set forth below,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179"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complete the acquisition of AccentCare on a timely basis or at all and may not realize the benefits that are anticipated from the AccentCare Acquisition.</w:t>
      </w:r>
    </w:p>
    <w:p>
      <w:pPr>
        <w:spacing w:after="0" w:line="159" w:lineRule="exact"/>
        <w:rPr>
          <w:sz w:val="20"/>
          <w:szCs w:val="20"/>
          <w:color w:val="auto"/>
        </w:rPr>
      </w:pPr>
    </w:p>
    <w:p>
      <w:pPr>
        <w:ind w:right="340" w:firstLine="450"/>
        <w:spacing w:after="0" w:line="266" w:lineRule="auto"/>
        <w:rPr>
          <w:sz w:val="20"/>
          <w:szCs w:val="20"/>
          <w:color w:val="auto"/>
        </w:rPr>
      </w:pPr>
      <w:r>
        <w:rPr>
          <w:rFonts w:ascii="Times New Roman" w:cs="Times New Roman" w:eastAsia="Times New Roman" w:hAnsi="Times New Roman"/>
          <w:sz w:val="18"/>
          <w:szCs w:val="18"/>
          <w:color w:val="auto"/>
        </w:rPr>
        <w:t>We have entered into a definitive equity and asset purchase agreement to acquire the personal care division of AccentCare for a purchase price of approximately $275.0 million, subject to customary adjustments. The AccentCare Acquisition is expected to close upon the completion of regulatory approvals and subject to the satisfaction of other closing conditions.</w:t>
      </w:r>
    </w:p>
    <w:p>
      <w:pPr>
        <w:spacing w:after="0" w:line="176"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We cannot provide any assurance that we will be able to successfully consummate the AccentCare Acquisition as provided for under the equity and asset purchase agreement, or, if such acquisition is completed, we cannot predict the timing of such closing. In addition, we have incurred, and will continue to incur, significant costs, expenses and fees for professional services and other transaction costs in connection with the AccentCare Acquisition, and these fees and costs are payable by us regardless of whether the AccentCare Acquisition is consummated. If we fail to consummate the AccentCare Acquisition or should the completion be significantly delayed, we could fail to realize all or a portion of the intended economic benefits of such acquisition. Any failure to complete the AccentCare Acquisition could have a negative impact on our business, financial condition and the market price of our common stock.</w:t>
      </w:r>
    </w:p>
    <w:p>
      <w:pPr>
        <w:spacing w:after="0" w:line="189"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18"/>
          <w:szCs w:val="18"/>
          <w:color w:val="auto"/>
        </w:rPr>
        <w:t>The benefits that are expected to result from the AccentCare Acquisition will depend, in part, on our ability to realize the growth opportunities we anticipate from the AccentCare Acquisition, which is contingent, in part, on successful integration and AccentCare performing in accordance with our expectations. Even a successful integration and meeting performance expectations may not result in the realization of the full benefits we currently expect, nor can we give assurances that these benefits will be achieved when expected or at all. Moreover, we expect to incur expenses in connection with the integration of AccentCare, and as such, the benefits may be offset by costs incurred or delays in integrating the businesses. Further, our due diligence review of AccentCare may not have successfully identified all potential issues. In addition, the integration of AccentCare may result in material unanticipated problems, expenses, liabilities, regulatory risks, and diversion of management’s attention.</w:t>
      </w:r>
    </w:p>
    <w:p>
      <w:pPr>
        <w:spacing w:after="0" w:line="189"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The pendency of the AccentCare Acquisition could cause disruptions and create uncertainty surrounding our business and affect our relationships with our customers and employees. We have diverted, and will continue to divert, significant management resources to complete the AccentCare Acquisition, which could have a negative impact on our ability to manage existing operations or pursue alternative strategic transactions, which could adversely affect our business, financial condition and results of operations. Until the completion of the AccentCare Acquisition, holders of shares of our common stock will be exposed to the risks faced by our existing business without any of the potential benefits from the AccentCare Acquisition. As a result of investor perceptions about the terms, conditions, risks or benefits of the AccentCare Acquisition, the market price of shares of our common stock may decline.</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Not applicable. Without limiting the generality of the foregoing, during the quarter ended September 30, 2026, no director or Section 16 officer adopted or terminated any Rule 10b5-1 trading arrangements or non-Rule 10b5-1 trading arrangements, as such terms are defined in Item 408(a) of Regulation S-K.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8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80" w:type="dxa"/>
            <w:vAlign w:val="bottom"/>
          </w:tcPr>
          <w:p>
            <w:pPr>
              <w:spacing w:after="0"/>
              <w:rPr>
                <w:sz w:val="20"/>
                <w:szCs w:val="20"/>
                <w:color w:val="auto"/>
              </w:rPr>
            </w:pPr>
          </w:p>
        </w:tc>
        <w:tc>
          <w:tcPr>
            <w:tcW w:w="3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216"/>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40" w:type="dxa"/>
            <w:vAlign w:val="bottom"/>
          </w:tcPr>
          <w:p>
            <w:pPr>
              <w:ind w:left="136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238"/>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4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2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Date Filing   Number</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08" w:right="339" w:bottom="1440" w:gutter="0" w:footer="0" w:header="0"/>
        </w:sectPr>
      </w:pPr>
    </w:p>
    <w:p>
      <w:pPr>
        <w:ind w:left="300"/>
        <w:spacing w:after="0"/>
        <w:tabs>
          <w:tab w:leader="none" w:pos="900" w:val="left"/>
        </w:tabs>
        <w:rPr>
          <w:rFonts w:ascii="Times New Roman" w:cs="Times New Roman" w:eastAsia="Times New Roman" w:hAnsi="Times New Roman"/>
          <w:sz w:val="18"/>
          <w:szCs w:val="18"/>
          <w:u w:val="single" w:color="auto"/>
          <w:color w:val="0000EE"/>
        </w:rPr>
      </w:pPr>
      <w:hyperlink r:id="rId55">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u w:val="single" w:color="auto"/>
          <w:color w:val="0000EE"/>
        </w:rPr>
        <w:tab/>
      </w:r>
      <w:hyperlink r:id="rId55">
        <w:r>
          <w:rPr>
            <w:rFonts w:ascii="Times New Roman" w:cs="Times New Roman" w:eastAsia="Times New Roman" w:hAnsi="Times New Roman"/>
            <w:sz w:val="18"/>
            <w:szCs w:val="18"/>
            <w:u w:val="single" w:color="auto"/>
            <w:color w:val="0000EE"/>
          </w:rPr>
          <w:t>Amended and Restated Certificate of Incorporation of the Company dated as of October</w:t>
        </w:r>
      </w:hyperlink>
    </w:p>
    <w:p>
      <w:pPr>
        <w:spacing w:after="0" w:line="27" w:lineRule="exact"/>
        <w:rPr>
          <w:sz w:val="20"/>
          <w:szCs w:val="20"/>
          <w:color w:val="auto"/>
        </w:rPr>
      </w:pPr>
    </w:p>
    <w:p>
      <w:pPr>
        <w:ind w:left="920"/>
        <w:spacing w:after="0"/>
        <w:rPr>
          <w:rFonts w:ascii="Times New Roman" w:cs="Times New Roman" w:eastAsia="Times New Roman" w:hAnsi="Times New Roman"/>
          <w:sz w:val="18"/>
          <w:szCs w:val="18"/>
          <w:u w:val="single" w:color="auto"/>
          <w:color w:val="0000EE"/>
        </w:rPr>
      </w:pPr>
      <w:hyperlink r:id="rId55">
        <w:r>
          <w:rPr>
            <w:rFonts w:ascii="Times New Roman" w:cs="Times New Roman" w:eastAsia="Times New Roman" w:hAnsi="Times New Roman"/>
            <w:sz w:val="18"/>
            <w:szCs w:val="18"/>
            <w:u w:val="single" w:color="auto"/>
            <w:color w:val="0000EE"/>
          </w:rPr>
          <w:t>27, 2009.</w:t>
        </w:r>
      </w:hyperlink>
    </w:p>
    <w:p>
      <w:pPr>
        <w:spacing w:after="0" w:line="207" w:lineRule="exact"/>
        <w:rPr>
          <w:sz w:val="20"/>
          <w:szCs w:val="20"/>
          <w:color w:val="auto"/>
        </w:rPr>
      </w:pPr>
    </w:p>
    <w:p>
      <w:pPr>
        <w:ind w:left="920" w:right="20" w:hanging="631"/>
        <w:spacing w:after="0" w:line="282" w:lineRule="auto"/>
        <w:tabs>
          <w:tab w:leader="none" w:pos="900" w:val="left"/>
        </w:tabs>
        <w:rPr>
          <w:rFonts w:ascii="Times New Roman" w:cs="Times New Roman" w:eastAsia="Times New Roman" w:hAnsi="Times New Roman"/>
          <w:sz w:val="18"/>
          <w:szCs w:val="18"/>
          <w:u w:val="single" w:color="auto"/>
          <w:color w:val="0000EE"/>
        </w:rPr>
      </w:pPr>
      <w:hyperlink r:id="rId56">
        <w:r>
          <w:rPr>
            <w:rFonts w:ascii="Times New Roman" w:cs="Times New Roman" w:eastAsia="Times New Roman" w:hAnsi="Times New Roman"/>
            <w:sz w:val="18"/>
            <w:szCs w:val="18"/>
            <w:u w:val="single" w:color="auto"/>
            <w:color w:val="0000EE"/>
          </w:rPr>
          <w:t>3.2</w:t>
        </w:r>
      </w:hyperlink>
      <w:r>
        <w:rPr>
          <w:rFonts w:ascii="Times New Roman" w:cs="Times New Roman" w:eastAsia="Times New Roman" w:hAnsi="Times New Roman"/>
          <w:sz w:val="18"/>
          <w:szCs w:val="18"/>
          <w:u w:val="single" w:color="auto"/>
          <w:color w:val="0000EE"/>
        </w:rPr>
        <w:tab/>
      </w:r>
      <w:hyperlink r:id="rId56">
        <w:r>
          <w:rPr>
            <w:rFonts w:ascii="Times New Roman" w:cs="Times New Roman" w:eastAsia="Times New Roman" w:hAnsi="Times New Roman"/>
            <w:sz w:val="18"/>
            <w:szCs w:val="18"/>
            <w:u w:val="single" w:color="auto"/>
            <w:color w:val="0000EE"/>
          </w:rPr>
          <w:t>Amended and Restated Bylaws of the Company, as amended by the First Amendment to</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the Amended and Restated Bylaws.</w:t>
        </w:r>
      </w:hyperlink>
    </w:p>
    <w:p>
      <w:pPr>
        <w:spacing w:after="0" w:line="162" w:lineRule="exact"/>
        <w:rPr>
          <w:rFonts w:ascii="Times New Roman" w:cs="Times New Roman" w:eastAsia="Times New Roman" w:hAnsi="Times New Roman"/>
          <w:sz w:val="18"/>
          <w:szCs w:val="18"/>
          <w:u w:val="single" w:color="auto"/>
          <w:color w:val="0000EE"/>
        </w:rPr>
      </w:pPr>
    </w:p>
    <w:p>
      <w:pPr>
        <w:ind w:left="300"/>
        <w:spacing w:after="0"/>
        <w:tabs>
          <w:tab w:leader="none" w:pos="900" w:val="left"/>
        </w:tabs>
        <w:rPr>
          <w:rFonts w:ascii="Times New Roman" w:cs="Times New Roman" w:eastAsia="Times New Roman" w:hAnsi="Times New Roman"/>
          <w:sz w:val="17"/>
          <w:szCs w:val="17"/>
          <w:u w:val="single" w:color="auto"/>
          <w:color w:val="0000EE"/>
        </w:rPr>
      </w:pPr>
      <w:hyperlink r:id="rId57">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57">
        <w:r>
          <w:rPr>
            <w:rFonts w:ascii="Times New Roman" w:cs="Times New Roman" w:eastAsia="Times New Roman" w:hAnsi="Times New Roman"/>
            <w:sz w:val="17"/>
            <w:szCs w:val="17"/>
            <w:u w:val="single" w:color="auto"/>
            <w:color w:val="0000EE"/>
          </w:rPr>
          <w:t>Form of Common Stock Certificate.</w:t>
        </w:r>
      </w:hyperlink>
    </w:p>
    <w:p>
      <w:pPr>
        <w:spacing w:after="0" w:line="225" w:lineRule="exact"/>
        <w:rPr>
          <w:sz w:val="20"/>
          <w:szCs w:val="20"/>
          <w:color w:val="auto"/>
        </w:rPr>
      </w:pPr>
    </w:p>
    <w:p>
      <w:pPr>
        <w:ind w:left="920" w:right="300" w:hanging="676"/>
        <w:spacing w:after="0" w:line="282" w:lineRule="auto"/>
        <w:tabs>
          <w:tab w:leader="none" w:pos="900" w:val="left"/>
        </w:tabs>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r:id="rId58">
        <w:r>
          <w:rPr>
            <w:rFonts w:ascii="Times New Roman" w:cs="Times New Roman" w:eastAsia="Times New Roman" w:hAnsi="Times New Roman"/>
            <w:sz w:val="18"/>
            <w:szCs w:val="18"/>
            <w:u w:val="single" w:color="auto"/>
            <w:color w:val="0000EE"/>
          </w:rPr>
          <w:t>Employment Agreement dated as of August 10, 2026, between the Company and W.</w:t>
        </w:r>
      </w:hyperlink>
      <w:r>
        <w:rPr>
          <w:rFonts w:ascii="Times New Roman" w:cs="Times New Roman" w:eastAsia="Times New Roman" w:hAnsi="Times New Roman"/>
          <w:sz w:val="18"/>
          <w:szCs w:val="18"/>
          <w:u w:val="single" w:color="auto"/>
          <w:color w:val="0000EE"/>
        </w:rPr>
        <w:t xml:space="preserve"> </w:t>
      </w:r>
      <w:hyperlink r:id="rId58">
        <w:r>
          <w:rPr>
            <w:rFonts w:ascii="Times New Roman" w:cs="Times New Roman" w:eastAsia="Times New Roman" w:hAnsi="Times New Roman"/>
            <w:sz w:val="18"/>
            <w:szCs w:val="18"/>
            <w:u w:val="single" w:color="auto"/>
            <w:color w:val="0000EE"/>
          </w:rPr>
          <w:t>Bradley Bickham.</w:t>
        </w:r>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u w:val="single" w:color="auto"/>
          <w:color w:val="0000EE"/>
        </w:rPr>
      </w:pPr>
    </w:p>
    <w:p>
      <w:pPr>
        <w:ind w:left="920" w:right="440" w:hanging="676"/>
        <w:spacing w:after="0" w:line="282" w:lineRule="auto"/>
        <w:tabs>
          <w:tab w:leader="none" w:pos="900" w:val="left"/>
        </w:tabs>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u w:val="single" w:color="auto"/>
          <w:color w:val="0000EE"/>
        </w:rPr>
        <w:tab/>
      </w:r>
      <w:hyperlink r:id="rId59">
        <w:r>
          <w:rPr>
            <w:rFonts w:ascii="Times New Roman" w:cs="Times New Roman" w:eastAsia="Times New Roman" w:hAnsi="Times New Roman"/>
            <w:sz w:val="18"/>
            <w:szCs w:val="18"/>
            <w:u w:val="single" w:color="auto"/>
            <w:color w:val="0000EE"/>
          </w:rPr>
          <w:t>Equity and Asset Purchase Agreement, dated September 12, 2026, by and between</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AccentCare, Inc. and Addus Healthcare, Inc.</w:t>
        </w:r>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u w:val="single" w:color="auto"/>
          <w:color w:val="0000EE"/>
        </w:rPr>
      </w:pPr>
    </w:p>
    <w:p>
      <w:pPr>
        <w:ind w:left="920" w:hanging="676"/>
        <w:spacing w:after="0" w:line="266" w:lineRule="auto"/>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Rule 13a-14(a) of the Securities Exchange Act of 1934 as Adopted Pursuant to Section 302 of the Sarbanes-Oxley Act of 2002.</w:t>
      </w:r>
    </w:p>
    <w:p>
      <w:pPr>
        <w:spacing w:after="0" w:line="176" w:lineRule="exact"/>
        <w:rPr>
          <w:rFonts w:ascii="Times New Roman" w:cs="Times New Roman" w:eastAsia="Times New Roman" w:hAnsi="Times New Roman"/>
          <w:sz w:val="18"/>
          <w:szCs w:val="18"/>
          <w:u w:val="single" w:color="auto"/>
          <w:color w:val="0000EE"/>
        </w:rPr>
      </w:pPr>
    </w:p>
    <w:p>
      <w:pPr>
        <w:ind w:left="920" w:hanging="676"/>
        <w:spacing w:after="0" w:line="266" w:lineRule="auto"/>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Rule 13a-14(a) of the Securities Exchange Act of 1934 as Adopted Pursuant to Section 302 of the Sarbanes-Oxley Act of 2002.</w:t>
      </w:r>
    </w:p>
    <w:p>
      <w:pPr>
        <w:spacing w:after="0" w:line="176" w:lineRule="exact"/>
        <w:rPr>
          <w:rFonts w:ascii="Times New Roman" w:cs="Times New Roman" w:eastAsia="Times New Roman" w:hAnsi="Times New Roman"/>
          <w:sz w:val="18"/>
          <w:szCs w:val="18"/>
          <w:u w:val="single" w:color="auto"/>
          <w:color w:val="0000EE"/>
        </w:rPr>
      </w:pPr>
    </w:p>
    <w:p>
      <w:pPr>
        <w:ind w:left="920" w:right="20" w:hanging="676"/>
        <w:spacing w:after="0" w:line="282" w:lineRule="auto"/>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32.1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18 U.S.C. Section 1350, as Adopted Pursuant to Section 906 of the Sarbanes-Oxley Act of 2002.</w:t>
      </w:r>
    </w:p>
    <w:p>
      <w:pPr>
        <w:spacing w:after="0" w:line="162" w:lineRule="exact"/>
        <w:rPr>
          <w:rFonts w:ascii="Times New Roman" w:cs="Times New Roman" w:eastAsia="Times New Roman" w:hAnsi="Times New Roman"/>
          <w:sz w:val="18"/>
          <w:szCs w:val="18"/>
          <w:u w:val="single" w:color="auto"/>
          <w:color w:val="0000EE"/>
        </w:rPr>
      </w:pPr>
    </w:p>
    <w:p>
      <w:pPr>
        <w:ind w:left="920" w:right="60" w:hanging="676"/>
        <w:spacing w:after="0" w:line="282" w:lineRule="auto"/>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32.2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18 U.S.C. Section 1350, as Adopted Pursuant to Section 906 of the Sarbanes-Oxley Act of 2002.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88"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34"/>
        </w:trPr>
        <w:tc>
          <w:tcPr>
            <w:tcW w:w="5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001-34504</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11/20/2009</w:t>
            </w:r>
          </w:p>
        </w:tc>
        <w:tc>
          <w:tcPr>
            <w:tcW w:w="5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3.1</w:t>
            </w:r>
          </w:p>
        </w:tc>
      </w:tr>
      <w:tr>
        <w:trPr>
          <w:trHeight w:val="648"/>
        </w:trPr>
        <w:tc>
          <w:tcPr>
            <w:tcW w:w="5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001-34504</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05/09/2013</w:t>
            </w:r>
          </w:p>
        </w:tc>
        <w:tc>
          <w:tcPr>
            <w:tcW w:w="5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3.2</w:t>
            </w:r>
          </w:p>
        </w:tc>
      </w:tr>
      <w:tr>
        <w:trPr>
          <w:trHeight w:val="540"/>
        </w:trPr>
        <w:tc>
          <w:tcPr>
            <w:tcW w:w="5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333-160634</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10/02/2009</w:t>
            </w:r>
          </w:p>
        </w:tc>
        <w:tc>
          <w:tcPr>
            <w:tcW w:w="5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4.1</w:t>
            </w:r>
          </w:p>
        </w:tc>
      </w:tr>
      <w:tr>
        <w:trPr>
          <w:trHeight w:val="540"/>
        </w:trPr>
        <w:tc>
          <w:tcPr>
            <w:tcW w:w="5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001-34504</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08/13/2026</w:t>
            </w:r>
          </w:p>
        </w:tc>
        <w:tc>
          <w:tcPr>
            <w:tcW w:w="5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5"/>
              </w:rPr>
              <w:t>10.1</w:t>
            </w:r>
          </w:p>
        </w:tc>
      </w:tr>
      <w:tr>
        <w:trPr>
          <w:trHeight w:val="648"/>
        </w:trPr>
        <w:tc>
          <w:tcPr>
            <w:tcW w:w="5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001-34504</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09/14/2026</w:t>
            </w:r>
          </w:p>
        </w:tc>
        <w:tc>
          <w:tcPr>
            <w:tcW w:w="5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5"/>
              </w:rPr>
              <w:t>10.1</w:t>
            </w:r>
          </w:p>
        </w:tc>
      </w:tr>
    </w:tbl>
    <w:p>
      <w:pPr>
        <w:spacing w:after="0" w:line="3330"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320" w:space="240"/>
            <w:col w:w="3680"/>
          </w:cols>
          <w:pgMar w:left="320" w:top="108" w:right="339" w:bottom="1440" w:gutter="0" w:footer="0" w:header="0"/>
          <w:type w:val="continuous"/>
        </w:sectPr>
      </w:pPr>
    </w:p>
    <w:tbl>
      <w:tblPr>
        <w:tblLayout w:type="fixed"/>
        <w:tblInd w:w="60" w:type="dxa"/>
        <w:tblCellMar>
          <w:top w:w="0" w:type="dxa"/>
          <w:left w:w="0" w:type="dxa"/>
          <w:bottom w:w="0" w:type="dxa"/>
          <w:right w:w="0" w:type="dxa"/>
        </w:tblCellMar>
      </w:tblPr>
      <w:tr>
        <w:trPr>
          <w:trHeight w:val="216"/>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101.INS</w:t>
            </w:r>
          </w:p>
        </w:tc>
        <w:tc>
          <w:tcPr>
            <w:tcW w:w="100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Inline XBRL Instance Document (the instance document does not appear in the Interactive Data File because its XBRL tags are embedded</w:t>
            </w:r>
          </w:p>
        </w:tc>
      </w:tr>
      <w:tr>
        <w:trPr>
          <w:trHeight w:val="234"/>
        </w:trPr>
        <w:tc>
          <w:tcPr>
            <w:tcW w:w="780" w:type="dxa"/>
            <w:vAlign w:val="bottom"/>
          </w:tcPr>
          <w:p>
            <w:pPr>
              <w:spacing w:after="0"/>
              <w:rPr>
                <w:sz w:val="20"/>
                <w:szCs w:val="20"/>
                <w:color w:val="auto"/>
              </w:rPr>
            </w:pPr>
          </w:p>
        </w:tc>
        <w:tc>
          <w:tcPr>
            <w:tcW w:w="10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0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101.CAL</w:t>
            </w:r>
          </w:p>
        </w:tc>
        <w:tc>
          <w:tcPr>
            <w:tcW w:w="10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432"/>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101.LAB</w:t>
            </w:r>
          </w:p>
        </w:tc>
        <w:tc>
          <w:tcPr>
            <w:tcW w:w="10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432"/>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101.PRE</w:t>
            </w:r>
          </w:p>
        </w:tc>
        <w:tc>
          <w:tcPr>
            <w:tcW w:w="10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0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198" w:lineRule="exact"/>
        <w:rPr>
          <w:rFonts w:ascii="Times New Roman" w:cs="Times New Roman" w:eastAsia="Times New Roman" w:hAnsi="Times New Roman"/>
          <w:sz w:val="18"/>
          <w:szCs w:val="18"/>
          <w:u w:val="single" w:color="auto"/>
          <w:color w:val="0000EE"/>
        </w:rPr>
      </w:pPr>
    </w:p>
    <w:p>
      <w:pPr>
        <w:ind w:left="920" w:right="2360" w:hanging="649"/>
        <w:spacing w:after="0" w:line="500" w:lineRule="auto"/>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contained in Exhibit 101). * Management compensatory plan or arrangement</w:t>
      </w:r>
    </w:p>
    <w:p>
      <w:pPr>
        <w:spacing w:after="0" w:line="1" w:lineRule="exact"/>
        <w:rPr>
          <w:rFonts w:ascii="Times New Roman" w:cs="Times New Roman" w:eastAsia="Times New Roman" w:hAnsi="Times New Roman"/>
          <w:sz w:val="18"/>
          <w:szCs w:val="18"/>
          <w:color w:val="auto"/>
        </w:rPr>
      </w:pPr>
    </w:p>
    <w:p>
      <w:pPr>
        <w:ind w:left="920" w:right="960" w:firstLine="6"/>
        <w:spacing w:after="0" w:line="282" w:lineRule="auto"/>
        <w:tabs>
          <w:tab w:leader="none" w:pos="114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 of Regulation S-K. The Company hereby undertakes to furnish supplementally a copy of any of the omitted schedules and exhibits upon request by the Securities and Exchange Commission.</w:t>
      </w:r>
    </w:p>
    <w:p>
      <w:pPr>
        <w:spacing w:after="0" w:line="162"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i w:val="1"/>
          <w:iCs w:val="1"/>
          <w:color w:val="auto"/>
        </w:rPr>
        <w:t>ADDUS HOMECARE CORPORATION</w:t>
      </w:r>
    </w:p>
    <w:p>
      <w:pPr>
        <w:spacing w:after="0" w:line="229" w:lineRule="exact"/>
        <w:rPr>
          <w:sz w:val="20"/>
          <w:szCs w:val="20"/>
          <w:color w:val="auto"/>
        </w:rPr>
      </w:pPr>
    </w:p>
    <w:p>
      <w:pPr>
        <w:spacing w:after="0"/>
        <w:tabs>
          <w:tab w:leader="none" w:pos="5540" w:val="left"/>
          <w:tab w:leader="none" w:pos="776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1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 Dirk Allison</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(As Principal Executive Officer)</w:t>
      </w:r>
    </w:p>
    <w:p>
      <w:pPr>
        <w:spacing w:after="0" w:line="207" w:lineRule="exact"/>
        <w:rPr>
          <w:sz w:val="20"/>
          <w:szCs w:val="20"/>
          <w:color w:val="auto"/>
        </w:rPr>
      </w:pPr>
    </w:p>
    <w:p>
      <w:pPr>
        <w:spacing w:after="0"/>
        <w:tabs>
          <w:tab w:leader="none" w:pos="5540" w:val="left"/>
          <w:tab w:leader="none" w:pos="798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21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Brian Poff</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(As Principal Financial Officer)</w:t>
      </w:r>
    </w:p>
    <w:p>
      <w:pPr>
        <w:spacing w:after="0" w:line="20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740"/>
          </w:cols>
          <w:pgMar w:left="320" w:top="121" w:right="8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Dirk Allison, certify that:</w:t>
      </w:r>
    </w:p>
    <w:p>
      <w:pPr>
        <w:spacing w:after="0" w:line="225" w:lineRule="exact"/>
        <w:rPr>
          <w:sz w:val="20"/>
          <w:szCs w:val="20"/>
          <w:color w:val="auto"/>
        </w:rPr>
      </w:pPr>
    </w:p>
    <w:p>
      <w:pPr>
        <w:ind w:left="820" w:hanging="812"/>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Addus HomeCare Corporation;</w:t>
      </w:r>
    </w:p>
    <w:p>
      <w:pPr>
        <w:spacing w:after="0" w:line="225"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20" w:right="140" w:hanging="812"/>
        <w:spacing w:after="0" w:line="276" w:lineRule="auto"/>
        <w:tabs>
          <w:tab w:leader="none" w:pos="8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620" w:right="180" w:hanging="802"/>
        <w:spacing w:after="0" w:line="266"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620" w:right="280" w:hanging="802"/>
        <w:spacing w:after="0" w:line="266"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20" w:right="100" w:hanging="812"/>
        <w:spacing w:after="0" w:line="312" w:lineRule="auto"/>
        <w:tabs>
          <w:tab w:leader="none" w:pos="8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620" w:right="120" w:hanging="802"/>
        <w:spacing w:after="0" w:line="282"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right="420" w:hanging="802"/>
        <w:spacing w:after="0" w:line="282"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R. Dirk Allison</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 Dirk Allison</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Poff, certify that:</w:t>
      </w:r>
    </w:p>
    <w:p>
      <w:pPr>
        <w:spacing w:after="0" w:line="225" w:lineRule="exact"/>
        <w:rPr>
          <w:sz w:val="20"/>
          <w:szCs w:val="20"/>
          <w:color w:val="auto"/>
        </w:rPr>
      </w:pPr>
    </w:p>
    <w:p>
      <w:pPr>
        <w:ind w:left="820" w:hanging="812"/>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Addus HomeCare Corporation;</w:t>
      </w:r>
    </w:p>
    <w:p>
      <w:pPr>
        <w:spacing w:after="0" w:line="225"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20" w:right="140" w:hanging="812"/>
        <w:spacing w:after="0" w:line="276" w:lineRule="auto"/>
        <w:tabs>
          <w:tab w:leader="none" w:pos="8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620" w:right="180" w:hanging="802"/>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620" w:right="280" w:hanging="802"/>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20" w:right="100" w:hanging="812"/>
        <w:spacing w:after="0" w:line="312" w:lineRule="auto"/>
        <w:tabs>
          <w:tab w:leader="none" w:pos="8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620" w:right="120" w:hanging="802"/>
        <w:spacing w:after="0" w:line="282"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right="420" w:hanging="802"/>
        <w:spacing w:after="0" w:line="282"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Brian Poff</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Poff</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September 30, 2026 of Addus HomeCare Corporation (the “Company”) as filed with the Securities and Exchange Commission on the date hereof (the “Report”), I, R. Dirk Allison, Chairman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R. Dirk Allison</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 Dirk Allison</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September 30, 2026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Brian Poff</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Poff</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04"/>
    </w:lvl>
    <w:lvl w:ilvl="1">
      <w:lvlJc w:val="left"/>
      <w:lvlText w:val="*"/>
      <w:numFmt w:val="bullet"/>
      <w:start w:val="1"/>
    </w:lvl>
  </w:abstractNum>
  <w:abstractNum w:abstractNumId="14">
    <w:nsid w:val="25E45D32"/>
    <w:multiLevelType w:val="hybridMultilevel"/>
    <w:lvl w:ilvl="0">
      <w:lvlJc w:val="left"/>
      <w:lvlText w:val="%1"/>
      <w:numFmt w:val="decimal"/>
      <w:start w:val="1"/>
    </w:lvl>
    <w:lvl w:ilvl="1">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55" Type="http://schemas.openxmlformats.org/officeDocument/2006/relationships/hyperlink" Target="http://www.sec.gov/Archives/edgar/data/1468328/000119312509238641/dex31.htm" TargetMode="External"/><Relationship Id="rId56" Type="http://schemas.openxmlformats.org/officeDocument/2006/relationships/hyperlink" Target="http://www.sec.gov/Archives/edgar/data/1468328/000119312513211165/d535575dex32.htm" TargetMode="External"/><Relationship Id="rId57" Type="http://schemas.openxmlformats.org/officeDocument/2006/relationships/hyperlink" Target="http://www.sec.gov/Archives/edgar/data/1468328/000119312509202215/dex41.htm" TargetMode="External"/><Relationship Id="rId58" Type="http://schemas.openxmlformats.org/officeDocument/2006/relationships/hyperlink" Target="http://www.sec.gov/Archives/edgar/data/1468328/000143774926027682/ex_1004483.htm" TargetMode="External"/><Relationship Id="rId59" Type="http://schemas.openxmlformats.org/officeDocument/2006/relationships/hyperlink" Target="http://www.sec.gov/Archives/edgar/data/1468328/000143774926030348/ex_10158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2026-11-04T15:47:18Z</dcterms:created>
  <dcterms:modified xsi:type="dcterms:W3CDTF">2026-11-04T15:47:18Z</dcterms:modified>
</cp:coreProperties>
</file>