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ADDUS HOMECARE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001-34504</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20-5340172</w:t>
            </w:r>
          </w:p>
        </w:tc>
      </w:tr>
      <w:tr>
        <w:trPr>
          <w:trHeight w:val="149"/>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6303 Cowboys Way, Suite 600</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Frisco, Texas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75034</w:t>
            </w:r>
          </w:p>
        </w:tc>
      </w:tr>
      <w:tr>
        <w:trPr>
          <w:trHeight w:val="190"/>
        </w:trPr>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(469) 535-8200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ADUS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right="260" w:firstLine="440"/>
        <w:spacing w:after="0" w:line="254" w:lineRule="auto"/>
        <w:rPr>
          <w:sz w:val="20"/>
          <w:szCs w:val="20"/>
          <w:color w:val="auto"/>
        </w:rPr>
      </w:pPr>
      <w:r>
        <w:rPr>
          <w:rFonts w:ascii="Times New Roman" w:cs="Times New Roman" w:eastAsia="Times New Roman" w:hAnsi="Times New Roman"/>
          <w:sz w:val="18"/>
          <w:szCs w:val="18"/>
          <w:color w:val="auto"/>
        </w:rPr>
        <w:t>At the 2024 annual meeting of the stockholders (the “Annual Meeting”) of Addus HomeCare Corporation (the “Company”) held on June 12, 2024, a total of 15,221,325 shares of the Company’s common stock, out of a total of 16,370,336 shares of common stock outstanding and entitled to vote, were present in person or represented by proxies. The Company’s stockholders (i) elected R. Dirk Allison, Mark L. First and Darin J. Gordon to serve as Class III directors for terms expiring at the 2027 annual meeting of the Company’s stockholders; (ii) ratified the appointment of PricewaterhouseCoopers LLP, an independent registered public accounting firm, as the Company’s independent auditor for fiscal year 2024 and</w:t>
      </w:r>
    </w:p>
    <w:p>
      <w:pPr>
        <w:spacing w:after="0" w:line="3" w:lineRule="exact"/>
        <w:rPr>
          <w:sz w:val="20"/>
          <w:szCs w:val="20"/>
          <w:color w:val="auto"/>
        </w:rPr>
      </w:pPr>
    </w:p>
    <w:p>
      <w:pPr>
        <w:ind w:left="4" w:right="200" w:hanging="4"/>
        <w:spacing w:after="0" w:line="260"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non-binding basis, the Company’s compensation of its named executive officers as set forth in the Proxy Statement. The votes on these matters were as follows:</w:t>
      </w:r>
    </w:p>
    <w:p>
      <w:pPr>
        <w:spacing w:after="0" w:line="86" w:lineRule="exact"/>
        <w:rPr>
          <w:rFonts w:ascii="Times New Roman" w:cs="Times New Roman" w:eastAsia="Times New Roman" w:hAnsi="Times New Roman"/>
          <w:sz w:val="18"/>
          <w:szCs w:val="18"/>
          <w:color w:val="auto"/>
        </w:rPr>
      </w:pPr>
    </w:p>
    <w:p>
      <w:pPr>
        <w:ind w:left="964" w:right="38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R. Dirk Allison, Mark L. First and Darin J. Gordon to serve as Class III directors for terms expiring at the 2027 annual meeting of the Company’s stockholders:</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Withhold Authority</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 R. Dirk Allison</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14,101,109</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609,981</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510,235</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Mark L. First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13,849,648</w:t>
            </w: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861,442</w:t>
            </w: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510,235</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Darin J. Gordon</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14,181,916</w:t>
            </w: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529,174</w:t>
            </w: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510,235</w:t>
            </w:r>
          </w:p>
        </w:tc>
      </w:tr>
    </w:tbl>
    <w:p>
      <w:pPr>
        <w:spacing w:after="0" w:line="225" w:lineRule="exact"/>
        <w:rPr>
          <w:sz w:val="20"/>
          <w:szCs w:val="20"/>
          <w:color w:val="auto"/>
        </w:rPr>
      </w:pPr>
    </w:p>
    <w:p>
      <w:pPr>
        <w:ind w:left="964" w:right="22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PricewaterhouseCoopersLLP, an independent registered public accounting firm, as the Company’s independent auditor for the fiscal year ending December 31, 2024:</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2660" w:type="dxa"/>
            <w:vAlign w:val="bottom"/>
            <w:gridSpan w:val="2"/>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For</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3880" w:type="dxa"/>
            <w:vAlign w:val="bottom"/>
            <w:gridSpan w:val="3"/>
          </w:tcPr>
          <w:p>
            <w:pPr>
              <w:jc w:val="center"/>
              <w:ind w:left="1148"/>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3860" w:type="dxa"/>
            <w:vAlign w:val="bottom"/>
            <w:gridSpan w:val="3"/>
            <w:shd w:val="clear" w:color="auto" w:fill="CCEEFF"/>
          </w:tcPr>
          <w:p>
            <w:pPr>
              <w:jc w:val="right"/>
              <w:ind w:right="2140"/>
              <w:spacing w:after="0"/>
              <w:rPr>
                <w:sz w:val="20"/>
                <w:szCs w:val="20"/>
                <w:color w:val="auto"/>
              </w:rPr>
            </w:pPr>
            <w:r>
              <w:rPr>
                <w:rFonts w:ascii="Times New Roman" w:cs="Times New Roman" w:eastAsia="Times New Roman" w:hAnsi="Times New Roman"/>
                <w:sz w:val="18"/>
                <w:szCs w:val="18"/>
                <w:color w:val="auto"/>
              </w:rPr>
              <w:t>15,208,691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0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78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25" w:lineRule="exact"/>
        <w:rPr>
          <w:sz w:val="20"/>
          <w:szCs w:val="20"/>
          <w:color w:val="auto"/>
        </w:rPr>
      </w:pPr>
    </w:p>
    <w:p>
      <w:pPr>
        <w:ind w:left="964" w:right="16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non-binding basis, of the Company’s compensation of its named executive officers as set forth in the Proxy Statement:</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156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For</w:t>
            </w:r>
          </w:p>
        </w:tc>
        <w:tc>
          <w:tcPr>
            <w:tcW w:w="1100" w:type="dxa"/>
            <w:vAlign w:val="bottom"/>
          </w:tcPr>
          <w:p>
            <w:pPr>
              <w:spacing w:after="0"/>
              <w:rPr>
                <w:sz w:val="15"/>
                <w:szCs w:val="15"/>
                <w:color w:val="auto"/>
              </w:rPr>
            </w:pPr>
          </w:p>
        </w:tc>
        <w:tc>
          <w:tcPr>
            <w:tcW w:w="166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140" w:type="dxa"/>
            <w:vAlign w:val="bottom"/>
          </w:tcPr>
          <w:p>
            <w:pPr>
              <w:spacing w:after="0"/>
              <w:rPr>
                <w:sz w:val="15"/>
                <w:szCs w:val="15"/>
                <w:color w:val="auto"/>
              </w:rPr>
            </w:pPr>
          </w:p>
        </w:tc>
        <w:tc>
          <w:tcPr>
            <w:tcW w:w="148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2880" w:type="dxa"/>
            <w:vAlign w:val="bottom"/>
            <w:gridSpan w:val="3"/>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76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13,699,660</w:t>
            </w:r>
          </w:p>
        </w:tc>
        <w:tc>
          <w:tcPr>
            <w:tcW w:w="2760" w:type="dxa"/>
            <w:vAlign w:val="bottom"/>
            <w:gridSpan w:val="3"/>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979,919</w:t>
            </w:r>
          </w:p>
        </w:tc>
        <w:tc>
          <w:tcPr>
            <w:tcW w:w="262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31,511</w:t>
            </w: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510,235</w:t>
            </w:r>
          </w:p>
        </w:tc>
        <w:tc>
          <w:tcPr>
            <w:tcW w:w="780" w:type="dxa"/>
            <w:vAlign w:val="bottom"/>
            <w:shd w:val="clear" w:color="auto" w:fill="CCEEFF"/>
          </w:tcPr>
          <w:p>
            <w:pPr>
              <w:spacing w:after="0"/>
              <w:rPr>
                <w:sz w:val="18"/>
                <w:szCs w:val="18"/>
                <w:color w:val="auto"/>
              </w:rPr>
            </w:pPr>
          </w:p>
        </w:tc>
      </w:tr>
    </w:tbl>
    <w:p>
      <w:pPr>
        <w:sectPr>
          <w:pgSz w:w="11900" w:h="16838" w:orient="portrait"/>
          <w:cols w:equalWidth="0" w:num="1">
            <w:col w:w="11024"/>
          </w:cols>
          <w:pgMar w:left="436" w:top="293"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Brian Poff</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3"/>
    </w:lvl>
    <w:lvl w:ilvl="1">
      <w:lvlJc w:val="left"/>
      <w:lvlText w:val="(%2)"/>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2024-06-12T15:08:31Z</dcterms:created>
  <dcterms:modified xsi:type="dcterms:W3CDTF">2024-06-12T15:08:31Z</dcterms:modified>
</cp:coreProperties>
</file>