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dus20260630_10q.htm"/>
      <w:bookmarkStart w:id="1" w:name="ksadus202606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transition period from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001-34504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6303 Cowboys Way, Suite 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Frisco, TX</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(469) 535-8200</w:t>
      </w:r>
    </w:p>
    <w:p>
      <w:pPr>
        <w:pStyle w:val="TextBody"/>
        <w:bidi w:val="0"/>
        <w:spacing w:before="0" w:after="0"/>
        <w:ind w:left="0" w:right="0" w:firstLine="50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28" w:type="dxa"/>
          <w:left w:w="28" w:type="dxa"/>
          <w:bottom w:w="28" w:type="dxa"/>
          <w:right w:w="0" w:type="dxa"/>
        </w:tblCellMar>
      </w:tblPr>
      <w:tblGrid>
        <w:gridCol w:w="2735"/>
        <w:gridCol w:w="1535"/>
        <w:gridCol w:w="3575"/>
      </w:tblGrid>
      <w:tr>
        <w:trPr/>
        <w:tc>
          <w:tcPr>
            <w:tcW w:w="27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7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ADUS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2300"/>
        <w:gridCol w:w="230"/>
        <w:gridCol w:w="2345"/>
        <w:gridCol w:w="230"/>
      </w:tblGrid>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July 28, 2026, Addus HomeCare Corporation had 18,674,300</w:t>
      </w:r>
      <w:r>
        <w:rPr>
          <w:rFonts w:ascii="Times New Roman" w:hAnsi="Times New Roman"/>
          <w:caps w:val="false"/>
          <w:smallCaps w:val="false"/>
          <w:sz w:val="20"/>
          <w:shd w:fill="FFFFFF" w:val="clear"/>
        </w:rPr>
        <w:t> </w:t>
      </w:r>
      <w:r>
        <w:rPr>
          <w:rFonts w:ascii="Times New Roman" w:hAnsi="Times New Roman"/>
          <w:caps w:val="false"/>
          <w:smallCaps w:val="false"/>
          <w:sz w:val="20"/>
        </w:rPr>
        <w:t>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0"/>
              <w:ind w:left="180" w:right="0" w:hanging="0"/>
              <w:jc w:val="left"/>
              <w:rPr/>
            </w:pPr>
            <w:hyperlink w:anchor="part1">
              <w:r>
                <w:rPr>
                  <w:rStyle w:val="InternetLink"/>
                  <w:rFonts w:ascii="Times New Roman" w:hAnsi="Times New Roman"/>
                  <w:caps w:val="false"/>
                  <w:smallCaps w:val="false"/>
                  <w:sz w:val="20"/>
                  <w:u w:val="single"/>
                </w:rPr>
                <w:t>PART I. FINANCIAL INFORMATION</w:t>
              </w:r>
            </w:hyperlink>
          </w:p>
        </w:tc>
        <w:tc>
          <w:tcPr>
            <w:tcW w:w="230" w:type="dxa"/>
            <w:tcBorders/>
            <w:vAlign w:val="center"/>
          </w:tcPr>
          <w:p>
            <w:pPr>
              <w:pStyle w:val="TableContents"/>
              <w:bidi w:val="0"/>
              <w:spacing w:before="0" w:after="0"/>
              <w:ind w:left="0" w:right="0" w:hanging="0"/>
              <w:jc w:val="right"/>
              <w:rPr/>
            </w:pPr>
            <w:hyperlink w:anchor="part1">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finstmts">
              <w:r>
                <w:rPr>
                  <w:rStyle w:val="InternetLink"/>
                  <w:rFonts w:ascii="Times New Roman" w:hAnsi="Times New Roman"/>
                  <w:caps w:val="false"/>
                  <w:smallCaps w:val="false"/>
                  <w:sz w:val="20"/>
                  <w:u w:val="single"/>
                </w:rPr>
                <w:t>Item 1. Financial Statements (Unaudited)</w:t>
              </w:r>
            </w:hyperlink>
          </w:p>
        </w:tc>
        <w:tc>
          <w:tcPr>
            <w:tcW w:w="23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bs">
              <w:r>
                <w:rPr>
                  <w:rStyle w:val="InternetLink"/>
                  <w:rFonts w:ascii="Times New Roman" w:hAnsi="Times New Roman"/>
                  <w:caps w:val="false"/>
                  <w:smallCaps w:val="false"/>
                  <w:sz w:val="20"/>
                  <w:u w:val="single"/>
                </w:rPr>
                <w:t>Condensed Consolidated Balance Sheets as of June 30, 2026 and December 31, 2025</w:t>
              </w:r>
            </w:hyperlink>
          </w:p>
        </w:tc>
        <w:tc>
          <w:tcPr>
            <w:tcW w:w="23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inc">
              <w:r>
                <w:rPr>
                  <w:rStyle w:val="InternetLink"/>
                  <w:rFonts w:ascii="Times New Roman" w:hAnsi="Times New Roman"/>
                  <w:caps w:val="false"/>
                  <w:smallCaps w:val="false"/>
                  <w:sz w:val="20"/>
                  <w:u w:val="single"/>
                </w:rPr>
                <w:t>Condensed Consolidated Statements of Income For the Three and Six Months Ended June 30, 2026 and 2025</w:t>
              </w:r>
            </w:hyperlink>
          </w:p>
        </w:tc>
        <w:tc>
          <w:tcPr>
            <w:tcW w:w="230" w:type="dxa"/>
            <w:tcBorders/>
            <w:vAlign w:val="center"/>
          </w:tcPr>
          <w:p>
            <w:pPr>
              <w:pStyle w:val="TableContents"/>
              <w:bidi w:val="0"/>
              <w:spacing w:before="0" w:after="0"/>
              <w:ind w:left="0" w:right="0" w:hanging="0"/>
              <w:jc w:val="right"/>
              <w:rPr/>
            </w:pPr>
            <w:hyperlink w:anchor="inc">
              <w:r>
                <w:rPr>
                  <w:rStyle w:val="InternetLink"/>
                  <w:rFonts w:ascii="Times New Roman" w:hAnsi="Times New Roman"/>
                  <w:caps w:val="false"/>
                  <w:smallCaps w:val="false"/>
                  <w:sz w:val="20"/>
                </w:rPr>
                <w:t>5</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se">
              <w:r>
                <w:rPr>
                  <w:rStyle w:val="InternetLink"/>
                  <w:rFonts w:ascii="Times New Roman" w:hAnsi="Times New Roman"/>
                  <w:caps w:val="false"/>
                  <w:smallCaps w:val="false"/>
                  <w:sz w:val="20"/>
                  <w:u w:val="single"/>
                </w:rPr>
                <w:t>Condensed Consolidated Statements of Stockholders’ Equity For the Three and Six Months Ended June 30, 2026 and 2025</w:t>
              </w:r>
            </w:hyperlink>
          </w:p>
        </w:tc>
        <w:tc>
          <w:tcPr>
            <w:tcW w:w="23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cf">
              <w:r>
                <w:rPr>
                  <w:rStyle w:val="InternetLink"/>
                  <w:rFonts w:ascii="Times New Roman" w:hAnsi="Times New Roman"/>
                  <w:caps w:val="false"/>
                  <w:smallCaps w:val="false"/>
                  <w:sz w:val="20"/>
                  <w:u w:val="single"/>
                </w:rPr>
                <w:t>Condensed Consolidated Statements of Cash Flows For the Six Months Ended June 30, 2026 and 2025</w:t>
              </w:r>
            </w:hyperlink>
          </w:p>
        </w:tc>
        <w:tc>
          <w:tcPr>
            <w:tcW w:w="23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8</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notes">
              <w:r>
                <w:rPr>
                  <w:rStyle w:val="InternetLink"/>
                  <w:rFonts w:ascii="Times New Roman" w:hAnsi="Times New Roman"/>
                  <w:caps w:val="false"/>
                  <w:smallCaps w:val="false"/>
                  <w:sz w:val="20"/>
                  <w:u w:val="single"/>
                </w:rPr>
                <w:t xml:space="preserve">Notes to Condensed Consolidated Financial Statements </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mda">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22</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quant">
              <w:r>
                <w:rPr>
                  <w:rStyle w:val="InternetLink"/>
                  <w:rFonts w:ascii="Times New Roman" w:hAnsi="Times New Roman"/>
                  <w:caps w:val="false"/>
                  <w:smallCaps w:val="false"/>
                  <w:sz w:val="20"/>
                  <w:u w:val="single"/>
                </w:rPr>
                <w:t>Item 3. Quantitative and Qualitative Disclosures About Market Risk</w:t>
              </w:r>
            </w:hyperlink>
          </w:p>
        </w:tc>
        <w:tc>
          <w:tcPr>
            <w:tcW w:w="23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39</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controls">
              <w:r>
                <w:rPr>
                  <w:rStyle w:val="InternetLink"/>
                  <w:rFonts w:ascii="Times New Roman" w:hAnsi="Times New Roman"/>
                  <w:caps w:val="false"/>
                  <w:smallCaps w:val="false"/>
                  <w:sz w:val="20"/>
                  <w:u w:val="single"/>
                </w:rPr>
                <w:t>Item 4. Controls and Procedures</w:t>
              </w:r>
            </w:hyperlink>
          </w:p>
        </w:tc>
        <w:tc>
          <w:tcPr>
            <w:tcW w:w="23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39</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180" w:right="0" w:hanging="0"/>
              <w:jc w:val="left"/>
              <w:rPr/>
            </w:pPr>
            <w:hyperlink w:anchor="part2">
              <w:r>
                <w:rPr>
                  <w:rStyle w:val="InternetLink"/>
                  <w:rFonts w:ascii="Times New Roman" w:hAnsi="Times New Roman"/>
                  <w:caps w:val="false"/>
                  <w:smallCaps w:val="false"/>
                  <w:sz w:val="20"/>
                  <w:u w:val="single"/>
                </w:rPr>
                <w:t>PART II. OTHER INFORMATION</w:t>
              </w:r>
            </w:hyperlink>
          </w:p>
        </w:tc>
        <w:tc>
          <w:tcPr>
            <w:tcW w:w="230" w:type="dxa"/>
            <w:tcBorders/>
            <w:vAlign w:val="center"/>
          </w:tcPr>
          <w:p>
            <w:pPr>
              <w:pStyle w:val="TableContents"/>
              <w:bidi w:val="0"/>
              <w:spacing w:before="0" w:after="0"/>
              <w:ind w:left="0" w:right="0" w:hanging="0"/>
              <w:jc w:val="right"/>
              <w:rPr/>
            </w:pPr>
            <w:hyperlink w:anchor="part2">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legal">
              <w:r>
                <w:rPr>
                  <w:rStyle w:val="InternetLink"/>
                  <w:rFonts w:ascii="Times New Roman" w:hAnsi="Times New Roman"/>
                  <w:caps w:val="false"/>
                  <w:smallCaps w:val="false"/>
                  <w:sz w:val="20"/>
                  <w:u w:val="single"/>
                </w:rPr>
                <w:t>Item 1. Legal Proceedings</w:t>
              </w:r>
            </w:hyperlink>
          </w:p>
        </w:tc>
        <w:tc>
          <w:tcPr>
            <w:tcW w:w="23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risk">
              <w:r>
                <w:rPr>
                  <w:rStyle w:val="InternetLink"/>
                  <w:rFonts w:ascii="Times New Roman" w:hAnsi="Times New Roman"/>
                  <w:caps w:val="false"/>
                  <w:smallCaps w:val="false"/>
                  <w:sz w:val="20"/>
                  <w:u w:val="single"/>
                </w:rPr>
                <w:t>Item 1A. Risk Factors</w:t>
              </w:r>
            </w:hyperlink>
          </w:p>
        </w:tc>
        <w:tc>
          <w:tcPr>
            <w:tcW w:w="23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unregistered">
              <w:r>
                <w:rPr>
                  <w:rStyle w:val="InternetLink"/>
                  <w:rFonts w:ascii="Times New Roman" w:hAnsi="Times New Roman"/>
                  <w:caps w:val="false"/>
                  <w:smallCaps w:val="false"/>
                  <w:sz w:val="20"/>
                  <w:u w:val="single"/>
                </w:rPr>
                <w:t>Item 2. Unregistered Sales of Equity Securities and Use of Proceeds</w:t>
              </w:r>
            </w:hyperlink>
          </w:p>
        </w:tc>
        <w:tc>
          <w:tcPr>
            <w:tcW w:w="23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defaults">
              <w:r>
                <w:rPr>
                  <w:rStyle w:val="InternetLink"/>
                  <w:rFonts w:ascii="Times New Roman" w:hAnsi="Times New Roman"/>
                  <w:caps w:val="false"/>
                  <w:smallCaps w:val="false"/>
                  <w:sz w:val="20"/>
                  <w:u w:val="single"/>
                </w:rPr>
                <w:t>Item 3. Defaults Upon Senior Securities</w:t>
              </w:r>
            </w:hyperlink>
          </w:p>
        </w:tc>
        <w:tc>
          <w:tcPr>
            <w:tcW w:w="23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mine">
              <w:r>
                <w:rPr>
                  <w:rStyle w:val="InternetLink"/>
                  <w:rFonts w:ascii="Times New Roman" w:hAnsi="Times New Roman"/>
                  <w:caps w:val="false"/>
                  <w:smallCaps w:val="false"/>
                  <w:sz w:val="20"/>
                  <w:u w:val="single"/>
                </w:rPr>
                <w:t>Item 4. Mine Safety Disclosures</w:t>
              </w:r>
            </w:hyperlink>
          </w:p>
        </w:tc>
        <w:tc>
          <w:tcPr>
            <w:tcW w:w="23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otherinfo">
              <w:r>
                <w:rPr>
                  <w:rStyle w:val="InternetLink"/>
                  <w:rFonts w:ascii="Times New Roman" w:hAnsi="Times New Roman"/>
                  <w:caps w:val="false"/>
                  <w:smallCaps w:val="false"/>
                  <w:sz w:val="20"/>
                  <w:u w:val="single"/>
                </w:rPr>
                <w:t>Item 5. Other Information</w:t>
              </w:r>
            </w:hyperlink>
          </w:p>
        </w:tc>
        <w:tc>
          <w:tcPr>
            <w:tcW w:w="23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exhibits">
              <w:r>
                <w:rPr>
                  <w:rStyle w:val="InternetLink"/>
                  <w:rFonts w:ascii="Times New Roman" w:hAnsi="Times New Roman"/>
                  <w:caps w:val="false"/>
                  <w:smallCaps w:val="false"/>
                  <w:sz w:val="20"/>
                  <w:u w:val="single"/>
                </w:rPr>
                <w:t>Item 6. Exhibits</w:t>
              </w:r>
            </w:hyperlink>
          </w:p>
        </w:tc>
        <w:tc>
          <w:tcPr>
            <w:tcW w:w="23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b/>
          <w:caps w:val="false"/>
          <w:smallCaps w:val="false"/>
          <w:sz w:val="20"/>
        </w:rPr>
      </w:pPr>
      <w:bookmarkStart w:id="4" w:name="finstmts"/>
      <w:bookmarkEnd w:id="4"/>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June 30, 2026 and 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9"/>
        <w:gridCol w:w="60"/>
        <w:gridCol w:w="139"/>
        <w:gridCol w:w="945"/>
        <w:gridCol w:w="60"/>
        <w:gridCol w:w="60"/>
        <w:gridCol w:w="168"/>
        <w:gridCol w:w="1137"/>
        <w:gridCol w:w="77"/>
      </w:tblGrid>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81,617</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allowances for credit losses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151,695</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36,179</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269,491</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 of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996,696</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 of accumulated amortization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102,410</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43,713</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1,142,819</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1,437,308</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16,832</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65,941</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28,191</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13,144</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stimulus advances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workers' compensation insurance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13,680</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149,487</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debt issuance costs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120,959</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37,259</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44,065</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202,518</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352,005</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360" w:right="0" w:hanging="0"/>
              <w:jc w:val="left"/>
              <w:rPr/>
            </w:pPr>
            <w:r>
              <w:rPr/>
              <w:t> </w:t>
            </w:r>
          </w:p>
        </w:tc>
      </w:tr>
      <w:tr>
        <w:trPr/>
        <w:tc>
          <w:tcPr>
            <w:tcW w:w="7559"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stock—$.001 par value; 40,000 authorized and 18,674 and 18,518 shares issued and outstanding as of June 30, 2026 and December 31, 2025, respectively</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77" w:type="dxa"/>
            <w:tcBorders/>
            <w:shd w:fill="CCEEFF" w:val="clear"/>
            <w:vAlign w:val="center"/>
          </w:tcPr>
          <w:p>
            <w:pPr>
              <w:pStyle w:val="TableContents"/>
              <w:bidi w:val="0"/>
              <w:spacing w:before="0" w:after="283"/>
              <w:ind w:left="180" w:right="0" w:hanging="0"/>
              <w:jc w:val="left"/>
              <w:rPr/>
            </w:pPr>
            <w:r>
              <w:rPr/>
              <w:t> </w:t>
            </w:r>
          </w:p>
        </w:tc>
      </w:tr>
      <w:tr>
        <w:trPr/>
        <w:tc>
          <w:tcPr>
            <w:tcW w:w="755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612,945</w:t>
            </w:r>
          </w:p>
        </w:tc>
        <w:tc>
          <w:tcPr>
            <w:tcW w:w="77" w:type="dxa"/>
            <w:tcBorders/>
            <w:shd w:fill="FFFFFF" w:val="clear"/>
            <w:vAlign w:val="center"/>
          </w:tcPr>
          <w:p>
            <w:pPr>
              <w:pStyle w:val="TableContents"/>
              <w:bidi w:val="0"/>
              <w:spacing w:before="0" w:after="283"/>
              <w:ind w:left="180" w:right="0" w:hanging="0"/>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472,340</w:t>
            </w:r>
          </w:p>
        </w:tc>
        <w:tc>
          <w:tcPr>
            <w:tcW w:w="77"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1,085,303</w:t>
            </w:r>
          </w:p>
        </w:tc>
        <w:tc>
          <w:tcPr>
            <w:tcW w:w="77"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1,437,308</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inc"/>
      <w:bookmarkEnd w:id="6"/>
      <w:r>
        <w:rPr>
          <w:rFonts w:ascii="Times New Roman" w:hAnsi="Times New Roman"/>
          <w:b/>
          <w:caps w:val="false"/>
          <w:smallCaps w:val="false"/>
          <w:sz w:val="20"/>
        </w:rPr>
        <w:t>CONDENSED CONSOLIDATED STATEMENTS OF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81"/>
        <w:gridCol w:w="60"/>
        <w:gridCol w:w="157"/>
        <w:gridCol w:w="878"/>
        <w:gridCol w:w="100"/>
        <w:gridCol w:w="75"/>
        <w:gridCol w:w="157"/>
        <w:gridCol w:w="878"/>
        <w:gridCol w:w="80"/>
        <w:gridCol w:w="60"/>
        <w:gridCol w:w="147"/>
        <w:gridCol w:w="818"/>
        <w:gridCol w:w="94"/>
        <w:gridCol w:w="70"/>
        <w:gridCol w:w="147"/>
        <w:gridCol w:w="818"/>
        <w:gridCol w:w="85"/>
      </w:tblGrid>
      <w:tr>
        <w:trPr/>
        <w:tc>
          <w:tcPr>
            <w:tcW w:w="55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741,028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687,151</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255,857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503,595</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465,597</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237,433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221,554</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78,493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156,264</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150,297</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82,618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164,419</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158,153</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63,401</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7,543</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6,458</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56,943</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17,539</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13,663</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and potential common shares outstanding:</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18,292</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18,011</w:t>
            </w:r>
          </w:p>
        </w:tc>
        <w:tc>
          <w:tcPr>
            <w:tcW w:w="85" w:type="dxa"/>
            <w:tcBorders/>
            <w:shd w:fill="FFFFFF" w:val="clear"/>
            <w:vAlign w:val="center"/>
          </w:tcPr>
          <w:p>
            <w:pPr>
              <w:pStyle w:val="TableContents"/>
              <w:bidi w:val="0"/>
              <w:spacing w:before="0" w:after="283"/>
              <w:jc w:val="left"/>
              <w:rPr/>
            </w:pPr>
            <w:r>
              <w:rPr/>
              <w:t> </w:t>
            </w:r>
          </w:p>
        </w:tc>
      </w:tr>
      <w:tr>
        <w:trPr/>
        <w:tc>
          <w:tcPr>
            <w:tcW w:w="55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18,499</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18,340</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se"/>
      <w:bookmarkEnd w:id="7"/>
      <w:r>
        <w:rPr>
          <w:rFonts w:ascii="Times New Roman" w:hAnsi="Times New Roman"/>
          <w:b/>
          <w:caps w:val="false"/>
          <w:smallCaps w:val="false"/>
          <w:sz w:val="20"/>
        </w:rPr>
        <w:t>CONDENSED 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Six Months Ended 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1"/>
        <w:gridCol w:w="60"/>
        <w:gridCol w:w="64"/>
        <w:gridCol w:w="641"/>
        <w:gridCol w:w="64"/>
        <w:gridCol w:w="64"/>
        <w:gridCol w:w="220"/>
        <w:gridCol w:w="460"/>
        <w:gridCol w:w="60"/>
        <w:gridCol w:w="60"/>
        <w:gridCol w:w="140"/>
        <w:gridCol w:w="780"/>
        <w:gridCol w:w="60"/>
        <w:gridCol w:w="60"/>
        <w:gridCol w:w="125"/>
        <w:gridCol w:w="695"/>
        <w:gridCol w:w="60"/>
        <w:gridCol w:w="60"/>
        <w:gridCol w:w="146"/>
        <w:gridCol w:w="1001"/>
        <w:gridCol w:w="64"/>
      </w:tblGrid>
      <w:tr>
        <w:trPr/>
        <w:tc>
          <w:tcPr>
            <w:tcW w:w="53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6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2026</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April 1,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1,116,160</w:t>
            </w:r>
          </w:p>
        </w:tc>
        <w:tc>
          <w:tcPr>
            <w:tcW w:w="64" w:type="dxa"/>
            <w:tcBorders/>
            <w:shd w:fill="CCEE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27,607</w:t>
            </w:r>
          </w:p>
        </w:tc>
        <w:tc>
          <w:tcPr>
            <w:tcW w:w="64"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1,148,157</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6"/>
        <w:gridCol w:w="60"/>
        <w:gridCol w:w="64"/>
        <w:gridCol w:w="643"/>
        <w:gridCol w:w="87"/>
        <w:gridCol w:w="64"/>
        <w:gridCol w:w="225"/>
        <w:gridCol w:w="470"/>
        <w:gridCol w:w="60"/>
        <w:gridCol w:w="60"/>
        <w:gridCol w:w="140"/>
        <w:gridCol w:w="780"/>
        <w:gridCol w:w="60"/>
        <w:gridCol w:w="60"/>
        <w:gridCol w:w="125"/>
        <w:gridCol w:w="695"/>
        <w:gridCol w:w="60"/>
        <w:gridCol w:w="60"/>
        <w:gridCol w:w="148"/>
        <w:gridCol w:w="1013"/>
        <w:gridCol w:w="65"/>
      </w:tblGrid>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14"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 2026</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5" w:type="dxa"/>
            <w:tcBorders/>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18,518</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1,085,303</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pPr>
            <w:r>
              <w:rPr>
                <w:rStyle w:val="Emphasis"/>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18,674</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1,148,157</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Six Months Ended June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11"/>
        <w:gridCol w:w="60"/>
        <w:gridCol w:w="64"/>
        <w:gridCol w:w="632"/>
        <w:gridCol w:w="85"/>
        <w:gridCol w:w="64"/>
        <w:gridCol w:w="220"/>
        <w:gridCol w:w="460"/>
        <w:gridCol w:w="60"/>
        <w:gridCol w:w="60"/>
        <w:gridCol w:w="140"/>
        <w:gridCol w:w="780"/>
        <w:gridCol w:w="60"/>
        <w:gridCol w:w="60"/>
        <w:gridCol w:w="125"/>
        <w:gridCol w:w="695"/>
        <w:gridCol w:w="60"/>
        <w:gridCol w:w="60"/>
        <w:gridCol w:w="146"/>
        <w:gridCol w:w="1001"/>
        <w:gridCol w:w="62"/>
      </w:tblGrid>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2025</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April 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995,382</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22,052</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1,021,854</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6"/>
        <w:gridCol w:w="60"/>
        <w:gridCol w:w="64"/>
        <w:gridCol w:w="643"/>
        <w:gridCol w:w="87"/>
        <w:gridCol w:w="64"/>
        <w:gridCol w:w="225"/>
        <w:gridCol w:w="470"/>
        <w:gridCol w:w="60"/>
        <w:gridCol w:w="60"/>
        <w:gridCol w:w="140"/>
        <w:gridCol w:w="780"/>
        <w:gridCol w:w="60"/>
        <w:gridCol w:w="60"/>
        <w:gridCol w:w="125"/>
        <w:gridCol w:w="695"/>
        <w:gridCol w:w="60"/>
        <w:gridCol w:w="60"/>
        <w:gridCol w:w="148"/>
        <w:gridCol w:w="1013"/>
        <w:gridCol w:w="65"/>
      </w:tblGrid>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14"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 2025</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65" w:type="dxa"/>
            <w:tcBorders/>
            <w:vAlign w:val="center"/>
          </w:tcPr>
          <w:p>
            <w:pPr>
              <w:pStyle w:val="TableContents"/>
              <w:bidi w:val="0"/>
              <w:spacing w:before="0" w:after="283"/>
              <w:jc w:val="left"/>
              <w:rPr/>
            </w:pPr>
            <w:r>
              <w:rPr/>
              <w:t> </w:t>
            </w:r>
          </w:p>
        </w:tc>
      </w:tr>
      <w:tr>
        <w:trPr/>
        <w:tc>
          <w:tcPr>
            <w:tcW w:w="5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5" w:type="dxa"/>
            <w:tcBorders/>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18,148</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970,492</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pPr>
            <w:r>
              <w:rPr>
                <w:rStyle w:val="Emphasis"/>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7,590</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65" w:type="dxa"/>
            <w:tcBorders/>
            <w:shd w:fill="CCEEFF"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65" w:type="dxa"/>
            <w:tcBorders/>
            <w:shd w:fill="FFFFFF" w:val="clear"/>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18,407</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1,021,854</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cf"/>
      <w:bookmarkEnd w:id="8"/>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5"/>
        <w:gridCol w:w="60"/>
        <w:gridCol w:w="157"/>
        <w:gridCol w:w="823"/>
        <w:gridCol w:w="100"/>
        <w:gridCol w:w="75"/>
        <w:gridCol w:w="157"/>
        <w:gridCol w:w="823"/>
        <w:gridCol w:w="85"/>
      </w:tblGrid>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(used in) operating activities, net of acquisitions: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7,590</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 under the credit facility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termination of operating leases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(15,936</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stimulus advances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long-term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3,745</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92,376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41,478</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(12,182</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disposal of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previous acquisition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2,937</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divestiture of business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(15,197</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revolver — credit facility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debt issuance costs under the credit facility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exercise of stock options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(49,530</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81,617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98,911</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99,566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91,176</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w:t>
            </w:r>
          </w:p>
        </w:tc>
        <w:tc>
          <w:tcPr>
            <w:tcW w:w="85"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Operations, Consolidation, and Presentation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Addus HomeCare Corporation (“Holdings”) and its subsidiaries (together with Holdings, the “Company”, “we”, “us”, or “our”) operate as a multi-state provider of three distinct but related business segments providing in-home services. 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accompanying Unaudited Condensed Consolidated Financial Statements and related notes have been prepared in accordance with the rules and regulations of the U.S. Securities and Exchange Commission (“SEC”) for Quarterly Reports on Form </w:t>
      </w:r>
      <w:r>
        <w:rPr>
          <w:rStyle w:val="Emphasis"/>
          <w:rFonts w:ascii="Times New Roman" w:hAnsi="Times New Roman"/>
          <w:caps w:val="false"/>
          <w:smallCaps w:val="false"/>
          <w:sz w:val="20"/>
        </w:rPr>
        <w:t>10</w:t>
      </w:r>
      <w:r>
        <w:rPr>
          <w:rFonts w:ascii="Times New Roman" w:hAnsi="Times New Roman"/>
          <w:caps w:val="false"/>
          <w:smallCaps w:val="false"/>
          <w:sz w:val="20"/>
        </w:rPr>
        <w:t>-Q. The accompanying balance sheet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has been derived from the Company’s audited financial statements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previously filed with the SEC. Accordingly, these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as amended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which includes information and disclosures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for a full year or any other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These Unaudited Condensed Consolidated Financial Statements include the accounts of Addus HomeCare Corporation and its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Computation of Weighted Average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2"/>
        <w:gridCol w:w="60"/>
        <w:gridCol w:w="111"/>
        <w:gridCol w:w="1101"/>
        <w:gridCol w:w="111"/>
        <w:gridCol w:w="111"/>
        <w:gridCol w:w="111"/>
        <w:gridCol w:w="1101"/>
        <w:gridCol w:w="60"/>
        <w:gridCol w:w="60"/>
        <w:gridCol w:w="105"/>
        <w:gridCol w:w="1039"/>
        <w:gridCol w:w="105"/>
        <w:gridCol w:w="105"/>
        <w:gridCol w:w="105"/>
        <w:gridCol w:w="1039"/>
        <w:gridCol w:w="69"/>
      </w:tblGrid>
      <w:tr>
        <w:trPr/>
        <w:tc>
          <w:tcPr>
            <w:tcW w:w="4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outstanding for basic per share calculation</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18,011</w:t>
            </w:r>
          </w:p>
        </w:tc>
        <w:tc>
          <w:tcPr>
            <w:tcW w:w="69" w:type="dxa"/>
            <w:tcBorders/>
            <w:shd w:fill="CCEE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potential shares: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9" w:type="dxa"/>
            <w:tcBorders/>
            <w:shd w:fill="CCEE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weighted average shares for diluted per share calculation</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18,340</w:t>
            </w:r>
          </w:p>
        </w:tc>
        <w:tc>
          <w:tcPr>
            <w:tcW w:w="69" w:type="dxa"/>
            <w:tcBorders/>
            <w:shd w:fill="CCEE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48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r>
      <w:tr>
        <w:trPr/>
        <w:tc>
          <w:tcPr>
            <w:tcW w:w="48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 to Income Tax Disclosures, which requires disclosure of disaggregated income taxes paid, prescribes standard categories for the components of the effective tax rate reconciliation, and modifies other income tax-related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December 15, 2024. </w:t>
      </w:r>
      <w:r>
        <w:rPr>
          <w:rFonts w:ascii="Times New Roman" w:hAnsi="Times New Roman"/>
          <w:caps w:val="false"/>
          <w:smallCaps w:val="false"/>
          <w:sz w:val="20"/>
        </w:rPr>
        <w:t>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during the year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Adoption of the standard did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impact on the Company’s consolidated financial statements and expanded income tax disclosures.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Measurement of Credit Losses for Accounts Receivable and Contract Assets, which replaces the incurred-loss model with a forward-looking current expected credit loss model that requires recognition of lifetime expected credit losses on financial assets measured at amortized cost and certain off-balance-sheet credit exposures (including trade accounts receivable and contract assets), using historical experience, current conditions, and reasonable and supportable forecasts.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reporting periods within those annual reporting periods, with early adoption permitted. The disclosure updates should be applied prospectively. The Company adopted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Disaggregation of Income Statement Expenses, which intends to provide investors more detailed disclosures around specific types of expenses. The new disclosures require certain details for expenses presented on the face of the Consolidated Statements of Operations as well as selling expenses to be presented in the notes to the financial statements.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The disclosure updates are required to be applied prospectively with the option for retrospective application. The Company is currently assessing the impact and timing of adopting the updated provisions.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Intangibles - Goodwill and Other - Internal-Use Software (Subtopic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Targeted Improvements to the Accounting for Internal-Use Software. The new guidance intends to modernize the guidance related to internal-use software costs to reflect current software development methods. It requires entities to begin capitalizing software costs when management authorizes and commits to funding the software project, and it is probable the project will be completed and the software will be used for its intended purpose.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is effective for fiscal years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and interim periods within those fiscal years,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adopted using a prospective, retrospective, or modified transition approach. Early adoption is permitted. The Company is currently evaluating the impact on its consolidated financial statements.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Times;serif" w:hAnsi="Times New Roman;Times;serif"/>
          <w:sz w:val="20"/>
        </w:rPr>
        <w:t>In </w:t>
      </w:r>
      <w:r>
        <w:rPr>
          <w:rStyle w:val="Emphasis"/>
          <w:rFonts w:ascii="Times New Roman;Times;serif" w:hAnsi="Times New Roman;Times;serif"/>
          <w:sz w:val="20"/>
        </w:rPr>
        <w:t xml:space="preserve"> December 2025, </w:t>
      </w:r>
      <w:r>
        <w:rPr>
          <w:rFonts w:ascii="Times New Roman;Times;serif" w:hAnsi="Times New Roman;Times;serif"/>
          <w:sz w:val="20"/>
        </w:rPr>
        <w:t>the FASB issued ASU </w:t>
      </w:r>
      <w:r>
        <w:rPr>
          <w:rStyle w:val="Emphasis"/>
          <w:rFonts w:ascii="Times New Roman;Times;serif" w:hAnsi="Times New Roman;Times;serif"/>
          <w:sz w:val="20"/>
        </w:rPr>
        <w:t>2025</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Government Grants (Topic </w:t>
      </w:r>
      <w:r>
        <w:rPr>
          <w:rStyle w:val="Emphasis"/>
          <w:rFonts w:ascii="Times New Roman;Times;serif" w:hAnsi="Times New Roman;Times;serif"/>
          <w:sz w:val="20"/>
        </w:rPr>
        <w:t>832</w:t>
      </w:r>
      <w:r>
        <w:rPr>
          <w:rFonts w:ascii="Times New Roman;Times;serif" w:hAnsi="Times New Roman;Times;serif"/>
          <w:sz w:val="20"/>
        </w:rPr>
        <w:t>): Accounting for Government Grants Received by Business Entities, which provides guidance on the recognition, measurement, and presentation of government grants. ASU </w:t>
      </w:r>
      <w:r>
        <w:rPr>
          <w:rStyle w:val="Emphasis"/>
          <w:rFonts w:ascii="Times New Roman;Times;serif" w:hAnsi="Times New Roman;Times;serif"/>
          <w:sz w:val="20"/>
        </w:rPr>
        <w:t>2025</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is effective for fiscal years beginning after </w:t>
      </w:r>
      <w:r>
        <w:rPr>
          <w:rStyle w:val="Emphasis"/>
          <w:rFonts w:ascii="Times New Roman;Times;serif" w:hAnsi="Times New Roman;Times;serif"/>
          <w:sz w:val="20"/>
        </w:rPr>
        <w:t xml:space="preserve"> December 15, 2028, </w:t>
      </w:r>
      <w:r>
        <w:rPr>
          <w:rFonts w:ascii="Times New Roman;Times;serif" w:hAnsi="Times New Roman;Times;serif"/>
          <w:sz w:val="20"/>
        </w:rPr>
        <w:t>and interim periods within those fiscal years, and permits modified prospective, modified retrospective, or full retrospective adoption, with early adoption permitted. The Company has evaluated the guidance and does </w:t>
      </w:r>
      <w:r>
        <w:rPr>
          <w:rStyle w:val="Emphasis"/>
          <w:rFonts w:ascii="Times New Roman;Times;serif" w:hAnsi="Times New Roman;Times;serif"/>
          <w:sz w:val="20"/>
        </w:rPr>
        <w:t>not</w:t>
      </w:r>
      <w:r>
        <w:rPr>
          <w:rFonts w:ascii="Times New Roman;Times;serif" w:hAnsi="Times New Roman;Times;serif"/>
          <w:sz w:val="20"/>
        </w:rPr>
        <w:t> expect adoption to have a material impact on its consolidated financial statements or related disclosures.</w:t>
      </w:r>
    </w:p>
    <w:p>
      <w:pPr>
        <w:pStyle w:val="TextBody"/>
        <w:bidi w:val="0"/>
        <w:spacing w:before="0" w:after="0"/>
        <w:ind w:left="0" w:right="0" w:hanging="0"/>
        <w:jc w:val="left"/>
        <w:rPr/>
      </w:pPr>
      <w:r>
        <w:rPr/>
        <w:t> </w:t>
      </w:r>
    </w:p>
    <w:p>
      <w:pPr>
        <w:pStyle w:val="TextBody"/>
        <w:bidi w:val="0"/>
        <w:spacing w:before="0" w:after="0"/>
        <w:ind w:left="0" w:right="0" w:firstLine="50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Narrow-Scope Improvements, which clarifies certain interim reporting guidance.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is effective for fiscal years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and interim periods within those fiscal years. The Company has evaluated the guidance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adoption to have a material impact on its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May 20, 2024, </w:t>
      </w:r>
      <w:r>
        <w:rPr>
          <w:rFonts w:ascii="Times New Roman" w:hAnsi="Times New Roman"/>
          <w:caps w:val="false"/>
          <w:smallCaps w:val="false"/>
          <w:sz w:val="20"/>
        </w:rPr>
        <w:t>the Company entered into a definitive asset purchase agreement to sell all of the Company’s New York operations for a purchase price of up to $23.0 million in cash, subject to certain adjustments, including adjustments for future operating requirements (the “New York Asset Sale”). The purchase price included 50% cash consideration, paid out as an initial payment of $4.6 million and $6.9 million paid pro rata as a deferred payment as caregivers are transferred, and 50% in the form of contingent consideration for the Company’s New York Consumer Directed Personal Assistance Program (“CDPAP”) business.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was recorded related to the CDPAP business contingent consideration. The Company entered into a consulting agreement with the purchaser effective </w:t>
      </w:r>
      <w:r>
        <w:rPr>
          <w:rStyle w:val="Emphasis"/>
          <w:rFonts w:ascii="Times New Roman" w:hAnsi="Times New Roman"/>
          <w:caps w:val="false"/>
          <w:smallCaps w:val="false"/>
          <w:sz w:val="20"/>
        </w:rPr>
        <w:t xml:space="preserve">May 20, 2024, </w:t>
      </w:r>
      <w:r>
        <w:rPr>
          <w:rFonts w:ascii="Times New Roman" w:hAnsi="Times New Roman"/>
          <w:caps w:val="false"/>
          <w:smallCaps w:val="false"/>
          <w:sz w:val="20"/>
        </w:rPr>
        <w:t xml:space="preserve">as the transfer of clients and caregivers and payment for assets pursuant to the New York Asset Sale was occurring over time. The Company determined that the consulting agreement gave it the ability to control the business until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when the Company determined that it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controlled the business as it transferred more than 50% of the clients and caregivers and therefore qualified for sale consideration of the New York Asset Sale. As a result, the Company deconsolidated the results of its New York operations and recorded a gain on divestiture of $3.7 million 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The gain was reflected within general and administrative expenses on the consolidated statement of operations.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the Company recorded a lease modification reducing operating lease assets and liabilities by $1.6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Amounts reported on the Company’s Unaudited Condensed Consolidated Balance Sheets for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2975"/>
        <w:gridCol w:w="60"/>
        <w:gridCol w:w="208"/>
        <w:gridCol w:w="981"/>
        <w:gridCol w:w="60"/>
        <w:gridCol w:w="60"/>
        <w:gridCol w:w="280"/>
        <w:gridCol w:w="1329"/>
        <w:gridCol w:w="6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43,713</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13,144</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37,259</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Components of lease costs were reported in general and administrative expenses in the Company’s Unaudited Condensed Consolidated Statements of Income as follows:</w:t>
      </w:r>
    </w:p>
    <w:p>
      <w:pPr>
        <w:pStyle w:val="TextBody"/>
        <w:bidi w:val="0"/>
        <w:spacing w:before="0" w:after="0"/>
        <w:ind w:left="0" w:right="0" w:hanging="0"/>
        <w:jc w:val="left"/>
        <w:rPr>
          <w:caps w:val="false"/>
          <w:smallCaps w:val="false"/>
        </w:rPr>
      </w:pPr>
      <w:r>
        <w:rPr>
          <w:caps w:val="false"/>
          <w:smallCaps w:val="false"/>
        </w:rPr>
        <w:t> </w:t>
      </w:r>
    </w:p>
    <w:tbl>
      <w:tblPr>
        <w:tblW w:w="8204" w:type="dxa"/>
        <w:jc w:val="left"/>
        <w:tblInd w:w="0" w:type="dxa"/>
        <w:tblLayout w:type="fixed"/>
        <w:tblCellMar>
          <w:top w:w="0" w:type="dxa"/>
          <w:left w:w="0" w:type="dxa"/>
          <w:bottom w:w="0" w:type="dxa"/>
          <w:right w:w="0" w:type="dxa"/>
        </w:tblCellMar>
      </w:tblPr>
      <w:tblGrid>
        <w:gridCol w:w="1820"/>
        <w:gridCol w:w="60"/>
        <w:gridCol w:w="295"/>
        <w:gridCol w:w="1147"/>
        <w:gridCol w:w="141"/>
        <w:gridCol w:w="141"/>
        <w:gridCol w:w="295"/>
        <w:gridCol w:w="1147"/>
        <w:gridCol w:w="60"/>
        <w:gridCol w:w="60"/>
        <w:gridCol w:w="276"/>
        <w:gridCol w:w="1071"/>
        <w:gridCol w:w="132"/>
        <w:gridCol w:w="132"/>
        <w:gridCol w:w="276"/>
        <w:gridCol w:w="1071"/>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4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7,308</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3,884</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7,863</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sublease income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3,884</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 Term and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terms and discount rates were as follows:</w:t>
      </w:r>
    </w:p>
    <w:p>
      <w:pPr>
        <w:pStyle w:val="TextBody"/>
        <w:bidi w:val="0"/>
        <w:spacing w:before="0" w:after="0"/>
        <w:ind w:left="0" w:right="0" w:hanging="0"/>
        <w:jc w:val="left"/>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3215"/>
        <w:gridCol w:w="60"/>
        <w:gridCol w:w="162"/>
        <w:gridCol w:w="1027"/>
        <w:gridCol w:w="185"/>
        <w:gridCol w:w="60"/>
        <w:gridCol w:w="219"/>
        <w:gridCol w:w="1390"/>
        <w:gridCol w:w="185"/>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Maturity of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Remaining operating lease payments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5729" w:type="dxa"/>
        <w:jc w:val="left"/>
        <w:tblInd w:w="0" w:type="dxa"/>
        <w:tblLayout w:type="fixed"/>
        <w:tblCellMar>
          <w:top w:w="0" w:type="dxa"/>
          <w:left w:w="0" w:type="dxa"/>
          <w:bottom w:w="0" w:type="dxa"/>
          <w:right w:w="0" w:type="dxa"/>
        </w:tblCellMar>
      </w:tblPr>
      <w:tblGrid>
        <w:gridCol w:w="3530"/>
        <w:gridCol w:w="60"/>
        <w:gridCol w:w="358"/>
        <w:gridCol w:w="1701"/>
        <w:gridCol w:w="80"/>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the 12-month period ended June 30,</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6,523</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5,612</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7,559</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rental commitments</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55,498</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Supplemental Cash Flows Information</w:t>
      </w:r>
    </w:p>
    <w:p>
      <w:pPr>
        <w:pStyle w:val="TextBody"/>
        <w:bidi w:val="0"/>
        <w:spacing w:before="0" w:after="0"/>
        <w:ind w:left="0" w:right="0" w:hanging="0"/>
        <w:jc w:val="left"/>
        <w:rPr>
          <w:caps w:val="false"/>
          <w:smallCaps w:val="false"/>
        </w:rPr>
      </w:pPr>
      <w:r>
        <w:rPr>
          <w:caps w:val="false"/>
          <w:smallCaps w:val="false"/>
        </w:rPr>
        <w:t> </w:t>
      </w:r>
    </w:p>
    <w:tbl>
      <w:tblPr>
        <w:tblW w:w="8843" w:type="dxa"/>
        <w:jc w:val="left"/>
        <w:tblInd w:w="0" w:type="dxa"/>
        <w:tblLayout w:type="fixed"/>
        <w:tblCellMar>
          <w:top w:w="0" w:type="dxa"/>
          <w:left w:w="0" w:type="dxa"/>
          <w:bottom w:w="0" w:type="dxa"/>
          <w:right w:w="0" w:type="dxa"/>
        </w:tblCellMar>
      </w:tblPr>
      <w:tblGrid>
        <w:gridCol w:w="5765"/>
        <w:gridCol w:w="60"/>
        <w:gridCol w:w="276"/>
        <w:gridCol w:w="1071"/>
        <w:gridCol w:w="132"/>
        <w:gridCol w:w="132"/>
        <w:gridCol w:w="276"/>
        <w:gridCol w:w="1071"/>
        <w:gridCol w:w="6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8,368</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summary of the goodwill by segment and related adjustments is provided below:</w:t>
      </w:r>
    </w:p>
    <w:p>
      <w:pPr>
        <w:pStyle w:val="TextBody"/>
        <w:bidi w:val="0"/>
        <w:spacing w:before="0" w:after="0"/>
        <w:ind w:left="0" w:right="0" w:hanging="0"/>
        <w:jc w:val="left"/>
        <w:rPr>
          <w:caps w:val="false"/>
          <w:smallCaps w:val="false"/>
        </w:rPr>
      </w:pPr>
      <w:r>
        <w:rPr>
          <w:caps w:val="false"/>
          <w:smallCaps w:val="false"/>
        </w:rPr>
        <w:t> </w:t>
      </w:r>
    </w:p>
    <w:tbl>
      <w:tblPr>
        <w:tblW w:w="8338" w:type="dxa"/>
        <w:jc w:val="left"/>
        <w:tblInd w:w="0" w:type="dxa"/>
        <w:tblLayout w:type="fixed"/>
        <w:tblCellMar>
          <w:top w:w="0" w:type="dxa"/>
          <w:left w:w="0" w:type="dxa"/>
          <w:bottom w:w="0" w:type="dxa"/>
          <w:right w:w="0" w:type="dxa"/>
        </w:tblCellMar>
      </w:tblPr>
      <w:tblGrid>
        <w:gridCol w:w="3695"/>
        <w:gridCol w:w="60"/>
        <w:gridCol w:w="125"/>
        <w:gridCol w:w="695"/>
        <w:gridCol w:w="80"/>
        <w:gridCol w:w="60"/>
        <w:gridCol w:w="183"/>
        <w:gridCol w:w="1021"/>
        <w:gridCol w:w="60"/>
        <w:gridCol w:w="60"/>
        <w:gridCol w:w="197"/>
        <w:gridCol w:w="932"/>
        <w:gridCol w:w="80"/>
        <w:gridCol w:w="60"/>
        <w:gridCol w:w="125"/>
        <w:gridCol w:w="845"/>
        <w:gridCol w:w="60"/>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as of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996,696</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for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11,332</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previously recorded 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1,008,053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 2026, </w:t>
      </w:r>
      <w:r>
        <w:rPr>
          <w:rFonts w:ascii="Times New Roman" w:hAnsi="Times New Roman"/>
          <w:caps w:val="false"/>
          <w:smallCaps w:val="false"/>
          <w:sz w:val="20"/>
        </w:rPr>
        <w:t>the Company completed its acquisition of substantially all of the assets of an Indiana limited liability company doing business as HomeCourt Home Care for $12.2 million (the “HomeCourt Acquisition”), with funding provided by available cash. With the HomeCourt Acquisition, the Company expanded its personal care segment to Indiana and recognized goodwill in its personal care segment of $11.3 million.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three to fifteen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carrying amount and accumulated amortization of each identifiable intangible asset category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1"/>
        <w:gridCol w:w="60"/>
        <w:gridCol w:w="1111"/>
        <w:gridCol w:w="60"/>
        <w:gridCol w:w="60"/>
        <w:gridCol w:w="151"/>
        <w:gridCol w:w="844"/>
        <w:gridCol w:w="60"/>
        <w:gridCol w:w="60"/>
        <w:gridCol w:w="179"/>
        <w:gridCol w:w="936"/>
        <w:gridCol w:w="80"/>
        <w:gridCol w:w="60"/>
        <w:gridCol w:w="163"/>
        <w:gridCol w:w="779"/>
        <w:gridCol w:w="60"/>
        <w:gridCol w:w="60"/>
        <w:gridCol w:w="151"/>
        <w:gridCol w:w="844"/>
        <w:gridCol w:w="60"/>
        <w:gridCol w:w="60"/>
        <w:gridCol w:w="179"/>
        <w:gridCol w:w="936"/>
        <w:gridCol w:w="80"/>
        <w:gridCol w:w="60"/>
        <w:gridCol w:w="151"/>
        <w:gridCol w:w="844"/>
        <w:gridCol w:w="66"/>
      </w:tblGrid>
      <w:tr>
        <w:trPr/>
        <w:tc>
          <w:tcPr>
            <w:tcW w:w="2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2"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and referral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66" w:type="dxa"/>
            <w:tcBorders/>
            <w:shd w:fill="CCEE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trademarks</w:t>
            </w:r>
          </w:p>
        </w:tc>
        <w:tc>
          <w:tcPr>
            <w:tcW w:w="60"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1 - 20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32,831</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6" w:type="dxa"/>
            <w:tcBorders/>
            <w:shd w:fill="CCEE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Licenses</w:t>
            </w:r>
          </w:p>
        </w:tc>
        <w:tc>
          <w:tcPr>
            <w:tcW w:w="60"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6 - 10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22,339</w:t>
            </w:r>
          </w:p>
        </w:tc>
        <w:tc>
          <w:tcPr>
            <w:tcW w:w="66" w:type="dxa"/>
            <w:tcBorders/>
            <w:shd w:fill="FFFFFF" w:val="clear"/>
            <w:vAlign w:val="center"/>
          </w:tcPr>
          <w:p>
            <w:pPr>
              <w:pStyle w:val="TableContents"/>
              <w:bidi w:val="0"/>
              <w:spacing w:before="0" w:after="283"/>
              <w:jc w:val="left"/>
              <w:rPr/>
            </w:pPr>
            <w:r>
              <w:rPr/>
              <w:t> </w:t>
            </w:r>
          </w:p>
        </w:tc>
      </w:tr>
      <w:tr>
        <w:trPr/>
        <w:tc>
          <w:tcPr>
            <w:tcW w:w="20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6" w:type="dxa"/>
            <w:tcBorders/>
            <w:shd w:fill="CCEE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102,410</w:t>
            </w:r>
          </w:p>
        </w:tc>
        <w:tc>
          <w:tcPr>
            <w:tcW w:w="6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acquired state licenses and a non-competition agreement of $0.6 million and $0.3 million, respectively, in its personal care services segment related to the HomeCourt Acquisition.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shd w:fill="FFFFFF" w:val="clear"/>
        </w:rPr>
        <w:t xml:space="preserve">Amortization expense related to the intangible assets was $2.0 million and $3.9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respectively, and $2.0 million and $4.0 million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2025, </w:t>
      </w:r>
      <w:r>
        <w:rPr>
          <w:rFonts w:ascii="Times New Roman" w:hAnsi="Times New Roman"/>
          <w:caps w:val="false"/>
          <w:smallCaps w:val="false"/>
          <w:sz w:val="20"/>
          <w:shd w:fill="FFFFFF" w:val="clear"/>
        </w:rPr>
        <w:t>respectively.</w:t>
      </w:r>
      <w:r>
        <w:rPr>
          <w:rFonts w:ascii="Times New Roman" w:hAnsi="Times New Roman"/>
          <w:caps w:val="false"/>
          <w:smallCaps w:val="false"/>
          <w:sz w:val="20"/>
        </w:rPr>
        <w:t xml:space="preserve"> The weighted average remaining useful lives of identifiable intangible assets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w:t>
      </w:r>
      <w:r>
        <w:rPr>
          <w:rFonts w:ascii="Times New Roman" w:hAnsi="Times New Roman"/>
          <w:caps w:val="false"/>
          <w:smallCaps w:val="false"/>
          <w:sz w:val="20"/>
          <w:shd w:fill="FFFFFF" w:val="clear"/>
        </w:rPr>
        <w:t>8.76 years.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Details of Certain Balance Sheet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4400"/>
        <w:gridCol w:w="60"/>
        <w:gridCol w:w="208"/>
        <w:gridCol w:w="981"/>
        <w:gridCol w:w="60"/>
        <w:gridCol w:w="60"/>
        <w:gridCol w:w="280"/>
        <w:gridCol w:w="1329"/>
        <w:gridCol w:w="60"/>
      </w:tblGrid>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payroll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workers' compensation and liability insurance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licensing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Workers' compensation insurance receivable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(1)</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245"/>
        <w:gridCol w:w="97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78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Included </w:t>
            </w:r>
            <w:r>
              <w:rPr>
                <w:rFonts w:ascii="Times New Roman" w:hAnsi="Times New Roman"/>
                <w:caps w:val="false"/>
                <w:smallCaps w:val="false"/>
                <w:sz w:val="20"/>
                <w:shd w:fill="FFFFFF" w:val="clear"/>
              </w:rPr>
              <w:t xml:space="preserve">$2.3 </w:t>
            </w:r>
            <w:r>
              <w:rPr>
                <w:rFonts w:ascii="Times New Roman" w:hAnsi="Times New Roman"/>
                <w:caps w:val="false"/>
                <w:smallCaps w:val="false"/>
                <w:sz w:val="20"/>
              </w:rPr>
              <w:t xml:space="preserve">million related to the New York Asset Sale deferred payments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Times;serif" w:hAnsi="Times New Roman;Times;serif"/>
          <w:sz w:val="20"/>
        </w:rPr>
      </w:pPr>
      <w:r>
        <w:rPr>
          <w:rFonts w:ascii="Times New Roman;Times;serif" w:hAnsi="Times New Roman;Times;serif"/>
          <w:sz w:val="20"/>
        </w:rPr>
        <w:t>Accrued expenses consisted of the following:</w:t>
      </w:r>
    </w:p>
    <w:p>
      <w:pPr>
        <w:pStyle w:val="TextBody"/>
        <w:bidi w:val="0"/>
        <w:spacing w:before="0" w:after="0"/>
        <w:ind w:left="0" w:right="0" w:hanging="0"/>
        <w:jc w:val="left"/>
        <w:rPr/>
      </w:pPr>
      <w:r>
        <w:rPr/>
        <w:t> </w:t>
      </w:r>
    </w:p>
    <w:tbl>
      <w:tblPr>
        <w:tblW w:w="5638" w:type="dxa"/>
        <w:jc w:val="left"/>
        <w:tblInd w:w="0" w:type="dxa"/>
        <w:tblLayout w:type="fixed"/>
        <w:tblCellMar>
          <w:top w:w="0" w:type="dxa"/>
          <w:left w:w="0" w:type="dxa"/>
          <w:bottom w:w="0" w:type="dxa"/>
          <w:right w:w="0" w:type="dxa"/>
        </w:tblCellMar>
      </w:tblPr>
      <w:tblGrid>
        <w:gridCol w:w="2600"/>
        <w:gridCol w:w="60"/>
        <w:gridCol w:w="208"/>
        <w:gridCol w:w="981"/>
        <w:gridCol w:w="60"/>
        <w:gridCol w:w="60"/>
        <w:gridCol w:w="280"/>
        <w:gridCol w:w="1329"/>
        <w:gridCol w:w="6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health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ARPA Spending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To mitigate the fiscal effects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public health emergency,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(“ARPA”) provided for 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-percentage point increase in federal matching funds for Medicaid home and community-based services (“HCBS”) from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provided the states satisfied certain conditions. States must submit periodic HCBS spending plans to CMS regarding the federal and state funds tied to the increase in federal matching funds. Although states were generally permitted to use the associated state funds by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CMS granted extensions to several states and some state spending plans continue through </w:t>
      </w:r>
      <w:r>
        <w:rPr>
          <w:rStyle w:val="Emphasis"/>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HCBS spending plans for the additional matching funds vary by state, but common initiatives in which the Company participates include those aimed at strengthening the provider workforce (e.g., efforts to recruit, retain, and train direct service providers). The Company is required to properly and fully document the use of such funds in reports to the state in which the funds originated. Funds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recoupment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expended or if they are expended on non-approved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received additional state funding provided by the ARPA of $0.1 million and </w:t>
      </w:r>
      <w:r>
        <w:rPr>
          <w:rFonts w:ascii="Times New Roman" w:hAnsi="Times New Roman"/>
          <w:caps w:val="false"/>
          <w:smallCaps w:val="false"/>
          <w:sz w:val="20"/>
          <w:shd w:fill="FFFFFF" w:val="clear"/>
        </w:rPr>
        <w:t>$6.3</w:t>
      </w:r>
      <w:r>
        <w:rPr>
          <w:rFonts w:ascii="Times New Roman" w:hAnsi="Times New Roman"/>
          <w:caps w:val="false"/>
          <w:smallCaps w:val="false"/>
          <w:sz w:val="20"/>
        </w:rPr>
        <w:t xml:space="preserve"> million, respectively. Of the total state funding received by the Company pursuant to the ARPA through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utilized $2.4 million and </w:t>
      </w:r>
      <w:r>
        <w:rPr>
          <w:rFonts w:ascii="Times New Roman" w:hAnsi="Times New Roman"/>
          <w:caps w:val="false"/>
          <w:smallCaps w:val="false"/>
          <w:sz w:val="20"/>
          <w:shd w:fill="FFFFFF" w:val="clear"/>
        </w:rPr>
        <w:t>$5.6</w:t>
      </w:r>
      <w:r>
        <w:rPr>
          <w:rFonts w:ascii="Times New Roman" w:hAnsi="Times New Roman"/>
          <w:caps w:val="false"/>
          <w:smallCaps w:val="false"/>
          <w:sz w:val="20"/>
        </w:rPr>
        <w:t xml:space="preserve">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respectively, primarily for caregivers and adding support to recruiting and retention efforts, included as a reduction of cost of service revenues in the Company’s Unaudited Condensed Consolidated Statements of Income.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deferred portion of ARPA funding of </w:t>
      </w:r>
      <w:r>
        <w:rPr>
          <w:rFonts w:ascii="Times New Roman" w:hAnsi="Times New Roman"/>
          <w:caps w:val="false"/>
          <w:smallCaps w:val="false"/>
          <w:sz w:val="20"/>
          <w:shd w:fill="FFFFFF" w:val="clear"/>
        </w:rPr>
        <w:t>$12.4</w:t>
      </w:r>
      <w:r>
        <w:rPr>
          <w:rFonts w:ascii="Times New Roman" w:hAnsi="Times New Roman"/>
          <w:caps w:val="false"/>
          <w:smallCaps w:val="false"/>
          <w:sz w:val="20"/>
        </w:rPr>
        <w:t> million is included within Government stimulus advances on the Company’s Unaudited Condensed Consolidated Balance Sheets.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Long-term debt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323" w:type="dxa"/>
        <w:jc w:val="left"/>
        <w:tblInd w:w="0" w:type="dxa"/>
        <w:tblLayout w:type="fixed"/>
        <w:tblCellMar>
          <w:top w:w="0" w:type="dxa"/>
          <w:left w:w="0" w:type="dxa"/>
          <w:bottom w:w="0" w:type="dxa"/>
          <w:right w:w="0" w:type="dxa"/>
        </w:tblCellMar>
      </w:tblPr>
      <w:tblGrid>
        <w:gridCol w:w="3245"/>
        <w:gridCol w:w="60"/>
        <w:gridCol w:w="208"/>
        <w:gridCol w:w="981"/>
        <w:gridCol w:w="80"/>
        <w:gridCol w:w="60"/>
        <w:gridCol w:w="243"/>
        <w:gridCol w:w="1366"/>
        <w:gridCol w:w="8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loan under the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124,335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issuance costs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Amended and Restated Senior Secured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31, 2018, </w:t>
      </w:r>
      <w:r>
        <w:rPr>
          <w:rFonts w:ascii="Times New Roman" w:hAnsi="Times New Roman"/>
          <w:caps w:val="false"/>
          <w:smallCaps w:val="false"/>
          <w:sz w:val="20"/>
        </w:rPr>
        <w:t xml:space="preserve">the Company entered into the Amended and Restated Credit Agreement, with certain lenders and Capital One, National Association, as a lender and as agent for all lenders, as amended by the First Amendment to Amended and Restated Credit Agreement, dated as of </w:t>
      </w:r>
      <w:r>
        <w:rPr>
          <w:rStyle w:val="Emphasis"/>
          <w:rFonts w:ascii="Times New Roman" w:hAnsi="Times New Roman"/>
          <w:caps w:val="false"/>
          <w:smallCaps w:val="false"/>
          <w:sz w:val="20"/>
        </w:rPr>
        <w:t xml:space="preserve">September 12, 2019, </w:t>
      </w:r>
      <w:r>
        <w:rPr>
          <w:rFonts w:ascii="Times New Roman" w:hAnsi="Times New Roman"/>
          <w:caps w:val="false"/>
          <w:smallCaps w:val="false"/>
          <w:sz w:val="20"/>
        </w:rPr>
        <w:t xml:space="preserve">as further amended by the Second Amendment to Amended and Restated Credit Agreement, dated as of </w:t>
      </w:r>
      <w:r>
        <w:rPr>
          <w:rStyle w:val="Emphasis"/>
          <w:rFonts w:ascii="Times New Roman" w:hAnsi="Times New Roman"/>
          <w:caps w:val="false"/>
          <w:smallCaps w:val="false"/>
          <w:sz w:val="20"/>
        </w:rPr>
        <w:t xml:space="preserve">July 30, 2021, </w:t>
      </w:r>
      <w:r>
        <w:rPr>
          <w:rFonts w:ascii="Times New Roman" w:hAnsi="Times New Roman"/>
          <w:caps w:val="false"/>
          <w:smallCaps w:val="false"/>
          <w:sz w:val="20"/>
        </w:rPr>
        <w:t xml:space="preserve">as further amended by the Third Amendment to Amended and Restated Credit Agreement, dated as of </w:t>
      </w:r>
      <w:r>
        <w:rPr>
          <w:rStyle w:val="Emphasis"/>
          <w:rFonts w:ascii="Times New Roman" w:hAnsi="Times New Roman"/>
          <w:caps w:val="false"/>
          <w:smallCaps w:val="false"/>
          <w:sz w:val="20"/>
        </w:rPr>
        <w:t xml:space="preserve">April 26, 2023, </w:t>
      </w:r>
      <w:r>
        <w:rPr>
          <w:rFonts w:ascii="Times New Roman" w:hAnsi="Times New Roman"/>
          <w:caps w:val="false"/>
          <w:smallCaps w:val="false"/>
          <w:sz w:val="20"/>
        </w:rPr>
        <w:t xml:space="preserve">and as further amended by the Fourth Amendment to Amended and Restated Credit Agreement, dated as of </w:t>
      </w:r>
      <w:r>
        <w:rPr>
          <w:rStyle w:val="Emphasis"/>
          <w:rFonts w:ascii="Times New Roman" w:hAnsi="Times New Roman"/>
          <w:caps w:val="false"/>
          <w:smallCaps w:val="false"/>
          <w:sz w:val="20"/>
        </w:rPr>
        <w:t>October 22, 2024 (</w:t>
      </w:r>
      <w:r>
        <w:rPr>
          <w:rFonts w:ascii="Times New Roman" w:hAnsi="Times New Roman"/>
          <w:caps w:val="false"/>
          <w:smallCaps w:val="false"/>
          <w:sz w:val="20"/>
        </w:rPr>
        <w:t xml:space="preserve">as amended, the “Credit Agreement”, as used throughout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“credit facility” shall mean the credit facility evidenced by the Credit Agreement). The credit facility consists of a $650.0 million revolving credit facility and a $150.0 million incremental loan facility, which incremental loan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for term loans or an increase to the revolving loan commitments. The maturity of this credit facility is </w:t>
      </w:r>
      <w:r>
        <w:rPr>
          <w:rStyle w:val="Emphasis"/>
          <w:rFonts w:ascii="Times New Roman" w:hAnsi="Times New Roman"/>
          <w:caps w:val="false"/>
          <w:smallCaps w:val="false"/>
          <w:sz w:val="20"/>
        </w:rPr>
        <w:t>July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Interest on the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payable at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Secured Overnight Financing Rate (“SOFR”) (as published by the CME Group Benchmark Administrative Limited) for an interest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month for such applicable day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less than 0.00%). Swing loans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Addus HealthCare, Inc. (“Addus HealthCare”) is the borrower, and its parent, Holdings, and substantially all of Holdings’ subsidiaries are guarantors under this credit facility, and it is collateralized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3.75:1.00. In certain circumstances, in connection with a Material Acquisition (as defined in the Credit Agreement), the Company can elect to increase its Total Net Leverage Ratio compliance covenant to 4.25:1.00 for the then current fiscal quarter and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succeeding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pays a fee ranging from 0.20% to 0.35% based on the applicable senior net leverage ratio times the unused portion of the revolving loan portion of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and a requirement to stay below a maximum Total Net Leverage Ratio (as defined in the Credit Agreement). The Credit Agreement also contains restrictions on guarantees, indebtedness, liens, investments and loans, subject to customary carve outs, a restriction on dividends (provided that Addus HealthCare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make distributions to the Company in an amount that does </w:t>
      </w:r>
      <w:r>
        <w:rPr>
          <w:rStyle w:val="Emphasis"/>
          <w:rFonts w:ascii="Times New Roman" w:hAnsi="Times New Roman"/>
          <w:i/>
          <w:caps w:val="false"/>
          <w:smallCaps w:val="false"/>
          <w:sz w:val="20"/>
        </w:rPr>
        <w:t>not</w:t>
      </w:r>
      <w:r>
        <w:rPr>
          <w:rFonts w:ascii="Times New Roman" w:hAnsi="Times New Roman"/>
          <w:caps w:val="false"/>
          <w:smallCaps w:val="false"/>
          <w:sz w:val="20"/>
        </w:rPr>
        <w:t> exceed $10.0 million in any year absent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shd w:fill="FFFFFF" w:val="clear"/>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the Company did not draw on its credit facility and repaid $60.0 million under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the Company had a total of </w:t>
      </w:r>
      <w:r>
        <w:rPr>
          <w:rFonts w:ascii="Times New Roman" w:hAnsi="Times New Roman"/>
          <w:caps w:val="false"/>
          <w:smallCaps w:val="false"/>
          <w:sz w:val="20"/>
        </w:rPr>
        <w:t>$64.3</w:t>
      </w:r>
      <w:r>
        <w:rPr>
          <w:rFonts w:ascii="Times New Roman" w:hAnsi="Times New Roman"/>
          <w:caps w:val="false"/>
          <w:smallCaps w:val="false"/>
          <w:sz w:val="20"/>
          <w:shd w:fill="FFFFFF" w:val="clear"/>
        </w:rPr>
        <w:t xml:space="preserve"> million of revolving loans, with an interest rate of 5.40%, outstanding on its credit facility. </w:t>
      </w:r>
      <w:r>
        <w:rPr>
          <w:rFonts w:ascii="Times New Roman" w:hAnsi="Times New Roman"/>
          <w:caps w:val="false"/>
          <w:smallCaps w:val="false"/>
          <w:sz w:val="20"/>
        </w:rPr>
        <w:t>After giving effect to the amount drawn on its credit facility, approximately</w:t>
      </w:r>
      <w:r>
        <w:rPr>
          <w:rFonts w:ascii="Times New Roman" w:hAnsi="Times New Roman"/>
          <w:caps w:val="false"/>
          <w:smallCaps w:val="false"/>
          <w:sz w:val="20"/>
          <w:shd w:fill="FFFFFF" w:val="clear"/>
        </w:rPr>
        <w:t xml:space="preserve"> $7.9 </w:t>
      </w:r>
      <w:r>
        <w:rPr>
          <w:rFonts w:ascii="Times New Roman" w:hAnsi="Times New Roman"/>
          <w:caps w:val="false"/>
          <w:smallCaps w:val="false"/>
          <w:sz w:val="20"/>
        </w:rPr>
        <w:t>million of outstanding letters of credit and borrowing limits based on an advance multiple of adjusted EBITDA (as defined in the Credit Agreement),</w:t>
      </w:r>
      <w:r>
        <w:rPr>
          <w:rFonts w:ascii="Times New Roman" w:hAnsi="Times New Roman"/>
          <w:caps w:val="false"/>
          <w:smallCaps w:val="false"/>
          <w:sz w:val="20"/>
          <w:shd w:fill="FFFFFF" w:val="clear"/>
        </w:rPr>
        <w:t xml:space="preserve"> the Company had $650.0 million of capacity and $577.8 million available for borrowing under its credit facility.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had a total of $124.3 million of revolving loans, with an interest rate of 5.48%, outstanding on its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was in compliance with all financial covenants under the Credit Agreement.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effective income tax rates were </w:t>
      </w:r>
      <w:r>
        <w:rPr>
          <w:rFonts w:ascii="Times New Roman" w:hAnsi="Times New Roman"/>
          <w:caps w:val="false"/>
          <w:smallCaps w:val="false"/>
          <w:sz w:val="20"/>
          <w:shd w:fill="FFFFFF" w:val="clear"/>
        </w:rPr>
        <w:t xml:space="preserve">26.9% </w:t>
      </w:r>
      <w:r>
        <w:rPr>
          <w:rFonts w:ascii="Times New Roman" w:hAnsi="Times New Roman"/>
          <w:caps w:val="false"/>
          <w:smallCaps w:val="false"/>
          <w:sz w:val="20"/>
        </w:rPr>
        <w:t xml:space="preserve">and 26.4%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effective income tax rates were </w:t>
      </w:r>
      <w:r>
        <w:rPr>
          <w:rFonts w:ascii="Times New Roman" w:hAnsi="Times New Roman"/>
          <w:caps w:val="false"/>
          <w:smallCaps w:val="false"/>
          <w:sz w:val="20"/>
          <w:shd w:fill="FFFFFF" w:val="clear"/>
        </w:rPr>
        <w:t>25.0%</w:t>
      </w:r>
      <w:r>
        <w:rPr>
          <w:rFonts w:ascii="Times New Roman" w:hAnsi="Times New Roman"/>
          <w:caps w:val="false"/>
          <w:smallCaps w:val="false"/>
          <w:sz w:val="20"/>
        </w:rPr>
        <w:t xml:space="preserve"> and 24.0%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difference between our federal statutory and effective income tax rates was principally due to the inclusion of state taxes, non-deductible compensation and an excess tax expense, partially offset by the use of federal employment tax credits. The Work Opportunity Tax Credit (“WOTC”) is a federal tax credit available to employers for hiring individuals from certain targeted groups. The Company has historically benefited from this credit; however, because the program expired on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had not been renewed as of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effective income tax rate for the current quarter includes only the benefit associated with employees hired on or before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For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effective tax rates were inclusive of an excess tax benefit of 0.0% and 0.1%, respectively. The excess tax expense and tax benefit are discrete items, related to the vesting of equity shares, which requires the Company to recognize the expense or benefit fully in the period. An excess tax expense results if the Company’s cumulative costs of the award recognized exceed the income tax deduction, whereas an excess tax benefit results if the Company’s cumulative costs of the award recognized are less than the income tax deduction.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From time to time, the Company is subject to legal and/or administrative proceedings incidental to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It is the opinion of management that the outcome of pending legal and/or administrative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Unaudited Condensed Consolidated Balance Sheets and Unaudited Condensed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Operating segments are defined as components of a company that engage in business activities from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earn revenues and incur expenses, and for which separate financial information is available and is regularly reviewed by the Company’s chief operating decision maker (“CODM”). The Company identifies its Chief Executive Officer and Chief Operating Officer together as CODMs to assess the performance of the individual segments and make decisions about resources to be allocated to the segments. The Company operates as a multi-state provider of three business segments providing in-home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 xml:space="preserve">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assistance during an illness or after hospitalization and include skilled nursing and physical, occupational, and speech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Company’s method for measuring profitability on each reportable segment basis is the same as those described in the summary of significant accounting policies and its CODMs frequently review the actual result to budget variance to allocate resources to the segment and assess its performance. 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attributable to a particular segment. These costs include accounting, finance, human resources, legal, information technology, corporate office support and facility costs and overall corporate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CODMs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review disaggregated assets by segment. The measure of segment assets is reported on the balance sheet as total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tables below set forth information about the Company’s reportable segments, along with the items necessary to reconcile the segment information to the totals reported in the accompanying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951" w:type="dxa"/>
        <w:jc w:val="left"/>
        <w:tblInd w:w="0" w:type="dxa"/>
        <w:tblLayout w:type="fixed"/>
        <w:tblCellMar>
          <w:top w:w="0" w:type="dxa"/>
          <w:left w:w="0" w:type="dxa"/>
          <w:bottom w:w="0" w:type="dxa"/>
          <w:right w:w="0" w:type="dxa"/>
        </w:tblCellMar>
      </w:tblPr>
      <w:tblGrid>
        <w:gridCol w:w="4475"/>
        <w:gridCol w:w="60"/>
        <w:gridCol w:w="183"/>
        <w:gridCol w:w="1021"/>
        <w:gridCol w:w="63"/>
        <w:gridCol w:w="63"/>
        <w:gridCol w:w="132"/>
        <w:gridCol w:w="625"/>
        <w:gridCol w:w="63"/>
        <w:gridCol w:w="63"/>
        <w:gridCol w:w="197"/>
        <w:gridCol w:w="932"/>
        <w:gridCol w:w="63"/>
        <w:gridCol w:w="63"/>
        <w:gridCol w:w="132"/>
        <w:gridCol w:w="736"/>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295,995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64,247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248,854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17,419</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caps w:val="false"/>
          <w:smallCaps w:val="false"/>
        </w:rPr>
      </w:pPr>
      <w:r>
        <w:rPr>
          <w:caps w:val="false"/>
          <w:smallCaps w:val="false"/>
        </w:rPr>
        <w:t> </w:t>
      </w:r>
    </w:p>
    <w:tbl>
      <w:tblPr>
        <w:tblW w:w="8951" w:type="dxa"/>
        <w:jc w:val="left"/>
        <w:tblInd w:w="0" w:type="dxa"/>
        <w:tblLayout w:type="fixed"/>
        <w:tblCellMar>
          <w:top w:w="0" w:type="dxa"/>
          <w:left w:w="0" w:type="dxa"/>
          <w:bottom w:w="0" w:type="dxa"/>
          <w:right w:w="0" w:type="dxa"/>
        </w:tblCellMar>
      </w:tblPr>
      <w:tblGrid>
        <w:gridCol w:w="4475"/>
        <w:gridCol w:w="60"/>
        <w:gridCol w:w="183"/>
        <w:gridCol w:w="1021"/>
        <w:gridCol w:w="63"/>
        <w:gridCol w:w="63"/>
        <w:gridCol w:w="132"/>
        <w:gridCol w:w="625"/>
        <w:gridCol w:w="63"/>
        <w:gridCol w:w="63"/>
        <w:gridCol w:w="197"/>
        <w:gridCol w:w="932"/>
        <w:gridCol w:w="63"/>
        <w:gridCol w:w="63"/>
        <w:gridCol w:w="132"/>
        <w:gridCol w:w="736"/>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269,183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62,212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349,443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228,496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32,884</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17,219</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70,844</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pPr>
      <w:r>
        <w:rPr/>
        <w:t> </w:t>
      </w:r>
    </w:p>
    <w:tbl>
      <w:tblPr>
        <w:tblW w:w="8948" w:type="dxa"/>
        <w:jc w:val="left"/>
        <w:tblInd w:w="0" w:type="dxa"/>
        <w:tblLayout w:type="fixed"/>
        <w:tblCellMar>
          <w:top w:w="0" w:type="dxa"/>
          <w:left w:w="0" w:type="dxa"/>
          <w:bottom w:w="0" w:type="dxa"/>
          <w:right w:w="0" w:type="dxa"/>
        </w:tblCellMar>
      </w:tblPr>
      <w:tblGrid>
        <w:gridCol w:w="4475"/>
        <w:gridCol w:w="60"/>
        <w:gridCol w:w="183"/>
        <w:gridCol w:w="1021"/>
        <w:gridCol w:w="60"/>
        <w:gridCol w:w="60"/>
        <w:gridCol w:w="125"/>
        <w:gridCol w:w="695"/>
        <w:gridCol w:w="60"/>
        <w:gridCol w:w="60"/>
        <w:gridCol w:w="197"/>
        <w:gridCol w:w="932"/>
        <w:gridCol w:w="60"/>
        <w:gridCol w:w="60"/>
        <w:gridCol w:w="125"/>
        <w:gridCol w:w="695"/>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 2026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741,028</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489,728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70,430</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34,417</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146,453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65,284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4475"/>
        <w:gridCol w:w="60"/>
        <w:gridCol w:w="183"/>
        <w:gridCol w:w="1021"/>
        <w:gridCol w:w="60"/>
        <w:gridCol w:w="60"/>
        <w:gridCol w:w="125"/>
        <w:gridCol w:w="695"/>
        <w:gridCol w:w="60"/>
        <w:gridCol w:w="60"/>
        <w:gridCol w:w="197"/>
        <w:gridCol w:w="932"/>
        <w:gridCol w:w="60"/>
        <w:gridCol w:w="60"/>
        <w:gridCol w:w="125"/>
        <w:gridCol w:w="695"/>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 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687,151</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451,764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65,382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33,939</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136,066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64,809</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Significant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revenue by payor type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6"/>
        <w:gridCol w:w="60"/>
        <w:gridCol w:w="145"/>
        <w:gridCol w:w="805"/>
        <w:gridCol w:w="60"/>
        <w:gridCol w:w="60"/>
        <w:gridCol w:w="128"/>
        <w:gridCol w:w="688"/>
        <w:gridCol w:w="170"/>
        <w:gridCol w:w="60"/>
        <w:gridCol w:w="145"/>
        <w:gridCol w:w="805"/>
        <w:gridCol w:w="60"/>
        <w:gridCol w:w="60"/>
        <w:gridCol w:w="128"/>
        <w:gridCol w:w="688"/>
        <w:gridCol w:w="170"/>
        <w:gridCol w:w="60"/>
        <w:gridCol w:w="145"/>
        <w:gridCol w:w="805"/>
        <w:gridCol w:w="60"/>
        <w:gridCol w:w="60"/>
        <w:gridCol w:w="128"/>
        <w:gridCol w:w="688"/>
        <w:gridCol w:w="170"/>
        <w:gridCol w:w="60"/>
        <w:gridCol w:w="145"/>
        <w:gridCol w:w="805"/>
        <w:gridCol w:w="60"/>
        <w:gridCol w:w="60"/>
        <w:gridCol w:w="128"/>
        <w:gridCol w:w="688"/>
        <w:gridCol w:w="195"/>
      </w:tblGrid>
      <w:tr>
        <w:trPr/>
        <w:tc>
          <w:tcPr>
            <w:tcW w:w="1716"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0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State, local and other governmental programs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51.4</w:t>
            </w:r>
          </w:p>
        </w:tc>
        <w:tc>
          <w:tcPr>
            <w:tcW w:w="1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238,907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45.3</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Private pay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95" w:type="dxa"/>
            <w:tcBorders/>
            <w:shd w:fill="CCEE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insurance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95" w:type="dxa"/>
            <w:tcBorders/>
            <w:shd w:fill="FFFFFF" w:val="clear"/>
            <w:vAlign w:val="center"/>
          </w:tcPr>
          <w:p>
            <w:pPr>
              <w:pStyle w:val="TableContents"/>
              <w:bidi w:val="0"/>
              <w:spacing w:before="0" w:after="283"/>
              <w:jc w:val="left"/>
              <w:rPr/>
            </w:pPr>
            <w:r>
              <w:rPr/>
              <w:t> </w:t>
            </w:r>
          </w:p>
        </w:tc>
      </w:tr>
      <w:tr>
        <w:trPr/>
        <w:tc>
          <w:tcPr>
            <w:tcW w:w="1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95" w:type="dxa"/>
            <w:tcBorders/>
            <w:shd w:fill="CCEEFF"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577,089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527,469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60"/>
        <w:gridCol w:w="168"/>
        <w:gridCol w:w="790"/>
        <w:gridCol w:w="61"/>
        <w:gridCol w:w="61"/>
        <w:gridCol w:w="128"/>
        <w:gridCol w:w="696"/>
        <w:gridCol w:w="174"/>
        <w:gridCol w:w="61"/>
        <w:gridCol w:w="168"/>
        <w:gridCol w:w="790"/>
        <w:gridCol w:w="61"/>
        <w:gridCol w:w="61"/>
        <w:gridCol w:w="128"/>
        <w:gridCol w:w="696"/>
        <w:gridCol w:w="170"/>
        <w:gridCol w:w="60"/>
        <w:gridCol w:w="147"/>
        <w:gridCol w:w="812"/>
        <w:gridCol w:w="60"/>
        <w:gridCol w:w="60"/>
        <w:gridCol w:w="128"/>
        <w:gridCol w:w="696"/>
        <w:gridCol w:w="170"/>
        <w:gridCol w:w="60"/>
        <w:gridCol w:w="147"/>
        <w:gridCol w:w="812"/>
        <w:gridCol w:w="60"/>
        <w:gridCol w:w="60"/>
        <w:gridCol w:w="128"/>
        <w:gridCol w:w="696"/>
        <w:gridCol w:w="192"/>
      </w:tblGrid>
      <w:tr>
        <w:trPr/>
        <w:tc>
          <w:tcPr>
            <w:tcW w:w="164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4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57,846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92.7</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insurance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w:t>
            </w:r>
          </w:p>
        </w:tc>
        <w:tc>
          <w:tcPr>
            <w:tcW w:w="192" w:type="dxa"/>
            <w:tcBorders/>
            <w:shd w:fill="CCEEFF" w:val="clear"/>
            <w:vAlign w:val="center"/>
          </w:tcPr>
          <w:p>
            <w:pPr>
              <w:pStyle w:val="TableContents"/>
              <w:bidi w:val="0"/>
              <w:spacing w:before="0" w:after="283"/>
              <w:jc w:val="left"/>
              <w:rPr/>
            </w:pPr>
            <w:r>
              <w:rPr/>
              <w:t> </w:t>
            </w:r>
          </w:p>
        </w:tc>
      </w:tr>
      <w:tr>
        <w:trPr/>
        <w:tc>
          <w:tcPr>
            <w:tcW w:w="16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92" w:type="dxa"/>
            <w:tcBorders/>
            <w:shd w:fill="FFFFFF" w:val="clear"/>
            <w:vAlign w:val="center"/>
          </w:tcPr>
          <w:p>
            <w:pPr>
              <w:pStyle w:val="TableContents"/>
              <w:bidi w:val="0"/>
              <w:spacing w:before="0" w:after="283"/>
              <w:jc w:val="left"/>
              <w:rPr/>
            </w:pPr>
            <w:r>
              <w:rPr/>
              <w:t> </w:t>
            </w:r>
          </w:p>
        </w:tc>
      </w:tr>
      <w:tr>
        <w:trPr/>
        <w:tc>
          <w:tcPr>
            <w:tcW w:w="16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62,212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65"/>
        <w:gridCol w:w="60"/>
        <w:gridCol w:w="163"/>
        <w:gridCol w:w="768"/>
        <w:gridCol w:w="60"/>
        <w:gridCol w:w="60"/>
        <w:gridCol w:w="128"/>
        <w:gridCol w:w="669"/>
        <w:gridCol w:w="172"/>
        <w:gridCol w:w="60"/>
        <w:gridCol w:w="163"/>
        <w:gridCol w:w="768"/>
        <w:gridCol w:w="60"/>
        <w:gridCol w:w="60"/>
        <w:gridCol w:w="128"/>
        <w:gridCol w:w="669"/>
        <w:gridCol w:w="170"/>
        <w:gridCol w:w="60"/>
        <w:gridCol w:w="163"/>
        <w:gridCol w:w="768"/>
        <w:gridCol w:w="60"/>
        <w:gridCol w:w="60"/>
        <w:gridCol w:w="128"/>
        <w:gridCol w:w="669"/>
        <w:gridCol w:w="170"/>
        <w:gridCol w:w="60"/>
        <w:gridCol w:w="163"/>
        <w:gridCol w:w="768"/>
        <w:gridCol w:w="60"/>
        <w:gridCol w:w="60"/>
        <w:gridCol w:w="128"/>
        <w:gridCol w:w="669"/>
        <w:gridCol w:w="196"/>
      </w:tblGrid>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9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w:t>
            </w:r>
          </w:p>
        </w:tc>
        <w:tc>
          <w:tcPr>
            <w:tcW w:w="17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1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State, local and other governmental programs (excluding Medicare)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w:t>
            </w:r>
          </w:p>
        </w:tc>
        <w:tc>
          <w:tcPr>
            <w:tcW w:w="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196"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96"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The Company derives a significant amount of its revenue from its operations in Illinois, New Mexico, Ohio, Tennessee, and Texas. The percentages of segment revenue for each of these significant states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5"/>
        <w:gridCol w:w="60"/>
        <w:gridCol w:w="147"/>
        <w:gridCol w:w="816"/>
        <w:gridCol w:w="60"/>
        <w:gridCol w:w="60"/>
        <w:gridCol w:w="128"/>
        <w:gridCol w:w="701"/>
        <w:gridCol w:w="170"/>
        <w:gridCol w:w="60"/>
        <w:gridCol w:w="147"/>
        <w:gridCol w:w="816"/>
        <w:gridCol w:w="60"/>
        <w:gridCol w:w="60"/>
        <w:gridCol w:w="128"/>
        <w:gridCol w:w="701"/>
        <w:gridCol w:w="170"/>
        <w:gridCol w:w="60"/>
        <w:gridCol w:w="147"/>
        <w:gridCol w:w="816"/>
        <w:gridCol w:w="60"/>
        <w:gridCol w:w="60"/>
        <w:gridCol w:w="128"/>
        <w:gridCol w:w="701"/>
        <w:gridCol w:w="170"/>
        <w:gridCol w:w="60"/>
        <w:gridCol w:w="147"/>
        <w:gridCol w:w="816"/>
        <w:gridCol w:w="60"/>
        <w:gridCol w:w="60"/>
        <w:gridCol w:w="128"/>
        <w:gridCol w:w="701"/>
        <w:gridCol w:w="192"/>
      </w:tblGrid>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5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Texas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92"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 states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w:t>
            </w:r>
          </w:p>
        </w:tc>
        <w:tc>
          <w:tcPr>
            <w:tcW w:w="192"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personal care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577,089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527,469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3"/>
        <w:gridCol w:w="60"/>
        <w:gridCol w:w="170"/>
        <w:gridCol w:w="802"/>
        <w:gridCol w:w="61"/>
        <w:gridCol w:w="61"/>
        <w:gridCol w:w="128"/>
        <w:gridCol w:w="710"/>
        <w:gridCol w:w="174"/>
        <w:gridCol w:w="61"/>
        <w:gridCol w:w="170"/>
        <w:gridCol w:w="802"/>
        <w:gridCol w:w="61"/>
        <w:gridCol w:w="61"/>
        <w:gridCol w:w="128"/>
        <w:gridCol w:w="710"/>
        <w:gridCol w:w="170"/>
        <w:gridCol w:w="60"/>
        <w:gridCol w:w="149"/>
        <w:gridCol w:w="823"/>
        <w:gridCol w:w="60"/>
        <w:gridCol w:w="60"/>
        <w:gridCol w:w="128"/>
        <w:gridCol w:w="710"/>
        <w:gridCol w:w="170"/>
        <w:gridCol w:w="60"/>
        <w:gridCol w:w="149"/>
        <w:gridCol w:w="823"/>
        <w:gridCol w:w="60"/>
        <w:gridCol w:w="60"/>
        <w:gridCol w:w="128"/>
        <w:gridCol w:w="710"/>
        <w:gridCol w:w="193"/>
      </w:tblGrid>
      <w:tr>
        <w:trPr/>
        <w:tc>
          <w:tcPr>
            <w:tcW w:w="1533"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9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Ohio</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24,207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23,204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w:t>
            </w:r>
          </w:p>
        </w:tc>
        <w:tc>
          <w:tcPr>
            <w:tcW w:w="19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13,708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14,419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8,184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p>
        </w:tc>
        <w:tc>
          <w:tcPr>
            <w:tcW w:w="193" w:type="dxa"/>
            <w:tcBorders/>
            <w:shd w:fill="CCEEFF"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 states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17,857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16,405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193" w:type="dxa"/>
            <w:tcBorders/>
            <w:shd w:fill="FFFFFF" w:val="clear"/>
            <w:vAlign w:val="center"/>
          </w:tcPr>
          <w:p>
            <w:pPr>
              <w:pStyle w:val="TableContents"/>
              <w:bidi w:val="0"/>
              <w:spacing w:before="0" w:after="283"/>
              <w:jc w:val="left"/>
              <w:rPr/>
            </w:pPr>
            <w:r>
              <w:rPr/>
              <w:t> </w:t>
            </w:r>
          </w:p>
        </w:tc>
      </w:tr>
      <w:tr>
        <w:trPr/>
        <w:tc>
          <w:tcPr>
            <w:tcW w:w="1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62,212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2"/>
        <w:gridCol w:w="60"/>
        <w:gridCol w:w="168"/>
        <w:gridCol w:w="793"/>
        <w:gridCol w:w="61"/>
        <w:gridCol w:w="61"/>
        <w:gridCol w:w="128"/>
        <w:gridCol w:w="699"/>
        <w:gridCol w:w="174"/>
        <w:gridCol w:w="61"/>
        <w:gridCol w:w="168"/>
        <w:gridCol w:w="793"/>
        <w:gridCol w:w="61"/>
        <w:gridCol w:w="61"/>
        <w:gridCol w:w="128"/>
        <w:gridCol w:w="699"/>
        <w:gridCol w:w="170"/>
        <w:gridCol w:w="60"/>
        <w:gridCol w:w="168"/>
        <w:gridCol w:w="793"/>
        <w:gridCol w:w="60"/>
        <w:gridCol w:w="60"/>
        <w:gridCol w:w="128"/>
        <w:gridCol w:w="699"/>
        <w:gridCol w:w="170"/>
        <w:gridCol w:w="60"/>
        <w:gridCol w:w="168"/>
        <w:gridCol w:w="793"/>
        <w:gridCol w:w="60"/>
        <w:gridCol w:w="60"/>
        <w:gridCol w:w="128"/>
        <w:gridCol w:w="699"/>
        <w:gridCol w:w="192"/>
      </w:tblGrid>
      <w:tr>
        <w:trPr/>
        <w:tc>
          <w:tcPr>
            <w:tcW w:w="1622"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5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Six Months Ended June 30,</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Segment</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 Service</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Revenues</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9,166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8,737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Tennessee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7,322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p>
        </w:tc>
        <w:tc>
          <w:tcPr>
            <w:tcW w:w="192" w:type="dxa"/>
            <w:tcBorders/>
            <w:shd w:fill="FFFFFF" w:val="clear"/>
            <w:vAlign w:val="center"/>
          </w:tcPr>
          <w:p>
            <w:pPr>
              <w:pStyle w:val="TableContents"/>
              <w:bidi w:val="0"/>
              <w:spacing w:before="0" w:after="283"/>
              <w:jc w:val="left"/>
              <w:rPr/>
            </w:pPr>
            <w:r>
              <w:rPr/>
              <w:t> </w:t>
            </w:r>
          </w:p>
        </w:tc>
      </w:tr>
      <w:tr>
        <w:trPr/>
        <w:tc>
          <w:tcPr>
            <w:tcW w:w="16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92" w:type="dxa"/>
            <w:tcBorders/>
            <w:shd w:fill="CCEEFF"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home health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17,175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2"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 xml:space="preserve">A substantial portion of the Company’s revenue and accounts receivable are derived from services performed for federal, state, and local governmental agencies. The personal care segment derives a significant amount of its net service revenues in Illinois, which represented 32.1% and 33.0% of our net service revenues for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Illinois Department on Aging, the largest payor program for the Company’s Illinois personal care operations, accounted for </w:t>
      </w:r>
      <w:r>
        <w:rPr>
          <w:rFonts w:ascii="Times New Roman" w:hAnsi="Times New Roman"/>
          <w:caps w:val="false"/>
          <w:smallCaps w:val="false"/>
          <w:sz w:val="20"/>
          <w:shd w:fill="FFFFFF" w:val="clear"/>
        </w:rPr>
        <w:t>17.7%</w:t>
      </w:r>
      <w:r>
        <w:rPr>
          <w:rFonts w:ascii="Times New Roman" w:hAnsi="Times New Roman"/>
          <w:caps w:val="false"/>
          <w:smallCaps w:val="false"/>
          <w:sz w:val="20"/>
        </w:rPr>
        <w:t xml:space="preserve"> and 18.6% of the Company’s net service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accounted for</w:t>
      </w:r>
      <w:r>
        <w:rPr>
          <w:rFonts w:ascii="Times New Roman" w:hAnsi="Times New Roman"/>
          <w:caps w:val="false"/>
          <w:smallCaps w:val="false"/>
          <w:sz w:val="20"/>
          <w:shd w:fill="FFFFFF" w:val="clear"/>
        </w:rPr>
        <w:t xml:space="preserve"> 17.8%</w:t>
      </w:r>
      <w:r>
        <w:rPr>
          <w:rFonts w:ascii="Times New Roman" w:hAnsi="Times New Roman"/>
          <w:caps w:val="false"/>
          <w:smallCaps w:val="false"/>
          <w:sz w:val="20"/>
        </w:rPr>
        <w:t xml:space="preserve"> and 18.6% of the Company’s net service revenues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related receivables due from the Illinois Department on Aging represented </w:t>
      </w:r>
      <w:r>
        <w:rPr>
          <w:rFonts w:ascii="Times New Roman" w:hAnsi="Times New Roman"/>
          <w:caps w:val="false"/>
          <w:smallCaps w:val="false"/>
          <w:sz w:val="20"/>
          <w:shd w:fill="FFFFFF" w:val="clear"/>
        </w:rPr>
        <w:t>13.2%</w:t>
      </w:r>
      <w:r>
        <w:rPr>
          <w:rFonts w:ascii="Times New Roman" w:hAnsi="Times New Roman"/>
          <w:caps w:val="false"/>
          <w:smallCaps w:val="false"/>
          <w:sz w:val="20"/>
        </w:rPr>
        <w:t xml:space="preserve"> and 25.2% of the Company’s net accounts receivable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800" w:right="0" w:hanging="800"/>
        <w:jc w:val="left"/>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belief,</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xml:space="preserve">” </w:t>
      </w:r>
      <w:r>
        <w:rPr>
          <w:rFonts w:ascii="Times New Roman" w:hAnsi="Times New Roman"/>
          <w:i/>
          <w:caps w:val="false"/>
          <w:smallCaps w:val="false"/>
          <w:sz w:val="20"/>
        </w:rPr>
        <w:t>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inflation and interest rates, legislative and political developments, including federal government shutdowns, any lapse in appropriations and any hold on or cancellation of congressionally authorized spending or interruptions in the distribution of government funds, trade policies and tensions, including changes in, or the imposition of, tariffs and/or trade barriers and the economic impacts, volatility and uncertainty resulting therefrom, and the potential adverse effects of current conditions; business disruptions due to inclement weather, natural disasters, acts of terrorism, military conflicts, pandemics, civil insurrection or social unrest; changes in operational and reimbursement processes and payment structures at the state or federal levels; changes in Medicaid, Medicare, other government program and managed care organizations</w:t>
      </w:r>
      <w:r>
        <w:rPr>
          <w:rFonts w:ascii="Times New Roman" w:hAnsi="Times New Roman"/>
          <w:caps w:val="false"/>
          <w:smallCaps w:val="false"/>
          <w:sz w:val="20"/>
        </w:rPr>
        <w:t xml:space="preserve">’ </w:t>
      </w:r>
      <w:r>
        <w:rPr>
          <w:rFonts w:ascii="Times New Roman" w:hAnsi="Times New Roman"/>
          <w:i/>
          <w:caps w:val="false"/>
          <w:smallCaps w:val="false"/>
          <w:sz w:val="20"/>
        </w:rPr>
        <w:t>policies and payment rates, and the timeliness of reimbursements received under government programs; the implementation of new, and possible changes to existing, federal and state laws or regulations, or our failure to comply with such laws or regulations or comply on a timely basis; the impact of decisions of the U.S. Supreme Court regarding the actions of federal agencies; changes in the executive branch of the federal government; changes in the structure and administration of, and funding for, federal and state agencies and programs;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overall economic conditions and deficit or spending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moratoria on new provider enrollments and limits on services imposed through legislation or by governmental agencies or other third-party payors;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expanding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w:t>
      </w:r>
      <w:r>
        <w:rPr>
          <w:rFonts w:ascii="Times New Roman" w:hAnsi="Times New Roman"/>
          <w:caps w:val="false"/>
          <w:smallCaps w:val="false"/>
          <w:sz w:val="20"/>
        </w:rPr>
        <w:t xml:space="preserve">  </w:t>
      </w:r>
      <w:r>
        <w:rPr>
          <w:rFonts w:ascii="Times New Roman" w:hAnsi="Times New Roman"/>
          <w:i/>
          <w:caps w:val="false"/>
          <w:smallCaps w:val="false"/>
          <w:sz w:val="20"/>
        </w:rPr>
        <w:t>and various other matters, many of which are beyond our control. In addition, these forward-looking statements are subject to the risk factors set forth in Part I, Item 1A of our Annual Report on Form 10-K for the period ended December</w:t>
      </w:r>
      <w:r>
        <w:rPr>
          <w:rFonts w:ascii="Times New Roman" w:hAnsi="Times New Roman"/>
          <w:caps w:val="false"/>
          <w:smallCaps w:val="false"/>
          <w:sz w:val="20"/>
        </w:rPr>
        <w:t> </w:t>
      </w:r>
      <w:r>
        <w:rPr>
          <w:rFonts w:ascii="Times New Roman" w:hAnsi="Times New Roman"/>
          <w:i/>
          <w:caps w:val="false"/>
          <w:smallCaps w:val="false"/>
          <w:sz w:val="20"/>
        </w:rPr>
        <w:t>31, 2025, filed with the SEC.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w:t>
      </w:r>
      <w:r>
        <w:rPr>
          <w:rFonts w:ascii="Times New Roman" w:hAnsi="Times New Roman"/>
          <w:caps w:val="false"/>
          <w:smallCaps w:val="false"/>
          <w:sz w:val="20"/>
          <w:shd w:fill="FFFFFF" w:val="clear"/>
        </w:rPr>
        <w:t>38.6% a</w:t>
      </w:r>
      <w:r>
        <w:rPr>
          <w:rFonts w:ascii="Times New Roman" w:hAnsi="Times New Roman"/>
          <w:caps w:val="false"/>
          <w:smallCaps w:val="false"/>
          <w:sz w:val="20"/>
        </w:rPr>
        <w:t xml:space="preserve">nd 36.7% of our net service revenues during the three months ended June 30, 2026 and 2025, respectively, and </w:t>
      </w:r>
      <w:r>
        <w:rPr>
          <w:rFonts w:ascii="Times New Roman" w:hAnsi="Times New Roman"/>
          <w:caps w:val="false"/>
          <w:smallCaps w:val="false"/>
          <w:sz w:val="20"/>
          <w:shd w:fill="FFFFFF" w:val="clear"/>
        </w:rPr>
        <w:t>38.4%</w:t>
      </w:r>
      <w:r>
        <w:rPr>
          <w:rFonts w:ascii="Times New Roman" w:hAnsi="Times New Roman"/>
          <w:caps w:val="false"/>
          <w:smallCaps w:val="false"/>
          <w:sz w:val="20"/>
        </w:rPr>
        <w:t xml:space="preserve"> and 36.5% of our net service revenues during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summary of certain consolidated financial results is provided in the table below.</w:t>
      </w:r>
    </w:p>
    <w:p>
      <w:pPr>
        <w:pStyle w:val="TextBody"/>
        <w:bidi w:val="0"/>
        <w:spacing w:before="0" w:after="0"/>
        <w:ind w:left="0" w:right="0" w:hanging="0"/>
        <w:jc w:val="left"/>
        <w:rPr>
          <w:caps w:val="false"/>
          <w:smallCaps w:val="false"/>
        </w:rPr>
      </w:pPr>
      <w:r>
        <w:rPr>
          <w:caps w:val="false"/>
          <w:smallCaps w:val="false"/>
        </w:rPr>
        <w:t> </w:t>
      </w:r>
    </w:p>
    <w:tbl>
      <w:tblPr>
        <w:tblW w:w="9114" w:type="dxa"/>
        <w:jc w:val="left"/>
        <w:tblInd w:w="0" w:type="dxa"/>
        <w:tblLayout w:type="fixed"/>
        <w:tblCellMar>
          <w:top w:w="0" w:type="dxa"/>
          <w:left w:w="0" w:type="dxa"/>
          <w:bottom w:w="0" w:type="dxa"/>
          <w:right w:w="0" w:type="dxa"/>
        </w:tblCellMar>
      </w:tblPr>
      <w:tblGrid>
        <w:gridCol w:w="2720"/>
        <w:gridCol w:w="60"/>
        <w:gridCol w:w="227"/>
        <w:gridCol w:w="1263"/>
        <w:gridCol w:w="109"/>
        <w:gridCol w:w="109"/>
        <w:gridCol w:w="227"/>
        <w:gridCol w:w="1263"/>
        <w:gridCol w:w="60"/>
        <w:gridCol w:w="60"/>
        <w:gridCol w:w="210"/>
        <w:gridCol w:w="1168"/>
        <w:gridCol w:w="100"/>
        <w:gridCol w:w="100"/>
        <w:gridCol w:w="210"/>
        <w:gridCol w:w="1168"/>
        <w:gridCol w:w="60"/>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19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Personal care</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295,995</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577,089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527,469</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Hospice</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64,247</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130,032</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123,649</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health</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17,175</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36,033</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service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377,417</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741,028</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687,151</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27,607</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As of June 30, 2026, we provided our services in 24 states through </w:t>
      </w:r>
      <w:r>
        <w:rPr>
          <w:rFonts w:ascii="Times New Roman" w:hAnsi="Times New Roman"/>
          <w:caps w:val="false"/>
          <w:smallCaps w:val="false"/>
          <w:sz w:val="20"/>
          <w:shd w:fill="FFFFFF" w:val="clear"/>
        </w:rPr>
        <w:t>264</w:t>
      </w:r>
      <w:r>
        <w:rPr>
          <w:rFonts w:ascii="Times New Roman" w:hAnsi="Times New Roman"/>
          <w:caps w:val="false"/>
          <w:smallCaps w:val="false"/>
          <w:sz w:val="20"/>
        </w:rPr>
        <w:t> offices. Our personal care segment also includes staffing services, with clients including assisted living facilities, nursing homes, and hospice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January 1, 2025, the Company completed its acquisition of its Jacksonville affiliate (the “Jacksonville Acquisition”), for approximately $0.8 million, with funding provided by available cash. With the Jacksonville Acquisition, the Company expanded its personal care segment in Florida and recorded goodwill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March 1, 2025, the Company completed its acquisition of the assets of Great Lakes Home Care Unlimited, LLC (the “Great Lakes Acquisition”), for $2.6 million, with funding provided by available cash. With the Great Lakes Acquisition, the Company expanded its personal care segment in Michigan and recognized goodwill in its personal care segment of $2.6 million.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August 1, 2025, the Company completed its acquisition of Helping Hands Home Care Service, Inc. (the “Helping Hands Acquisition”), for approximately $21.4 million, with funding through the Company’s revolving credit facility and available cash. With the Helping Hands Acquisition, the Company expanded its services within its personal care segment and entered the hospice and home health markets in Pennsylvania and recognized goodwill in its personal care segment of $19.0 million</w:t>
      </w:r>
      <w:r>
        <w:rPr>
          <w:rFonts w:ascii="Times New Roman" w:hAnsi="Times New Roman"/>
          <w:caps w:val="false"/>
          <w:smallCaps w:val="false"/>
          <w:sz w:val="20"/>
          <w:shd w:fill="FFFFFF" w:val="clear"/>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October 1, 2025, the Company completed its acquisition of Gold Horses, LLC (the “Gold Horses Acquisition”), for approximately $7.4 million, with funding provided by available cash. With the Gold Horses Acquisition, the Company expanded its services within its personal care segment in Texas and recognized goodwill in its personal care segment of $7.4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On May 1, 2026, the Company completed its acquisition of HomeCourt Home Care (the “HomeCourt Acquisition”), for approximately $12.2 million, with funding provided by available cash. With the HomeCourt Acquisition, the Company expanded its services within its personal care segment to Indiana </w:t>
      </w:r>
      <w:r>
        <w:rPr>
          <w:rFonts w:ascii="Times New Roman" w:hAnsi="Times New Roman"/>
          <w:caps w:val="false"/>
          <w:smallCaps w:val="false"/>
          <w:sz w:val="20"/>
          <w:shd w:fill="FFFFFF" w:val="clear"/>
        </w:rPr>
        <w:t>and recognized goodwill in its personal care segment of $11.3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Effective May 20, 2024, we entered into the New York Asset Sale. The Company entered into a consulting agreement with the purchaser, as the transfer of clients and caregivers and payment for assets pursuant to the New York Asset Sale was occurring over time. In connection with this transaction, the Company ceased operations in New York. See Note 3 to the Notes to Unaudited Condensed Consolidated Financial Statements, </w:t>
      </w:r>
      <w:r>
        <w:rPr>
          <w:rFonts w:ascii="Times New Roman" w:hAnsi="Times New Roman"/>
          <w:i/>
          <w:caps w:val="false"/>
          <w:smallCaps w:val="false"/>
          <w:sz w:val="20"/>
        </w:rPr>
        <w:t>Divestiture</w:t>
      </w:r>
      <w:r>
        <w:rPr>
          <w:rFonts w:ascii="Times New Roman" w:hAnsi="Times New Roman"/>
          <w:caps w:val="false"/>
          <w:smallCaps w:val="false"/>
          <w:sz w:val="20"/>
        </w:rPr>
        <w:t>, for additional details regarding our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Recruiting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As the labor market continues to be tight and unemployment remains at low levels, the competition for new caregivers, including skilled healthcare staff, and support staff continues to be </w:t>
      </w:r>
      <w:r>
        <w:rPr>
          <w:rFonts w:ascii="Times New Roman" w:hAnsi="Times New Roman"/>
          <w:caps w:val="false"/>
          <w:smallCaps w:val="false"/>
          <w:color w:val="000000"/>
          <w:sz w:val="20"/>
        </w:rPr>
        <w:t>significant</w:t>
      </w:r>
      <w:r>
        <w:rPr>
          <w:rFonts w:ascii="Times New Roman" w:hAnsi="Times New Roman"/>
          <w:caps w:val="false"/>
          <w:smallCaps w:val="false"/>
          <w:sz w:val="20"/>
        </w:rPr>
        <w:t>. In addition, the United States economy continues to experience inflationary pressures. To the extent that we continue to experience a shortage of caregivers, it may hinder our ability to fully meet the continuing demand for both our non-clinical and clinical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by Payor and Significant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have experienced a transition of business from government payors to managed care organizations, which we believe aligns with our emphasis on coordinated care and the reduction of the need for acute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revenue by payor and significant states by segment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2"/>
        <w:gridCol w:w="60"/>
        <w:gridCol w:w="147"/>
        <w:gridCol w:w="817"/>
        <w:gridCol w:w="60"/>
        <w:gridCol w:w="60"/>
        <w:gridCol w:w="135"/>
        <w:gridCol w:w="701"/>
        <w:gridCol w:w="171"/>
        <w:gridCol w:w="60"/>
        <w:gridCol w:w="147"/>
        <w:gridCol w:w="817"/>
        <w:gridCol w:w="60"/>
        <w:gridCol w:w="60"/>
        <w:gridCol w:w="135"/>
        <w:gridCol w:w="701"/>
        <w:gridCol w:w="170"/>
        <w:gridCol w:w="60"/>
        <w:gridCol w:w="147"/>
        <w:gridCol w:w="817"/>
        <w:gridCol w:w="60"/>
        <w:gridCol w:w="60"/>
        <w:gridCol w:w="135"/>
        <w:gridCol w:w="701"/>
        <w:gridCol w:w="170"/>
        <w:gridCol w:w="60"/>
        <w:gridCol w:w="147"/>
        <w:gridCol w:w="817"/>
        <w:gridCol w:w="60"/>
        <w:gridCol w:w="60"/>
        <w:gridCol w:w="135"/>
        <w:gridCol w:w="701"/>
        <w:gridCol w:w="192"/>
      </w:tblGrid>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7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Six Months Ended June 30,</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State, local and other governmental programs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50.3</w:t>
            </w:r>
          </w:p>
        </w:tc>
        <w:tc>
          <w:tcPr>
            <w:tcW w:w="17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51.4</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47.3</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238,907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45.3</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Private pay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1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92" w:type="dxa"/>
            <w:tcBorders/>
            <w:shd w:fill="CCEE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insurance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p>
        </w:tc>
        <w:tc>
          <w:tcPr>
            <w:tcW w:w="192" w:type="dxa"/>
            <w:tcBorders/>
            <w:shd w:fill="CCEE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577,089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527,469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2"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w:t>
            </w:r>
          </w:p>
        </w:tc>
        <w:tc>
          <w:tcPr>
            <w:tcW w:w="17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Texas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92" w:type="dxa"/>
            <w:tcBorders/>
            <w:shd w:fill="CCEEFF" w:val="clear"/>
            <w:vAlign w:val="center"/>
          </w:tcPr>
          <w:p>
            <w:pPr>
              <w:pStyle w:val="TableContents"/>
              <w:bidi w:val="0"/>
              <w:spacing w:before="0" w:after="283"/>
              <w:jc w:val="left"/>
              <w:rPr/>
            </w:pPr>
            <w:r>
              <w:rPr/>
              <w:t> </w:t>
            </w:r>
          </w:p>
        </w:tc>
      </w:tr>
      <w:tr>
        <w:trPr/>
        <w:tc>
          <w:tcPr>
            <w:tcW w:w="1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 states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w:t>
            </w:r>
          </w:p>
        </w:tc>
        <w:tc>
          <w:tcPr>
            <w:tcW w:w="1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w:t>
            </w:r>
          </w:p>
        </w:tc>
        <w:tc>
          <w:tcPr>
            <w:tcW w:w="192" w:type="dxa"/>
            <w:tcBorders/>
            <w:shd w:fill="FFFFFF" w:val="clear"/>
            <w:vAlign w:val="center"/>
          </w:tcPr>
          <w:p>
            <w:pPr>
              <w:pStyle w:val="TableContents"/>
              <w:bidi w:val="0"/>
              <w:spacing w:before="0" w:after="283"/>
              <w:jc w:val="left"/>
              <w:rPr/>
            </w:pPr>
            <w:r>
              <w:rPr/>
              <w:t> </w:t>
            </w:r>
          </w:p>
        </w:tc>
      </w:tr>
      <w:tr>
        <w:trPr/>
        <w:tc>
          <w:tcPr>
            <w:tcW w:w="1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personal care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577,089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527,469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0"/>
        <w:gridCol w:w="60"/>
        <w:gridCol w:w="175"/>
        <w:gridCol w:w="795"/>
        <w:gridCol w:w="61"/>
        <w:gridCol w:w="61"/>
        <w:gridCol w:w="135"/>
        <w:gridCol w:w="708"/>
        <w:gridCol w:w="174"/>
        <w:gridCol w:w="61"/>
        <w:gridCol w:w="175"/>
        <w:gridCol w:w="795"/>
        <w:gridCol w:w="61"/>
        <w:gridCol w:w="61"/>
        <w:gridCol w:w="135"/>
        <w:gridCol w:w="708"/>
        <w:gridCol w:w="170"/>
        <w:gridCol w:w="60"/>
        <w:gridCol w:w="148"/>
        <w:gridCol w:w="822"/>
        <w:gridCol w:w="60"/>
        <w:gridCol w:w="60"/>
        <w:gridCol w:w="135"/>
        <w:gridCol w:w="708"/>
        <w:gridCol w:w="170"/>
        <w:gridCol w:w="60"/>
        <w:gridCol w:w="148"/>
        <w:gridCol w:w="822"/>
        <w:gridCol w:w="60"/>
        <w:gridCol w:w="60"/>
        <w:gridCol w:w="135"/>
        <w:gridCol w:w="708"/>
        <w:gridCol w:w="194"/>
      </w:tblGrid>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Six Months Ended June 30,</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57,846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92.7</w:t>
            </w:r>
          </w:p>
        </w:tc>
        <w:tc>
          <w:tcPr>
            <w:tcW w:w="19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insurance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w:t>
            </w:r>
          </w:p>
        </w:tc>
        <w:tc>
          <w:tcPr>
            <w:tcW w:w="194"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62,212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Ohio</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24,207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p>
        </w:tc>
        <w:tc>
          <w:tcPr>
            <w:tcW w:w="17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23,204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w:t>
            </w:r>
          </w:p>
        </w:tc>
        <w:tc>
          <w:tcPr>
            <w:tcW w:w="19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13,708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14,419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w:t>
            </w:r>
          </w:p>
        </w:tc>
        <w:tc>
          <w:tcPr>
            <w:tcW w:w="194"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8,475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17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8,184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p>
        </w:tc>
        <w:tc>
          <w:tcPr>
            <w:tcW w:w="194"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 states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17,857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w:t>
            </w:r>
          </w:p>
        </w:tc>
        <w:tc>
          <w:tcPr>
            <w:tcW w:w="17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16,405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194"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hospice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64,247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62,212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6"/>
        <w:gridCol w:w="60"/>
        <w:gridCol w:w="171"/>
        <w:gridCol w:w="777"/>
        <w:gridCol w:w="61"/>
        <w:gridCol w:w="61"/>
        <w:gridCol w:w="135"/>
        <w:gridCol w:w="684"/>
        <w:gridCol w:w="173"/>
        <w:gridCol w:w="61"/>
        <w:gridCol w:w="171"/>
        <w:gridCol w:w="777"/>
        <w:gridCol w:w="61"/>
        <w:gridCol w:w="61"/>
        <w:gridCol w:w="135"/>
        <w:gridCol w:w="684"/>
        <w:gridCol w:w="170"/>
        <w:gridCol w:w="60"/>
        <w:gridCol w:w="166"/>
        <w:gridCol w:w="782"/>
        <w:gridCol w:w="60"/>
        <w:gridCol w:w="60"/>
        <w:gridCol w:w="135"/>
        <w:gridCol w:w="684"/>
        <w:gridCol w:w="170"/>
        <w:gridCol w:w="60"/>
        <w:gridCol w:w="166"/>
        <w:gridCol w:w="782"/>
        <w:gridCol w:w="60"/>
        <w:gridCol w:w="60"/>
        <w:gridCol w:w="135"/>
        <w:gridCol w:w="684"/>
        <w:gridCol w:w="193"/>
      </w:tblGrid>
      <w:tr>
        <w:trPr/>
        <w:tc>
          <w:tcPr>
            <w:tcW w:w="1706"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1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Three Months Ended June 30,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For the Six Months Ended June 30,</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 Segment</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Service</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10,903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w:t>
            </w:r>
          </w:p>
        </w:tc>
        <w:tc>
          <w:tcPr>
            <w:tcW w:w="17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12,517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19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Managed care organizations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4,264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State, local and other governmental programs (excluding Medicare)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w:t>
            </w:r>
          </w:p>
        </w:tc>
        <w:tc>
          <w:tcPr>
            <w:tcW w:w="17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193" w:type="dxa"/>
            <w:tcBorders/>
            <w:shd w:fill="CCEE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Mexico</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9,166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w:t>
            </w:r>
          </w:p>
        </w:tc>
        <w:tc>
          <w:tcPr>
            <w:tcW w:w="17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8,737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19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Tennessee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w:t>
            </w:r>
          </w:p>
        </w:tc>
        <w:tc>
          <w:tcPr>
            <w:tcW w:w="17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p>
        </w:tc>
        <w:tc>
          <w:tcPr>
            <w:tcW w:w="193" w:type="dxa"/>
            <w:tcBorders/>
            <w:shd w:fill="CCEEFF"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17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93" w:type="dxa"/>
            <w:tcBorders/>
            <w:shd w:fill="FFFFFF" w:val="clear"/>
            <w:vAlign w:val="center"/>
          </w:tcPr>
          <w:p>
            <w:pPr>
              <w:pStyle w:val="TableContents"/>
              <w:bidi w:val="0"/>
              <w:spacing w:before="0" w:after="283"/>
              <w:jc w:val="left"/>
              <w:rPr/>
            </w:pPr>
            <w:r>
              <w:rPr/>
              <w:t> </w:t>
            </w:r>
          </w:p>
        </w:tc>
      </w:tr>
      <w:tr>
        <w:trPr/>
        <w:tc>
          <w:tcPr>
            <w:tcW w:w="17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9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personal care segment derives a significant amount of its net service revenues in Illinois, which represented 32.1%</w:t>
      </w:r>
      <w:r>
        <w:rPr>
          <w:rFonts w:ascii="Times New Roman" w:hAnsi="Times New Roman"/>
          <w:caps w:val="false"/>
          <w:smallCaps w:val="false"/>
          <w:sz w:val="20"/>
          <w:shd w:fill="FFFFFF" w:val="clear"/>
        </w:rPr>
        <w:t> </w:t>
      </w:r>
      <w:r>
        <w:rPr>
          <w:rFonts w:ascii="Times New Roman" w:hAnsi="Times New Roman"/>
          <w:caps w:val="false"/>
          <w:smallCaps w:val="false"/>
          <w:sz w:val="20"/>
        </w:rPr>
        <w:t>and 33.0% of our net service revenues for the both the three and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 significant amount of our net service revenues are derived from one payor, the Illinois Department on Aging, the largest payor program for our Illinois personal care operations, which accounted for </w:t>
      </w:r>
      <w:r>
        <w:rPr>
          <w:rFonts w:ascii="Times New Roman" w:hAnsi="Times New Roman"/>
          <w:caps w:val="false"/>
          <w:smallCaps w:val="false"/>
          <w:sz w:val="20"/>
          <w:shd w:fill="FFFFFF" w:val="clear"/>
        </w:rPr>
        <w:t>17.7%</w:t>
      </w:r>
      <w:r>
        <w:rPr>
          <w:rFonts w:ascii="Times New Roman" w:hAnsi="Times New Roman"/>
          <w:caps w:val="false"/>
          <w:smallCaps w:val="false"/>
          <w:sz w:val="20"/>
        </w:rPr>
        <w:t xml:space="preserve"> and 18.6% of our net service revenues for the three months ended June 30, 2026 and 2025, respectively, and accounted for </w:t>
      </w:r>
      <w:r>
        <w:rPr>
          <w:rFonts w:ascii="Times New Roman" w:hAnsi="Times New Roman"/>
          <w:caps w:val="false"/>
          <w:smallCaps w:val="false"/>
          <w:sz w:val="20"/>
          <w:shd w:fill="FFFFFF" w:val="clear"/>
        </w:rPr>
        <w:t>17.8%</w:t>
      </w:r>
      <w:r>
        <w:rPr>
          <w:rFonts w:ascii="Times New Roman" w:hAnsi="Times New Roman"/>
          <w:caps w:val="false"/>
          <w:smallCaps w:val="false"/>
          <w:sz w:val="20"/>
        </w:rPr>
        <w:t xml:space="preserve"> and 18.6% of our net service revenues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Illinois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noted above, we derive a significant amount of our net service revenues in Illinois. Changes to reimbursement rates and minimum wage requirements may materially impact our revenues. The Illinois fiscal year 2026 budget included an increase in hourly rates for in-home care services to $30.80, effective January 1, 2026, and required a minimum wage of $18.75 per hour for direct service workers. These rates remain stable under the Illinois fiscal year 2027 budget. CMS approved an amendment to Illinois’ Persons Who are Elderly waiver program that included the 2026 rate increase, effective January 1, 2026. Illinois’ current Persons Who are Elderly waiver expires September 30, 2026, unless CMS approves a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City of Chicago requires the Chicago minimum wage to be adjusted annually based on increases in the Consumer Price Index (“CPI”), subject to a cap and other requirements. Effective July 1, 2026, the rate was adjusted to $17.05 based on the increase in the CPI.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business will benefit from the rate increases noted above for 2026, but there is no assurance that there will be additional rate increases in Illinois for fiscal years beyond fiscal year 2026 to offset increases in minimum wage, and our financial performance will be adversely impacted for any periods in which an additional offsetting reimbursement rate increase is not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Texas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Texas fiscal year 2026 budget included an increase in hourly rates to $17.13 for in-home care services effective September 1, 2025.</w:t>
      </w:r>
    </w:p>
    <w:p>
      <w:pPr>
        <w:pStyle w:val="TextBody"/>
        <w:bidi w:val="0"/>
        <w:spacing w:before="0" w:after="0"/>
        <w:ind w:left="0" w:right="0" w:hanging="18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Medicare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Hospice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Hospice services provided to Medicare beneficiaries are paid under the Medicare Hospice Prospective Payment System, under which CMS sets a daily rate for each day a patient is enrolled in the hospice benefit. The daily rate depends on the level of care provided to a patient (routine home care, continuous home care, inpatient respite care, or general inpatient care). Daily rates are adjusted for factors such as area wage levels. CMS updates hospice payment rates each federal fiscal year. Effective October 1, 2025, CMS increased hospice payment rates by 2.6%. This reflects a 3.3% market basket increase and a negative 0.7 percentage point productivity adjustment. Hospices that do not satisfy quality reporting requirements are subject to a 4-percentage point reduction to the market basket update.</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Overall payments made by Medicare to each hospice provider number are subject to an inpatient cap and an aggregate cap. The inpatient cap limits the number of days of inpatient care for which Medicare will pay to no more than 20% of total patient care days. Days in excess of the limitation are paid at the routine home care rate. The aggregate cap limits the total Medicare reimbursement that a hospice may receive in a cap year (typically the federal fiscal year) based on an annual per-beneficiary cap amount, which is set each federal fiscal year, and the number of Medicare patients served. The per-beneficiary cap amount was updated to $35,361.44 for federal fiscal year 2026. If a hospice’s Medicare payments exceed its inpatient or aggregate caps, it must repay Medicare the excess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Home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the discipline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CMS updates the HHPPS payment rates each calendar year. For calendar year 2026, CMS estimates that Medicare payments to home health agencies will decrease by 1.3%. This is based on a home health payment update percentage of 2.4%, which reflects a 3.2% market basket update, reduced by a productivity adjustment of 0.8 percentage points,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Under the nationwide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Payment of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Illinois, Ohio, Oklahoma, North Carolina, Florida, and Texas. Providers in states subject to the Review Choice Demonstration for Home Health Services may initially select either pre-claim review or post-payment review. Home health agencies that maintain high compliance levels are eligible for additional options that may be less burdensome. This program has not had a material impact on our results of operations or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CMS Final Rule: </w:t>
      </w:r>
      <w:r>
        <w:rPr>
          <w:rFonts w:ascii="Times New Roman" w:hAnsi="Times New Roman"/>
          <w:caps w:val="false"/>
          <w:smallCaps w:val="false"/>
          <w:sz w:val="20"/>
        </w:rPr>
        <w:t>“</w:t>
      </w:r>
      <w:r>
        <w:rPr>
          <w:rFonts w:ascii="Times New Roman" w:hAnsi="Times New Roman"/>
          <w:b/>
          <w:i/>
          <w:caps w:val="false"/>
          <w:smallCaps w:val="false"/>
          <w:sz w:val="20"/>
        </w:rPr>
        <w:t>Ensuring Access to Medicaid Services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May 2024, CMS finalized a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by mid-2030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The final rule includes several other measures intended to promote transparency and enhance quality and access to services, including a variety of reporting requirements for states. Given the long implementation period and the likelihood of further changes as a result of litigation, administration and congressional changes, further rule-making and state changes in response to the final rule, it is premature to predict the ultimate impact of the final rule on our business. Some states have adopted or may consider adopting similar caregiver compensation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Potential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Home care and other healthcare providers may be significantly impacted by changes to the Medicaid program, including changes  resulting from legislation and administrative actions at the federal and state levels. Federal actions may impact funding for, or the structure of, the Medicaid program, including through changes to Medicaid waiver programs, and may shape provider reimbursement rates, eligibility and coverage policies, waiver programs and other aspects of state Medicaid programs at the state level. For example, the budget reconciliation legislation enacted on July 4, 2025, commonly known as the “One Big Beautiful Bill Act” (“OBBBA”), includes provisions that are expected to result in Medicaid spending reductions and changes in administration of state Medicaid programs. Among other changes, the law requires changes to Medicaid financing mechanisms, including restrictions intended to reduce the federal matching funds received by state Medicaid programs, with greater restrictions in states that have expanded Medicaid. In addition, some members of Congress and the executive branch have raised, and Congress in the future may adopt, other proposals intended to reduce Medicaid expenditures such as restructuring the Medicaid program to give states a “block grant” or fixed amount of overall funding for their respective Medicaid programs or to impose spending caps such as per Medicaid beneficiary limits on federal contributions. Reductions in federal funding or changes to the federal funding formula for Medicaid under the OBBBA or future initiatives could have a significant impact, particularly in states that expanded Medicaid under the Patient Protection and Affordable Care Act, as amended by the Health Care and Education Reconciliation Act of 2010 (collectively, the “ACA”), and especially if federal contributions for Medicaid expansion populations decrease and states are unable to offset the reductions. Decreased federal funding and increased state obligations and administrative burden could strain state budgets, which could result in state limitations on Medicaid eligibility or coverage, payment rate reductions, and changes to Medicaid waiver programs, among other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the President has issued executive orders that impact or may impact the healthcare industry. Further, some members of Congress and the presidential administration have raised potential measures intended to accelerate the shift from traditional Medicare to Medicare Advantage or eliminating some or all of the consumer protections established by the ACA.</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CMS has increased program integrity efforts within the Medicare and Medicaid programs, including by withholding or deferring federal Medicaid funding in states that federal administrators determine do not have sufficient anti-fraud systems, which may delay or otherwise affect the reimbursement providers in affected states receive. In May 2026, CMS issued a six-month nationwide moratorium on new Medicare enrollments for hospices and home health agencies, temporarily restricting all new applications and branch expansions. The moratorium may also indirectly affect Medicaid enrollment in states requiring Medicare certification for Medicaid enrollment. The rule also requires a home health or hospice to submit an initial Medicare application if it experiences a change in majority ownership within 36 months after its initial enrollment or most recent change in majority ownership.</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Components of our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Cost of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Interest expense is reported when incurred and principally consists of interest and unused credit line fees on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All of our income is from domestic sources. We incur state and local taxes in states in which we operate. The effective income tax rates were </w:t>
      </w:r>
      <w:r>
        <w:rPr>
          <w:rFonts w:ascii="Times New Roman" w:hAnsi="Times New Roman"/>
          <w:caps w:val="false"/>
          <w:smallCaps w:val="false"/>
          <w:sz w:val="20"/>
          <w:shd w:fill="FFFFFF" w:val="clear"/>
        </w:rPr>
        <w:t>26.9%</w:t>
      </w:r>
      <w:r>
        <w:rPr>
          <w:rFonts w:ascii="Times New Roman" w:hAnsi="Times New Roman"/>
          <w:caps w:val="false"/>
          <w:smallCaps w:val="false"/>
          <w:sz w:val="20"/>
        </w:rPr>
        <w:t xml:space="preserve"> and 26.4% for the three months ended June 30, 2026 and 2025, respectively. The effective income tax rates were </w:t>
      </w:r>
      <w:r>
        <w:rPr>
          <w:rFonts w:ascii="Times New Roman" w:hAnsi="Times New Roman"/>
          <w:caps w:val="false"/>
          <w:smallCaps w:val="false"/>
          <w:sz w:val="20"/>
          <w:shd w:fill="FFFFFF" w:val="clear"/>
        </w:rPr>
        <w:t>25.0%</w:t>
      </w:r>
      <w:r>
        <w:rPr>
          <w:rFonts w:ascii="Times New Roman" w:hAnsi="Times New Roman"/>
          <w:caps w:val="false"/>
          <w:smallCaps w:val="false"/>
          <w:sz w:val="20"/>
        </w:rPr>
        <w:t xml:space="preserve"> and 24.0% for the six months ended June 30, 2026 and 2025, respectively, compared to our federal statutory rate of</w:t>
      </w:r>
      <w:r>
        <w:rPr>
          <w:rFonts w:ascii="Times New Roman" w:hAnsi="Times New Roman"/>
          <w:caps w:val="false"/>
          <w:smallCaps w:val="false"/>
          <w:sz w:val="20"/>
          <w:shd w:fill="FFFFFF" w:val="clear"/>
        </w:rPr>
        <w:t xml:space="preserve"> 21%. </w:t>
      </w:r>
      <w:r>
        <w:rPr>
          <w:rFonts w:ascii="Times New Roman" w:hAnsi="Times New Roman"/>
          <w:caps w:val="false"/>
          <w:smallCaps w:val="false"/>
          <w:sz w:val="20"/>
        </w:rPr>
        <w:t>The difference between our federal statutory and effective income tax rates was principally due to the inclusion of state taxes, non-deductible compensation, excess tax expense and the use of federal employment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i/>
          <w:caps w:val="false"/>
          <w:smallCaps w:val="false"/>
          <w:sz w:val="20"/>
        </w:rPr>
        <w:t>Consolidated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unaudited condensed consolidated results of operations.</w:t>
      </w:r>
    </w:p>
    <w:p>
      <w:pPr>
        <w:pStyle w:val="TextBody"/>
        <w:bidi w:val="0"/>
        <w:spacing w:before="0" w:after="0"/>
        <w:ind w:left="0" w:right="0" w:firstLine="50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2990"/>
        <w:gridCol w:w="60"/>
        <w:gridCol w:w="125"/>
        <w:gridCol w:w="695"/>
        <w:gridCol w:w="80"/>
        <w:gridCol w:w="60"/>
        <w:gridCol w:w="107"/>
        <w:gridCol w:w="872"/>
        <w:gridCol w:w="185"/>
        <w:gridCol w:w="60"/>
        <w:gridCol w:w="125"/>
        <w:gridCol w:w="695"/>
        <w:gridCol w:w="80"/>
        <w:gridCol w:w="60"/>
        <w:gridCol w:w="107"/>
        <w:gridCol w:w="872"/>
        <w:gridCol w:w="185"/>
        <w:gridCol w:w="60"/>
        <w:gridCol w:w="125"/>
        <w:gridCol w:w="590"/>
        <w:gridCol w:w="80"/>
        <w:gridCol w:w="60"/>
        <w:gridCol w:w="60"/>
        <w:gridCol w:w="44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2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Net service revenues increased by </w:t>
      </w:r>
      <w:r>
        <w:rPr>
          <w:rFonts w:ascii="Times New Roman" w:hAnsi="Times New Roman"/>
          <w:caps w:val="false"/>
          <w:smallCaps w:val="false"/>
          <w:sz w:val="20"/>
        </w:rPr>
        <w:t>8.0%</w:t>
      </w:r>
      <w:r>
        <w:rPr>
          <w:rFonts w:ascii="Times New Roman" w:hAnsi="Times New Roman"/>
          <w:caps w:val="false"/>
          <w:smallCaps w:val="false"/>
          <w:sz w:val="20"/>
          <w:shd w:fill="FFFFFF" w:val="clear"/>
        </w:rPr>
        <w:t> to </w:t>
      </w:r>
      <w:r>
        <w:rPr>
          <w:rFonts w:ascii="Times New Roman" w:hAnsi="Times New Roman"/>
          <w:caps w:val="false"/>
          <w:smallCaps w:val="false"/>
          <w:sz w:val="20"/>
        </w:rPr>
        <w:t>$377.4</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w:t>
      </w:r>
      <w:r>
        <w:rPr>
          <w:rFonts w:ascii="Times New Roman" w:hAnsi="Times New Roman"/>
          <w:caps w:val="false"/>
          <w:smallCaps w:val="false"/>
          <w:sz w:val="20"/>
        </w:rPr>
        <w:t>$349.4</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Revenue increased by </w:t>
      </w:r>
      <w:r>
        <w:rPr>
          <w:rFonts w:ascii="Times New Roman" w:hAnsi="Times New Roman"/>
          <w:caps w:val="false"/>
          <w:smallCaps w:val="false"/>
          <w:sz w:val="20"/>
        </w:rPr>
        <w:t>$26.8</w:t>
      </w:r>
      <w:r>
        <w:rPr>
          <w:rFonts w:ascii="Times New Roman" w:hAnsi="Times New Roman"/>
          <w:caps w:val="false"/>
          <w:smallCaps w:val="false"/>
          <w:sz w:val="20"/>
          <w:shd w:fill="FFFFFF" w:val="clear"/>
        </w:rPr>
        <w:t xml:space="preserve"> million in our personal care segment, increased by </w:t>
      </w:r>
      <w:r>
        <w:rPr>
          <w:rFonts w:ascii="Times New Roman" w:hAnsi="Times New Roman"/>
          <w:caps w:val="false"/>
          <w:smallCaps w:val="false"/>
          <w:sz w:val="20"/>
        </w:rPr>
        <w:t>$2.0</w:t>
      </w:r>
      <w:r>
        <w:rPr>
          <w:rFonts w:ascii="Times New Roman" w:hAnsi="Times New Roman"/>
          <w:caps w:val="false"/>
          <w:smallCaps w:val="false"/>
          <w:sz w:val="20"/>
          <w:shd w:fill="FFFFFF" w:val="clear"/>
        </w:rPr>
        <w:t xml:space="preserve"> million in our hospice segment and decreased by $0.9 million in our home health segment during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the same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The increase in our personal care segment was primarily attributable to organic growth in billable hours combined with the HomeCourt Acquisition, the Gold Horses Acquisition and the Helping Hands Acquisition. The increase in our hospice segment revenue was due to organic growth. The decrease in our home health segment was primarily attributed to lower patient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Gross profit, expressed as a percentage of net service revenues, was </w:t>
      </w:r>
      <w:r>
        <w:rPr>
          <w:rFonts w:ascii="Times New Roman" w:hAnsi="Times New Roman"/>
          <w:caps w:val="false"/>
          <w:smallCaps w:val="false"/>
          <w:sz w:val="20"/>
        </w:rPr>
        <w:t>32.2%</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32.6%</w:t>
      </w:r>
      <w:r>
        <w:rPr>
          <w:rFonts w:ascii="Times New Roman" w:hAnsi="Times New Roman"/>
          <w:caps w:val="false"/>
          <w:smallCaps w:val="false"/>
          <w:sz w:val="20"/>
          <w:shd w:fill="FFFFFF" w:val="clear"/>
        </w:rPr>
        <w:t xml:space="preserve"> for the same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General and administrative expenses increased to </w:t>
      </w:r>
      <w:r>
        <w:rPr>
          <w:rFonts w:ascii="Times New Roman" w:hAnsi="Times New Roman"/>
          <w:caps w:val="false"/>
          <w:smallCaps w:val="false"/>
          <w:sz w:val="20"/>
        </w:rPr>
        <w:t>$78.5</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$77.1</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The increase in general and administrative expenses was primarily due to acquisition activity, including the HomeCourt Acquisition, the Gold Horses Acquisition and the Helping Hands Acquisition, which contributed to an increase in administrative employee wage, bonus, tax, and benefit costs of $4.0 million, partially offset by a $1.7 million decrease in professional fees and other decreases in general and administrative expenses. General and administrative expenses, expressed as a percentage of net service revenues, were </w:t>
      </w:r>
      <w:r>
        <w:rPr>
          <w:rFonts w:ascii="Times New Roman" w:hAnsi="Times New Roman"/>
          <w:caps w:val="false"/>
          <w:smallCaps w:val="false"/>
          <w:sz w:val="20"/>
        </w:rPr>
        <w:t>20.8%</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22.1% for the three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Interest expense decreased to </w:t>
      </w:r>
      <w:r>
        <w:rPr>
          <w:rFonts w:ascii="Times New Roman" w:hAnsi="Times New Roman"/>
          <w:caps w:val="false"/>
          <w:smallCaps w:val="false"/>
          <w:sz w:val="20"/>
        </w:rPr>
        <w:t>$1.7</w:t>
      </w:r>
      <w:r>
        <w:rPr>
          <w:rFonts w:ascii="Times New Roman" w:hAnsi="Times New Roman"/>
          <w:caps w:val="false"/>
          <w:smallCaps w:val="false"/>
          <w:sz w:val="20"/>
          <w:shd w:fill="FFFFFF" w:val="clear"/>
        </w:rPr>
        <w:t> million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from </w:t>
      </w:r>
      <w:r>
        <w:rPr>
          <w:rFonts w:ascii="Times New Roman" w:hAnsi="Times New Roman"/>
          <w:caps w:val="false"/>
          <w:smallCaps w:val="false"/>
          <w:sz w:val="20"/>
        </w:rPr>
        <w:t>$3.5</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The decrease in interest expense was primarily due to lower average outstanding borrowings and a lower weighted average interest rate under our credit facility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the three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All of our income is from domestic sources. We incur state and local taxes in states in which we operate. The effective income tax rate was 26.9% and 26.4%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Our higher effective income tax rate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w:t>
      </w:r>
      <w:r>
        <w:rPr>
          <w:rFonts w:ascii="Times New Roman" w:hAnsi="Times New Roman"/>
          <w:caps w:val="false"/>
          <w:smallCaps w:val="false"/>
          <w:sz w:val="20"/>
        </w:rPr>
        <w:t>was principally due to a lower excess tax expense with a lower benefit from the use of federal employment tax credits. </w:t>
      </w: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the excess tax benefit and federal employment tax credits were 1.2% and 2.6%, respectively.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i/>
          <w:caps w:val="false"/>
          <w:smallCaps w:val="false"/>
          <w:sz w:val="20"/>
        </w:rPr>
        <w:t>Six Months Ended June 30, 2026</w:t>
      </w:r>
      <w:r>
        <w:rPr>
          <w:rFonts w:ascii="Times New Roman" w:hAnsi="Times New Roman"/>
          <w:caps w:val="false"/>
          <w:smallCaps w:val="false"/>
          <w:sz w:val="20"/>
        </w:rPr>
        <w:t> </w:t>
      </w:r>
      <w:r>
        <w:rPr>
          <w:rFonts w:ascii="Times New Roman" w:hAnsi="Times New Roman"/>
          <w:i/>
          <w:caps w:val="false"/>
          <w:smallCaps w:val="false"/>
          <w:sz w:val="20"/>
        </w:rPr>
        <w:t>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unaudited condensed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2990"/>
        <w:gridCol w:w="60"/>
        <w:gridCol w:w="125"/>
        <w:gridCol w:w="695"/>
        <w:gridCol w:w="80"/>
        <w:gridCol w:w="60"/>
        <w:gridCol w:w="107"/>
        <w:gridCol w:w="872"/>
        <w:gridCol w:w="185"/>
        <w:gridCol w:w="60"/>
        <w:gridCol w:w="125"/>
        <w:gridCol w:w="695"/>
        <w:gridCol w:w="80"/>
        <w:gridCol w:w="60"/>
        <w:gridCol w:w="107"/>
        <w:gridCol w:w="872"/>
        <w:gridCol w:w="185"/>
        <w:gridCol w:w="60"/>
        <w:gridCol w:w="125"/>
        <w:gridCol w:w="590"/>
        <w:gridCol w:w="80"/>
        <w:gridCol w:w="60"/>
        <w:gridCol w:w="60"/>
        <w:gridCol w:w="44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2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Net service revenues increased by </w:t>
      </w:r>
      <w:r>
        <w:rPr>
          <w:rFonts w:ascii="Times New Roman" w:hAnsi="Times New Roman"/>
          <w:caps w:val="false"/>
          <w:smallCaps w:val="false"/>
          <w:sz w:val="20"/>
        </w:rPr>
        <w:t>7.8%</w:t>
      </w:r>
      <w:r>
        <w:rPr>
          <w:rFonts w:ascii="Times New Roman" w:hAnsi="Times New Roman"/>
          <w:caps w:val="false"/>
          <w:smallCaps w:val="false"/>
          <w:sz w:val="20"/>
          <w:shd w:fill="FFFFFF" w:val="clear"/>
        </w:rPr>
        <w:t> to </w:t>
      </w:r>
      <w:r>
        <w:rPr>
          <w:rFonts w:ascii="Times New Roman" w:hAnsi="Times New Roman"/>
          <w:caps w:val="false"/>
          <w:smallCaps w:val="false"/>
          <w:sz w:val="20"/>
        </w:rPr>
        <w:t>$741.0</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w:t>
      </w:r>
      <w:r>
        <w:rPr>
          <w:rFonts w:ascii="Times New Roman" w:hAnsi="Times New Roman"/>
          <w:caps w:val="false"/>
          <w:smallCaps w:val="false"/>
          <w:sz w:val="20"/>
        </w:rPr>
        <w:t>$687.2</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Revenue increased by </w:t>
      </w:r>
      <w:r>
        <w:rPr>
          <w:rFonts w:ascii="Times New Roman" w:hAnsi="Times New Roman"/>
          <w:caps w:val="false"/>
          <w:smallCaps w:val="false"/>
          <w:sz w:val="20"/>
        </w:rPr>
        <w:t>$49.6</w:t>
      </w:r>
      <w:r>
        <w:rPr>
          <w:rFonts w:ascii="Times New Roman" w:hAnsi="Times New Roman"/>
          <w:caps w:val="false"/>
          <w:smallCaps w:val="false"/>
          <w:sz w:val="20"/>
          <w:shd w:fill="FFFFFF" w:val="clear"/>
        </w:rPr>
        <w:t> million in our personal care segment, increased by </w:t>
      </w:r>
      <w:r>
        <w:rPr>
          <w:rFonts w:ascii="Times New Roman" w:hAnsi="Times New Roman"/>
          <w:caps w:val="false"/>
          <w:smallCaps w:val="false"/>
          <w:sz w:val="20"/>
        </w:rPr>
        <w:t>$6.4</w:t>
      </w:r>
      <w:r>
        <w:rPr>
          <w:rFonts w:ascii="Times New Roman" w:hAnsi="Times New Roman"/>
          <w:caps w:val="false"/>
          <w:smallCaps w:val="false"/>
          <w:sz w:val="20"/>
          <w:shd w:fill="FFFFFF" w:val="clear"/>
        </w:rPr>
        <w:t xml:space="preserve"> million in our hospice segment and decreased by $2.1 million in our home health segment during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the same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The increase in our personal care segment was primarily attributable to organic growth in billable hours combined with the HomeCourt Acquisition, the Gold Horses Acquisition and the Helping Hands Acquisition. The increase in our hospice segment revenue was due to organic growth. The decrease in our home health segment was primarily attributed to lower patient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Gross profit, expressed as a percentage of net service revenues, was </w:t>
      </w:r>
      <w:r>
        <w:rPr>
          <w:rFonts w:ascii="Times New Roman" w:hAnsi="Times New Roman"/>
          <w:caps w:val="false"/>
          <w:smallCaps w:val="false"/>
          <w:sz w:val="20"/>
        </w:rPr>
        <w:t>32.0%</w:t>
      </w:r>
      <w:r>
        <w:rPr>
          <w:rFonts w:ascii="Times New Roman" w:hAnsi="Times New Roman"/>
          <w:caps w:val="false"/>
          <w:smallCaps w:val="false"/>
          <w:sz w:val="20"/>
          <w:shd w:fill="FFFFFF" w:val="clear"/>
        </w:rPr>
        <w:t xml:space="preserve">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32.2%</w:t>
      </w:r>
      <w:r>
        <w:rPr>
          <w:rFonts w:ascii="Times New Roman" w:hAnsi="Times New Roman"/>
          <w:caps w:val="false"/>
          <w:smallCaps w:val="false"/>
          <w:sz w:val="20"/>
          <w:shd w:fill="FFFFFF" w:val="clear"/>
        </w:rPr>
        <w:t xml:space="preserve"> for the same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General and administrative expenses increased to </w:t>
      </w:r>
      <w:r>
        <w:rPr>
          <w:rFonts w:ascii="Times New Roman" w:hAnsi="Times New Roman"/>
          <w:caps w:val="false"/>
          <w:smallCaps w:val="false"/>
          <w:sz w:val="20"/>
        </w:rPr>
        <w:t>$156.3</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$150.3</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The increase in general and administrative expenses was primarily due to acquisition activity, including the HomeCourt Acquisition, the Gold Horses Acquisition and the Helping Hands Acquisition, which contributed to an increase in administrative employee wage, bonus, tax, and benefit costs of $7.4 million, partially offset by a $1.9 million decrease in professional fees and other decreases in general and administrative expenses. General and administrative expenses, expressed as a percentage of net service revenues, were </w:t>
      </w:r>
      <w:r>
        <w:rPr>
          <w:rFonts w:ascii="Times New Roman" w:hAnsi="Times New Roman"/>
          <w:caps w:val="false"/>
          <w:smallCaps w:val="false"/>
          <w:sz w:val="20"/>
        </w:rPr>
        <w:t>21.1%</w:t>
      </w:r>
      <w:r>
        <w:rPr>
          <w:rFonts w:ascii="Times New Roman" w:hAnsi="Times New Roman"/>
          <w:caps w:val="false"/>
          <w:smallCaps w:val="false"/>
          <w:sz w:val="20"/>
          <w:shd w:fill="FFFFFF" w:val="clear"/>
        </w:rPr>
        <w:t xml:space="preserve">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compared to 21.9%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Interest expense decreased to </w:t>
      </w:r>
      <w:r>
        <w:rPr>
          <w:rFonts w:ascii="Times New Roman" w:hAnsi="Times New Roman"/>
          <w:caps w:val="false"/>
          <w:smallCaps w:val="false"/>
          <w:sz w:val="20"/>
        </w:rPr>
        <w:t>$3.9</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from </w:t>
      </w:r>
      <w:r>
        <w:rPr>
          <w:rFonts w:ascii="Times New Roman" w:hAnsi="Times New Roman"/>
          <w:caps w:val="false"/>
          <w:smallCaps w:val="false"/>
          <w:sz w:val="20"/>
        </w:rPr>
        <w:t>$7.5</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The decrease in interest expense was primarily due to lower average outstanding borrowings and a lower weighted average interest rate under our credit facility for the six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All of our income is from domestic sources. We incur state and local taxes in states in which we operate. The effective income tax rate was 25.0% and 24.0% for the six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Our higher effective income tax rate for the six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was principally due to a lower excess tax benefit with a lower benefit from the use of federal employment tax credits</w:t>
      </w:r>
      <w:r>
        <w:rPr>
          <w:rFonts w:ascii="Times New Roman" w:hAnsi="Times New Roman"/>
          <w:caps w:val="false"/>
          <w:smallCaps w:val="false"/>
          <w:sz w:val="20"/>
          <w:shd w:fill="FFFFFF" w:val="clear"/>
        </w:rPr>
        <w:t xml:space="preserve">. For the six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the excess tax benefit and federal employment tax credits were 3.1% and 4.8%,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i/>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tables and related analysis summarize our operating results and business metrics by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Personal Care Segment</w:t>
      </w:r>
    </w:p>
    <w:p>
      <w:pPr>
        <w:pStyle w:val="TextBody"/>
        <w:bidi w:val="0"/>
        <w:spacing w:before="0" w:after="0"/>
        <w:ind w:left="260" w:right="0" w:hanging="0"/>
        <w:jc w:val="left"/>
        <w:rPr>
          <w:caps w:val="false"/>
          <w:smallCaps w:val="false"/>
        </w:rPr>
      </w:pPr>
      <w:r>
        <w:rPr>
          <w:caps w:val="false"/>
          <w:smallCaps w:val="false"/>
        </w:rPr>
        <w:t> </w:t>
      </w:r>
    </w:p>
    <w:tbl>
      <w:tblPr>
        <w:tblW w:w="11135" w:type="dxa"/>
        <w:jc w:val="left"/>
        <w:tblInd w:w="0" w:type="dxa"/>
        <w:tblLayout w:type="fixed"/>
        <w:tblCellMar>
          <w:top w:w="0" w:type="dxa"/>
          <w:left w:w="0" w:type="dxa"/>
          <w:bottom w:w="0" w:type="dxa"/>
          <w:right w:w="0" w:type="dxa"/>
        </w:tblCellMar>
      </w:tblPr>
      <w:tblGrid>
        <w:gridCol w:w="1010"/>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335"/>
        <w:gridCol w:w="155"/>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335"/>
        <w:gridCol w:w="170"/>
      </w:tblGrid>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June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Six Months Ended June 30,</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295,995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269,183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577,089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527,469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210,351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85,644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75,803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163,464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147,125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47,894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51,640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113,246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99,231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 Except Billable Hours in Thousands)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billable census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Billable hours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11,145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21,878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billable hours per census per month * (2)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Billable hours per business day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171,469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162,436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169,599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160,927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Revenues per billable hour * (2)</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Same store growth revenue % * (3)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billable census is the number of unique clients receiving a billable service during the period and is the total census divided by months in operation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The personal care segment derives a significant amount of its net service revenues from operations in Illinois, which represented </w:t>
      </w:r>
      <w:r>
        <w:rPr>
          <w:rFonts w:ascii="Times New Roman" w:hAnsi="Times New Roman"/>
          <w:caps w:val="false"/>
          <w:smallCaps w:val="false"/>
          <w:sz w:val="20"/>
        </w:rPr>
        <w:t>32.1%</w:t>
      </w:r>
      <w:r>
        <w:rPr>
          <w:rFonts w:ascii="Times New Roman" w:hAnsi="Times New Roman"/>
          <w:caps w:val="false"/>
          <w:smallCaps w:val="false"/>
          <w:sz w:val="20"/>
          <w:shd w:fill="FFFFFF" w:val="clear"/>
        </w:rPr>
        <w:t> and </w:t>
      </w:r>
      <w:r>
        <w:rPr>
          <w:rFonts w:ascii="Times New Roman" w:hAnsi="Times New Roman"/>
          <w:caps w:val="false"/>
          <w:smallCaps w:val="false"/>
          <w:sz w:val="20"/>
        </w:rPr>
        <w:t>33.0%</w:t>
      </w:r>
      <w:r>
        <w:rPr>
          <w:rFonts w:ascii="Times New Roman" w:hAnsi="Times New Roman"/>
          <w:caps w:val="false"/>
          <w:smallCaps w:val="false"/>
          <w:sz w:val="20"/>
          <w:shd w:fill="FFFFFF" w:val="clear"/>
        </w:rPr>
        <w:t xml:space="preserve"> of our net service revenues for both the three and six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xml:space="preserve">, respectively. One payor, the Illinois Department on Aging, accounted for 17.7% and 18.6% of net service revenues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and accounted for 17.8% and 18.6% of net service revenues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service revenues from state, local, and other governmental programs accounted for </w:t>
      </w:r>
      <w:r>
        <w:rPr>
          <w:rFonts w:ascii="Times New Roman" w:hAnsi="Times New Roman"/>
          <w:caps w:val="false"/>
          <w:smallCaps w:val="false"/>
          <w:sz w:val="20"/>
        </w:rPr>
        <w:t>50.3%</w:t>
      </w:r>
      <w:r>
        <w:rPr>
          <w:rFonts w:ascii="Times New Roman" w:hAnsi="Times New Roman"/>
          <w:caps w:val="false"/>
          <w:smallCaps w:val="false"/>
          <w:sz w:val="20"/>
          <w:shd w:fill="FFFFFF" w:val="clear"/>
        </w:rPr>
        <w:t> and </w:t>
      </w:r>
      <w:r>
        <w:rPr>
          <w:rFonts w:ascii="Times New Roman" w:hAnsi="Times New Roman"/>
          <w:caps w:val="false"/>
          <w:smallCaps w:val="false"/>
          <w:sz w:val="20"/>
        </w:rPr>
        <w:t>51.4%</w:t>
      </w:r>
      <w:r>
        <w:rPr>
          <w:rFonts w:ascii="Times New Roman" w:hAnsi="Times New Roman"/>
          <w:caps w:val="false"/>
          <w:smallCaps w:val="false"/>
          <w:sz w:val="20"/>
          <w:shd w:fill="FFFFFF" w:val="clear"/>
        </w:rPr>
        <w:t xml:space="preserve"> of net service revenues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xml:space="preserve">, respectively. Managed care organizations accounted for </w:t>
      </w:r>
      <w:r>
        <w:rPr>
          <w:rFonts w:ascii="Times New Roman" w:hAnsi="Times New Roman"/>
          <w:caps w:val="false"/>
          <w:smallCaps w:val="false"/>
          <w:sz w:val="20"/>
        </w:rPr>
        <w:t>47.1%</w:t>
      </w:r>
      <w:r>
        <w:rPr>
          <w:rFonts w:ascii="Times New Roman" w:hAnsi="Times New Roman"/>
          <w:caps w:val="false"/>
          <w:smallCaps w:val="false"/>
          <w:sz w:val="20"/>
          <w:shd w:fill="FFFFFF" w:val="clear"/>
        </w:rPr>
        <w:t> and </w:t>
      </w:r>
      <w:r>
        <w:rPr>
          <w:rFonts w:ascii="Times New Roman" w:hAnsi="Times New Roman"/>
          <w:caps w:val="false"/>
          <w:smallCaps w:val="false"/>
          <w:sz w:val="20"/>
        </w:rPr>
        <w:t>45.3%</w:t>
      </w:r>
      <w:r>
        <w:rPr>
          <w:rFonts w:ascii="Times New Roman" w:hAnsi="Times New Roman"/>
          <w:caps w:val="false"/>
          <w:smallCaps w:val="false"/>
          <w:sz w:val="20"/>
          <w:shd w:fill="FFFFFF" w:val="clear"/>
        </w:rPr>
        <w:t xml:space="preserve"> of net service revenues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with commercial insurance, private pay, and other payors accounting for the remainder of net service revenues. Net service revenues from state, local, and other governmental programs accounted for 50.0% and 51.4% of net service revenues for the six months ended June 30, 2026 and 2025, respectively. Managed care organizations accounted for 47.3% and 45.3% of net service revenues for the six months ended June 30, 2026 and 2025, respectively, with commercial insurance, private pay, and other payors accounting for the remainder of 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service revenues increased by </w:t>
      </w:r>
      <w:r>
        <w:rPr>
          <w:rFonts w:ascii="Times New Roman" w:hAnsi="Times New Roman"/>
          <w:caps w:val="false"/>
          <w:smallCaps w:val="false"/>
          <w:sz w:val="20"/>
        </w:rPr>
        <w:t>10.0%</w:t>
      </w:r>
      <w:r>
        <w:rPr>
          <w:rFonts w:ascii="Times New Roman" w:hAnsi="Times New Roman"/>
          <w:caps w:val="false"/>
          <w:smallCaps w:val="false"/>
          <w:sz w:val="20"/>
          <w:shd w:fill="FFFFFF" w:val="clear"/>
        </w:rPr>
        <w:t> and 9.4% for the three and six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respectively, compared to the three and six months ended </w:t>
      </w:r>
      <w:r>
        <w:rPr>
          <w:rFonts w:ascii="Times New Roman" w:hAnsi="Times New Roman"/>
          <w:caps w:val="false"/>
          <w:smallCaps w:val="false"/>
          <w:sz w:val="20"/>
        </w:rPr>
        <w:t>June 30, 2025. Net service revenues</w:t>
      </w:r>
      <w:r>
        <w:rPr>
          <w:rFonts w:ascii="Times New Roman" w:hAnsi="Times New Roman"/>
          <w:caps w:val="false"/>
          <w:smallCaps w:val="false"/>
          <w:sz w:val="20"/>
          <w:shd w:fill="FFFFFF" w:val="clear"/>
        </w:rPr>
        <w:t xml:space="preserve"> reflected a 5.6% and 5.4% increase in billable hours and a </w:t>
      </w:r>
      <w:r>
        <w:rPr>
          <w:rFonts w:ascii="Times New Roman" w:hAnsi="Times New Roman"/>
          <w:caps w:val="false"/>
          <w:smallCaps w:val="false"/>
          <w:sz w:val="20"/>
        </w:rPr>
        <w:t>4.2%</w:t>
      </w:r>
      <w:r>
        <w:rPr>
          <w:rFonts w:ascii="Times New Roman" w:hAnsi="Times New Roman"/>
          <w:caps w:val="false"/>
          <w:smallCaps w:val="false"/>
          <w:sz w:val="20"/>
          <w:shd w:fill="FFFFFF" w:val="clear"/>
        </w:rPr>
        <w:t xml:space="preserve"> and 3.7% increase in revenues per billable hour for the three and six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Gross profit, expressed as a percentage of net service revenues, was</w:t>
      </w:r>
      <w:r>
        <w:rPr>
          <w:rFonts w:ascii="Times New Roman" w:hAnsi="Times New Roman"/>
          <w:caps w:val="false"/>
          <w:smallCaps w:val="false"/>
          <w:sz w:val="20"/>
        </w:rPr>
        <w:t> 28.9% for the three months ended June 30, 2026 from 28.2% for the three months ended 2025 and increased to</w:t>
      </w:r>
      <w:r>
        <w:rPr>
          <w:rFonts w:ascii="Times New Roman" w:hAnsi="Times New Roman"/>
          <w:caps w:val="false"/>
          <w:smallCaps w:val="false"/>
          <w:sz w:val="20"/>
          <w:shd w:fill="FFFFFF" w:val="clear"/>
        </w:rPr>
        <w:t> 28.3% for the </w:t>
      </w:r>
      <w:r>
        <w:rPr>
          <w:rFonts w:ascii="Times New Roman" w:hAnsi="Times New Roman"/>
          <w:caps w:val="false"/>
          <w:smallCaps w:val="false"/>
          <w:sz w:val="20"/>
        </w:rPr>
        <w:t>six months ended June 30, 2026</w:t>
      </w:r>
      <w:r>
        <w:rPr>
          <w:rFonts w:ascii="Times New Roman" w:hAnsi="Times New Roman"/>
          <w:caps w:val="false"/>
          <w:smallCaps w:val="false"/>
          <w:sz w:val="20"/>
          <w:shd w:fill="FFFFFF" w:val="clear"/>
        </w:rPr>
        <w:t> from 27.9% for the six months ended June 30, 2025. The increases primarily reflected higher revenues per billable hour.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The personal care segment’s general and administrative expenses primarily consist of administrative employee wages, taxes, and benefit costs, rent, information technology, and office expenses. General and administrative expenses, expressed as a percentage of net service revenues, were 8.5% and 9.0% for the three months ended June 30, 2026 and 2025, respectively, and 8.7% and 9.1% for the </w:t>
      </w:r>
      <w:r>
        <w:rPr>
          <w:rFonts w:ascii="Times New Roman" w:hAnsi="Times New Roman"/>
          <w:caps w:val="false"/>
          <w:smallCaps w:val="false"/>
          <w:sz w:val="20"/>
        </w:rPr>
        <w:t>six months ended June 30, 2026 and 2025</w:t>
      </w:r>
      <w:r>
        <w:rPr>
          <w:rFonts w:ascii="Times New Roman" w:hAnsi="Times New Roman"/>
          <w:caps w:val="false"/>
          <w:smallCaps w:val="false"/>
          <w:sz w:val="20"/>
          <w:shd w:fill="FFFFFF" w:val="clear"/>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Hospice Segment</w:t>
      </w:r>
    </w:p>
    <w:p>
      <w:pPr>
        <w:pStyle w:val="TextBody"/>
        <w:bidi w:val="0"/>
        <w:spacing w:before="0" w:after="0"/>
        <w:ind w:left="0" w:right="0" w:hanging="0"/>
        <w:jc w:val="left"/>
        <w:rPr>
          <w:caps w:val="false"/>
          <w:smallCaps w:val="false"/>
        </w:rPr>
      </w:pPr>
      <w:r>
        <w:rPr>
          <w:caps w:val="false"/>
          <w:smallCaps w:val="false"/>
        </w:rPr>
        <w:t> </w:t>
      </w:r>
    </w:p>
    <w:tbl>
      <w:tblPr>
        <w:tblW w:w="11195" w:type="dxa"/>
        <w:jc w:val="left"/>
        <w:tblInd w:w="0" w:type="dxa"/>
        <w:tblLayout w:type="fixed"/>
        <w:tblCellMar>
          <w:top w:w="0" w:type="dxa"/>
          <w:left w:w="0" w:type="dxa"/>
          <w:bottom w:w="0" w:type="dxa"/>
          <w:right w:w="0" w:type="dxa"/>
        </w:tblCellMar>
      </w:tblPr>
      <w:tblGrid>
        <w:gridCol w:w="1010"/>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395"/>
        <w:gridCol w:w="155"/>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335"/>
        <w:gridCol w:w="170"/>
      </w:tblGrid>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June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Six Months Ended June 30,</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0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62,212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130,032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123,649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29,798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58,748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58,965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31,991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12,105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26,757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29,439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Admissions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daily census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discharge length of stay * (3)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Patient days * (4)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360,692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338,505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703,051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654,824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Revenue per patient day * (5)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Organic growth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Revenue * (6)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Average daily census * (6)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45"/>
        <w:gridCol w:w="59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referral process and new patients on service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245"/>
        <w:gridCol w:w="70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census is total patient days divided by the number of days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length of stay is the average number of days a patient is on service, calculated upon discharge, and is total patient days divided by total discharges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
        <w:gridCol w:w="477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days is days of service for all patients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per patient day is hospice revenue divided by the number of patient days in the period. Hospice revenue excludes the impact of one-time adjustments such as ARPA, Medicare cap or specific situational reserves.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one-time adjustments such as ARPA, Medicare cap or specific situational reserves as well as acquisitions, new store openings and 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hospice segment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service revenues from Medicare accounted for </w:t>
      </w:r>
      <w:r>
        <w:rPr>
          <w:rFonts w:ascii="Times New Roman" w:hAnsi="Times New Roman"/>
          <w:caps w:val="false"/>
          <w:smallCaps w:val="false"/>
          <w:sz w:val="20"/>
        </w:rPr>
        <w:t>93.4%</w:t>
      </w:r>
      <w:r>
        <w:rPr>
          <w:rFonts w:ascii="Times New Roman" w:hAnsi="Times New Roman"/>
          <w:caps w:val="false"/>
          <w:smallCaps w:val="false"/>
          <w:sz w:val="20"/>
          <w:shd w:fill="FFFFFF" w:val="clear"/>
        </w:rPr>
        <w:t> and </w:t>
      </w:r>
      <w:r>
        <w:rPr>
          <w:rFonts w:ascii="Times New Roman" w:hAnsi="Times New Roman"/>
          <w:caps w:val="false"/>
          <w:smallCaps w:val="false"/>
          <w:sz w:val="20"/>
        </w:rPr>
        <w:t>93.0%</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xml:space="preserve">, respectively, and 93.9% and 92.7% for the six months ended June 30, 2026 and 2025, respectively. Net service revenues from managed care organizations accounted for </w:t>
      </w:r>
      <w:r>
        <w:rPr>
          <w:rFonts w:ascii="Times New Roman" w:hAnsi="Times New Roman"/>
          <w:caps w:val="false"/>
          <w:smallCaps w:val="false"/>
          <w:sz w:val="20"/>
        </w:rPr>
        <w:t>3.0%</w:t>
      </w:r>
      <w:r>
        <w:rPr>
          <w:rFonts w:ascii="Times New Roman" w:hAnsi="Times New Roman"/>
          <w:caps w:val="false"/>
          <w:smallCaps w:val="false"/>
          <w:sz w:val="20"/>
          <w:shd w:fill="FFFFFF" w:val="clear"/>
        </w:rPr>
        <w:t xml:space="preserve"> and 3.2%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and for 2.6% and 3.3%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Net service revenues increased by 3.3% and 5.2% for the three and six months ended June 30, 2026, respectively, compared to the three and six months ended June 30, 2025. Net services revenues included organic growth in average daily census and higher revenues per patient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Gross profit, expressed as a percentage of net service revenues, was </w:t>
      </w:r>
      <w:r>
        <w:rPr>
          <w:rFonts w:ascii="Times New Roman" w:hAnsi="Times New Roman"/>
          <w:caps w:val="false"/>
          <w:smallCaps w:val="false"/>
          <w:sz w:val="20"/>
        </w:rPr>
        <w:t>44.0%</w:t>
      </w:r>
      <w:r>
        <w:rPr>
          <w:rFonts w:ascii="Times New Roman" w:hAnsi="Times New Roman"/>
          <w:caps w:val="false"/>
          <w:smallCaps w:val="false"/>
          <w:sz w:val="20"/>
          <w:shd w:fill="FFFFFF" w:val="clear"/>
        </w:rPr>
        <w:t> and </w:t>
      </w:r>
      <w:r>
        <w:rPr>
          <w:rFonts w:ascii="Times New Roman" w:hAnsi="Times New Roman"/>
          <w:caps w:val="false"/>
          <w:smallCaps w:val="false"/>
          <w:sz w:val="20"/>
        </w:rPr>
        <w:t>47.9%</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and 45.2% and 47.7% for the six months ended June 30, 2026 and 2025, respectively. The decreases were primarily attributable to an increase in direct wages, taxes and benefit costs as a percentage of 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The hospice segment’s general and administrative expenses primarily consist of administrative employee wage, tax, and benefit costs, rent, information technology, and office expenses. General and administrative expenses, expressed as a percentage of net service revenues, was </w:t>
      </w:r>
      <w:r>
        <w:rPr>
          <w:rFonts w:ascii="Times New Roman" w:hAnsi="Times New Roman"/>
          <w:caps w:val="false"/>
          <w:smallCaps w:val="false"/>
          <w:sz w:val="20"/>
        </w:rPr>
        <w:t>25.2%</w:t>
      </w:r>
      <w:r>
        <w:rPr>
          <w:rFonts w:ascii="Times New Roman" w:hAnsi="Times New Roman"/>
          <w:caps w:val="false"/>
          <w:smallCaps w:val="false"/>
          <w:sz w:val="20"/>
          <w:shd w:fill="FFFFFF" w:val="clear"/>
        </w:rPr>
        <w:t> and </w:t>
      </w:r>
      <w:r>
        <w:rPr>
          <w:rFonts w:ascii="Times New Roman" w:hAnsi="Times New Roman"/>
          <w:caps w:val="false"/>
          <w:smallCaps w:val="false"/>
          <w:sz w:val="20"/>
        </w:rPr>
        <w:t>24.1%</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and 24.6% and 23.9%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Home Health Segment</w:t>
      </w:r>
    </w:p>
    <w:p>
      <w:pPr>
        <w:pStyle w:val="TextBody"/>
        <w:bidi w:val="0"/>
        <w:spacing w:before="0" w:after="0"/>
        <w:ind w:left="0" w:right="0" w:hanging="0"/>
        <w:jc w:val="left"/>
        <w:rPr>
          <w:caps w:val="false"/>
          <w:smallCaps w:val="false"/>
        </w:rPr>
      </w:pPr>
      <w:r>
        <w:rPr>
          <w:caps w:val="false"/>
          <w:smallCaps w:val="false"/>
        </w:rPr>
        <w:t> </w:t>
      </w:r>
    </w:p>
    <w:tbl>
      <w:tblPr>
        <w:tblW w:w="11355" w:type="dxa"/>
        <w:jc w:val="left"/>
        <w:tblInd w:w="0" w:type="dxa"/>
        <w:tblLayout w:type="fixed"/>
        <w:tblCellMar>
          <w:top w:w="0" w:type="dxa"/>
          <w:left w:w="0" w:type="dxa"/>
          <w:bottom w:w="0" w:type="dxa"/>
          <w:right w:w="0" w:type="dxa"/>
        </w:tblCellMar>
      </w:tblPr>
      <w:tblGrid>
        <w:gridCol w:w="1085"/>
        <w:gridCol w:w="60"/>
        <w:gridCol w:w="110"/>
        <w:gridCol w:w="515"/>
        <w:gridCol w:w="155"/>
        <w:gridCol w:w="60"/>
        <w:gridCol w:w="103"/>
        <w:gridCol w:w="592"/>
        <w:gridCol w:w="155"/>
        <w:gridCol w:w="60"/>
        <w:gridCol w:w="110"/>
        <w:gridCol w:w="515"/>
        <w:gridCol w:w="155"/>
        <w:gridCol w:w="60"/>
        <w:gridCol w:w="103"/>
        <w:gridCol w:w="592"/>
        <w:gridCol w:w="155"/>
        <w:gridCol w:w="60"/>
        <w:gridCol w:w="111"/>
        <w:gridCol w:w="494"/>
        <w:gridCol w:w="80"/>
        <w:gridCol w:w="60"/>
        <w:gridCol w:w="60"/>
        <w:gridCol w:w="485"/>
        <w:gridCol w:w="155"/>
        <w:gridCol w:w="60"/>
        <w:gridCol w:w="110"/>
        <w:gridCol w:w="605"/>
        <w:gridCol w:w="155"/>
        <w:gridCol w:w="60"/>
        <w:gridCol w:w="103"/>
        <w:gridCol w:w="592"/>
        <w:gridCol w:w="155"/>
        <w:gridCol w:w="60"/>
        <w:gridCol w:w="110"/>
        <w:gridCol w:w="605"/>
        <w:gridCol w:w="155"/>
        <w:gridCol w:w="60"/>
        <w:gridCol w:w="103"/>
        <w:gridCol w:w="592"/>
        <w:gridCol w:w="155"/>
        <w:gridCol w:w="60"/>
        <w:gridCol w:w="110"/>
        <w:gridCol w:w="575"/>
        <w:gridCol w:w="80"/>
        <w:gridCol w:w="60"/>
        <w:gridCol w:w="60"/>
        <w:gridCol w:w="485"/>
        <w:gridCol w:w="155"/>
      </w:tblGrid>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June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Six Months Ended June 30,</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18,048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33,907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7,645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8,277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4,382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New admissions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Recertifications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volume * (3)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Visits * (4)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88,516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169,408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189,285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(19,877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Organic growth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Revenue * (5)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88.0</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Admissions * (5)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new patients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45"/>
        <w:gridCol w:w="58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volume is total admissions and total recertifications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45"/>
        <w:gridCol w:w="44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number of services to patients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one-time adjustments such as specific situational reserves as well as acquisitions, new store openings and 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The home health segment generates net service revenues by providing home health services on a short-term, intermittent or episodic basis to individuals, generally to treat an illness or injury. Net service revenues from Medicare accounted for </w:t>
      </w:r>
      <w:r>
        <w:rPr>
          <w:rFonts w:ascii="Times New Roman" w:hAnsi="Times New Roman"/>
          <w:caps w:val="false"/>
          <w:smallCaps w:val="false"/>
          <w:sz w:val="20"/>
        </w:rPr>
        <w:t>63.5%</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69.4%</w:t>
      </w:r>
      <w:r>
        <w:rPr>
          <w:rFonts w:ascii="Times New Roman" w:hAnsi="Times New Roman"/>
          <w:caps w:val="false"/>
          <w:smallCaps w:val="false"/>
          <w:sz w:val="20"/>
          <w:shd w:fill="FFFFFF" w:val="clear"/>
        </w:rPr>
        <w:t xml:space="preserve">, managed care organizations accounted for </w:t>
      </w:r>
      <w:r>
        <w:rPr>
          <w:rFonts w:ascii="Times New Roman" w:hAnsi="Times New Roman"/>
          <w:caps w:val="false"/>
          <w:smallCaps w:val="false"/>
          <w:sz w:val="20"/>
        </w:rPr>
        <w:t>25.7%</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23.6%</w:t>
      </w:r>
      <w:r>
        <w:rPr>
          <w:rFonts w:ascii="Times New Roman" w:hAnsi="Times New Roman"/>
          <w:caps w:val="false"/>
          <w:smallCaps w:val="false"/>
          <w:sz w:val="20"/>
          <w:shd w:fill="FFFFFF" w:val="clear"/>
        </w:rPr>
        <w:t xml:space="preserve">, and state, local, and other governmental programs accounted for </w:t>
      </w:r>
      <w:r>
        <w:rPr>
          <w:rFonts w:ascii="Times New Roman" w:hAnsi="Times New Roman"/>
          <w:caps w:val="false"/>
          <w:smallCaps w:val="false"/>
          <w:sz w:val="20"/>
        </w:rPr>
        <w:t>7.7%</w:t>
      </w:r>
      <w:r>
        <w:rPr>
          <w:rFonts w:ascii="Times New Roman" w:hAnsi="Times New Roman"/>
          <w:caps w:val="false"/>
          <w:smallCaps w:val="false"/>
          <w:sz w:val="20"/>
          <w:shd w:fill="FFFFFF" w:val="clear"/>
        </w:rPr>
        <w:t> and </w:t>
      </w:r>
      <w:r>
        <w:rPr>
          <w:rFonts w:ascii="Times New Roman" w:hAnsi="Times New Roman"/>
          <w:caps w:val="false"/>
          <w:smallCaps w:val="false"/>
          <w:sz w:val="20"/>
        </w:rPr>
        <w:t>4.4%</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Net service revenues from Medicare accounted for 62.3% and 69.7%, managed care organizations accounted for 24.7% and 22.4%, and state, local, and other governmental programs accounted for 9.9% and 5.2% for the six months ended June 30, 2026 and 2025,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Net service revenues decreased by 4.8% and 5.9% for the three and six months ended June 30, 2026, respectively, compared to the three and six m</w:t>
      </w:r>
      <w:r>
        <w:rPr>
          <w:rFonts w:ascii="Times New Roman" w:hAnsi="Times New Roman"/>
          <w:caps w:val="false"/>
          <w:smallCaps w:val="false"/>
          <w:sz w:val="20"/>
        </w:rPr>
        <w:t>onths ended June 30, 2025. Net service revenues primarily reflected lower patient visits, partially offset by a favorable payor mix.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Gross profit, expressed as a percentage of net service revenues, was </w:t>
      </w:r>
      <w:r>
        <w:rPr>
          <w:rFonts w:ascii="Times New Roman" w:hAnsi="Times New Roman"/>
          <w:caps w:val="false"/>
          <w:smallCaps w:val="false"/>
          <w:sz w:val="20"/>
        </w:rPr>
        <w:t>44.5%</w:t>
      </w:r>
      <w:r>
        <w:rPr>
          <w:rFonts w:ascii="Times New Roman" w:hAnsi="Times New Roman"/>
          <w:caps w:val="false"/>
          <w:smallCaps w:val="false"/>
          <w:sz w:val="20"/>
          <w:shd w:fill="FFFFFF" w:val="clear"/>
        </w:rPr>
        <w:t> and </w:t>
      </w:r>
      <w:r>
        <w:rPr>
          <w:rFonts w:ascii="Times New Roman" w:hAnsi="Times New Roman"/>
          <w:caps w:val="false"/>
          <w:smallCaps w:val="false"/>
          <w:sz w:val="20"/>
        </w:rPr>
        <w:t>45.9%</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xml:space="preserve">, respectively, and 44.9% and 42.9% for the six months ended June 30, 2026 and 2025, respectively. The decrease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was primarily attributable to an increase in direct wages, taxes and benefit costs as a percentage of net service revenues. The increase for the six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was primarily attributable to a decrease in direct wages, taxes and benefit costs as a percentage of 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The home health segment’s general and administrative expenses primarily consist of administrative employee wage, tax and benefit costs, rent, information technology, and office expenses. General and administrative expenses, expressed as a percentage of net service revenues, were </w:t>
      </w:r>
      <w:r>
        <w:rPr>
          <w:rFonts w:ascii="Times New Roman" w:hAnsi="Times New Roman"/>
          <w:caps w:val="false"/>
          <w:smallCaps w:val="false"/>
          <w:sz w:val="20"/>
        </w:rPr>
        <w:t>25.4%</w:t>
      </w:r>
      <w:r>
        <w:rPr>
          <w:rFonts w:ascii="Times New Roman" w:hAnsi="Times New Roman"/>
          <w:caps w:val="false"/>
          <w:smallCaps w:val="false"/>
          <w:sz w:val="20"/>
          <w:shd w:fill="FFFFFF" w:val="clear"/>
        </w:rPr>
        <w:t> and </w:t>
      </w:r>
      <w:r>
        <w:rPr>
          <w:rFonts w:ascii="Times New Roman" w:hAnsi="Times New Roman"/>
          <w:caps w:val="false"/>
          <w:smallCaps w:val="false"/>
          <w:sz w:val="20"/>
        </w:rPr>
        <w:t>21.6%</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respectively, and 25.9% and 22.4%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primary sources of liquidity are cash on hand and cash from operations and borrowings under our credit facility. At June 30, 2026 and December 31, 2025, we had cash balances of $</w:t>
      </w:r>
      <w:r>
        <w:rPr>
          <w:rFonts w:ascii="Times New Roman" w:hAnsi="Times New Roman"/>
          <w:caps w:val="false"/>
          <w:smallCaps w:val="false"/>
          <w:sz w:val="20"/>
          <w:shd w:fill="FFFFFF" w:val="clear"/>
        </w:rPr>
        <w:t xml:space="preserve">99.6 </w:t>
      </w:r>
      <w:r>
        <w:rPr>
          <w:rFonts w:ascii="Times New Roman" w:hAnsi="Times New Roman"/>
          <w:caps w:val="false"/>
          <w:smallCaps w:val="false"/>
          <w:sz w:val="20"/>
        </w:rPr>
        <w:t xml:space="preserve">million and $81.6 million, respectively. At June 30, 2026, we had a </w:t>
      </w:r>
      <w:r>
        <w:rPr>
          <w:rFonts w:ascii="Times New Roman" w:hAnsi="Times New Roman"/>
          <w:caps w:val="false"/>
          <w:smallCaps w:val="false"/>
          <w:sz w:val="20"/>
          <w:shd w:fill="FFFFFF" w:val="clear"/>
        </w:rPr>
        <w:t>$650.0</w:t>
      </w:r>
      <w:r>
        <w:rPr>
          <w:rFonts w:ascii="Times New Roman" w:hAnsi="Times New Roman"/>
          <w:caps w:val="false"/>
          <w:smallCaps w:val="false"/>
          <w:sz w:val="20"/>
        </w:rPr>
        <w:t xml:space="preserve"> million revolving credit facility and a </w:t>
      </w:r>
      <w:r>
        <w:rPr>
          <w:rFonts w:ascii="Times New Roman" w:hAnsi="Times New Roman"/>
          <w:caps w:val="false"/>
          <w:smallCaps w:val="false"/>
          <w:sz w:val="20"/>
          <w:shd w:fill="FFFFFF" w:val="clear"/>
        </w:rPr>
        <w:t>$150.0</w:t>
      </w:r>
      <w:r>
        <w:rPr>
          <w:rFonts w:ascii="Times New Roman" w:hAnsi="Times New Roman"/>
          <w:caps w:val="false"/>
          <w:smallCaps w:val="false"/>
          <w:sz w:val="20"/>
        </w:rPr>
        <w:t xml:space="preserve"> million incremental loan facility, which may be for term loans or an increase to the revolving loan commitments. The maturity of this credit facility was extended to July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During the six months ended June 30, 2026, we repaid </w:t>
      </w:r>
      <w:r>
        <w:rPr>
          <w:rFonts w:ascii="Times New Roman" w:hAnsi="Times New Roman"/>
          <w:caps w:val="false"/>
          <w:smallCaps w:val="false"/>
          <w:sz w:val="20"/>
          <w:shd w:fill="FFFFFF" w:val="clear"/>
        </w:rPr>
        <w:t>$60.0 million under our revolvi</w:t>
      </w:r>
      <w:r>
        <w:rPr>
          <w:rFonts w:ascii="Times New Roman" w:hAnsi="Times New Roman"/>
          <w:caps w:val="false"/>
          <w:smallCaps w:val="false"/>
          <w:sz w:val="20"/>
        </w:rPr>
        <w:t xml:space="preserve">ng credit facility. As of June 30, 2026, we had a total of $64.3 million in revolving loans, with an interest rate of </w:t>
      </w:r>
      <w:r>
        <w:rPr>
          <w:rFonts w:ascii="Times New Roman" w:hAnsi="Times New Roman"/>
          <w:caps w:val="false"/>
          <w:smallCaps w:val="false"/>
          <w:sz w:val="20"/>
          <w:shd w:fill="FFFFFF" w:val="clear"/>
        </w:rPr>
        <w:t>5.40%</w:t>
      </w:r>
      <w:r>
        <w:rPr>
          <w:rFonts w:ascii="Times New Roman" w:hAnsi="Times New Roman"/>
          <w:caps w:val="false"/>
          <w:smallCaps w:val="false"/>
          <w:sz w:val="20"/>
        </w:rPr>
        <w:t xml:space="preserve"> outstanding on our credit facility and after giving effect to the amount drawn on our credit facility, approximately </w:t>
      </w:r>
      <w:r>
        <w:rPr>
          <w:rFonts w:ascii="Times New Roman" w:hAnsi="Times New Roman"/>
          <w:caps w:val="false"/>
          <w:smallCaps w:val="false"/>
          <w:sz w:val="20"/>
          <w:shd w:fill="FFFFFF" w:val="clear"/>
        </w:rPr>
        <w:t>$7.9</w:t>
      </w:r>
      <w:r>
        <w:rPr>
          <w:rFonts w:ascii="Times New Roman" w:hAnsi="Times New Roman"/>
          <w:caps w:val="false"/>
          <w:smallCaps w:val="false"/>
          <w:sz w:val="20"/>
        </w:rPr>
        <w:t xml:space="preserve"> million of outstanding letters of credit and borrowing limits based on an advance multiple of adjusted EBITDA (as defined in the Credit Agreement), we had $650.0 million of capacity and </w:t>
      </w:r>
      <w:r>
        <w:rPr>
          <w:rFonts w:ascii="Times New Roman" w:hAnsi="Times New Roman"/>
          <w:caps w:val="false"/>
          <w:smallCaps w:val="false"/>
          <w:sz w:val="20"/>
          <w:shd w:fill="FFFFFF" w:val="clear"/>
        </w:rPr>
        <w:t>$577.8</w:t>
      </w:r>
      <w:r>
        <w:rPr>
          <w:rFonts w:ascii="Times New Roman" w:hAnsi="Times New Roman"/>
          <w:caps w:val="false"/>
          <w:smallCaps w:val="false"/>
          <w:sz w:val="20"/>
        </w:rPr>
        <w:t> million available for borrowing under our credit facility. At December 31, 2025, we had a total of $124.3 million revolving credit loans, with an interest rate of 5.48%, outstanding on our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credit facility requires us to maintain a total net leverage ratio not exceeding 3.75:1.00. At June 30, 2026,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See </w:t>
      </w:r>
      <w:r>
        <w:rPr>
          <w:rFonts w:ascii="Times New Roman" w:hAnsi="Times New Roman"/>
          <w:caps w:val="false"/>
          <w:smallCaps w:val="false"/>
          <w:sz w:val="20"/>
          <w:shd w:fill="FFFFFF" w:val="clear"/>
        </w:rPr>
        <w:t>Note 8</w:t>
      </w:r>
      <w:r>
        <w:rPr>
          <w:rFonts w:ascii="Times New Roman" w:hAnsi="Times New Roman"/>
          <w:caps w:val="false"/>
          <w:smallCaps w:val="false"/>
          <w:sz w:val="20"/>
        </w:rPr>
        <w:t xml:space="preserve"> to the Notes to Unaudited Condensed Consolidated Financial Statements, </w:t>
      </w:r>
      <w:r>
        <w:rPr>
          <w:rFonts w:ascii="Times New Roman" w:hAnsi="Times New Roman"/>
          <w:i/>
          <w:caps w:val="false"/>
          <w:smallCaps w:val="false"/>
          <w:sz w:val="20"/>
        </w:rPr>
        <w:t>Long-Term Debt</w:t>
      </w:r>
      <w:r>
        <w:rPr>
          <w:rFonts w:ascii="Times New Roman" w:hAnsi="Times New Roman"/>
          <w:caps w:val="false"/>
          <w:smallCaps w:val="false"/>
          <w:sz w:val="20"/>
        </w:rPr>
        <w:t>, for additional details of our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Macroeconomic Conditions and American Rescue Plan Act of 2021 Relief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Economic conditions in the United States continue to be challenging in various respects. For example, the United States economy continues to experience inflationary pressures, elevated interest rates, challenging labor market conditions and uncertainty regarding the impact of increased tariffs and trade disruptions. Any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i/>
          <w:caps w:val="false"/>
          <w:smallCaps w:val="false"/>
          <w:sz w:val="20"/>
        </w:rPr>
      </w:pPr>
      <w:r>
        <w:rPr>
          <w:rFonts w:ascii="Times New Roman" w:hAnsi="Times New Roman"/>
          <w:i/>
          <w:caps w:val="false"/>
          <w:smallCaps w:val="false"/>
          <w:sz w:val="20"/>
        </w:rPr>
        <w:t>ARPA Spending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 mitigate the fiscal effects of the COVID-19 public health emergency, the ARPA provided for a 10 percentage point increase in federal matching funds for Medicaid HCBS from April 1, 2021, through March 31, 2022, provided the states satisfied certain conditions. States must submit periodic HCBS spending plans to CMS regarding the federal and state funds tied to the increase in federal matching funds. Although states were generally permitted to use the associated state funds by March 31, 2025, CMS granted extensions to several states and some state spending plans continue through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HCBS spending plans for the additional matching funds vary by state, but common initiatives in which the Company participates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During the </w:t>
      </w:r>
      <w:r>
        <w:rPr>
          <w:rFonts w:ascii="Times New Roman" w:hAnsi="Times New Roman"/>
          <w:caps w:val="false"/>
          <w:smallCaps w:val="false"/>
          <w:sz w:val="20"/>
        </w:rPr>
        <w:t>three and six months ended June 30, 2026</w:t>
      </w:r>
      <w:r>
        <w:rPr>
          <w:rFonts w:ascii="Times New Roman" w:hAnsi="Times New Roman"/>
          <w:caps w:val="false"/>
          <w:smallCaps w:val="false"/>
          <w:sz w:val="20"/>
          <w:shd w:fill="FFFFFF" w:val="clear"/>
        </w:rPr>
        <w:t xml:space="preserve">, the Company received additional state funding provided by the ARPA of $0.1 million and $6.3 million, respectively. Of the total state funding received by the Company pursuant to the ARPA through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the Company utilized $2.4 million and $5.6 million during the </w:t>
      </w:r>
      <w:r>
        <w:rPr>
          <w:rFonts w:ascii="Times New Roman" w:hAnsi="Times New Roman"/>
          <w:caps w:val="false"/>
          <w:smallCaps w:val="false"/>
          <w:sz w:val="20"/>
        </w:rPr>
        <w:t>three and six months ended June 30, 2026</w:t>
      </w:r>
      <w:r>
        <w:rPr>
          <w:rFonts w:ascii="Times New Roman" w:hAnsi="Times New Roman"/>
          <w:caps w:val="false"/>
          <w:smallCaps w:val="false"/>
          <w:sz w:val="20"/>
          <w:shd w:fill="FFFFFF" w:val="clear"/>
        </w:rPr>
        <w:t xml:space="preserve">, respectively, primarily for caregivers and adding support to recruiting and retention efforts, included as a reduction of cost of service revenues in the Company’s Unaudited Condensed Consolidated Statements of Income. As of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the deferred portion of ARPA funding of $12.4 </w:t>
      </w:r>
      <w:r>
        <w:rPr>
          <w:rFonts w:ascii="Times New Roman" w:hAnsi="Times New Roman"/>
          <w:caps w:val="false"/>
          <w:smallCaps w:val="false"/>
          <w:sz w:val="20"/>
        </w:rPr>
        <w:t>million is included within Government stimulus advances on the Company’s 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summarizes changes in our cash flows:</w:t>
      </w:r>
    </w:p>
    <w:p>
      <w:pPr>
        <w:pStyle w:val="TextBody"/>
        <w:bidi w:val="0"/>
        <w:spacing w:before="0" w:after="0"/>
        <w:ind w:left="0" w:right="0" w:hanging="0"/>
        <w:jc w:val="left"/>
        <w:rPr>
          <w:caps w:val="false"/>
          <w:smallCaps w:val="false"/>
        </w:rPr>
      </w:pPr>
      <w:r>
        <w:rPr>
          <w:caps w:val="false"/>
          <w:smallCaps w:val="false"/>
        </w:rPr>
        <w:t> </w:t>
      </w:r>
    </w:p>
    <w:tbl>
      <w:tblPr>
        <w:tblW w:w="7197" w:type="dxa"/>
        <w:jc w:val="left"/>
        <w:tblInd w:w="0" w:type="dxa"/>
        <w:tblLayout w:type="fixed"/>
        <w:tblCellMar>
          <w:top w:w="0" w:type="dxa"/>
          <w:left w:w="0" w:type="dxa"/>
          <w:bottom w:w="0" w:type="dxa"/>
          <w:right w:w="0" w:type="dxa"/>
        </w:tblCellMar>
      </w:tblPr>
      <w:tblGrid>
        <w:gridCol w:w="4100"/>
        <w:gridCol w:w="60"/>
        <w:gridCol w:w="218"/>
        <w:gridCol w:w="1138"/>
        <w:gridCol w:w="140"/>
        <w:gridCol w:w="105"/>
        <w:gridCol w:w="218"/>
        <w:gridCol w:w="1138"/>
        <w:gridCol w:w="80"/>
      </w:tblGrid>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92,376</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41,478</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(15,197</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(59,230</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Cash flows from operating activities represent the inflow of cash from our payors and the outflow of cash for payroll and payroll taxes, operating expenses, interest, and taxes. Net cash provided by operating activities was </w:t>
      </w:r>
      <w:r>
        <w:rPr>
          <w:rFonts w:ascii="Times New Roman" w:hAnsi="Times New Roman"/>
          <w:caps w:val="false"/>
          <w:smallCaps w:val="false"/>
          <w:sz w:val="20"/>
          <w:shd w:fill="FFFFFF" w:val="clear"/>
        </w:rPr>
        <w:t>$92.4</w:t>
      </w:r>
      <w:r>
        <w:rPr>
          <w:rFonts w:ascii="Times New Roman" w:hAnsi="Times New Roman"/>
          <w:caps w:val="false"/>
          <w:smallCaps w:val="false"/>
          <w:sz w:val="20"/>
        </w:rPr>
        <w:t xml:space="preserve"> million for the six months ended June 30, 2026, compared to net cash provided by operating activities of $41.5 million for the same period in 2025. </w:t>
      </w:r>
      <w:r>
        <w:rPr>
          <w:rFonts w:ascii="Times New Roman" w:hAnsi="Times New Roman"/>
          <w:caps w:val="false"/>
          <w:smallCaps w:val="false"/>
          <w:sz w:val="20"/>
          <w:shd w:fill="FFFFFF" w:val="clear"/>
        </w:rPr>
        <w:t xml:space="preserve">The increase in cash provided by operations was primarily due to the timing of receipts on accounts receivable and the timing of payments related to payroll and accounts payable. </w:t>
      </w:r>
      <w:r>
        <w:rPr>
          <w:rFonts w:ascii="Times New Roman" w:hAnsi="Times New Roman"/>
          <w:caps w:val="false"/>
          <w:smallCaps w:val="false"/>
          <w:sz w:val="20"/>
        </w:rPr>
        <w:t xml:space="preserve">The changes in accounts receivable were primarily related to the growth in revenue and a decrease in days sales outstanding (“DSO”) during the six months ended June 30, 2026 as compared to the six months ended June 30, 2025. The related receivables due from the Illinois Department on Aging represented </w:t>
      </w:r>
      <w:r>
        <w:rPr>
          <w:rFonts w:ascii="Times New Roman" w:hAnsi="Times New Roman"/>
          <w:caps w:val="false"/>
          <w:smallCaps w:val="false"/>
          <w:sz w:val="20"/>
          <w:shd w:fill="FFFFFF" w:val="clear"/>
        </w:rPr>
        <w:t>13.2%</w:t>
      </w:r>
      <w:r>
        <w:rPr>
          <w:rFonts w:ascii="Times New Roman" w:hAnsi="Times New Roman"/>
          <w:caps w:val="false"/>
          <w:smallCaps w:val="false"/>
          <w:sz w:val="20"/>
        </w:rPr>
        <w:t xml:space="preserve"> and 18.6% of the Company’s net accounts receivable at June 30, 2026 and June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for the six months ended June 30, 2026, primarily consisted of $12.2 million of net cash used for the HomeCourt Acquisition and </w:t>
      </w:r>
      <w:r>
        <w:rPr>
          <w:rFonts w:ascii="Times New Roman" w:hAnsi="Times New Roman"/>
          <w:caps w:val="false"/>
          <w:smallCaps w:val="false"/>
          <w:sz w:val="20"/>
          <w:shd w:fill="FFFFFF" w:val="clear"/>
        </w:rPr>
        <w:t>$3.1 </w:t>
      </w:r>
      <w:r>
        <w:rPr>
          <w:rFonts w:ascii="Times New Roman" w:hAnsi="Times New Roman"/>
          <w:caps w:val="false"/>
          <w:smallCaps w:val="false"/>
          <w:sz w:val="20"/>
        </w:rPr>
        <w:t xml:space="preserve">million of cash used for property and equipment purchases, primarily related to our ongoing investments in technology infrastructure fixed assets. Net cash used in investing activities for the six months ended June 30, 2025 primarily consisted of </w:t>
      </w:r>
      <w:r>
        <w:rPr>
          <w:rFonts w:ascii="Times New Roman" w:hAnsi="Times New Roman"/>
          <w:caps w:val="false"/>
          <w:smallCaps w:val="false"/>
          <w:sz w:val="20"/>
          <w:shd w:fill="FFFFFF" w:val="clear"/>
        </w:rPr>
        <w:t xml:space="preserve">$3.4 million of net cash used for the Jacksonville Acquisition and the Great Lakes Acquisition, $3.1 million of cash used for property and equipment purchases, primarily related to our ongoing investments in technology infrastructure fixed assets, offset by $3.8 million in proceeds received relating to the New York Asset Sale </w:t>
      </w:r>
      <w:r>
        <w:rPr>
          <w:rFonts w:ascii="Times New Roman" w:hAnsi="Times New Roman"/>
          <w:caps w:val="false"/>
          <w:smallCaps w:val="false"/>
          <w:sz w:val="20"/>
        </w:rPr>
        <w:t>and $2.9 million in proceeds received relating to the December 2024 acquisition of the personal care business of Curo Health Services, LLC, a Delaware limited liability company that does business as Gentiva</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for the six months ended June 30, 2026, primarily consisted of</w:t>
      </w:r>
      <w:r>
        <w:rPr>
          <w:rFonts w:ascii="Times New Roman" w:hAnsi="Times New Roman"/>
          <w:caps w:val="false"/>
          <w:smallCaps w:val="false"/>
          <w:sz w:val="20"/>
          <w:shd w:fill="FFFFFF" w:val="clear"/>
        </w:rPr>
        <w:t xml:space="preserve"> $60.0</w:t>
      </w:r>
      <w:r>
        <w:rPr>
          <w:rFonts w:ascii="Times New Roman" w:hAnsi="Times New Roman"/>
          <w:caps w:val="false"/>
          <w:smallCaps w:val="false"/>
          <w:sz w:val="20"/>
        </w:rPr>
        <w:t xml:space="preserve"> million payment on our revolving credit facility, offset by cash received from the exercise of stock options of $0.8 million. Net cash used in financing activities for the six months ended June 30, 2025 primarily consisted of $50.0 million payment on our revolving credit facility, offset by cash received from the exercise of stock options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Outstanding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Outstanding accounts receivable, net of the allowance for credit losses as of June 30, 2026 and December 31, 2025 were approximately </w:t>
      </w:r>
      <w:r>
        <w:rPr>
          <w:rFonts w:ascii="Times New Roman" w:hAnsi="Times New Roman"/>
          <w:caps w:val="false"/>
          <w:smallCaps w:val="false"/>
          <w:sz w:val="20"/>
          <w:shd w:fill="FFFFFF" w:val="clear"/>
        </w:rPr>
        <w:t>$145.1</w:t>
      </w:r>
      <w:r>
        <w:rPr>
          <w:rFonts w:ascii="Times New Roman" w:hAnsi="Times New Roman"/>
          <w:caps w:val="false"/>
          <w:smallCaps w:val="false"/>
          <w:sz w:val="20"/>
        </w:rPr>
        <w:t> million and $151.7 million, respectively, decreased by $6.6 millio</w:t>
      </w:r>
      <w:r>
        <w:rPr>
          <w:rFonts w:ascii="Times New Roman" w:hAnsi="Times New Roman"/>
          <w:caps w:val="false"/>
          <w:smallCaps w:val="false"/>
          <w:sz w:val="20"/>
          <w:shd w:fill="FFFFFF" w:val="clear"/>
        </w:rPr>
        <w:t>n</w:t>
      </w:r>
      <w:r>
        <w:rPr>
          <w:rFonts w:ascii="Times New Roman" w:hAnsi="Times New Roman"/>
          <w:caps w:val="false"/>
          <w:smallCaps w:val="false"/>
          <w:sz w:val="20"/>
        </w:rPr>
        <w:t xml:space="preserve"> as of June 30, 2026 as compared to December 31, 2025. Accounts receivable for the Illinois Department on Aging decreased approximately </w:t>
      </w:r>
      <w:r>
        <w:rPr>
          <w:rFonts w:ascii="Times New Roman" w:hAnsi="Times New Roman"/>
          <w:caps w:val="false"/>
          <w:smallCaps w:val="false"/>
          <w:sz w:val="20"/>
          <w:shd w:fill="FFFFFF" w:val="clear"/>
        </w:rPr>
        <w:t>$18.6</w:t>
      </w:r>
      <w:r>
        <w:rPr>
          <w:rFonts w:ascii="Times New Roman" w:hAnsi="Times New Roman"/>
          <w:caps w:val="false"/>
          <w:smallCaps w:val="false"/>
          <w:sz w:val="20"/>
        </w:rPr>
        <w:t> million during the six months ended June 30, 2026.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calculate our DSO by taking the trade accounts receivable outstanding, net of allowance for credit losses for doubtful accounts, divided by the net service revenues for the last quarter, multiplied by the number of days in that quarter. Our DSOs were</w:t>
      </w:r>
      <w:r>
        <w:rPr>
          <w:rFonts w:ascii="Times New Roman" w:hAnsi="Times New Roman"/>
          <w:caps w:val="false"/>
          <w:smallCaps w:val="false"/>
          <w:sz w:val="20"/>
          <w:shd w:fill="FFFFFF" w:val="clear"/>
        </w:rPr>
        <w:t xml:space="preserve"> 36 </w:t>
      </w:r>
      <w:r>
        <w:rPr>
          <w:rFonts w:ascii="Times New Roman" w:hAnsi="Times New Roman"/>
          <w:caps w:val="false"/>
          <w:smallCaps w:val="false"/>
          <w:sz w:val="20"/>
        </w:rPr>
        <w:t xml:space="preserve">days and 38 days at June 30, 2026 and December 31, 2025, respectively. The DSOs for our largest payor, the Illinois Department on Aging, were </w:t>
      </w:r>
      <w:r>
        <w:rPr>
          <w:rFonts w:ascii="Times New Roman" w:hAnsi="Times New Roman"/>
          <w:caps w:val="false"/>
          <w:smallCaps w:val="false"/>
          <w:sz w:val="20"/>
          <w:shd w:fill="FFFFFF" w:val="clear"/>
        </w:rPr>
        <w:t xml:space="preserve">27 </w:t>
      </w:r>
      <w:r>
        <w:rPr>
          <w:rFonts w:ascii="Times New Roman" w:hAnsi="Times New Roman"/>
          <w:caps w:val="false"/>
          <w:smallCaps w:val="false"/>
          <w:sz w:val="20"/>
        </w:rPr>
        <w:t>days and 55 days at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June 30, 2026, we did not have any off-balance sheet guarantees or arrangements with unconsolidated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2025,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Refer to Note 2 to the Notes to Unaudited Condensed Consolidated Financial Statements for further discussion.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800" w:right="0" w:hanging="800"/>
        <w:jc w:val="left"/>
        <w:rPr>
          <w:rFonts w:ascii="Times New Roman" w:hAnsi="Times New Roman"/>
          <w:caps w:val="false"/>
          <w:smallCaps w:val="false"/>
          <w:sz w:val="20"/>
        </w:rPr>
      </w:pPr>
      <w:bookmarkStart w:id="11" w:name="quant"/>
      <w:bookmarkEnd w:id="11"/>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are exposed to market risk associated with changes in interest rates on our variable rate long-term debt. As of June 30, 2026, we had outstanding borrowings of approximately $64.3 </w:t>
      </w:r>
      <w:r>
        <w:rPr>
          <w:rFonts w:ascii="Times New Roman" w:hAnsi="Times New Roman"/>
          <w:caps w:val="false"/>
          <w:smallCaps w:val="false"/>
          <w:sz w:val="20"/>
          <w:shd w:fill="FFFFFF" w:val="clear"/>
        </w:rPr>
        <w:t>million</w:t>
      </w:r>
      <w:r>
        <w:rPr>
          <w:rFonts w:ascii="Times New Roman" w:hAnsi="Times New Roman"/>
          <w:caps w:val="false"/>
          <w:smallCaps w:val="false"/>
          <w:sz w:val="20"/>
        </w:rPr>
        <w:t xml:space="preserve"> on our credit facility, and all of such borrowings were subject to variable interest rates. If the variable rates on this debt were 100 basis points higher than the rate applicable to the borrowing during the six-month period ended June 30, 2026, our net income would have decreased b</w:t>
      </w:r>
      <w:r>
        <w:rPr>
          <w:rFonts w:ascii="Times New Roman" w:hAnsi="Times New Roman"/>
          <w:caps w:val="false"/>
          <w:smallCaps w:val="false"/>
          <w:sz w:val="20"/>
          <w:shd w:fill="FFFFFF" w:val="clear"/>
        </w:rPr>
        <w:t>y $0.4 million, or $0.02 pe</w:t>
      </w:r>
      <w:r>
        <w:rPr>
          <w:rFonts w:ascii="Times New Roman" w:hAnsi="Times New Roman"/>
          <w:caps w:val="false"/>
          <w:smallCaps w:val="false"/>
          <w:sz w:val="20"/>
        </w:rPr>
        <w:t>r diluted share. We do not currently have any derivative or hedging arrangements, or other known exposures, to changes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2" w:name="controls"/>
      <w:bookmarkEnd w:id="12"/>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our Chief Executive Officer and Chief Financial Officer concluded that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identified in connection with the evaluation required by Rule 13a-15(d) and 15d-15(d) of the Exchange Act that occurred during the fiscal quarter ended June 30, 2026 that have materially affected, or are reasonably likely to materially affect, our internal control over financial reporting.</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4" w:name="legal"/>
      <w:bookmarkEnd w:id="14"/>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b/>
          <w:caps w:val="false"/>
          <w:smallCaps w:val="false"/>
          <w:sz w:val="20"/>
        </w:rPr>
      </w:pPr>
      <w:bookmarkStart w:id="15" w:name="risk"/>
      <w:bookmarkEnd w:id="1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Investing in our common stock involves a high degree of risk. You should carefully consider the risk factors discussed under the caption “Risk Factors” set forth in Part I, Item 1A, of our Annual Report on Form 10-K for the year ended December 31, 2025, filed with the SEC.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7" w:name="defaults"/>
      <w:bookmarkEnd w:id="17"/>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800" w:right="0" w:hanging="800"/>
        <w:jc w:val="left"/>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 Without limiting the generality of the foregoing, 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no director or Section </w:t>
      </w:r>
      <w:r>
        <w:rPr>
          <w:rStyle w:val="Emphasis"/>
          <w:rFonts w:ascii="Times New Roman" w:hAnsi="Times New Roman"/>
          <w:caps w:val="false"/>
          <w:smallCaps w:val="false"/>
          <w:sz w:val="20"/>
        </w:rPr>
        <w:t>16</w:t>
      </w:r>
      <w:r>
        <w:rPr>
          <w:rFonts w:ascii="Times New Roman" w:hAnsi="Times New Roman"/>
          <w:caps w:val="false"/>
          <w:smallCaps w:val="false"/>
          <w:sz w:val="20"/>
        </w:rPr>
        <w:t> officer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arrangements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arrangements,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0" w:name="exhibits"/>
      <w:bookmarkEnd w:id="20"/>
      <w:r>
        <w:rPr>
          <w:rFonts w:ascii="Times New Roman;Times;serif" w:hAnsi="Times New Roman;Times;serif"/>
          <w:b/>
          <w:sz w:val="20"/>
        </w:rPr>
        <w:t>Item 6.</w:t>
      </w:r>
      <w:r>
        <w:rPr>
          <w:rFonts w:ascii="Times New Roman;Times;serif" w:hAnsi="Times New Roman;Times;serif"/>
          <w:sz w:val="20"/>
        </w:rPr>
        <w:t>         </w:t>
      </w:r>
      <w:r>
        <w:rPr>
          <w:rFonts w:ascii="Times New Roman;Times;serif" w:hAnsi="Times New Roman;Times;serif"/>
          <w:b/>
          <w:sz w:val="20"/>
        </w:rPr>
        <w:t xml:space="preserve">Exhibits </w:t>
      </w:r>
    </w:p>
    <w:p>
      <w:pPr>
        <w:pStyle w:val="TextBody"/>
        <w:bidi w:val="0"/>
        <w:spacing w:before="0" w:after="0"/>
        <w:ind w:left="800" w:right="0" w:hanging="80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
        <w:gridCol w:w="120"/>
        <w:gridCol w:w="6402"/>
        <w:gridCol w:w="60"/>
        <w:gridCol w:w="500"/>
        <w:gridCol w:w="60"/>
        <w:gridCol w:w="795"/>
        <w:gridCol w:w="60"/>
        <w:gridCol w:w="704"/>
        <w:gridCol w:w="60"/>
        <w:gridCol w:w="711"/>
      </w:tblGrid>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64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Filing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r:id="rId2">
              <w:r>
                <w:rPr>
                  <w:rStyle w:val="InternetLink"/>
                  <w:rFonts w:ascii="Times New Roman" w:hAnsi="Times New Roman"/>
                  <w:caps w:val="false"/>
                  <w:smallCaps w:val="false"/>
                  <w:sz w:val="20"/>
                  <w:u w:val="single"/>
                </w:rPr>
                <w:t>3.1</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Certificate of Incorporation of the Company dated as of October 27, 2009.</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11/20/2009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r:id="rId4">
              <w:r>
                <w:rPr>
                  <w:rStyle w:val="InternetLink"/>
                  <w:rFonts w:ascii="Times New Roman" w:hAnsi="Times New Roman"/>
                  <w:caps w:val="false"/>
                  <w:smallCaps w:val="false"/>
                  <w:sz w:val="20"/>
                  <w:u w:val="single"/>
                </w:rPr>
                <w:t>3.2</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Amended and Restated Bylaws of the Company, as amended by the First Amendment to the Amended and Restated Bylaws.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05/09/2013</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r:id="rId6">
              <w:r>
                <w:rPr>
                  <w:rStyle w:val="InternetLink"/>
                  <w:rFonts w:ascii="Times New Roman" w:hAnsi="Times New Roman"/>
                  <w:caps w:val="false"/>
                  <w:smallCaps w:val="false"/>
                  <w:sz w:val="20"/>
                  <w:u w:val="single"/>
                </w:rPr>
                <w:t>4.1</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10/02/2009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w:anchor="ex_964767.htm">
              <w:r>
                <w:rPr>
                  <w:rStyle w:val="InternetLink"/>
                  <w:rFonts w:ascii="Times New Roman" w:hAnsi="Times New Roman"/>
                  <w:caps w:val="false"/>
                  <w:smallCaps w:val="false"/>
                  <w:sz w:val="20"/>
                </w:rPr>
                <w:t>31.1</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w:anchor="ex_964767.htm">
              <w:r>
                <w:rPr>
                  <w:rStyle w:val="InternetLink"/>
                  <w:rFonts w:ascii="Times New Roman" w:hAnsi="Times New Roman"/>
                  <w:caps w:val="false"/>
                  <w:smallCaps w:val="false"/>
                  <w:sz w:val="20"/>
                </w:rPr>
                <w:t>Certification of Chief Executive Officer Pursuant to Rule 13a-14(a)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w:anchor="ex_964768.htm">
              <w:r>
                <w:rPr>
                  <w:rStyle w:val="InternetLink"/>
                  <w:rFonts w:ascii="Times New Roman" w:hAnsi="Times New Roman"/>
                  <w:caps w:val="false"/>
                  <w:smallCaps w:val="false"/>
                  <w:sz w:val="20"/>
                </w:rPr>
                <w:t>31.2</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w:anchor="ex_964768.htm">
              <w:r>
                <w:rPr>
                  <w:rStyle w:val="InternetLink"/>
                  <w:rFonts w:ascii="Times New Roman" w:hAnsi="Times New Roman"/>
                  <w:caps w:val="false"/>
                  <w:smallCaps w:val="false"/>
                  <w:sz w:val="20"/>
                </w:rPr>
                <w:t>Certification of Chief Financial Officer Pursuant to Rule 13a-14(a)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w:anchor="ex_964769.htm">
              <w:r>
                <w:rPr>
                  <w:rStyle w:val="InternetLink"/>
                  <w:rFonts w:ascii="Times New Roman" w:hAnsi="Times New Roman"/>
                  <w:caps w:val="false"/>
                  <w:smallCaps w:val="false"/>
                  <w:sz w:val="20"/>
                </w:rPr>
                <w:t>32.1</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w:anchor="ex_964769.htm">
              <w:r>
                <w:rPr>
                  <w:rStyle w:val="InternetLink"/>
                  <w:rFonts w:ascii="Times New Roman" w:hAnsi="Times New Roman"/>
                  <w:caps w:val="false"/>
                  <w:smallCaps w:val="false"/>
                  <w:sz w:val="20"/>
                </w:rPr>
                <w:t>Certification of Chief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pPr>
            <w:hyperlink w:anchor="ex_964770.htm">
              <w:r>
                <w:rPr>
                  <w:rStyle w:val="InternetLink"/>
                  <w:rFonts w:ascii="Times New Roman" w:hAnsi="Times New Roman"/>
                  <w:caps w:val="false"/>
                  <w:smallCaps w:val="false"/>
                  <w:sz w:val="20"/>
                </w:rPr>
                <w:t>32.2</w:t>
              </w:r>
            </w:hyperlink>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0"/>
              <w:ind w:left="0" w:right="0" w:hanging="0"/>
              <w:jc w:val="left"/>
              <w:rPr/>
            </w:pPr>
            <w:hyperlink w:anchor="ex_964770.htm">
              <w:r>
                <w:rPr>
                  <w:rStyle w:val="InternetLink"/>
                  <w:rFonts w:ascii="Times New Roman" w:hAnsi="Times New Roman"/>
                  <w:caps w:val="false"/>
                  <w:smallCaps w:val="false"/>
                  <w:sz w:val="20"/>
                </w:rPr>
                <w:t>Certification of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745"/>
        <w:gridCol w:w="320"/>
        <w:gridCol w:w="3275"/>
      </w:tblGrid>
      <w:tr>
        <w:trPr/>
        <w:tc>
          <w:tcPr>
            <w:tcW w:w="1745"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ADDUS HOMECARE CORPORATION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 Dirk Allison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Chairman and Chief Executive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Principal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Brian Poff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42 </w:t>
      </w:r>
    </w:p>
    <w:p>
      <w:pPr>
        <w:pStyle w:val="TextBody"/>
        <w:bidi w:val="0"/>
        <w:spacing w:before="0" w:after="0"/>
        <w:ind w:left="0" w:right="0" w:hanging="0"/>
        <w:jc w:val="right"/>
        <w:rPr>
          <w:rFonts w:ascii="Times New Roman" w:hAnsi="Times New Roman"/>
          <w:b/>
          <w:caps w:val="false"/>
          <w:smallCaps w:val="false"/>
          <w:sz w:val="20"/>
        </w:rPr>
      </w:pPr>
      <w:bookmarkStart w:id="21" w:name="ex_964767.htm"/>
      <w:bookmarkStart w:id="22" w:name="ksex_964767"/>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 Dirk Allison, certify that:</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70"/>
        <w:gridCol w:w="68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Addus HomeCare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745"/>
        <w:gridCol w:w="320"/>
        <w:gridCol w:w="312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3" w:name="led705994F20254131747155126414"/>
            <w:bookmarkEnd w:id="23"/>
            <w:r>
              <w:rPr>
                <w:rFonts w:ascii="Times New Roman" w:hAnsi="Times New Roman"/>
                <w:caps w:val="false"/>
                <w:smallCaps w:val="false"/>
                <w:sz w:val="20"/>
              </w:rPr>
              <w:t>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 Dirk Allison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64768.htm"/>
      <w:bookmarkStart w:id="25" w:name="ksex_964768"/>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Brian Poff, certify that:</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70"/>
        <w:gridCol w:w="68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Addus HomeCare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745"/>
        <w:gridCol w:w="320"/>
        <w:gridCol w:w="188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6" w:name="led705994F20254131747155171798"/>
            <w:bookmarkEnd w:id="26"/>
            <w:r>
              <w:rPr>
                <w:rFonts w:ascii="Times New Roman" w:hAnsi="Times New Roman"/>
                <w:caps w:val="false"/>
                <w:smallCaps w:val="false"/>
                <w:sz w:val="20"/>
              </w:rPr>
              <w:t>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64769.htm"/>
      <w:bookmarkStart w:id="28" w:name="ksex_964769"/>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for the fiscal quarter ended </w:t>
      </w:r>
      <w:bookmarkStart w:id="29" w:name="led705994F20254131747155264645"/>
      <w:bookmarkEnd w:id="29"/>
      <w:r>
        <w:rPr>
          <w:rFonts w:ascii="Times New Roman" w:hAnsi="Times New Roman"/>
          <w:caps w:val="false"/>
          <w:smallCaps w:val="false"/>
          <w:sz w:val="20"/>
        </w:rPr>
        <w:t>June 30, 2026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745"/>
        <w:gridCol w:w="320"/>
        <w:gridCol w:w="312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0" w:name="led705994F20254131747155237326"/>
            <w:bookmarkEnd w:id="30"/>
            <w:r>
              <w:rPr>
                <w:rFonts w:ascii="Times New Roman" w:hAnsi="Times New Roman"/>
                <w:caps w:val="false"/>
                <w:smallCaps w:val="false"/>
                <w:sz w:val="20"/>
              </w:rPr>
              <w:t>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 Dirk Allison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964770.htm"/>
      <w:bookmarkStart w:id="32" w:name="ksex_964770"/>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for the fiscal quarter ended </w:t>
      </w:r>
      <w:bookmarkStart w:id="33" w:name="led705994F20254131747155323766"/>
      <w:bookmarkEnd w:id="33"/>
      <w:r>
        <w:rPr>
          <w:rFonts w:ascii="Times New Roman" w:hAnsi="Times New Roman"/>
          <w:caps w:val="false"/>
          <w:smallCaps w:val="false"/>
          <w:sz w:val="20"/>
        </w:rPr>
        <w:t>June 30, 2026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745"/>
        <w:gridCol w:w="320"/>
        <w:gridCol w:w="188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4" w:name="led705994F20254131747155337749"/>
            <w:bookmarkEnd w:id="34"/>
            <w:r>
              <w:rPr>
                <w:rFonts w:ascii="Times New Roman" w:hAnsi="Times New Roman"/>
                <w:caps w:val="false"/>
                <w:smallCaps w:val="false"/>
                <w:sz w:val="20"/>
              </w:rPr>
              <w:t>August 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8328/000119312509238641/dex31.htm" TargetMode="External"/><Relationship Id="rId3" Type="http://schemas.openxmlformats.org/officeDocument/2006/relationships/hyperlink" Target="http://www.sec.gov/Archives/edgar/data/1468328/000119312509238641/dex31.htm" TargetMode="External"/><Relationship Id="rId4" Type="http://schemas.openxmlformats.org/officeDocument/2006/relationships/hyperlink" Target="http://www.sec.gov/Archives/edgar/data/1468328/000119312513211165/d535575dex32.htm" TargetMode="External"/><Relationship Id="rId5" Type="http://schemas.openxmlformats.org/officeDocument/2006/relationships/hyperlink" Target="http://www.sec.gov/Archives/edgar/data/1468328/000119312513211165/d535575dex32.htm" TargetMode="External"/><Relationship Id="rId6" Type="http://schemas.openxmlformats.org/officeDocument/2006/relationships/hyperlink" Target="http://www.sec.gov/Archives/edgar/data/1468328/000119312509202215/dex41.htm" TargetMode="External"/><Relationship Id="rId7" Type="http://schemas.openxmlformats.org/officeDocument/2006/relationships/hyperlink" Target="http://www.sec.gov/Archives/edgar/data/1468328/000119312509202215/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20365</Words>
  <Characters>109882</Characters>
  <CharactersWithSpaces>135030</CharactersWithSpaces>
  <Paragraphs>11794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