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55880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79375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73"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71" w:lineRule="exact"/>
        <w:rPr>
          <w:rFonts w:ascii="MS PGothic" w:cs="MS PGothic" w:eastAsia="MS PGothic" w:hAnsi="MS PGothic"/>
          <w:sz w:val="20"/>
          <w:szCs w:val="20"/>
          <w:color w:val="auto"/>
        </w:rPr>
      </w:pPr>
    </w:p>
    <w:p>
      <w:pPr>
        <w:ind w:left="374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2" w:lineRule="exact"/>
        <w:rPr>
          <w:sz w:val="24"/>
          <w:szCs w:val="24"/>
          <w:color w:val="auto"/>
        </w:rPr>
      </w:pPr>
    </w:p>
    <w:p>
      <w:pPr>
        <w:ind w:left="368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001-34504</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ADDUS HOMECARE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-289560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8"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660" w:type="dxa"/>
            <w:vAlign w:val="bottom"/>
            <w:gridSpan w:val="2"/>
          </w:tcPr>
          <w:p>
            <w:pPr>
              <w:jc w:val="center"/>
              <w:ind w:left="103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0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jc w:val="right"/>
              <w:ind w:right="2233"/>
              <w:spacing w:after="0"/>
              <w:rPr>
                <w:sz w:val="20"/>
                <w:szCs w:val="20"/>
                <w:color w:val="auto"/>
              </w:rPr>
            </w:pPr>
            <w:r>
              <w:rPr>
                <w:rFonts w:ascii="Times New Roman" w:cs="Times New Roman" w:eastAsia="Times New Roman" w:hAnsi="Times New Roman"/>
                <w:sz w:val="18"/>
                <w:szCs w:val="18"/>
                <w:b w:val="1"/>
                <w:bCs w:val="1"/>
                <w:color w:val="auto"/>
              </w:rPr>
              <w:t>20-5340172</w:t>
            </w:r>
          </w:p>
        </w:tc>
      </w:tr>
      <w:tr>
        <w:trPr>
          <w:trHeight w:val="216"/>
        </w:trPr>
        <w:tc>
          <w:tcPr>
            <w:tcW w:w="4660" w:type="dxa"/>
            <w:vAlign w:val="bottom"/>
            <w:gridSpan w:val="2"/>
          </w:tcPr>
          <w:p>
            <w:pPr>
              <w:jc w:val="center"/>
              <w:ind w:left="1032"/>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jc w:val="center"/>
              <w:ind w:right="1913"/>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660" w:type="dxa"/>
            <w:vAlign w:val="bottom"/>
            <w:gridSpan w:val="2"/>
          </w:tcPr>
          <w:p>
            <w:pPr>
              <w:jc w:val="center"/>
              <w:ind w:left="1032"/>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jc w:val="center"/>
              <w:ind w:right="1913"/>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15"/>
        </w:trPr>
        <w:tc>
          <w:tcPr>
            <w:tcW w:w="4660" w:type="dxa"/>
            <w:vAlign w:val="bottom"/>
            <w:gridSpan w:val="2"/>
          </w:tcPr>
          <w:p>
            <w:pPr>
              <w:jc w:val="center"/>
              <w:ind w:left="1032"/>
              <w:spacing w:after="0"/>
              <w:rPr>
                <w:sz w:val="20"/>
                <w:szCs w:val="20"/>
                <w:color w:val="auto"/>
              </w:rPr>
            </w:pPr>
            <w:r>
              <w:rPr>
                <w:rFonts w:ascii="Times New Roman" w:cs="Times New Roman" w:eastAsia="Times New Roman" w:hAnsi="Times New Roman"/>
                <w:sz w:val="18"/>
                <w:szCs w:val="18"/>
                <w:b w:val="1"/>
                <w:bCs w:val="1"/>
                <w:color w:val="auto"/>
                <w:w w:val="98"/>
              </w:rPr>
              <w:t>6801 Gaylord Parkway, Suite 110</w:t>
            </w: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20"/>
        </w:trPr>
        <w:tc>
          <w:tcPr>
            <w:tcW w:w="4660" w:type="dxa"/>
            <w:vAlign w:val="bottom"/>
            <w:gridSpan w:val="2"/>
          </w:tcPr>
          <w:p>
            <w:pPr>
              <w:jc w:val="center"/>
              <w:ind w:left="1032"/>
              <w:spacing w:after="0"/>
              <w:rPr>
                <w:sz w:val="20"/>
                <w:szCs w:val="20"/>
                <w:color w:val="auto"/>
              </w:rPr>
            </w:pPr>
            <w:r>
              <w:rPr>
                <w:rFonts w:ascii="Times New Roman" w:cs="Times New Roman" w:eastAsia="Times New Roman" w:hAnsi="Times New Roman"/>
                <w:sz w:val="18"/>
                <w:szCs w:val="18"/>
                <w:b w:val="1"/>
                <w:bCs w:val="1"/>
                <w:color w:val="auto"/>
                <w:w w:val="99"/>
              </w:rPr>
              <w:t>Frisco, TX</w:t>
            </w:r>
          </w:p>
        </w:tc>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tcPr>
          <w:p>
            <w:pPr>
              <w:jc w:val="right"/>
              <w:ind w:right="2433"/>
              <w:spacing w:after="0"/>
              <w:rPr>
                <w:sz w:val="20"/>
                <w:szCs w:val="20"/>
                <w:color w:val="auto"/>
              </w:rPr>
            </w:pPr>
            <w:r>
              <w:rPr>
                <w:rFonts w:ascii="Times New Roman" w:cs="Times New Roman" w:eastAsia="Times New Roman" w:hAnsi="Times New Roman"/>
                <w:sz w:val="18"/>
                <w:szCs w:val="18"/>
                <w:b w:val="1"/>
                <w:bCs w:val="1"/>
                <w:color w:val="auto"/>
              </w:rPr>
              <w:t>75034</w:t>
            </w:r>
          </w:p>
        </w:tc>
      </w:tr>
      <w:tr>
        <w:trPr>
          <w:trHeight w:val="234"/>
        </w:trPr>
        <w:tc>
          <w:tcPr>
            <w:tcW w:w="4660" w:type="dxa"/>
            <w:vAlign w:val="bottom"/>
            <w:gridSpan w:val="2"/>
          </w:tcPr>
          <w:p>
            <w:pPr>
              <w:jc w:val="center"/>
              <w:ind w:left="1032"/>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jc w:val="center"/>
              <w:ind w:right="1933"/>
              <w:spacing w:after="0"/>
              <w:rPr>
                <w:sz w:val="20"/>
                <w:szCs w:val="20"/>
                <w:color w:val="auto"/>
              </w:rPr>
            </w:pPr>
            <w:r>
              <w:rPr>
                <w:rFonts w:ascii="Times New Roman" w:cs="Times New Roman" w:eastAsia="Times New Roman" w:hAnsi="Times New Roman"/>
                <w:sz w:val="18"/>
                <w:szCs w:val="18"/>
                <w:color w:val="auto"/>
              </w:rPr>
              <w:t>(Zip code)</w:t>
            </w:r>
          </w:p>
        </w:tc>
      </w:tr>
      <w:tr>
        <w:trPr>
          <w:trHeight w:val="306"/>
        </w:trPr>
        <w:tc>
          <w:tcPr>
            <w:tcW w:w="3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00" w:type="dxa"/>
            <w:vAlign w:val="bottom"/>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(469) 535-8200</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34"/>
        </w:trPr>
        <w:tc>
          <w:tcPr>
            <w:tcW w:w="3800" w:type="dxa"/>
            <w:vAlign w:val="bottom"/>
          </w:tcPr>
          <w:p>
            <w:pPr>
              <w:spacing w:after="0"/>
              <w:rPr>
                <w:sz w:val="20"/>
                <w:szCs w:val="20"/>
                <w:color w:val="auto"/>
              </w:rPr>
            </w:pPr>
          </w:p>
        </w:tc>
        <w:tc>
          <w:tcPr>
            <w:tcW w:w="4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500" w:type="dxa"/>
            <w:vAlign w:val="bottom"/>
          </w:tcPr>
          <w:p>
            <w:pPr>
              <w:spacing w:after="0"/>
              <w:rPr>
                <w:sz w:val="20"/>
                <w:szCs w:val="20"/>
                <w:color w:val="auto"/>
              </w:rPr>
            </w:pPr>
          </w:p>
        </w:tc>
      </w:tr>
      <w:tr>
        <w:trPr>
          <w:trHeight w:val="324"/>
        </w:trPr>
        <w:tc>
          <w:tcPr>
            <w:tcW w:w="7920" w:type="dxa"/>
            <w:vAlign w:val="bottom"/>
            <w:gridSpan w:val="5"/>
          </w:tcPr>
          <w:p>
            <w:pPr>
              <w:ind w:left="36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500" w:type="dxa"/>
            <w:vAlign w:val="bottom"/>
          </w:tcPr>
          <w:p>
            <w:pPr>
              <w:spacing w:after="0"/>
              <w:rPr>
                <w:sz w:val="24"/>
                <w:szCs w:val="24"/>
                <w:color w:val="auto"/>
              </w:rPr>
            </w:pPr>
          </w:p>
        </w:tc>
      </w:tr>
      <w:tr>
        <w:trPr>
          <w:trHeight w:val="122"/>
        </w:trPr>
        <w:tc>
          <w:tcPr>
            <w:tcW w:w="38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r>
      <w:tr>
        <w:trPr>
          <w:trHeight w:val="196"/>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860" w:type="dxa"/>
            <w:vAlign w:val="bottom"/>
            <w:tcBorders>
              <w:bottom w:val="single" w:sz="8" w:color="auto"/>
            </w:tcBorders>
          </w:tcPr>
          <w:p>
            <w:pPr>
              <w:spacing w:after="0"/>
              <w:rPr>
                <w:sz w:val="17"/>
                <w:szCs w:val="17"/>
                <w:color w:val="auto"/>
              </w:rPr>
            </w:pPr>
          </w:p>
        </w:tc>
        <w:tc>
          <w:tcPr>
            <w:tcW w:w="2900" w:type="dxa"/>
            <w:vAlign w:val="bottom"/>
            <w:tcBorders>
              <w:bottom w:val="single" w:sz="8" w:color="auto"/>
              <w:right w:val="single" w:sz="8" w:color="auto"/>
            </w:tcBorders>
            <w:gridSpan w:val="2"/>
          </w:tcPr>
          <w:p>
            <w:pPr>
              <w:jc w:val="right"/>
              <w:ind w:right="1280"/>
              <w:spacing w:after="0"/>
              <w:rPr>
                <w:sz w:val="20"/>
                <w:szCs w:val="20"/>
                <w:color w:val="auto"/>
              </w:rPr>
            </w:pPr>
            <w:r>
              <w:rPr>
                <w:rFonts w:ascii="Times New Roman" w:cs="Times New Roman" w:eastAsia="Times New Roman" w:hAnsi="Times New Roman"/>
                <w:sz w:val="16"/>
                <w:szCs w:val="16"/>
                <w:color w:val="auto"/>
              </w:rPr>
              <w:t>Trading Symbol(s)</w:t>
            </w:r>
          </w:p>
        </w:tc>
        <w:tc>
          <w:tcPr>
            <w:tcW w:w="360" w:type="dxa"/>
            <w:vAlign w:val="bottom"/>
            <w:tcBorders>
              <w:bottom w:val="single" w:sz="8" w:color="auto"/>
            </w:tcBorders>
          </w:tcPr>
          <w:p>
            <w:pPr>
              <w:spacing w:after="0"/>
              <w:rPr>
                <w:sz w:val="17"/>
                <w:szCs w:val="17"/>
                <w:color w:val="auto"/>
              </w:rPr>
            </w:pPr>
          </w:p>
        </w:tc>
        <w:tc>
          <w:tcPr>
            <w:tcW w:w="3500" w:type="dxa"/>
            <w:vAlign w:val="bottom"/>
            <w:tcBorders>
              <w:bottom w:val="single" w:sz="8" w:color="auto"/>
              <w:right w:val="single" w:sz="8" w:color="auto"/>
            </w:tcBorders>
          </w:tcPr>
          <w:p>
            <w:pPr>
              <w:jc w:val="center"/>
              <w:ind w:right="293"/>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4"/>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860" w:type="dxa"/>
            <w:vAlign w:val="bottom"/>
          </w:tcPr>
          <w:p>
            <w:pPr>
              <w:spacing w:after="0"/>
              <w:rPr>
                <w:sz w:val="17"/>
                <w:szCs w:val="17"/>
                <w:color w:val="auto"/>
              </w:rPr>
            </w:pPr>
          </w:p>
        </w:tc>
        <w:tc>
          <w:tcPr>
            <w:tcW w:w="2900" w:type="dxa"/>
            <w:vAlign w:val="bottom"/>
            <w:tcBorders>
              <w:right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color w:val="auto"/>
              </w:rPr>
              <w:t>ADUS</w:t>
            </w:r>
          </w:p>
        </w:tc>
        <w:tc>
          <w:tcPr>
            <w:tcW w:w="360" w:type="dxa"/>
            <w:vAlign w:val="bottom"/>
          </w:tcPr>
          <w:p>
            <w:pPr>
              <w:spacing w:after="0"/>
              <w:rPr>
                <w:sz w:val="17"/>
                <w:szCs w:val="17"/>
                <w:color w:val="auto"/>
              </w:rPr>
            </w:pPr>
          </w:p>
        </w:tc>
        <w:tc>
          <w:tcPr>
            <w:tcW w:w="3500" w:type="dxa"/>
            <w:vAlign w:val="bottom"/>
            <w:tcBorders>
              <w:right w:val="single" w:sz="8" w:color="auto"/>
            </w:tcBorders>
          </w:tcPr>
          <w:p>
            <w:pPr>
              <w:jc w:val="center"/>
              <w:ind w:right="293"/>
              <w:spacing w:after="0"/>
              <w:rPr>
                <w:sz w:val="20"/>
                <w:szCs w:val="20"/>
                <w:color w:val="auto"/>
              </w:rPr>
            </w:pPr>
            <w:r>
              <w:rPr>
                <w:rFonts w:ascii="Times New Roman" w:cs="Times New Roman" w:eastAsia="Times New Roman" w:hAnsi="Times New Roman"/>
                <w:sz w:val="16"/>
                <w:szCs w:val="16"/>
                <w:color w:val="auto"/>
              </w:rPr>
              <w:t>The Nasdaq Global Market</w:t>
            </w:r>
          </w:p>
        </w:tc>
      </w:tr>
      <w:tr>
        <w:trPr>
          <w:trHeight w:val="114"/>
        </w:trPr>
        <w:tc>
          <w:tcPr>
            <w:tcW w:w="3800" w:type="dxa"/>
            <w:vAlign w:val="bottom"/>
            <w:tcBorders>
              <w:left w:val="single" w:sz="8" w:color="auto"/>
              <w:bottom w:val="single" w:sz="8" w:color="auto"/>
              <w:right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r>
    </w:tbl>
    <w:p>
      <w:pPr>
        <w:spacing w:after="0" w:line="144" w:lineRule="exact"/>
        <w:rPr>
          <w:sz w:val="24"/>
          <w:szCs w:val="24"/>
          <w:color w:val="auto"/>
        </w:rPr>
      </w:pPr>
    </w:p>
    <w:p>
      <w:pPr>
        <w:ind w:right="240" w:firstLine="48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71" w:lineRule="exact"/>
        <w:rPr>
          <w:sz w:val="24"/>
          <w:szCs w:val="24"/>
          <w:color w:val="auto"/>
        </w:rPr>
      </w:pPr>
    </w:p>
    <w:p>
      <w:pPr>
        <w:ind w:right="60" w:firstLine="48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580" w:val="left"/>
          <w:tab w:leader="none" w:pos="122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t>
      </w:r>
    </w:p>
    <w:p>
      <w:pPr>
        <w:spacing w:after="0" w:line="104" w:lineRule="exact"/>
        <w:rPr>
          <w:sz w:val="24"/>
          <w:szCs w:val="24"/>
          <w:color w:val="auto"/>
        </w:rPr>
      </w:pPr>
    </w:p>
    <w:p>
      <w:pPr>
        <w:jc w:val="both"/>
        <w:ind w:firstLine="48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19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2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1" w:lineRule="exact"/>
        <w:rPr>
          <w:sz w:val="24"/>
          <w:szCs w:val="24"/>
          <w:color w:val="auto"/>
        </w:rPr>
      </w:pPr>
    </w:p>
    <w:p>
      <w:pPr>
        <w:ind w:right="200" w:firstLine="48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00"/>
        <w:spacing w:after="0" w:line="207" w:lineRule="exact"/>
        <w:tabs>
          <w:tab w:leader="none" w:pos="882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10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November 1, 2019, Addus HomeCare Corporation had 15,559,260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510540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40" w:type="dxa"/>
            <w:vAlign w:val="bottom"/>
            <w:gridSpan w:val="2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700" w:type="dxa"/>
            <w:vAlign w:val="bottom"/>
          </w:tcPr>
          <w:p>
            <w:pPr>
              <w:spacing w:after="0"/>
              <w:rPr>
                <w:sz w:val="17"/>
                <w:szCs w:val="17"/>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80" w:type="dxa"/>
            <w:vAlign w:val="bottom"/>
            <w:gridSpan w:val="9"/>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ADDUS HOMECARE CORPORATION</w:t>
            </w:r>
          </w:p>
        </w:tc>
        <w:tc>
          <w:tcPr>
            <w:tcW w:w="70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920" w:type="dxa"/>
            <w:vAlign w:val="bottom"/>
            <w:gridSpan w:val="8"/>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70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6"/>
          </w:tcPr>
          <w:p>
            <w:pPr>
              <w:jc w:val="center"/>
              <w:ind w:right="47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0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10560" w:type="dxa"/>
            <w:vAlign w:val="bottom"/>
            <w:gridSpan w:val="2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 FINANCIAL INFORMATION</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4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September 30, 2019 and December 31, 2018</w:t>
              </w:r>
            </w:hyperlink>
          </w:p>
        </w:tc>
        <w:tc>
          <w:tcPr>
            <w:tcW w:w="3340" w:type="dxa"/>
            <w:vAlign w:val="bottom"/>
            <w:gridSpan w:val="5"/>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Income For the Three and Nine Months Ended September 30, 2019 and 2018</w:t>
              </w:r>
            </w:hyperlink>
          </w:p>
        </w:tc>
        <w:tc>
          <w:tcPr>
            <w:tcW w:w="148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Stockholders’ Equity For the Three and Nine Months Ended September 30, 2019 and 2018</w:t>
              </w:r>
            </w:hyperlink>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20" w:type="dxa"/>
            <w:vAlign w:val="bottom"/>
            <w:gridSpan w:val="19"/>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Nine Months Ended September 30, 2019 and 2018</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Consolidated Financial Statements</w:t>
              </w:r>
            </w:hyperlink>
          </w:p>
        </w:tc>
        <w:tc>
          <w:tcPr>
            <w:tcW w:w="3960" w:type="dxa"/>
            <w:vAlign w:val="bottom"/>
            <w:tcBorders>
              <w:top w:val="single" w:sz="8" w:color="0000EE"/>
            </w:tcBorders>
            <w:gridSpan w:val="5"/>
          </w:tcPr>
          <w:p>
            <w:pPr>
              <w:spacing w:after="0"/>
              <w:rPr>
                <w:sz w:val="24"/>
                <w:szCs w:val="24"/>
                <w:color w:val="auto"/>
              </w:rPr>
            </w:pPr>
          </w:p>
        </w:tc>
        <w:tc>
          <w:tcPr>
            <w:tcW w:w="1960" w:type="dxa"/>
            <w:vAlign w:val="bottom"/>
            <w:gridSpan w:val="3"/>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40" w:type="dxa"/>
            <w:vAlign w:val="bottom"/>
            <w:gridSpan w:val="21"/>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40" w:type="dxa"/>
            <w:vAlign w:val="bottom"/>
            <w:gridSpan w:val="4"/>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Item 4. Controls and Procedures</w:t>
              </w:r>
            </w:hyperlink>
          </w:p>
        </w:tc>
        <w:tc>
          <w:tcPr>
            <w:tcW w:w="792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8"/>
        </w:trPr>
        <w:tc>
          <w:tcPr>
            <w:tcW w:w="180" w:type="dxa"/>
            <w:vAlign w:val="bottom"/>
          </w:tcPr>
          <w:p>
            <w:pPr>
              <w:spacing w:after="0"/>
              <w:rPr>
                <w:sz w:val="24"/>
                <w:szCs w:val="24"/>
                <w:color w:val="auto"/>
              </w:rPr>
            </w:pPr>
          </w:p>
        </w:tc>
        <w:tc>
          <w:tcPr>
            <w:tcW w:w="25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6"/>
              </w:rPr>
            </w:pPr>
            <w:hyperlink w:anchor="page36">
              <w:r>
                <w:rPr>
                  <w:rFonts w:ascii="Times New Roman" w:cs="Times New Roman" w:eastAsia="Times New Roman" w:hAnsi="Times New Roman"/>
                  <w:sz w:val="18"/>
                  <w:szCs w:val="18"/>
                  <w:color w:val="0000EE"/>
                  <w:w w:val="96"/>
                </w:rPr>
                <w:t>PART II. OTHER INFORMATION</w:t>
              </w:r>
            </w:hyperlink>
          </w:p>
        </w:tc>
        <w:tc>
          <w:tcPr>
            <w:tcW w:w="8000" w:type="dxa"/>
            <w:vAlign w:val="bottom"/>
            <w:gridSpan w:val="13"/>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40" w:type="dxa"/>
            <w:vAlign w:val="bottom"/>
            <w:gridSpan w:val="21"/>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1. Legal Proceedings</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1A. Risk Factors</w:t>
              </w:r>
            </w:hyperlink>
          </w:p>
        </w:tc>
        <w:tc>
          <w:tcPr>
            <w:tcW w:w="8360" w:type="dxa"/>
            <w:vAlign w:val="bottom"/>
            <w:gridSpan w:val="14"/>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Item 2. Unregistered Sales of Equity Securities and Use of Proceeds</w:t>
              </w:r>
            </w:hyperlink>
          </w:p>
        </w:tc>
        <w:tc>
          <w:tcPr>
            <w:tcW w:w="5340" w:type="dxa"/>
            <w:vAlign w:val="bottom"/>
            <w:gridSpan w:val="7"/>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Item 3. Defaults Upon Senior Securities</w:t>
              </w:r>
            </w:hyperlink>
          </w:p>
        </w:tc>
        <w:tc>
          <w:tcPr>
            <w:tcW w:w="7360" w:type="dxa"/>
            <w:vAlign w:val="bottom"/>
            <w:gridSpan w:val="10"/>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Item 4. Mine Safety Disclosures</w:t>
              </w:r>
            </w:hyperlink>
          </w:p>
        </w:tc>
        <w:tc>
          <w:tcPr>
            <w:tcW w:w="792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40" w:type="dxa"/>
            <w:vAlign w:val="bottom"/>
            <w:gridSpan w:val="21"/>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5. Other Information</w:t>
              </w:r>
            </w:hyperlink>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6. Exhibits</w:t>
              </w:r>
            </w:hyperlink>
          </w:p>
        </w:tc>
        <w:tc>
          <w:tcPr>
            <w:tcW w:w="8380" w:type="dxa"/>
            <w:vAlign w:val="bottom"/>
            <w:gridSpan w:val="15"/>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601"/>
        </w:trPr>
        <w:tc>
          <w:tcPr>
            <w:tcW w:w="520" w:type="dxa"/>
            <w:vAlign w:val="bottom"/>
            <w:gridSpan w:val="3"/>
          </w:tcPr>
          <w:p>
            <w:pPr>
              <w:spacing w:after="0"/>
              <w:rPr>
                <w:sz w:val="24"/>
                <w:szCs w:val="24"/>
                <w:color w:val="auto"/>
              </w:rPr>
            </w:pPr>
          </w:p>
        </w:tc>
        <w:tc>
          <w:tcPr>
            <w:tcW w:w="1120" w:type="dxa"/>
            <w:vAlign w:val="bottom"/>
            <w:tcBorders>
              <w:top w:val="single" w:sz="8" w:color="0000EE"/>
            </w:tcBorders>
            <w:gridSpan w:val="3"/>
          </w:tcPr>
          <w:p>
            <w:pPr>
              <w:spacing w:after="0"/>
              <w:rPr>
                <w:sz w:val="24"/>
                <w:szCs w:val="24"/>
                <w:color w:val="auto"/>
              </w:rPr>
            </w:pPr>
          </w:p>
        </w:tc>
        <w:tc>
          <w:tcPr>
            <w:tcW w:w="5760" w:type="dxa"/>
            <w:vAlign w:val="bottom"/>
            <w:gridSpan w:val="12"/>
          </w:tcPr>
          <w:p>
            <w:pPr>
              <w:jc w:val="center"/>
              <w:ind w:left="22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2019 and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7260" w:type="dxa"/>
            <w:vAlign w:val="bottom"/>
            <w:tcBorders>
              <w:bottom w:val="single" w:sz="8" w:color="CFF0FC"/>
            </w:tcBorders>
          </w:tcPr>
          <w:p>
            <w:pPr>
              <w:spacing w:after="0"/>
              <w:rPr>
                <w:sz w:val="18"/>
                <w:szCs w:val="18"/>
                <w:color w:val="auto"/>
              </w:rPr>
            </w:pPr>
          </w:p>
        </w:tc>
        <w:tc>
          <w:tcPr>
            <w:tcW w:w="6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8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239,609</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386,476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Intangibles, net of accumulated amortization</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6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221,107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619,110</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14,741</w:t>
            </w:r>
          </w:p>
        </w:tc>
        <w:tc>
          <w:tcPr>
            <w:tcW w:w="280" w:type="dxa"/>
            <w:vAlign w:val="bottom"/>
          </w:tcPr>
          <w:p>
            <w:pPr>
              <w:spacing w:after="0"/>
              <w:rPr>
                <w:sz w:val="19"/>
                <w:szCs w:val="19"/>
                <w:color w:val="auto"/>
              </w:rPr>
            </w:pP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payroll</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workers’ compensation insurance</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debt, less current portion, net of debt issuance costs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stock—$.001 par value; 40,000 authorized and 15,559 and 13,126 shares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 and outstanding as of September 30, 2019 and December 31, 2018, respectively</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0"/>
                <w:szCs w:val="20"/>
                <w:color w:val="auto"/>
              </w:rPr>
            </w:pP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356,889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113,084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469,988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619,110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2019 and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gridSpan w:val="6"/>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280" w:type="dxa"/>
            <w:vAlign w:val="bottom"/>
          </w:tcPr>
          <w:p>
            <w:pPr>
              <w:spacing w:after="0"/>
              <w:rPr>
                <w:sz w:val="17"/>
                <w:szCs w:val="17"/>
                <w:color w:val="auto"/>
              </w:rPr>
            </w:pPr>
          </w:p>
        </w:tc>
        <w:tc>
          <w:tcPr>
            <w:tcW w:w="270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For the Nine Months</w:t>
            </w:r>
          </w:p>
        </w:tc>
        <w:tc>
          <w:tcPr>
            <w:tcW w:w="0" w:type="dxa"/>
            <w:vAlign w:val="bottom"/>
          </w:tcPr>
          <w:p>
            <w:pPr>
              <w:spacing w:after="0"/>
              <w:rPr>
                <w:sz w:val="1"/>
                <w:szCs w:val="1"/>
                <w:color w:val="auto"/>
              </w:rPr>
            </w:pPr>
          </w:p>
        </w:tc>
      </w:tr>
      <w:tr>
        <w:trPr>
          <w:trHeight w:val="215"/>
        </w:trPr>
        <w:tc>
          <w:tcPr>
            <w:tcW w:w="4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280" w:type="dxa"/>
            <w:vAlign w:val="bottom"/>
          </w:tcPr>
          <w:p>
            <w:pPr>
              <w:spacing w:after="0"/>
              <w:rPr>
                <w:sz w:val="18"/>
                <w:szCs w:val="18"/>
                <w:color w:val="auto"/>
              </w:rPr>
            </w:pPr>
          </w:p>
        </w:tc>
        <w:tc>
          <w:tcPr>
            <w:tcW w:w="270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0" w:type="dxa"/>
            <w:vAlign w:val="bottom"/>
          </w:tcPr>
          <w:p>
            <w:pPr>
              <w:spacing w:after="0"/>
              <w:rPr>
                <w:sz w:val="1"/>
                <w:szCs w:val="1"/>
                <w:color w:val="auto"/>
              </w:rPr>
            </w:pPr>
          </w:p>
        </w:tc>
      </w:tr>
      <w:tr>
        <w:trPr>
          <w:trHeight w:val="211"/>
        </w:trPr>
        <w:tc>
          <w:tcPr>
            <w:tcW w:w="478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6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137,716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123,817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100,926</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30,802</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 income per share</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Continuing operations</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6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Discontinued operations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Basic income per share</w:t>
            </w:r>
          </w:p>
        </w:tc>
        <w:tc>
          <w:tcPr>
            <w:tcW w:w="5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 income per share</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Continuing operations</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Discontinued operations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Diluted income per share</w:t>
            </w:r>
          </w:p>
        </w:tc>
        <w:tc>
          <w:tcPr>
            <w:tcW w:w="5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7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 average number of common shares and potential</w:t>
            </w: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8"/>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2019</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104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780" w:type="dxa"/>
            <w:vAlign w:val="bottom"/>
            <w:gridSpan w:val="4"/>
            <w:vMerge w:val="continue"/>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1300" w:type="dxa"/>
            <w:vAlign w:val="bottom"/>
            <w:tcBorders>
              <w:top w:val="single" w:sz="8" w:color="auto"/>
            </w:tcBorders>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July 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181,111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108,217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Issuance of shares of common stock under</w:t>
            </w: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 of shares of common stock under</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in Public Offering, net of offering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Balance at September 30, 2019</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356,889</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113,084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2018</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104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780" w:type="dxa"/>
            <w:vAlign w:val="bottom"/>
            <w:gridSpan w:val="4"/>
            <w:vMerge w:val="continue"/>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July 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1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98,087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89,538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Issuance of shares of common stock under</w:t>
            </w: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in Public Offering, net of offering costs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76,617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at September 30, 2018</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60" w:type="dxa"/>
            <w:vAlign w:val="bottom"/>
            <w:gridSpan w:val="8"/>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2019</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800" w:type="dxa"/>
            <w:vAlign w:val="bottom"/>
            <w:gridSpan w:val="4"/>
            <w:vMerge w:val="continue"/>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1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177,683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97,837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Issuance of shares of common stock under</w:t>
            </w: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 of shares of common stock under</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in Public Offering, net of offering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356,889</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113,084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2018</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104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8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800" w:type="dxa"/>
            <w:vAlign w:val="bottom"/>
            <w:gridSpan w:val="4"/>
            <w:vMerge w:val="continue"/>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95,963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80,334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Issuance of shares of common stock under</w:t>
            </w: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 of shares of common stock under</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in Public Offering, net of offering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Balance at September 30, 2018</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175,991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93,169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2019 and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0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220" w:type="dxa"/>
            <w:vAlign w:val="bottom"/>
            <w:gridSpan w:val="2"/>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160" w:type="dxa"/>
            <w:vAlign w:val="bottom"/>
          </w:tcPr>
          <w:p>
            <w:pPr>
              <w:spacing w:after="0"/>
              <w:rPr>
                <w:sz w:val="19"/>
                <w:szCs w:val="19"/>
                <w:color w:val="auto"/>
              </w:rPr>
            </w:pPr>
          </w:p>
        </w:tc>
        <w:tc>
          <w:tcPr>
            <w:tcW w:w="720" w:type="dxa"/>
            <w:vAlign w:val="bottom"/>
            <w:gridSpan w:val="2"/>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1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activities, net of acquisitions:</w:t>
            </w:r>
          </w:p>
        </w:tc>
        <w:tc>
          <w:tcPr>
            <w:tcW w:w="1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debt issuance costs under the credit facility</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of disposal of assets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receivable</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(22,291)</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(5,418)</w:t>
            </w:r>
          </w:p>
        </w:tc>
        <w:tc>
          <w:tcPr>
            <w:tcW w:w="0" w:type="dxa"/>
            <w:vAlign w:val="bottom"/>
          </w:tcPr>
          <w:p>
            <w:pPr>
              <w:spacing w:after="0"/>
              <w:rPr>
                <w:sz w:val="1"/>
                <w:szCs w:val="1"/>
                <w:color w:val="auto"/>
              </w:rPr>
            </w:pPr>
          </w:p>
        </w:tc>
      </w:tr>
      <w:tr>
        <w:trPr>
          <w:trHeight w:val="230"/>
        </w:trPr>
        <w:tc>
          <w:tcPr>
            <w:tcW w:w="6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(53,224)</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(62,347)</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(56,301)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common stock, net of offering costs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172,945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Borrowings on revolver — credit facility</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Borrowings on term loan — credit facility</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on term loan — credit facility</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for debt issuance costs under the credit facility</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on financing lease obligations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1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217,420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169,203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70,406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2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239,609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147,477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2220" w:type="dxa"/>
            <w:vAlign w:val="bottom"/>
            <w:gridSpan w:val="2"/>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Contingent and deferred consideration accrued for acquisition</w:t>
            </w:r>
          </w:p>
        </w:tc>
        <w:tc>
          <w:tcPr>
            <w:tcW w:w="2220" w:type="dxa"/>
            <w:vAlign w:val="bottom"/>
            <w:gridSpan w:val="2"/>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Leasehold improvements acquired through tenant allowances</w:t>
            </w:r>
          </w:p>
        </w:tc>
        <w:tc>
          <w:tcPr>
            <w:tcW w:w="1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Consolidation, and Presentation of Financial Statements</w:t>
      </w:r>
    </w:p>
    <w:p>
      <w:pPr>
        <w:spacing w:after="0" w:line="94" w:lineRule="exact"/>
        <w:rPr>
          <w:sz w:val="20"/>
          <w:szCs w:val="20"/>
          <w:color w:val="auto"/>
        </w:rPr>
      </w:pPr>
    </w:p>
    <w:p>
      <w:pPr>
        <w:ind w:right="40" w:firstLine="484"/>
        <w:spacing w:after="0" w:line="256" w:lineRule="auto"/>
        <w:rPr>
          <w:sz w:val="20"/>
          <w:szCs w:val="20"/>
          <w:color w:val="auto"/>
        </w:rPr>
      </w:pPr>
      <w:r>
        <w:rPr>
          <w:rFonts w:ascii="Times New Roman" w:cs="Times New Roman" w:eastAsia="Times New Roman" w:hAnsi="Times New Roman"/>
          <w:sz w:val="18"/>
          <w:szCs w:val="18"/>
          <w:color w:val="auto"/>
        </w:rPr>
        <w:t>Addus HomeCare Corporation (“Holdings”) and its subsidiaries (together with Holdings, the “Company”, “we”, “us” or “our”) operate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81" w:lineRule="exact"/>
        <w:rPr>
          <w:sz w:val="20"/>
          <w:szCs w:val="20"/>
          <w:color w:val="auto"/>
        </w:rPr>
      </w:pPr>
    </w:p>
    <w:p>
      <w:pPr>
        <w:ind w:firstLine="484"/>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have been prepared in accordance with the rules and regulations of the U.S. Securities and Exchange Commission (“SEC”) for Quarterly Reports on Form 10-Q. The accompanying balance sheet as of December 31, 2018 has been derived from the Company’s audited financial statements for the year ended December 31, 2018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2018 included in our Annual Report on Form 10-K, which includes information and disclosures not included herein.</w:t>
      </w:r>
    </w:p>
    <w:p>
      <w:pPr>
        <w:spacing w:after="0" w:line="134" w:lineRule="exact"/>
        <w:rPr>
          <w:sz w:val="20"/>
          <w:szCs w:val="20"/>
          <w:color w:val="auto"/>
        </w:rPr>
      </w:pPr>
    </w:p>
    <w:p>
      <w:pPr>
        <w:ind w:right="80" w:firstLine="484"/>
        <w:spacing w:after="0" w:line="266" w:lineRule="auto"/>
        <w:rPr>
          <w:sz w:val="20"/>
          <w:szCs w:val="20"/>
          <w:color w:val="auto"/>
        </w:rPr>
      </w:pPr>
      <w:r>
        <w:rPr>
          <w:rFonts w:ascii="Times New Roman" w:cs="Times New Roman" w:eastAsia="Times New Roman" w:hAnsi="Times New Roman"/>
          <w:sz w:val="18"/>
          <w:szCs w:val="18"/>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 and have not been audited by our independent auditors.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81" w:lineRule="exact"/>
        <w:rPr>
          <w:sz w:val="20"/>
          <w:szCs w:val="20"/>
          <w:color w:val="auto"/>
        </w:rPr>
      </w:pPr>
    </w:p>
    <w:p>
      <w:pPr>
        <w:ind w:right="340" w:firstLine="484"/>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Addus HomeCare Corporation, and its subsidiaries. All intercompany balances and transactions have been eliminated in consolidation.</w:t>
      </w:r>
    </w:p>
    <w:p>
      <w:pPr>
        <w:spacing w:after="0" w:line="171" w:lineRule="exact"/>
        <w:rPr>
          <w:sz w:val="20"/>
          <w:szCs w:val="20"/>
          <w:color w:val="auto"/>
        </w:rPr>
      </w:pPr>
    </w:p>
    <w:p>
      <w:pPr>
        <w:ind w:right="7860" w:firstLine="8"/>
        <w:spacing w:after="0" w:line="338"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Estimates</w:t>
      </w:r>
    </w:p>
    <w:p>
      <w:pPr>
        <w:spacing w:after="0" w:line="2" w:lineRule="exact"/>
        <w:rPr>
          <w:sz w:val="20"/>
          <w:szCs w:val="20"/>
          <w:color w:val="auto"/>
        </w:rPr>
      </w:pPr>
    </w:p>
    <w:p>
      <w:pPr>
        <w:ind w:right="260" w:firstLine="484"/>
        <w:spacing w:after="0" w:line="261" w:lineRule="auto"/>
        <w:rPr>
          <w:sz w:val="20"/>
          <w:szCs w:val="20"/>
          <w:color w:val="auto"/>
        </w:rPr>
      </w:pPr>
      <w:r>
        <w:rPr>
          <w:rFonts w:ascii="Times New Roman" w:cs="Times New Roman" w:eastAsia="Times New Roman" w:hAnsi="Times New Roman"/>
          <w:sz w:val="18"/>
          <w:szCs w:val="18"/>
          <w:color w:val="auto"/>
        </w:rPr>
        <w:t>The financial statements are prepared by management in conformity with GAAP and include estimated amounts and certain disclosures based on assumptions about future events. The Company’s critical accounting estimates include the following areas: implicit price concessions, reserve for workers’ compensation insurance claims, accounting for stock-based compensation, accounting for income taxes, business combinations and when required, the quantitative assessment of goodwill. Actual results could differ from these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Diluted Net Income Per Common Share</w:t>
      </w:r>
    </w:p>
    <w:p>
      <w:pPr>
        <w:spacing w:after="0" w:line="94" w:lineRule="exact"/>
        <w:rPr>
          <w:sz w:val="20"/>
          <w:szCs w:val="20"/>
          <w:color w:val="auto"/>
        </w:rPr>
      </w:pPr>
    </w:p>
    <w:p>
      <w:pPr>
        <w:ind w:right="120" w:firstLine="484"/>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using our weighted-average outstanding common shares. 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122" w:lineRule="exact"/>
        <w:rPr>
          <w:sz w:val="20"/>
          <w:szCs w:val="20"/>
          <w:color w:val="auto"/>
        </w:rPr>
      </w:pPr>
    </w:p>
    <w:p>
      <w:pPr>
        <w:ind w:right="200" w:firstLine="484"/>
        <w:spacing w:after="0" w:line="289" w:lineRule="auto"/>
        <w:rPr>
          <w:sz w:val="20"/>
          <w:szCs w:val="20"/>
          <w:color w:val="auto"/>
        </w:rPr>
      </w:pPr>
      <w:r>
        <w:rPr>
          <w:rFonts w:ascii="Times New Roman" w:cs="Times New Roman" w:eastAsia="Times New Roman" w:hAnsi="Times New Roman"/>
          <w:sz w:val="17"/>
          <w:szCs w:val="17"/>
          <w:color w:val="auto"/>
        </w:rPr>
        <w:t>Included in the Company’s calculation of diluted earnings per share for the three and nine months ended September 30, 2019 were approximately 650,000 stock options outstanding, of which approximately 359,000 and 335,000 respectively, were dilutive. In addition, there were approximately 147,000 restricted stock awards outstanding, 78,000 and 81,000 of which were dilutive for the three and nine months ended September 30, 2019, respectively.</w:t>
      </w:r>
    </w:p>
    <w:p>
      <w:pPr>
        <w:spacing w:after="0" w:line="104" w:lineRule="exact"/>
        <w:rPr>
          <w:sz w:val="20"/>
          <w:szCs w:val="20"/>
          <w:color w:val="auto"/>
        </w:rPr>
      </w:pPr>
    </w:p>
    <w:p>
      <w:pPr>
        <w:ind w:right="200" w:firstLine="484"/>
        <w:spacing w:after="0" w:line="289" w:lineRule="auto"/>
        <w:rPr>
          <w:sz w:val="20"/>
          <w:szCs w:val="20"/>
          <w:color w:val="auto"/>
        </w:rPr>
      </w:pPr>
      <w:r>
        <w:rPr>
          <w:rFonts w:ascii="Times New Roman" w:cs="Times New Roman" w:eastAsia="Times New Roman" w:hAnsi="Times New Roman"/>
          <w:sz w:val="17"/>
          <w:szCs w:val="17"/>
          <w:color w:val="auto"/>
        </w:rPr>
        <w:t>Included in the Company’s calculation of diluted earnings per share for the three and nine months ended September 30, 2018 were approximately 708,000 stock options outstanding, of which approximately 307,000 and 213,000 respectively, were dilutive. In addition, there were approximately 148,000 restricted stock awards outstanding, 83,000 and 83,000 of which were dilutive for the three and nine months ended September 30, 2018, respectively.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92" w:lineRule="exact"/>
        <w:rPr>
          <w:sz w:val="20"/>
          <w:szCs w:val="20"/>
          <w:color w:val="auto"/>
        </w:rPr>
      </w:pPr>
    </w:p>
    <w:p>
      <w:pPr>
        <w:ind w:right="20" w:firstLine="484"/>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requires lessees to recognize a lease liability and a right-of-use (“ROU”) asset for all leases, including operating leases, with a term greater than twelve months in their balance sheets. For income statement recognition purposes, leases will be classified as either a finance or an operating lease. In July 2018, the FASB issued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provided entities with an additional transition method. We elected to adopt the standard effective January 1, 2019 using the modified retrospective transition method. We elected the package of practical expedients available for expired or existing contracts, which allowed us to carryforward our historical assessments of (1) whether contracts are, or contain, leases, (2) lease classification and (3) initial direct costs. The Company secured new software to account for the change in accounting for leases. In addition, the Company is designing and implementing new processes and controls. The most significant changes relate to the recognition of right-of-use assets and significant lease liabilities on our consolidated balance sheet as a result of our operating lease obligations, as well as the impact of new disclosure requirements. Adoption of the new standard did not have a significant impact to our results of operations or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79" w:lineRule="exact"/>
        <w:rPr>
          <w:sz w:val="20"/>
          <w:szCs w:val="20"/>
          <w:color w:val="auto"/>
        </w:rPr>
      </w:pPr>
    </w:p>
    <w:p>
      <w:pPr>
        <w:ind w:right="140" w:firstLine="484"/>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changes the impairment model for most financial assets and certain other instruments. Under the new standard, entities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The Company is currently evaluating the impact of adopting this standard.</w:t>
      </w:r>
    </w:p>
    <w:p>
      <w:pPr>
        <w:spacing w:after="0" w:line="129" w:lineRule="exact"/>
        <w:rPr>
          <w:sz w:val="20"/>
          <w:szCs w:val="20"/>
          <w:color w:val="auto"/>
        </w:rPr>
      </w:pPr>
    </w:p>
    <w:p>
      <w:pPr>
        <w:ind w:right="240" w:firstLine="484"/>
        <w:spacing w:after="0" w:line="259"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Adoption of the new standard is not expected to have an impact to our results of operations or liquidity.</w:t>
      </w:r>
    </w:p>
    <w:p>
      <w:pPr>
        <w:spacing w:after="0" w:line="126" w:lineRule="exact"/>
        <w:rPr>
          <w:sz w:val="20"/>
          <w:szCs w:val="20"/>
          <w:color w:val="auto"/>
        </w:rPr>
      </w:pPr>
    </w:p>
    <w:p>
      <w:pPr>
        <w:ind w:firstLine="484"/>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Other—Internal-Use Software (Subtopic 350-40): Customer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Implementation Costs Incurred in a Cloud Computing Arrangement That is a Service Contract</w:t>
      </w:r>
      <w:r>
        <w:rPr>
          <w:rFonts w:ascii="Times New Roman" w:cs="Times New Roman" w:eastAsia="Times New Roman" w:hAnsi="Times New Roman"/>
          <w:sz w:val="18"/>
          <w:szCs w:val="18"/>
          <w:color w:val="auto"/>
        </w:rPr>
        <w:t>. ASU 2018-15 requires customers in a hosting arrangement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a service contract to follow the internal-use software guidance in Accounting Standards Codification (“ASC”) 350-40 to determine which implementation costs to capitalize as assets or expense as incurred. The ASU is effective for annual periods, including interim periods within those annual periods, beginning after December 15, 2019. Early adoption is permitted. The Company is currently assessing the impact of adopting this standard.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Public Offering</w:t>
      </w:r>
    </w:p>
    <w:p>
      <w:pPr>
        <w:spacing w:after="0" w:line="81" w:lineRule="exact"/>
        <w:rPr>
          <w:sz w:val="20"/>
          <w:szCs w:val="20"/>
          <w:color w:val="auto"/>
        </w:rPr>
      </w:pPr>
    </w:p>
    <w:p>
      <w:pPr>
        <w:ind w:right="20" w:firstLine="484"/>
        <w:spacing w:after="0" w:line="255" w:lineRule="auto"/>
        <w:rPr>
          <w:sz w:val="20"/>
          <w:szCs w:val="20"/>
          <w:color w:val="auto"/>
        </w:rPr>
      </w:pPr>
      <w:r>
        <w:rPr>
          <w:rFonts w:ascii="Times New Roman" w:cs="Times New Roman" w:eastAsia="Times New Roman" w:hAnsi="Times New Roman"/>
          <w:sz w:val="18"/>
          <w:szCs w:val="18"/>
          <w:color w:val="auto"/>
        </w:rPr>
        <w:t>On September 9, 2019, the Company completed a public offering of an aggregate 2,300,000 shares of common stock, par value $0.001 per share, including 300,000 shares of common stock sold pursuant to the exercise in full by the underwriters of their option to purchase additional shares at a public offering price of $79.50 per share (the “Public Offering”). The Company received net proceeds of approximately $172.9 million, after deducting underwriting discounts and estimated offering expenses of approximately $9.9 million. The Company used approximately $130.0 million from the net proceeds of the Public Offering to fund the purchase price for the Company’s acquisition of Hospice Partners of America, LLC (“Hospice Partners”), on October 1, 2019 and may use any remaining net proceeds of the Public Offering for general corporate purposes, including future acquisitions or investments, and the repayment of indebtedness outstanding under the Company’s amended and restated credit facility. The Public Offering resulted in an increase to additional paid in capital of approximately $172.9 million on the Company’s Condensed Consolidated Balance Sheet at September 30, 2019.</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94" w:lineRule="exact"/>
        <w:rPr>
          <w:sz w:val="20"/>
          <w:szCs w:val="20"/>
          <w:color w:val="auto"/>
        </w:rPr>
      </w:pPr>
    </w:p>
    <w:p>
      <w:pPr>
        <w:ind w:right="80" w:firstLine="484"/>
        <w:spacing w:after="0" w:line="258" w:lineRule="auto"/>
        <w:rPr>
          <w:sz w:val="20"/>
          <w:szCs w:val="20"/>
          <w:color w:val="auto"/>
        </w:rPr>
      </w:pPr>
      <w:r>
        <w:rPr>
          <w:rFonts w:ascii="Times New Roman" w:cs="Times New Roman" w:eastAsia="Times New Roman" w:hAnsi="Times New Roman"/>
          <w:sz w:val="18"/>
          <w:szCs w:val="18"/>
          <w:color w:val="auto"/>
        </w:rPr>
        <w:t>We have historically entered into operating leases for local branches, our corporate headquarters and certain equipment. The Company’s current leases have expiration dates through 2029. Certain of our arrangements have free rent periods and/or escalating rent payment provisions. We recognize rent expense on a straight-line basis over the lease term. Certain of the Company’s leases include termination options and renewal options for periods ranging from one to five years. Because we are not reasonably certain to exercise these renewal options, the options generally are not considered in determining the lease term, and payments associated with the option years are excluded from lease payments.</w:t>
      </w:r>
    </w:p>
    <w:p>
      <w:pPr>
        <w:spacing w:after="0" w:line="130" w:lineRule="exact"/>
        <w:rPr>
          <w:sz w:val="20"/>
          <w:szCs w:val="20"/>
          <w:color w:val="auto"/>
        </w:rPr>
      </w:pPr>
    </w:p>
    <w:p>
      <w:pPr>
        <w:ind w:right="40" w:firstLine="484"/>
        <w:spacing w:after="0" w:line="266" w:lineRule="auto"/>
        <w:rPr>
          <w:sz w:val="20"/>
          <w:szCs w:val="20"/>
          <w:color w:val="auto"/>
        </w:rPr>
      </w:pPr>
      <w:r>
        <w:rPr>
          <w:rFonts w:ascii="Times New Roman" w:cs="Times New Roman" w:eastAsia="Times New Roman" w:hAnsi="Times New Roman"/>
          <w:sz w:val="18"/>
          <w:szCs w:val="18"/>
          <w:color w:val="auto"/>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Amounts reported in the Condensed Consolidated Balance Sheets as of September 30, 2019 for our operating leases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82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operating lease liabilities (in accrued expenses)</w:t>
            </w: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 Costs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Components of lease cost were reported in general and administrative expenses in the Condensed Consolidated Statements of Income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49"/>
        </w:trPr>
        <w:tc>
          <w:tcPr>
            <w:tcW w:w="7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73"/>
        </w:trPr>
        <w:tc>
          <w:tcPr>
            <w:tcW w:w="7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5"/>
                <w:szCs w:val="15"/>
                <w:color w:val="auto"/>
              </w:rPr>
            </w:pPr>
          </w:p>
        </w:tc>
      </w:tr>
      <w:tr>
        <w:trPr>
          <w:trHeight w:val="156"/>
        </w:trPr>
        <w:tc>
          <w:tcPr>
            <w:tcW w:w="7820" w:type="dxa"/>
            <w:vAlign w:val="bottom"/>
            <w:tcBorders>
              <w:bottom w:val="single" w:sz="8" w:color="CFF0FC"/>
            </w:tcBorders>
          </w:tcPr>
          <w:p>
            <w:pPr>
              <w:spacing w:after="0"/>
              <w:rPr>
                <w:sz w:val="13"/>
                <w:szCs w:val="13"/>
                <w:color w:val="auto"/>
              </w:rPr>
            </w:pPr>
          </w:p>
        </w:tc>
        <w:tc>
          <w:tcPr>
            <w:tcW w:w="1640" w:type="dxa"/>
            <w:vAlign w:val="bottom"/>
            <w:tcBorders>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8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Borders>
              <w:bottom w:val="single" w:sz="8" w:color="CFF0FC"/>
            </w:tcBorders>
          </w:tcPr>
          <w:p>
            <w:pPr>
              <w:spacing w:after="0"/>
              <w:rPr>
                <w:sz w:val="13"/>
                <w:szCs w:val="13"/>
                <w:color w:val="auto"/>
              </w:rPr>
            </w:pPr>
          </w:p>
        </w:tc>
      </w:tr>
      <w:tr>
        <w:trPr>
          <w:trHeight w:val="223"/>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FF0FC"/>
            </w:tcBorders>
          </w:tcPr>
          <w:p>
            <w:pPr>
              <w:spacing w:after="0"/>
              <w:rPr>
                <w:sz w:val="19"/>
                <w:szCs w:val="19"/>
                <w:color w:val="auto"/>
              </w:rPr>
            </w:pPr>
          </w:p>
        </w:tc>
      </w:tr>
      <w:tr>
        <w:trPr>
          <w:trHeight w:val="223"/>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 and Discount Rate</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for the nine months ended September 30, 2019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6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r>
      <w:tr>
        <w:trPr>
          <w:trHeight w:val="237"/>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5"/>
              </w:rPr>
              <w:t>3.58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40" w:type="dxa"/>
            <w:vAlign w:val="bottom"/>
            <w:gridSpan w:val="3"/>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rPr>
              <w:t>5.50%</w:t>
            </w:r>
          </w:p>
        </w:tc>
      </w:tr>
      <w:tr>
        <w:trPr>
          <w:trHeight w:val="500"/>
        </w:trPr>
        <w:tc>
          <w:tcPr>
            <w:tcW w:w="9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of Lease Liabilities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4"/>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 summary of our remaining operating lease payments as of September 30, 2019 were as follows: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6"/>
        </w:trPr>
        <w:tc>
          <w:tcPr>
            <w:tcW w:w="9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156"/>
        </w:trPr>
        <w:tc>
          <w:tcPr>
            <w:tcW w:w="92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820" w:type="dxa"/>
            <w:vAlign w:val="bottom"/>
            <w:tcBorders>
              <w:top w:val="single" w:sz="8" w:color="auto"/>
              <w:bottom w:val="single" w:sz="8" w:color="auto"/>
            </w:tcBorders>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Borders>
              <w:bottom w:val="single" w:sz="8" w:color="CFF0FC"/>
            </w:tcBorders>
          </w:tcPr>
          <w:p>
            <w:pPr>
              <w:spacing w:after="0"/>
              <w:rPr>
                <w:sz w:val="13"/>
                <w:szCs w:val="13"/>
                <w:color w:val="auto"/>
              </w:rPr>
            </w:pPr>
          </w:p>
        </w:tc>
      </w:tr>
      <w:tr>
        <w:trPr>
          <w:trHeight w:val="223"/>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the 12-month period ended September 30,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6,598</w:t>
            </w:r>
          </w:p>
        </w:tc>
        <w:tc>
          <w:tcPr>
            <w:tcW w:w="120" w:type="dxa"/>
            <w:vAlign w:val="bottom"/>
          </w:tcPr>
          <w:p>
            <w:pPr>
              <w:spacing w:after="0"/>
              <w:rPr>
                <w:sz w:val="19"/>
                <w:szCs w:val="19"/>
                <w:color w:val="auto"/>
              </w:rPr>
            </w:pPr>
          </w:p>
        </w:tc>
      </w:tr>
      <w:tr>
        <w:trPr>
          <w:trHeight w:val="230"/>
        </w:trPr>
        <w:tc>
          <w:tcPr>
            <w:tcW w:w="9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5,796</w:t>
            </w:r>
          </w:p>
        </w:tc>
        <w:tc>
          <w:tcPr>
            <w:tcW w:w="120" w:type="dxa"/>
            <w:vAlign w:val="bottom"/>
            <w:shd w:val="clear" w:color="auto" w:fill="CFF0FC"/>
          </w:tcPr>
          <w:p>
            <w:pPr>
              <w:spacing w:after="0"/>
              <w:rPr>
                <w:sz w:val="19"/>
                <w:szCs w:val="19"/>
                <w:color w:val="auto"/>
              </w:rPr>
            </w:pPr>
          </w:p>
        </w:tc>
      </w:tr>
      <w:tr>
        <w:trPr>
          <w:trHeight w:val="230"/>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3,882</w:t>
            </w:r>
          </w:p>
        </w:tc>
        <w:tc>
          <w:tcPr>
            <w:tcW w:w="120" w:type="dxa"/>
            <w:vAlign w:val="bottom"/>
          </w:tcPr>
          <w:p>
            <w:pPr>
              <w:spacing w:after="0"/>
              <w:rPr>
                <w:sz w:val="19"/>
                <w:szCs w:val="19"/>
                <w:color w:val="auto"/>
              </w:rPr>
            </w:pPr>
          </w:p>
        </w:tc>
      </w:tr>
      <w:tr>
        <w:trPr>
          <w:trHeight w:val="230"/>
        </w:trPr>
        <w:tc>
          <w:tcPr>
            <w:tcW w:w="9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shd w:val="clear" w:color="auto" w:fill="CFF0FC"/>
          </w:tcPr>
          <w:p>
            <w:pPr>
              <w:spacing w:after="0"/>
              <w:rPr>
                <w:sz w:val="19"/>
                <w:szCs w:val="19"/>
                <w:color w:val="auto"/>
              </w:rPr>
            </w:pPr>
          </w:p>
        </w:tc>
      </w:tr>
      <w:tr>
        <w:trPr>
          <w:trHeight w:val="230"/>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19"/>
                <w:szCs w:val="19"/>
                <w:color w:val="auto"/>
              </w:rPr>
            </w:pPr>
          </w:p>
        </w:tc>
      </w:tr>
      <w:tr>
        <w:trPr>
          <w:trHeight w:val="230"/>
        </w:trPr>
        <w:tc>
          <w:tcPr>
            <w:tcW w:w="9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rental commitments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20,478</w:t>
            </w:r>
          </w:p>
        </w:tc>
        <w:tc>
          <w:tcPr>
            <w:tcW w:w="120" w:type="dxa"/>
            <w:vAlign w:val="bottom"/>
          </w:tcPr>
          <w:p>
            <w:pPr>
              <w:spacing w:after="0"/>
              <w:rPr>
                <w:sz w:val="19"/>
                <w:szCs w:val="19"/>
                <w:color w:val="auto"/>
              </w:rPr>
            </w:pPr>
          </w:p>
        </w:tc>
      </w:tr>
      <w:tr>
        <w:trPr>
          <w:trHeight w:val="230"/>
        </w:trPr>
        <w:tc>
          <w:tcPr>
            <w:tcW w:w="9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(1,991)</w:t>
            </w: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18,487</w:t>
            </w:r>
          </w:p>
        </w:tc>
        <w:tc>
          <w:tcPr>
            <w:tcW w:w="120" w:type="dxa"/>
            <w:vAlign w:val="bottom"/>
          </w:tcPr>
          <w:p>
            <w:pPr>
              <w:spacing w:after="0"/>
              <w:rPr>
                <w:sz w:val="19"/>
                <w:szCs w:val="19"/>
                <w:color w:val="auto"/>
              </w:rPr>
            </w:pPr>
          </w:p>
        </w:tc>
      </w:tr>
      <w:tr>
        <w:trPr>
          <w:trHeight w:val="20"/>
        </w:trPr>
        <w:tc>
          <w:tcPr>
            <w:tcW w:w="9320" w:type="dxa"/>
            <w:vAlign w:val="bottom"/>
            <w:gridSpan w:val="2"/>
          </w:tcPr>
          <w:p>
            <w:pPr>
              <w:spacing w:after="0" w:line="20" w:lineRule="exact"/>
              <w:rPr>
                <w:sz w:val="1"/>
                <w:szCs w:val="1"/>
                <w:color w:val="auto"/>
              </w:rPr>
            </w:pPr>
          </w:p>
        </w:tc>
        <w:tc>
          <w:tcPr>
            <w:tcW w:w="19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1"/>
        </w:trPr>
        <w:tc>
          <w:tcPr>
            <w:tcW w:w="1142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As required by ASC 842, the future minimum operating lease payments on non-cancelable leases as of December 31, 2018 under the accounting</w:t>
            </w:r>
          </w:p>
        </w:tc>
      </w:t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standards in effect as of that period were as follows: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9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156"/>
        </w:trPr>
        <w:tc>
          <w:tcPr>
            <w:tcW w:w="92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820" w:type="dxa"/>
            <w:vAlign w:val="bottom"/>
            <w:tcBorders>
              <w:top w:val="single" w:sz="8" w:color="auto"/>
              <w:bottom w:val="single" w:sz="8" w:color="auto"/>
            </w:tcBorders>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Borders>
              <w:bottom w:val="single" w:sz="8" w:color="CFF0FC"/>
            </w:tcBorders>
          </w:tcPr>
          <w:p>
            <w:pPr>
              <w:spacing w:after="0"/>
              <w:rPr>
                <w:sz w:val="13"/>
                <w:szCs w:val="13"/>
                <w:color w:val="auto"/>
              </w:rPr>
            </w:pPr>
          </w:p>
        </w:tc>
      </w:tr>
      <w:tr>
        <w:trPr>
          <w:trHeight w:val="223"/>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the 12-month period ended December 31,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6,374</w:t>
            </w:r>
          </w:p>
        </w:tc>
        <w:tc>
          <w:tcPr>
            <w:tcW w:w="120" w:type="dxa"/>
            <w:vAlign w:val="bottom"/>
          </w:tcPr>
          <w:p>
            <w:pPr>
              <w:spacing w:after="0"/>
              <w:rPr>
                <w:sz w:val="19"/>
                <w:szCs w:val="19"/>
                <w:color w:val="auto"/>
              </w:rPr>
            </w:pPr>
          </w:p>
        </w:tc>
      </w:tr>
      <w:tr>
        <w:trPr>
          <w:trHeight w:val="230"/>
        </w:trPr>
        <w:tc>
          <w:tcPr>
            <w:tcW w:w="9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4,820</w:t>
            </w:r>
          </w:p>
        </w:tc>
        <w:tc>
          <w:tcPr>
            <w:tcW w:w="120" w:type="dxa"/>
            <w:vAlign w:val="bottom"/>
            <w:shd w:val="clear" w:color="auto" w:fill="CFF0FC"/>
          </w:tcPr>
          <w:p>
            <w:pPr>
              <w:spacing w:after="0"/>
              <w:rPr>
                <w:sz w:val="19"/>
                <w:szCs w:val="19"/>
                <w:color w:val="auto"/>
              </w:rPr>
            </w:pPr>
          </w:p>
        </w:tc>
      </w:tr>
      <w:tr>
        <w:trPr>
          <w:trHeight w:val="230"/>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3,460</w:t>
            </w:r>
          </w:p>
        </w:tc>
        <w:tc>
          <w:tcPr>
            <w:tcW w:w="120" w:type="dxa"/>
            <w:vAlign w:val="bottom"/>
          </w:tcPr>
          <w:p>
            <w:pPr>
              <w:spacing w:after="0"/>
              <w:rPr>
                <w:sz w:val="19"/>
                <w:szCs w:val="19"/>
                <w:color w:val="auto"/>
              </w:rPr>
            </w:pPr>
          </w:p>
        </w:tc>
      </w:tr>
      <w:tr>
        <w:trPr>
          <w:trHeight w:val="230"/>
        </w:trPr>
        <w:tc>
          <w:tcPr>
            <w:tcW w:w="9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shd w:val="clear" w:color="auto" w:fill="CFF0FC"/>
          </w:tcPr>
          <w:p>
            <w:pPr>
              <w:spacing w:after="0"/>
              <w:rPr>
                <w:sz w:val="19"/>
                <w:szCs w:val="19"/>
                <w:color w:val="auto"/>
              </w:rPr>
            </w:pPr>
          </w:p>
        </w:tc>
      </w:tr>
      <w:tr>
        <w:trPr>
          <w:trHeight w:val="230"/>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tcPr>
          <w:p>
            <w:pPr>
              <w:spacing w:after="0"/>
              <w:rPr>
                <w:sz w:val="19"/>
                <w:szCs w:val="19"/>
                <w:color w:val="auto"/>
              </w:rPr>
            </w:pPr>
          </w:p>
        </w:tc>
      </w:tr>
      <w:tr>
        <w:trPr>
          <w:trHeight w:val="230"/>
        </w:trPr>
        <w:tc>
          <w:tcPr>
            <w:tcW w:w="9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rental commitments</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20,543</w:t>
            </w:r>
          </w:p>
        </w:tc>
        <w:tc>
          <w:tcPr>
            <w:tcW w:w="12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17"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September 30,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860" w:type="dxa"/>
            <w:vAlign w:val="bottom"/>
            <w:tcBorders>
              <w:top w:val="single" w:sz="8" w:color="auto"/>
              <w:bottom w:val="single" w:sz="8" w:color="auto"/>
            </w:tcBorders>
          </w:tcPr>
          <w:p>
            <w:pPr>
              <w:jc w:val="center"/>
              <w:ind w:right="61"/>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Flows Information</w:t>
            </w:r>
          </w:p>
        </w:tc>
        <w:tc>
          <w:tcPr>
            <w:tcW w:w="12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2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Leases</w:t>
      </w:r>
    </w:p>
    <w:p>
      <w:pPr>
        <w:spacing w:after="0" w:line="81" w:lineRule="exact"/>
        <w:rPr>
          <w:sz w:val="20"/>
          <w:szCs w:val="20"/>
          <w:color w:val="auto"/>
        </w:rPr>
      </w:pPr>
    </w:p>
    <w:p>
      <w:pPr>
        <w:ind w:right="80" w:firstLine="484"/>
        <w:spacing w:after="0" w:line="266" w:lineRule="auto"/>
        <w:rPr>
          <w:sz w:val="20"/>
          <w:szCs w:val="20"/>
          <w:color w:val="auto"/>
        </w:rPr>
      </w:pPr>
      <w:r>
        <w:rPr>
          <w:rFonts w:ascii="Times New Roman" w:cs="Times New Roman" w:eastAsia="Times New Roman" w:hAnsi="Times New Roman"/>
          <w:sz w:val="18"/>
          <w:szCs w:val="18"/>
          <w:color w:val="auto"/>
        </w:rPr>
        <w:t>Some of our financing leases include provisions to purchase the asset at the conclusion of the lease. The treatment of these leases remains consistent and the transition does not have an impact on the accounting for these leases. Financing leases were not material as of September 30, 2019 and December 31, 2018.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Alliance Home Health Care</w:t>
      </w:r>
    </w:p>
    <w:p>
      <w:pPr>
        <w:spacing w:after="0" w:line="79" w:lineRule="exact"/>
        <w:rPr>
          <w:sz w:val="20"/>
          <w:szCs w:val="20"/>
          <w:color w:val="auto"/>
        </w:rPr>
      </w:pPr>
    </w:p>
    <w:p>
      <w:pPr>
        <w:ind w:right="20" w:firstLine="484"/>
        <w:spacing w:after="0" w:line="258" w:lineRule="auto"/>
        <w:rPr>
          <w:sz w:val="20"/>
          <w:szCs w:val="20"/>
          <w:color w:val="auto"/>
        </w:rPr>
      </w:pPr>
      <w:r>
        <w:rPr>
          <w:rFonts w:ascii="Times New Roman" w:cs="Times New Roman" w:eastAsia="Times New Roman" w:hAnsi="Times New Roman"/>
          <w:sz w:val="18"/>
          <w:szCs w:val="18"/>
          <w:color w:val="auto"/>
        </w:rPr>
        <w:t>On August 1, 2019, the Company completed the acquisition of all of the assets of Alliance Home Health Care (“Alliance”). The purchase price was approximately $23.5 million. The purchase of Alliance was funded through the Company’s revolving credit facility. With the purchase of Alliance, the Company expanded its personal care, home health and hospice operations in the state of New Mexico. The related acquisition costs of $0.3 million for the three and nine months ended September 30, 2019 were included in general and administrative expenses on the Condensed Consolidated Statements of Income and were expensed as incurred. The results of Alliance are included on the Condensed Consolidated Statements of Income from the date of the acquisition.</w:t>
      </w:r>
    </w:p>
    <w:p>
      <w:pPr>
        <w:spacing w:after="0" w:line="128" w:lineRule="exact"/>
        <w:rPr>
          <w:sz w:val="20"/>
          <w:szCs w:val="20"/>
          <w:color w:val="auto"/>
        </w:rPr>
      </w:pPr>
    </w:p>
    <w:p>
      <w:pPr>
        <w:ind w:right="80" w:firstLine="484"/>
        <w:spacing w:after="0" w:line="259" w:lineRule="auto"/>
        <w:rPr>
          <w:sz w:val="20"/>
          <w:szCs w:val="20"/>
          <w:color w:val="auto"/>
        </w:rPr>
      </w:pPr>
      <w:r>
        <w:rPr>
          <w:rFonts w:ascii="Times New Roman" w:cs="Times New Roman" w:eastAsia="Times New Roman" w:hAnsi="Times New Roman"/>
          <w:sz w:val="18"/>
          <w:szCs w:val="18"/>
          <w:color w:val="auto"/>
        </w:rPr>
        <w:t xml:space="preserve">The Company’s acquisition of Alliance has been accounted for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the resulting goodwill and other intangible assets were accounted for under ASC Topic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The acquisition was recorded at its fair value as of August 1, 2019. Under business combination accounting, the Alliance purchase price was allocated to Alliance’s net tangible and identifiable intangible assets based on their estimated fair values. Based upon management’s valuation, which is preliminary and subject to completion of working capital adjustments, the total purchase price has been allocated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9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(Amounts in</w:t>
            </w:r>
          </w:p>
        </w:tc>
      </w:tr>
      <w:tr>
        <w:trPr>
          <w:trHeight w:val="173"/>
        </w:trPr>
        <w:tc>
          <w:tcPr>
            <w:tcW w:w="9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223"/>
        </w:trPr>
        <w:tc>
          <w:tcPr>
            <w:tcW w:w="9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(844)</w:t>
            </w: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23,458</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00" w:firstLine="484"/>
        <w:spacing w:after="0" w:line="282" w:lineRule="auto"/>
        <w:rPr>
          <w:sz w:val="20"/>
          <w:szCs w:val="20"/>
          <w:color w:val="auto"/>
        </w:rPr>
      </w:pPr>
      <w:r>
        <w:rPr>
          <w:rFonts w:ascii="Times New Roman" w:cs="Times New Roman" w:eastAsia="Times New Roman" w:hAnsi="Times New Roman"/>
          <w:sz w:val="18"/>
          <w:szCs w:val="18"/>
          <w:color w:val="auto"/>
        </w:rPr>
        <w:t>Management’s assessment of qualitative factors affecting goodwill for Alliance includes estimates of market share at the date of purchase, ability to grow in the market, synergy with existing Company operations, and the payor profile in the market.</w:t>
      </w:r>
    </w:p>
    <w:p>
      <w:pPr>
        <w:spacing w:after="0" w:line="108" w:lineRule="exact"/>
        <w:rPr>
          <w:sz w:val="20"/>
          <w:szCs w:val="20"/>
          <w:color w:val="auto"/>
        </w:rPr>
      </w:pPr>
    </w:p>
    <w:p>
      <w:pPr>
        <w:ind w:right="220" w:firstLine="484"/>
        <w:spacing w:after="0" w:line="258" w:lineRule="auto"/>
        <w:rPr>
          <w:sz w:val="20"/>
          <w:szCs w:val="20"/>
          <w:color w:val="auto"/>
        </w:rPr>
      </w:pPr>
      <w:r>
        <w:rPr>
          <w:rFonts w:ascii="Times New Roman" w:cs="Times New Roman" w:eastAsia="Times New Roman" w:hAnsi="Times New Roman"/>
          <w:sz w:val="18"/>
          <w:szCs w:val="18"/>
          <w:color w:val="auto"/>
        </w:rPr>
        <w:t>Identifiable intangible assets acquired consist of $1.1 million in state licenses, with an estimated useful life of ten years and $4.3 million of state licenses with an indefinite life. The preliminary estimated fair value of identifiable intangible assets was determined, using Level 3 inputs as defined under ASC Topic 820, with the assistance of a valuation specialist.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30" w:lineRule="exact"/>
        <w:rPr>
          <w:sz w:val="20"/>
          <w:szCs w:val="20"/>
          <w:color w:val="auto"/>
        </w:rPr>
      </w:pPr>
    </w:p>
    <w:p>
      <w:pPr>
        <w:ind w:right="140" w:firstLine="484"/>
        <w:spacing w:after="0" w:line="282" w:lineRule="auto"/>
        <w:rPr>
          <w:sz w:val="20"/>
          <w:szCs w:val="20"/>
          <w:color w:val="auto"/>
        </w:rPr>
      </w:pPr>
      <w:r>
        <w:rPr>
          <w:rFonts w:ascii="Times New Roman" w:cs="Times New Roman" w:eastAsia="Times New Roman" w:hAnsi="Times New Roman"/>
          <w:sz w:val="18"/>
          <w:szCs w:val="18"/>
          <w:color w:val="auto"/>
        </w:rPr>
        <w:t>The Alliance acquisition accounted for $3.4 million of net service revenues and $0.8 million of operating income for the three and nine months ended September 30, 2019.</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VIP Health Care Services</w:t>
      </w:r>
    </w:p>
    <w:p>
      <w:pPr>
        <w:spacing w:after="0" w:line="92" w:lineRule="exact"/>
        <w:rPr>
          <w:sz w:val="20"/>
          <w:szCs w:val="20"/>
          <w:color w:val="auto"/>
        </w:rPr>
      </w:pPr>
    </w:p>
    <w:p>
      <w:pPr>
        <w:ind w:right="180" w:firstLine="484"/>
        <w:spacing w:after="0" w:line="261" w:lineRule="auto"/>
        <w:rPr>
          <w:sz w:val="20"/>
          <w:szCs w:val="20"/>
          <w:color w:val="auto"/>
        </w:rPr>
      </w:pPr>
      <w:r>
        <w:rPr>
          <w:rFonts w:ascii="Times New Roman" w:cs="Times New Roman" w:eastAsia="Times New Roman" w:hAnsi="Times New Roman"/>
          <w:sz w:val="18"/>
          <w:szCs w:val="18"/>
          <w:color w:val="auto"/>
        </w:rPr>
        <w:t>On June 1, 2019, the Company completed the acquisition of all of the assets of VIP Health Care Services (“VIP”). The purchase price was approximately $29.9 million. The purchase of VIP was funded through a combination of the Company’s delayed draw term loan portion of its credit facility and available cash. With the purchase of VIP, the Company expanded its personal care operations in the state of New York and into the New York City metropolitan area. The related acquisition costs were $0.4 million for the nine months ended September 30, 2019 and</w:t>
      </w:r>
    </w:p>
    <w:p>
      <w:pPr>
        <w:sectPr>
          <w:pgSz w:w="11900" w:h="16838" w:orient="portrait"/>
          <w:cols w:equalWidth="0" w:num="1">
            <w:col w:w="11420"/>
          </w:cols>
          <w:pgMar w:left="240" w:top="117" w:right="2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integration costs were $0.2 million and $0.3 million for the three and nine months ended September 30, 2019. These costs were included in general and administrative expenses on the Condensed Consolidated Statements of Income and were expensed as incurred. The results of VIP are included on the Condensed Consolidated Statements of Income from the date of the acquisition.</w:t>
      </w:r>
    </w:p>
    <w:p>
      <w:pPr>
        <w:spacing w:after="0" w:line="120" w:lineRule="exact"/>
        <w:rPr>
          <w:sz w:val="20"/>
          <w:szCs w:val="20"/>
          <w:color w:val="auto"/>
        </w:rPr>
      </w:pPr>
    </w:p>
    <w:p>
      <w:pPr>
        <w:ind w:right="100" w:firstLine="484"/>
        <w:spacing w:after="0" w:line="259" w:lineRule="auto"/>
        <w:rPr>
          <w:sz w:val="20"/>
          <w:szCs w:val="20"/>
          <w:color w:val="auto"/>
        </w:rPr>
      </w:pPr>
      <w:r>
        <w:rPr>
          <w:rFonts w:ascii="Times New Roman" w:cs="Times New Roman" w:eastAsia="Times New Roman" w:hAnsi="Times New Roman"/>
          <w:sz w:val="18"/>
          <w:szCs w:val="18"/>
          <w:color w:val="auto"/>
        </w:rPr>
        <w:t xml:space="preserve">The Company’s acquisition of VIP has been accounted for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the resulting goodwill and other intangible assets were accounted for under ASC Topic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The acquisition was recorded at its fair value as of June 1, 2019. Under business combination accounting, the VIP purchase price was allocated to VIP’s net tangible and identifiable intangible assets based on their estimated fair values. Based upon management’s valuation, which is preliminary and subject to completion of working capital adjustments, the total purchase price has been allocated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9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(Amounts in</w:t>
            </w:r>
          </w:p>
        </w:tc>
      </w:tr>
      <w:tr>
        <w:trPr>
          <w:trHeight w:val="173"/>
        </w:trPr>
        <w:tc>
          <w:tcPr>
            <w:tcW w:w="9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223"/>
        </w:trPr>
        <w:tc>
          <w:tcPr>
            <w:tcW w:w="9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w:t>
            </w: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3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(1,571)</w:t>
            </w: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(1,554)</w:t>
            </w:r>
          </w:p>
        </w:tc>
      </w:tr>
      <w:tr>
        <w:trPr>
          <w:trHeight w:val="223"/>
        </w:trPr>
        <w:tc>
          <w:tcPr>
            <w:tcW w:w="9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4"/>
        <w:spacing w:after="0" w:line="282" w:lineRule="auto"/>
        <w:rPr>
          <w:sz w:val="20"/>
          <w:szCs w:val="20"/>
          <w:color w:val="auto"/>
        </w:rPr>
      </w:pPr>
      <w:r>
        <w:rPr>
          <w:rFonts w:ascii="Times New Roman" w:cs="Times New Roman" w:eastAsia="Times New Roman" w:hAnsi="Times New Roman"/>
          <w:sz w:val="18"/>
          <w:szCs w:val="18"/>
          <w:color w:val="auto"/>
        </w:rPr>
        <w:t>Management’s assessment of qualitative factors affecting goodwill for VIP includes estimates of market share at the date of purchase, ability to grow in the market, synergy with existing Company operations, and the payor profile in the market.</w:t>
      </w:r>
    </w:p>
    <w:p>
      <w:pPr>
        <w:spacing w:after="0" w:line="108" w:lineRule="exact"/>
        <w:rPr>
          <w:sz w:val="20"/>
          <w:szCs w:val="20"/>
          <w:color w:val="auto"/>
        </w:rPr>
      </w:pPr>
    </w:p>
    <w:p>
      <w:pPr>
        <w:ind w:firstLine="484"/>
        <w:spacing w:after="0" w:line="266" w:lineRule="auto"/>
        <w:rPr>
          <w:sz w:val="20"/>
          <w:szCs w:val="20"/>
          <w:color w:val="auto"/>
        </w:rPr>
      </w:pPr>
      <w:r>
        <w:rPr>
          <w:rFonts w:ascii="Times New Roman" w:cs="Times New Roman" w:eastAsia="Times New Roman" w:hAnsi="Times New Roman"/>
          <w:sz w:val="18"/>
          <w:szCs w:val="18"/>
          <w:color w:val="auto"/>
        </w:rPr>
        <w:t>Identifiable intangible assets acquired consist of state licenses and customer relationships, with estimated useful lives of six and eight years, respectively. The preliminary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22" w:lineRule="exact"/>
        <w:rPr>
          <w:sz w:val="20"/>
          <w:szCs w:val="20"/>
          <w:color w:val="auto"/>
        </w:rPr>
      </w:pPr>
    </w:p>
    <w:p>
      <w:pPr>
        <w:ind w:right="240" w:firstLine="484"/>
        <w:spacing w:after="0" w:line="282" w:lineRule="auto"/>
        <w:rPr>
          <w:sz w:val="20"/>
          <w:szCs w:val="20"/>
          <w:color w:val="auto"/>
        </w:rPr>
      </w:pPr>
      <w:r>
        <w:rPr>
          <w:rFonts w:ascii="Times New Roman" w:cs="Times New Roman" w:eastAsia="Times New Roman" w:hAnsi="Times New Roman"/>
          <w:sz w:val="18"/>
          <w:szCs w:val="18"/>
          <w:color w:val="auto"/>
        </w:rPr>
        <w:t>The VIP acquisition accounted for $13.2 million and $17.6 million of net service revenues for the three and nine months ended September 30, 2019, respectively and $0.4 million and $0.1 million of operating loss for the three and nine months ended September 30, 2019,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Ambercare Corporation</w:t>
      </w:r>
    </w:p>
    <w:p>
      <w:pPr>
        <w:spacing w:after="0" w:line="79" w:lineRule="exact"/>
        <w:rPr>
          <w:sz w:val="20"/>
          <w:szCs w:val="20"/>
          <w:color w:val="auto"/>
        </w:rPr>
      </w:pPr>
    </w:p>
    <w:p>
      <w:pPr>
        <w:ind w:right="60" w:firstLine="484"/>
        <w:spacing w:after="0" w:line="255" w:lineRule="auto"/>
        <w:rPr>
          <w:sz w:val="20"/>
          <w:szCs w:val="20"/>
          <w:color w:val="auto"/>
        </w:rPr>
      </w:pPr>
      <w:r>
        <w:rPr>
          <w:rFonts w:ascii="Times New Roman" w:cs="Times New Roman" w:eastAsia="Times New Roman" w:hAnsi="Times New Roman"/>
          <w:sz w:val="18"/>
          <w:szCs w:val="18"/>
          <w:color w:val="auto"/>
        </w:rPr>
        <w:t>On May 1, 2018, the Company completed the acquisition of all the issued and outstanding securities of Ambercare Corporation (“Ambercare”). The purchase price was approximately $39.6 million, plus the amount of excess cash held by Ambercare at closing (approximately $12.0 million). The purchase of Ambercare was funded by a delayed draw term loan under the Company’s credit facility. With the purchase of Ambercare, the Company expanded its New Mexico personal care operations and entered into its hospice and home health segments in the state of New Mexico. The related acquisition costs were $0.6 million for the nine months ended September 30, 2018. The related integration costs were $0.3 million for the nine months ended September 30, 2019, and $0.7 million and $0.8 million for the three and nine months ended September 30, 2018, respectively. These costs were included in general and administrative expenses on the Condensed Consolidated Statements of Income and were expensed as incurred. The results of Ambercare are included on the Condensed Consolidated Statements of Income from the date of the acquisition.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89" w:lineRule="exact"/>
        <w:rPr>
          <w:sz w:val="20"/>
          <w:szCs w:val="20"/>
          <w:color w:val="auto"/>
        </w:rPr>
      </w:pPr>
    </w:p>
    <w:p>
      <w:pPr>
        <w:ind w:right="80" w:firstLine="484"/>
        <w:spacing w:after="0" w:line="261" w:lineRule="auto"/>
        <w:rPr>
          <w:sz w:val="20"/>
          <w:szCs w:val="20"/>
          <w:color w:val="auto"/>
        </w:rPr>
      </w:pPr>
      <w:r>
        <w:rPr>
          <w:rFonts w:ascii="Times New Roman" w:cs="Times New Roman" w:eastAsia="Times New Roman" w:hAnsi="Times New Roman"/>
          <w:sz w:val="18"/>
          <w:szCs w:val="18"/>
          <w:color w:val="auto"/>
        </w:rPr>
        <w:t xml:space="preserve">The Company’s acquisition of Ambercare has been accounted for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the resulting goodwill and other intangible assets were accounted for under ASC Topic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The acquisition was recorded at its fair value as of May 1, 2018. Under business combination accounting, the Ambercare purchase price was $51.6 million and was allocated to Ambercare’s net tangible and identifiable intangible assets based on their estimated fair values.</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Based upon management’s valuations, which are now final, the total purchase price has been allocated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9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(Amounts in</w:t>
            </w:r>
          </w:p>
        </w:tc>
      </w:tr>
      <w:tr>
        <w:trPr>
          <w:trHeight w:val="173"/>
        </w:trPr>
        <w:tc>
          <w:tcPr>
            <w:tcW w:w="9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223"/>
        </w:trPr>
        <w:tc>
          <w:tcPr>
            <w:tcW w:w="9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(4,073)</w:t>
            </w: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(2,138)</w:t>
            </w: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lease</w:t>
            </w:r>
          </w:p>
        </w:tc>
        <w:tc>
          <w:tcPr>
            <w:tcW w:w="3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firstLine="484"/>
        <w:spacing w:after="0" w:line="282" w:lineRule="auto"/>
        <w:rPr>
          <w:sz w:val="20"/>
          <w:szCs w:val="20"/>
          <w:color w:val="auto"/>
        </w:rPr>
      </w:pPr>
      <w:r>
        <w:rPr>
          <w:rFonts w:ascii="Times New Roman" w:cs="Times New Roman" w:eastAsia="Times New Roman" w:hAnsi="Times New Roman"/>
          <w:sz w:val="18"/>
          <w:szCs w:val="18"/>
          <w:color w:val="auto"/>
        </w:rPr>
        <w:t>Management’s assessment of qualitative factors affecting goodwill for Ambercare includes estimates of market share at the date of purchase, ability to grow in the market, synergy with existing Company operations, and the payor profile in the market.</w:t>
      </w:r>
    </w:p>
    <w:p>
      <w:pPr>
        <w:spacing w:after="0" w:line="108" w:lineRule="exact"/>
        <w:rPr>
          <w:sz w:val="20"/>
          <w:szCs w:val="20"/>
          <w:color w:val="auto"/>
        </w:rPr>
      </w:pPr>
    </w:p>
    <w:p>
      <w:pPr>
        <w:ind w:right="140" w:firstLine="484"/>
        <w:spacing w:after="0" w:line="261" w:lineRule="auto"/>
        <w:rPr>
          <w:sz w:val="20"/>
          <w:szCs w:val="20"/>
          <w:color w:val="auto"/>
        </w:rPr>
      </w:pPr>
      <w:r>
        <w:rPr>
          <w:rFonts w:ascii="Times New Roman" w:cs="Times New Roman" w:eastAsia="Times New Roman" w:hAnsi="Times New Roman"/>
          <w:sz w:val="18"/>
          <w:szCs w:val="18"/>
          <w:color w:val="auto"/>
        </w:rPr>
        <w:t>The Company acquired all of the outstanding stock of Ambercare. Identifiable intangible assets acquired consist of trade names and customer relationships, with estimated useful lives ranging from three to fifteen years, as well as indefinite lived state licenses. The estimated fair value of identifiable intangible assets was determined, using Level 3 inputs as defined under ASC Topic 820, with the assistance of a valuation specialist. The goodwill and intangible assets acquired are non-deductible for tax purposes.</w:t>
      </w:r>
    </w:p>
    <w:p>
      <w:pPr>
        <w:spacing w:after="0" w:line="126" w:lineRule="exact"/>
        <w:rPr>
          <w:sz w:val="20"/>
          <w:szCs w:val="20"/>
          <w:color w:val="auto"/>
        </w:rPr>
      </w:pPr>
    </w:p>
    <w:p>
      <w:pPr>
        <w:ind w:right="40" w:firstLine="484"/>
        <w:spacing w:after="0" w:line="261" w:lineRule="auto"/>
        <w:rPr>
          <w:sz w:val="20"/>
          <w:szCs w:val="20"/>
          <w:color w:val="auto"/>
        </w:rPr>
      </w:pPr>
      <w:r>
        <w:rPr>
          <w:rFonts w:ascii="Times New Roman" w:cs="Times New Roman" w:eastAsia="Times New Roman" w:hAnsi="Times New Roman"/>
          <w:sz w:val="18"/>
          <w:szCs w:val="18"/>
          <w:color w:val="auto"/>
        </w:rPr>
        <w:t>The Ambercare acquisition accounted for $17.3 million and $47.8 million of net service revenues for the three and nine months ended September 30, 2019, respectively, and $13.4 million and $22.6 million of net service revenues for each of the three and nine months ended September 30, 2018, respectively. Operating income for the three and nine months ended September 30, 2019, was $4.7 million and $11.8 million, respectively, and $2.0 million and $3.8 million of operating income for the three and nine months ended September 30, 2018,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Arcadia Home Care &amp; Staffing</w:t>
      </w:r>
    </w:p>
    <w:p>
      <w:pPr>
        <w:spacing w:after="0" w:line="92" w:lineRule="exact"/>
        <w:rPr>
          <w:sz w:val="20"/>
          <w:szCs w:val="20"/>
          <w:color w:val="auto"/>
        </w:rPr>
      </w:pPr>
    </w:p>
    <w:p>
      <w:pPr>
        <w:ind w:right="120" w:firstLine="484"/>
        <w:spacing w:after="0" w:line="256" w:lineRule="auto"/>
        <w:rPr>
          <w:sz w:val="20"/>
          <w:szCs w:val="20"/>
          <w:color w:val="auto"/>
        </w:rPr>
      </w:pPr>
      <w:r>
        <w:rPr>
          <w:rFonts w:ascii="Times New Roman" w:cs="Times New Roman" w:eastAsia="Times New Roman" w:hAnsi="Times New Roman"/>
          <w:sz w:val="18"/>
          <w:szCs w:val="18"/>
          <w:color w:val="auto"/>
        </w:rPr>
        <w:t>On April 1, 2018, the Company acquired certain assets of Arcadia Home Care &amp; Staffing (“Arcadia”), expanding its personal care services. The total consideration for the transaction was $18.9 million, and was funded by a delayed draw term loan under the Company’s credit facility. The related acquisition costs was $0.6 million for the nine months ended September 30, 2018 and the integration costs were $0.7 million and $0.8 million for the three and nine months ended September 30, 2018, respectively. These costs were included in general and administrative expenses on the Condensed Consolidated Statements of Income and were expensed as incurred. The results of operations from this acquired entity are included in the Condensed Consolidated Statements of Income from the date of the acquisition.</w:t>
      </w:r>
    </w:p>
    <w:p>
      <w:pPr>
        <w:spacing w:after="0" w:line="134" w:lineRule="exact"/>
        <w:rPr>
          <w:sz w:val="20"/>
          <w:szCs w:val="20"/>
          <w:color w:val="auto"/>
        </w:rPr>
      </w:pPr>
    </w:p>
    <w:p>
      <w:pPr>
        <w:ind w:right="200" w:firstLine="484"/>
        <w:spacing w:after="0" w:line="261" w:lineRule="auto"/>
        <w:rPr>
          <w:sz w:val="20"/>
          <w:szCs w:val="20"/>
          <w:color w:val="auto"/>
        </w:rPr>
      </w:pPr>
      <w:r>
        <w:rPr>
          <w:rFonts w:ascii="Times New Roman" w:cs="Times New Roman" w:eastAsia="Times New Roman" w:hAnsi="Times New Roman"/>
          <w:sz w:val="18"/>
          <w:szCs w:val="18"/>
          <w:color w:val="auto"/>
        </w:rPr>
        <w:t>The Company’s acquisition of Arcadia has been accounted for in accordance with ASC Topic 805 and the resulting goodwill and other intangible assets were accounted for under ASC Topic 350. The acquisition was recorded at its fair value as of April 1, 2018. Under business combination accounting, the Arcadia purchase price was $18.9 million and was allocated to Arcadia’s net tangible and identifiable intangible assets based on their estimated fair values. Based upon management’s valuations, which are now final, the total purchase price has been allocated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9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(Amounts in</w:t>
            </w:r>
          </w:p>
        </w:tc>
      </w:tr>
      <w:tr>
        <w:trPr>
          <w:trHeight w:val="173"/>
        </w:trPr>
        <w:tc>
          <w:tcPr>
            <w:tcW w:w="9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223"/>
        </w:trPr>
        <w:tc>
          <w:tcPr>
            <w:tcW w:w="9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(1,540)</w:t>
            </w: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(508)</w:t>
            </w: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18,852</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9" w:lineRule="exact"/>
        <w:rPr>
          <w:sz w:val="20"/>
          <w:szCs w:val="20"/>
          <w:color w:val="auto"/>
        </w:rPr>
      </w:pPr>
    </w:p>
    <w:p>
      <w:pPr>
        <w:ind w:right="340" w:firstLine="484"/>
        <w:spacing w:after="0" w:line="282" w:lineRule="auto"/>
        <w:rPr>
          <w:sz w:val="20"/>
          <w:szCs w:val="20"/>
          <w:color w:val="auto"/>
        </w:rPr>
      </w:pPr>
      <w:r>
        <w:rPr>
          <w:rFonts w:ascii="Times New Roman" w:cs="Times New Roman" w:eastAsia="Times New Roman" w:hAnsi="Times New Roman"/>
          <w:sz w:val="18"/>
          <w:szCs w:val="18"/>
          <w:color w:val="auto"/>
        </w:rPr>
        <w:t>Management’s assessment of qualitative factors affecting goodwill for Arcadia includes estimates of market share at the date of purchase, ability to grow in the market, synergy with existing Company operations, and the payor profile in the market.</w:t>
      </w:r>
    </w:p>
    <w:p>
      <w:pPr>
        <w:spacing w:after="0" w:line="108" w:lineRule="exact"/>
        <w:rPr>
          <w:sz w:val="20"/>
          <w:szCs w:val="20"/>
          <w:color w:val="auto"/>
        </w:rPr>
      </w:pPr>
    </w:p>
    <w:p>
      <w:pPr>
        <w:ind w:right="160" w:firstLine="484"/>
        <w:spacing w:after="0" w:line="266" w:lineRule="auto"/>
        <w:rPr>
          <w:sz w:val="20"/>
          <w:szCs w:val="20"/>
          <w:color w:val="auto"/>
        </w:rPr>
      </w:pPr>
      <w:r>
        <w:rPr>
          <w:rFonts w:ascii="Times New Roman" w:cs="Times New Roman" w:eastAsia="Times New Roman" w:hAnsi="Times New Roman"/>
          <w:sz w:val="18"/>
          <w:szCs w:val="18"/>
          <w:color w:val="auto"/>
        </w:rPr>
        <w:t>Identifiable intangible assets acquired consist of trade name, customer relationships and state licenses, with estimated useful lives ranging from seven to fifteen years. The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22" w:lineRule="exact"/>
        <w:rPr>
          <w:sz w:val="20"/>
          <w:szCs w:val="20"/>
          <w:color w:val="auto"/>
        </w:rPr>
      </w:pPr>
    </w:p>
    <w:p>
      <w:pPr>
        <w:ind w:right="200" w:firstLine="484"/>
        <w:spacing w:after="0" w:line="261" w:lineRule="auto"/>
        <w:rPr>
          <w:sz w:val="20"/>
          <w:szCs w:val="20"/>
          <w:color w:val="auto"/>
        </w:rPr>
      </w:pPr>
      <w:r>
        <w:rPr>
          <w:rFonts w:ascii="Times New Roman" w:cs="Times New Roman" w:eastAsia="Times New Roman" w:hAnsi="Times New Roman"/>
          <w:sz w:val="18"/>
          <w:szCs w:val="18"/>
          <w:color w:val="auto"/>
        </w:rPr>
        <w:t>The Arcadia acquisition accounted for $11.6 million and $32.9 million of net service revenues for the three and nine months September 30, 2019, respectively, and $10.9 million and $21.7 million of net service revenues for each of the three and nine months September 30, 2018, respectively. Operating income for the three and nine months ended September 30, 2019, was $1.8 million and $4.4 million, respectively, and $1.6 million and $3.2 million of operating income for each of the three and nine months ended September 30, 2018,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LifeStyle Options, Inc.</w:t>
      </w:r>
    </w:p>
    <w:p>
      <w:pPr>
        <w:spacing w:after="0" w:line="92" w:lineRule="exact"/>
        <w:rPr>
          <w:sz w:val="20"/>
          <w:szCs w:val="20"/>
          <w:color w:val="auto"/>
        </w:rPr>
      </w:pPr>
    </w:p>
    <w:p>
      <w:pPr>
        <w:ind w:right="60" w:firstLine="484"/>
        <w:spacing w:after="0" w:line="258" w:lineRule="auto"/>
        <w:rPr>
          <w:sz w:val="20"/>
          <w:szCs w:val="20"/>
          <w:color w:val="auto"/>
        </w:rPr>
      </w:pPr>
      <w:r>
        <w:rPr>
          <w:rFonts w:ascii="Times New Roman" w:cs="Times New Roman" w:eastAsia="Times New Roman" w:hAnsi="Times New Roman"/>
          <w:sz w:val="18"/>
          <w:szCs w:val="18"/>
          <w:color w:val="auto"/>
        </w:rPr>
        <w:t>Effective January 1, 2018, the Company acquired certain assets of LifeStyle Options, Inc. (“LifeStyle”) in order to expand private pay services in Illinois. The total consideration for the transaction was $4.1 million, comprised of $3.3 million in cash and $0.8 million, representing the estimated fair value of contingent consideration, subject to the achievement of certain performance targets set forth in an earn-out agreement. As of December 31, 2018, the performance targets were not met and the contingent consideration was remeasured to zero. The results of operations from this acquired entity are included in the Condensed Consolidated Statements of Income from the date of the acquisition.</w:t>
      </w:r>
    </w:p>
    <w:p>
      <w:pPr>
        <w:spacing w:after="0" w:line="130" w:lineRule="exact"/>
        <w:rPr>
          <w:sz w:val="20"/>
          <w:szCs w:val="20"/>
          <w:color w:val="auto"/>
        </w:rPr>
      </w:pPr>
    </w:p>
    <w:p>
      <w:pPr>
        <w:ind w:right="20" w:firstLine="484"/>
        <w:spacing w:after="0" w:line="261" w:lineRule="auto"/>
        <w:rPr>
          <w:sz w:val="20"/>
          <w:szCs w:val="20"/>
          <w:color w:val="auto"/>
        </w:rPr>
      </w:pPr>
      <w:r>
        <w:rPr>
          <w:rFonts w:ascii="Times New Roman" w:cs="Times New Roman" w:eastAsia="Times New Roman" w:hAnsi="Times New Roman"/>
          <w:sz w:val="18"/>
          <w:szCs w:val="18"/>
          <w:color w:val="auto"/>
        </w:rPr>
        <w:t>The Company’s acquisition of LifeStyle has been accounted for in accordance with ASC Topic 805 and the resulting goodwill and other intangible assets were accounted for under ASC Topic 350. The acquisition was recorded at its fair value as of January 1, 2018. Under business combination accounting, the LifeStyle purchase price was $4.1 million and was allocated to LifeStyle’s net tangible and identifiable intangible assets based on their estimated fair values. Based upon management’s valuations, which are now final, the total purchase price is final and has been allocated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9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(Amounts in</w:t>
            </w:r>
          </w:p>
        </w:tc>
      </w:tr>
      <w:tr>
        <w:trPr>
          <w:trHeight w:val="173"/>
        </w:trPr>
        <w:tc>
          <w:tcPr>
            <w:tcW w:w="9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223"/>
        </w:trPr>
        <w:tc>
          <w:tcPr>
            <w:tcW w:w="9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20" w:firstLine="484"/>
        <w:spacing w:after="0" w:line="282" w:lineRule="auto"/>
        <w:rPr>
          <w:sz w:val="20"/>
          <w:szCs w:val="20"/>
          <w:color w:val="auto"/>
        </w:rPr>
      </w:pPr>
      <w:r>
        <w:rPr>
          <w:rFonts w:ascii="Times New Roman" w:cs="Times New Roman" w:eastAsia="Times New Roman" w:hAnsi="Times New Roman"/>
          <w:sz w:val="18"/>
          <w:szCs w:val="18"/>
          <w:color w:val="auto"/>
        </w:rPr>
        <w:t>Management’s assessment of qualitative factors affecting goodwill for LifeStyle includes estimates of market share at the date of purchase, ability to grow in the market, synergy with existing Company operations, and the payor profile in the market.</w:t>
      </w:r>
    </w:p>
    <w:p>
      <w:pPr>
        <w:spacing w:after="0" w:line="108" w:lineRule="exact"/>
        <w:rPr>
          <w:sz w:val="20"/>
          <w:szCs w:val="20"/>
          <w:color w:val="auto"/>
        </w:rPr>
      </w:pPr>
    </w:p>
    <w:p>
      <w:pPr>
        <w:ind w:right="220" w:firstLine="484"/>
        <w:spacing w:after="0" w:line="266" w:lineRule="auto"/>
        <w:rPr>
          <w:sz w:val="20"/>
          <w:szCs w:val="20"/>
          <w:color w:val="auto"/>
        </w:rPr>
      </w:pPr>
      <w:r>
        <w:rPr>
          <w:rFonts w:ascii="Times New Roman" w:cs="Times New Roman" w:eastAsia="Times New Roman" w:hAnsi="Times New Roman"/>
          <w:sz w:val="18"/>
          <w:szCs w:val="18"/>
          <w:color w:val="auto"/>
        </w:rPr>
        <w:t>Identifiable intangible assets acquired consist of trade name and customer relationships, with estimated useful lives ranging from ten to fifteen years. The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22" w:lineRule="exact"/>
        <w:rPr>
          <w:sz w:val="20"/>
          <w:szCs w:val="20"/>
          <w:color w:val="auto"/>
        </w:rPr>
      </w:pPr>
    </w:p>
    <w:p>
      <w:pPr>
        <w:ind w:right="40" w:firstLine="484"/>
        <w:spacing w:after="0" w:line="261" w:lineRule="auto"/>
        <w:rPr>
          <w:sz w:val="20"/>
          <w:szCs w:val="20"/>
          <w:color w:val="auto"/>
        </w:rPr>
      </w:pPr>
      <w:r>
        <w:rPr>
          <w:rFonts w:ascii="Times New Roman" w:cs="Times New Roman" w:eastAsia="Times New Roman" w:hAnsi="Times New Roman"/>
          <w:sz w:val="18"/>
          <w:szCs w:val="18"/>
          <w:color w:val="auto"/>
        </w:rPr>
        <w:t>The LifeStyle acquisition accounted for $1.2 million and $3.7 million of net service revenues for the three and nine months ended September 30, 2019, respectively, and $1.5 million and $4.5 million of net service revenues for the three and nine months ended September 30, 2018, respectively. Operating income for the three and nine months ended September 30, 2019, was $0.1 million and $0.2 million, respectively, and $0.1 million and $0.4 million of operating income for the three and nine months ended September 30, 2018,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91" w:lineRule="exact"/>
        <w:rPr>
          <w:sz w:val="20"/>
          <w:szCs w:val="20"/>
          <w:color w:val="auto"/>
        </w:rPr>
      </w:pPr>
    </w:p>
    <w:p>
      <w:pPr>
        <w:ind w:right="520" w:firstLine="484"/>
        <w:spacing w:after="0" w:line="282" w:lineRule="auto"/>
        <w:rPr>
          <w:sz w:val="20"/>
          <w:szCs w:val="20"/>
          <w:color w:val="auto"/>
        </w:rPr>
      </w:pPr>
      <w:r>
        <w:rPr>
          <w:rFonts w:ascii="Times New Roman" w:cs="Times New Roman" w:eastAsia="Times New Roman" w:hAnsi="Times New Roman"/>
          <w:sz w:val="18"/>
          <w:szCs w:val="18"/>
          <w:color w:val="auto"/>
        </w:rPr>
        <w:t>The following table contains unaudited pro forma condensed consolidated income statement information of the Company had the acquisitions of Alliance, VIP, Ambercare and Arcadia closed on January 1, 2018.</w:t>
      </w:r>
    </w:p>
    <w:p>
      <w:pPr>
        <w:sectPr>
          <w:pgSz w:w="11900" w:h="16838" w:orient="portrait"/>
          <w:cols w:equalWidth="0" w:num="1">
            <w:col w:w="11420"/>
          </w:cols>
          <w:pgMar w:left="240" w:top="117" w:right="239" w:bottom="1440" w:gutter="0" w:footer="0" w:header="0"/>
        </w:sectPr>
      </w:pPr>
    </w:p>
    <w:p>
      <w:pPr>
        <w:spacing w:after="0" w:line="155"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wp:posOffset>
            </wp:positionV>
            <wp:extent cx="19723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ind w:left="5380"/>
        <w:spacing w:after="0"/>
        <w:tabs>
          <w:tab w:leader="none" w:pos="70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-635</wp:posOffset>
            </wp:positionV>
            <wp:extent cx="19723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4"/>
          <w:szCs w:val="14"/>
          <w:b w:val="1"/>
          <w:bCs w:val="1"/>
          <w:color w:val="auto"/>
        </w:rPr>
        <w:t>(Amounts in Thousands)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-3175</wp:posOffset>
            </wp:positionV>
            <wp:extent cx="1981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-635</wp:posOffset>
            </wp:positionV>
            <wp:extent cx="19812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4"/>
          <w:szCs w:val="14"/>
          <w:b w:val="1"/>
          <w:bCs w:val="1"/>
          <w:color w:val="auto"/>
        </w:rPr>
        <w:t>(Amounts in Thousands)</w:t>
      </w:r>
    </w:p>
    <w:p>
      <w:pPr>
        <w:spacing w:after="0" w:line="20" w:lineRule="exact"/>
        <w:rPr>
          <w:sz w:val="20"/>
          <w:szCs w:val="20"/>
          <w:color w:val="auto"/>
        </w:rPr>
      </w:pPr>
    </w:p>
    <w:p>
      <w:pPr>
        <w:sectPr>
          <w:pgSz w:w="11900" w:h="16838" w:orient="portrait"/>
          <w:cols w:equalWidth="0" w:num="2">
            <w:col w:w="8040" w:space="720"/>
            <w:col w:w="266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46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171,432</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160,899</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494,796</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465,258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22,213</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16,527</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4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(574)</w:t>
            </w:r>
          </w:p>
        </w:tc>
        <w:tc>
          <w:tcPr>
            <w:tcW w:w="4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income per share</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Continuing operations</w:t>
            </w:r>
          </w:p>
        </w:tc>
        <w:tc>
          <w:tcPr>
            <w:tcW w:w="46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Discontinued operations</w:t>
            </w:r>
          </w:p>
        </w:tc>
        <w:tc>
          <w:tcPr>
            <w:tcW w:w="4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 income per share</w:t>
            </w: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Continuing operations</w:t>
            </w: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60" w:type="dxa"/>
            <w:vAlign w:val="bottom"/>
          </w:tcPr>
          <w:p>
            <w:pPr>
              <w:spacing w:after="0"/>
              <w:rPr>
                <w:sz w:val="21"/>
                <w:szCs w:val="21"/>
                <w:color w:val="auto"/>
              </w:rPr>
            </w:pP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Discontinued operations</w:t>
            </w:r>
          </w:p>
        </w:tc>
        <w:tc>
          <w:tcPr>
            <w:tcW w:w="4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vMerge w:val="continue"/>
          </w:tcPr>
          <w:p>
            <w:pPr>
              <w:spacing w:after="0"/>
              <w:rPr>
                <w:sz w:val="20"/>
                <w:szCs w:val="20"/>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0" w:firstLine="484"/>
        <w:spacing w:after="0" w:line="258" w:lineRule="auto"/>
        <w:rPr>
          <w:sz w:val="20"/>
          <w:szCs w:val="20"/>
          <w:color w:val="auto"/>
        </w:rPr>
      </w:pPr>
      <w:r>
        <w:rPr>
          <w:rFonts w:ascii="Times New Roman" w:cs="Times New Roman" w:eastAsia="Times New Roman" w:hAnsi="Times New Roman"/>
          <w:sz w:val="18"/>
          <w:szCs w:val="18"/>
          <w:color w:val="auto"/>
        </w:rPr>
        <w:t>The pro forma disclosures in the table above include adjustments for amortization of intangible assets, tax expense and acquisition costs to reflect results that are more representative of the combined results of the transactions as if Alliance, VIP, Ambercare and Arcadia had been acquired effective January 1, 2018.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goodwill activity for the nine months ended September 30, 2019 is provided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right"/>
              <w:ind w:right="620"/>
              <w:spacing w:after="0" w:line="131" w:lineRule="exact"/>
              <w:rPr>
                <w:sz w:val="20"/>
                <w:szCs w:val="20"/>
                <w:color w:val="auto"/>
              </w:rPr>
            </w:pPr>
            <w:r>
              <w:rPr>
                <w:rFonts w:ascii="Times New Roman" w:cs="Times New Roman" w:eastAsia="Times New Roman" w:hAnsi="Times New Roman"/>
                <w:sz w:val="14"/>
                <w:szCs w:val="14"/>
                <w:b w:val="1"/>
                <w:bCs w:val="1"/>
                <w:color w:val="auto"/>
              </w:rPr>
              <w:t>Personal</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vMerge w:val="restart"/>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Hospice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jc w:val="center"/>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Home</w:t>
            </w:r>
          </w:p>
        </w:tc>
        <w:tc>
          <w:tcPr>
            <w:tcW w:w="320" w:type="dxa"/>
            <w:vAlign w:val="bottom"/>
          </w:tcPr>
          <w:p>
            <w:pPr>
              <w:spacing w:after="0"/>
              <w:rPr>
                <w:sz w:val="11"/>
                <w:szCs w:val="11"/>
                <w:color w:val="auto"/>
              </w:rPr>
            </w:pPr>
          </w:p>
        </w:tc>
        <w:tc>
          <w:tcPr>
            <w:tcW w:w="12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Care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Health</w:t>
            </w:r>
          </w:p>
        </w:tc>
        <w:tc>
          <w:tcPr>
            <w:tcW w:w="3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3100" w:type="dxa"/>
            <w:vAlign w:val="bottom"/>
            <w:tcBorders>
              <w:top w:val="single" w:sz="8" w:color="auto"/>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as of December 31, 2018</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112,377</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6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acquisitions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previously recorded goodwill</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Goodwill as of September 30, 2019</w:t>
            </w: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35,261</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firstLine="484"/>
        <w:spacing w:after="0" w:line="256" w:lineRule="auto"/>
        <w:rPr>
          <w:sz w:val="20"/>
          <w:szCs w:val="20"/>
          <w:color w:val="auto"/>
        </w:rPr>
      </w:pPr>
      <w:r>
        <w:rPr>
          <w:rFonts w:ascii="Times New Roman" w:cs="Times New Roman" w:eastAsia="Times New Roman" w:hAnsi="Times New Roman"/>
          <w:sz w:val="18"/>
          <w:szCs w:val="18"/>
          <w:color w:val="auto"/>
        </w:rPr>
        <w:t>The Company’s identifiable intangible assets consist of customer and referral relationships, trade names, trademarks and non-competition agreements. Amortization is computed using straight-line and accelerated methods based upon the estimated useful lives of the respective assets, which range from three to twenty-five years. Goodwill and certain state licenses are not amortized pursuant to ASC Topic 350. The Company recognized goodwill in the personal care segment of $10.4 million related to the acquisition of VIP during the nine months ended September 30, 2019. In connection with the acquisition of Alliance on August 1, 2019, the Company recognized goodwill in the personal care, hospice and home health segments of $2.1 million, $13.0 million and $0.9 million, respectively.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amount and accumulated amortization of each identifiable intangible asset category consisted of the following as of September 30,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Trade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0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 referral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names 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competition</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gridSpan w:val="5"/>
          </w:tcPr>
          <w:p>
            <w:pPr>
              <w:jc w:val="center"/>
              <w:ind w:right="50"/>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8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carrying amount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(12,246)</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(2,063)</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(49,836)</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 at September 30, 2019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firstLine="484"/>
        <w:spacing w:after="0" w:line="257" w:lineRule="auto"/>
        <w:rPr>
          <w:sz w:val="20"/>
          <w:szCs w:val="20"/>
          <w:color w:val="auto"/>
        </w:rPr>
      </w:pPr>
      <w:r>
        <w:rPr>
          <w:rFonts w:ascii="Times New Roman" w:cs="Times New Roman" w:eastAsia="Times New Roman" w:hAnsi="Times New Roman"/>
          <w:sz w:val="18"/>
          <w:szCs w:val="18"/>
          <w:color w:val="auto"/>
        </w:rPr>
        <w:t>During the nine months ended September 30, 2019, the Company acquired state licenses and customer relationships of $10.7 million and $4.7 million, respectively, related to the acquisition of VIP and state licenses of $5.4 million related to the acquisition of Alliance. Amortization expense related to the identifiable intangible assets amounted to $1.8 million and $4.4 million for the three and nine months ended September 30, 2019, respectively, and</w:t>
      </w:r>
    </w:p>
    <w:p>
      <w:pPr>
        <w:spacing w:after="0" w:line="2"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8"/>
          <w:szCs w:val="18"/>
          <w:color w:val="auto"/>
        </w:rPr>
        <w:t>$1.9 million and $4.9 million for the three and nine months ended September 30, 2018, respectively. The weighted average remaining lives of identifiable intangible assets as of September 30, 2019 is 7.8 years.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Details of Certain Balance Sheet Accounts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6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gridSpan w:val="5"/>
          </w:tcPr>
          <w:p>
            <w:pPr>
              <w:jc w:val="right"/>
              <w:ind w:right="994"/>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Workers’ compensation insurance receivable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Prepaid workers’ compensation and liability insurance</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 insurance receivable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6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gridSpan w:val="5"/>
          </w:tcPr>
          <w:p>
            <w:pPr>
              <w:jc w:val="right"/>
              <w:ind w:right="994"/>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Accrued health insurance</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taxes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6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gridSpan w:val="5"/>
          </w:tcPr>
          <w:p>
            <w:pPr>
              <w:jc w:val="right"/>
              <w:ind w:right="994"/>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loan under the credit facility</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43,458</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Term loan under the credit facility</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60,218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Amendment to Amended and Restated Senior Secured Credit Facility</w:t>
      </w:r>
    </w:p>
    <w:p>
      <w:pPr>
        <w:spacing w:after="0" w:line="94" w:lineRule="exact"/>
        <w:rPr>
          <w:sz w:val="20"/>
          <w:szCs w:val="20"/>
          <w:color w:val="auto"/>
        </w:rPr>
      </w:pPr>
    </w:p>
    <w:p>
      <w:pPr>
        <w:ind w:right="40" w:firstLine="484"/>
        <w:spacing w:after="0" w:line="266" w:lineRule="auto"/>
        <w:rPr>
          <w:sz w:val="20"/>
          <w:szCs w:val="20"/>
          <w:color w:val="auto"/>
        </w:rPr>
      </w:pPr>
      <w:r>
        <w:rPr>
          <w:rFonts w:ascii="Times New Roman" w:cs="Times New Roman" w:eastAsia="Times New Roman" w:hAnsi="Times New Roman"/>
          <w:sz w:val="18"/>
          <w:szCs w:val="18"/>
          <w:color w:val="auto"/>
        </w:rPr>
        <w:t>On September 12, 2019, the Company entered into a First Amendment (the “Amendment”) to its Credit Agreement (as defined below), with certain lenders and Capital One, National Association, as a lender and as agent for all lenders, which amended the Company’s Credit Agreement, dated as of October 31, 2018.</w:t>
      </w:r>
    </w:p>
    <w:p>
      <w:pPr>
        <w:spacing w:after="0" w:line="122" w:lineRule="exact"/>
        <w:rPr>
          <w:sz w:val="20"/>
          <w:szCs w:val="20"/>
          <w:color w:val="auto"/>
        </w:rPr>
      </w:pPr>
    </w:p>
    <w:p>
      <w:pPr>
        <w:ind w:firstLine="484"/>
        <w:spacing w:after="0" w:line="261" w:lineRule="auto"/>
        <w:rPr>
          <w:sz w:val="20"/>
          <w:szCs w:val="20"/>
          <w:color w:val="auto"/>
        </w:rPr>
      </w:pPr>
      <w:r>
        <w:rPr>
          <w:rFonts w:ascii="Times New Roman" w:cs="Times New Roman" w:eastAsia="Times New Roman" w:hAnsi="Times New Roman"/>
          <w:sz w:val="18"/>
          <w:szCs w:val="18"/>
          <w:color w:val="auto"/>
        </w:rPr>
        <w:t>The Amendment increased the Company’s amended and restated credit facility by $50.0 million in incremental revolving loans, for an aggregate $300.0 million in revolving loans. The Amendment provides that future incremental loans may be for term loans or an increase to the revolving loan commitments. The Amendment further provides that the proceeds of the incremental revolving loan commitments may be used for, among other things, general corporate purposes. In connection with the modification of this Amendment, the Company incurred approximately $0.4 million of debt issuance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Senior Secured Credit Facility</w:t>
      </w:r>
    </w:p>
    <w:p>
      <w:pPr>
        <w:spacing w:after="0" w:line="81" w:lineRule="exact"/>
        <w:rPr>
          <w:sz w:val="20"/>
          <w:szCs w:val="20"/>
          <w:color w:val="auto"/>
        </w:rPr>
      </w:pPr>
    </w:p>
    <w:p>
      <w:pPr>
        <w:ind w:right="40" w:firstLine="484"/>
        <w:spacing w:after="0" w:line="252" w:lineRule="auto"/>
        <w:rPr>
          <w:sz w:val="20"/>
          <w:szCs w:val="20"/>
          <w:color w:val="auto"/>
        </w:rPr>
      </w:pPr>
      <w:r>
        <w:rPr>
          <w:rFonts w:ascii="Times New Roman" w:cs="Times New Roman" w:eastAsia="Times New Roman" w:hAnsi="Times New Roman"/>
          <w:sz w:val="18"/>
          <w:szCs w:val="18"/>
          <w:color w:val="auto"/>
        </w:rPr>
        <w:t>On October 31, 2018, the Company amended and restated its Existing Credit Agreement, as hereinafter defined (as amended by the Amendment, the “Credit Agreement,” and together with the Existing Credit Agreement, the Company’s “amended and restated credit facility” or “credit facility”) with certain lenders and Capital One, National Association as a lender and swing line lender and as agent for all lenders. This amended and restated credit facility totals $269.6 million, inclusive of a $250.0 million revolving loan and a $19.6 million delayed draw term loan, and is evidenced by the Credit Agreement. This amended and restated credit facility amended and restated the Company’s existing senior secured credit facility totaling $250.0 million. The maturity of this amended and restated credit facility is May 8, 2023, with borrowing under the delayed draw term loan available until June 30, 2019, as extended pursuant to the consent letter, dated January 30, 2019, executed by the Required Lenders (as defined in the Credit Agreement). Interest on the Company’s amended and restated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amended and restated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 In connection with this amended and restated credit facility, the Company incurred approximately $0.9 million of debt issuance costs.</w:t>
      </w:r>
    </w:p>
    <w:p>
      <w:pPr>
        <w:spacing w:after="0" w:line="141" w:lineRule="exact"/>
        <w:rPr>
          <w:sz w:val="20"/>
          <w:szCs w:val="20"/>
          <w:color w:val="auto"/>
        </w:rPr>
      </w:pPr>
    </w:p>
    <w:p>
      <w:pPr>
        <w:ind w:right="180" w:firstLine="484"/>
        <w:spacing w:after="0" w:line="258" w:lineRule="auto"/>
        <w:rPr>
          <w:sz w:val="20"/>
          <w:szCs w:val="20"/>
          <w:color w:val="auto"/>
        </w:rPr>
      </w:pPr>
      <w:r>
        <w:rPr>
          <w:rFonts w:ascii="Times New Roman" w:cs="Times New Roman" w:eastAsia="Times New Roman" w:hAnsi="Times New Roman"/>
          <w:sz w:val="18"/>
          <w:szCs w:val="18"/>
          <w:color w:val="auto"/>
        </w:rPr>
        <w:t>Addus HealthCare, Inc. (“Addus HealthCare”) is the borrower, and its parent, Holdings, and substantially all of Holdings’ subsidiaries are guarantors under this amended and restated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w:t>
      </w:r>
    </w:p>
    <w:p>
      <w:pPr>
        <w:spacing w:after="0" w:line="130" w:lineRule="exact"/>
        <w:rPr>
          <w:sz w:val="20"/>
          <w:szCs w:val="20"/>
          <w:color w:val="auto"/>
        </w:rPr>
      </w:pPr>
    </w:p>
    <w:p>
      <w:pPr>
        <w:ind w:right="60" w:firstLine="484"/>
        <w:spacing w:after="0" w:line="282" w:lineRule="auto"/>
        <w:rPr>
          <w:sz w:val="20"/>
          <w:szCs w:val="20"/>
          <w:color w:val="auto"/>
        </w:rPr>
      </w:pPr>
      <w:r>
        <w:rPr>
          <w:rFonts w:ascii="Times New Roman" w:cs="Times New Roman" w:eastAsia="Times New Roman" w:hAnsi="Times New Roman"/>
          <w:sz w:val="18"/>
          <w:szCs w:val="18"/>
          <w:color w:val="auto"/>
        </w:rPr>
        <w:t>The Company pays a fee ranging from 0.20% to 0.35% based on the applicable senior net leverage ratio times the unused portion of the revolving loan portion of the amended and restated credit facility.</w:t>
      </w:r>
    </w:p>
    <w:p>
      <w:pPr>
        <w:spacing w:after="0" w:line="108" w:lineRule="exact"/>
        <w:rPr>
          <w:sz w:val="20"/>
          <w:szCs w:val="20"/>
          <w:color w:val="auto"/>
        </w:rPr>
      </w:pPr>
    </w:p>
    <w:p>
      <w:pPr>
        <w:ind w:right="240" w:firstLine="484"/>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the Company in an amount that does not exceed</w:t>
      </w:r>
    </w:p>
    <w:p>
      <w:pPr>
        <w:ind w:right="40"/>
        <w:spacing w:after="0" w:line="254" w:lineRule="auto"/>
        <w:rPr>
          <w:sz w:val="20"/>
          <w:szCs w:val="20"/>
          <w:color w:val="auto"/>
        </w:rPr>
      </w:pPr>
      <w:r>
        <w:rPr>
          <w:rFonts w:ascii="Times New Roman" w:cs="Times New Roman" w:eastAsia="Times New Roman" w:hAnsi="Times New Roman"/>
          <w:sz w:val="18"/>
          <w:szCs w:val="18"/>
          <w:color w:val="auto"/>
        </w:rPr>
        <w:t>$7.5 million in any year absent of an event of default, plus limited exceptions for tax and administrative distributions), a restriction on the ability to consummate acquisitions (without the consent of the lenders) under the Company’s credit facility subject to compliance with the Total Net Leverage Ratio (as defined in the Credit Agreement), restrictions on mergers, dispositions of assets, and affiliate transactions, and restrictions on fundamental changes and lines of business. At September 30, 2019, the Company was in compliance with its covenants under the Credit Agreement.</w:t>
      </w:r>
    </w:p>
    <w:p>
      <w:pPr>
        <w:spacing w:after="0" w:line="145" w:lineRule="exact"/>
        <w:rPr>
          <w:sz w:val="20"/>
          <w:szCs w:val="20"/>
          <w:color w:val="auto"/>
        </w:rPr>
      </w:pPr>
    </w:p>
    <w:p>
      <w:pPr>
        <w:ind w:right="180" w:firstLine="484"/>
        <w:spacing w:after="0" w:line="266" w:lineRule="auto"/>
        <w:rPr>
          <w:sz w:val="20"/>
          <w:szCs w:val="20"/>
          <w:color w:val="auto"/>
        </w:rPr>
      </w:pPr>
      <w:r>
        <w:rPr>
          <w:rFonts w:ascii="Times New Roman" w:cs="Times New Roman" w:eastAsia="Times New Roman" w:hAnsi="Times New Roman"/>
          <w:sz w:val="18"/>
          <w:szCs w:val="18"/>
          <w:color w:val="auto"/>
        </w:rPr>
        <w:t>The Company drew approximately $23.5 million on the revolver portion of its credit facility to fund, in part, the purchase price for the Alliance acquisition on August 1, 2019. Additionally, the Company drew $19.6 million under the delayed draw term loan portion of its credit facility to fund, in part, the acquisition of VIP on June 1, 2019.</w:t>
      </w:r>
    </w:p>
    <w:p>
      <w:pPr>
        <w:spacing w:after="0" w:line="122" w:lineRule="exact"/>
        <w:rPr>
          <w:sz w:val="20"/>
          <w:szCs w:val="20"/>
          <w:color w:val="auto"/>
        </w:rPr>
      </w:pPr>
    </w:p>
    <w:p>
      <w:pPr>
        <w:ind w:right="640" w:firstLine="484"/>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a total of $43.5 million of revolving loans outstanding with an interest rate of 3.85% and the total availability under the revolving loan facility was $134.1 million. The interest rate on the term loan was 3.86% at September 30, 2019.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91" w:lineRule="exact"/>
        <w:rPr>
          <w:sz w:val="20"/>
          <w:szCs w:val="20"/>
          <w:color w:val="auto"/>
        </w:rPr>
      </w:pPr>
    </w:p>
    <w:p>
      <w:pPr>
        <w:ind w:right="660" w:firstLine="484"/>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had a total of $20.0 million of revolving loans outstanding with an interest rate of 4.35% and the total availability under the revolving loan facility was $142.9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Facility</w:t>
      </w:r>
    </w:p>
    <w:p>
      <w:pPr>
        <w:spacing w:after="0" w:line="79" w:lineRule="exact"/>
        <w:rPr>
          <w:sz w:val="20"/>
          <w:szCs w:val="20"/>
          <w:color w:val="auto"/>
        </w:rPr>
      </w:pPr>
    </w:p>
    <w:p>
      <w:pPr>
        <w:ind w:right="40" w:firstLine="484"/>
        <w:spacing w:after="0" w:line="256" w:lineRule="auto"/>
        <w:rPr>
          <w:sz w:val="20"/>
          <w:szCs w:val="20"/>
          <w:color w:val="auto"/>
        </w:rPr>
      </w:pPr>
      <w:r>
        <w:rPr>
          <w:rFonts w:ascii="Times New Roman" w:cs="Times New Roman" w:eastAsia="Times New Roman" w:hAnsi="Times New Roman"/>
          <w:sz w:val="18"/>
          <w:szCs w:val="18"/>
          <w:color w:val="auto"/>
        </w:rPr>
        <w:t>Prior to October 31, 2018, the Company was a party to a credit agreement (the “Existing Credit Agreement”) with certain lenders and Capital One, National Association, as a lender and swing lender and as agent for all lenders. This credit facility totaled $250.0 million, replaced the Company’s previous senior secured credit facility totaling $125.0 million (“Terminated Senior Secured Credit Facility”), and terminated the Second Amended and Restated Credit and Guaranty Agreement, dated as of November 10, 2015, as modified by the May 24, 2016 amendment (as amended, the “Terminated Senior Secured Credit Agreement”), between the Company, certain lenders and Fifth Third Bank, as agent, which evidenced the Terminated Senior Secured Credit Facility. The credit facility included a $125.0 million revolving loan, a $45.0 million term loan and an $80.0 million delayed draw term loan.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81" w:lineRule="exact"/>
        <w:rPr>
          <w:sz w:val="20"/>
          <w:szCs w:val="20"/>
          <w:color w:val="auto"/>
        </w:rPr>
      </w:pPr>
    </w:p>
    <w:p>
      <w:pPr>
        <w:ind w:firstLine="484"/>
        <w:spacing w:after="0" w:line="261" w:lineRule="auto"/>
        <w:rPr>
          <w:sz w:val="20"/>
          <w:szCs w:val="20"/>
          <w:color w:val="auto"/>
        </w:rPr>
      </w:pPr>
      <w:r>
        <w:rPr>
          <w:rFonts w:ascii="Times New Roman" w:cs="Times New Roman" w:eastAsia="Times New Roman" w:hAnsi="Times New Roman"/>
          <w:sz w:val="18"/>
          <w:szCs w:val="18"/>
          <w:color w:val="auto"/>
        </w:rPr>
        <w:t>The effective income tax rate from continuing operations was 24.4% and 20.3% for the three months ended September 30, 2019 and 2018, respectively, and 21.6% and 20.4% for the nine months ended September 30, 2019 and 2018, respectively. The difference between the federal statutory rate and effective income tax rates is principally due to the inclusion of state taxes and non-deductible compensation, offset by an excess tax benefit and the use of federal employment tax credits.</w:t>
      </w:r>
    </w:p>
    <w:p>
      <w:pPr>
        <w:spacing w:after="0" w:line="190" w:lineRule="exact"/>
        <w:rPr>
          <w:sz w:val="20"/>
          <w:szCs w:val="20"/>
          <w:color w:val="auto"/>
        </w:rPr>
      </w:pPr>
    </w:p>
    <w:p>
      <w:pPr>
        <w:ind w:right="8600" w:firstLine="8"/>
        <w:spacing w:after="0" w:line="338" w:lineRule="auto"/>
        <w:tabs>
          <w:tab w:leader="none" w:pos="27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Legal Proceedings</w:t>
      </w:r>
    </w:p>
    <w:p>
      <w:pPr>
        <w:spacing w:after="0" w:line="2" w:lineRule="exact"/>
        <w:rPr>
          <w:sz w:val="20"/>
          <w:szCs w:val="20"/>
          <w:color w:val="auto"/>
        </w:rPr>
      </w:pPr>
    </w:p>
    <w:p>
      <w:pPr>
        <w:ind w:firstLine="484"/>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subject to legal and/or administrative proceedings incidental to its business. It is the opinion of management that the outcome of pending legal and/or administrative proceedings will not have a material effect on the Condensed Consolidated Balance Sheets and Condensed Consolidated Statements of Income.</w:t>
      </w:r>
    </w:p>
    <w:p>
      <w:pPr>
        <w:spacing w:after="0" w:line="122" w:lineRule="exact"/>
        <w:rPr>
          <w:sz w:val="20"/>
          <w:szCs w:val="20"/>
          <w:color w:val="auto"/>
        </w:rPr>
      </w:pPr>
    </w:p>
    <w:p>
      <w:pPr>
        <w:ind w:firstLine="484"/>
        <w:spacing w:after="0" w:line="252" w:lineRule="auto"/>
        <w:rPr>
          <w:sz w:val="20"/>
          <w:szCs w:val="20"/>
          <w:color w:val="auto"/>
        </w:rPr>
      </w:pPr>
      <w:r>
        <w:rPr>
          <w:rFonts w:ascii="Times New Roman" w:cs="Times New Roman" w:eastAsia="Times New Roman" w:hAnsi="Times New Roman"/>
          <w:sz w:val="18"/>
          <w:szCs w:val="18"/>
          <w:color w:val="auto"/>
        </w:rPr>
        <w:t>On January 20, 2016, the Company was served with a lawsuit filed in the United States District Court for the Northern District of Illinois against the Company and Cigna Corporation by Stop Illinois Marketing Fraud, LLC, a qui tam relator formed for the purpose of bringing this action. In the action, the plaintiff alleged, inter alia, violations of the federal False Claims Act relating primarily to allegations of violations of the federal Anti-Kickback Statute and allegedly improper referrals of patients from the Company’s home care division to the Company’s home health business, substantially all of which was sold in 2013. The plaintiff sought to recover damages, fees and costs under the federal False Claims Act including treble damages, civil penalties and its attorneys’ fees. The U.S. government declined to intervene. Plaintiff amended its complaint on April 4, 2016 to include additional allegations in support of its False Claims Act claims, including alleged violations of the federal Anti-Kickback Statute. The Company and Cigna Corporation filed a motion to dismiss the amended complaint on June 6, 2016. On February 3, 2017, the Court granted Cigna Corporation’s motion to dismiss in full, and granted the Company’s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the Company filed a partial motion to dismiss the Second Amended Complaint. On May 24, 2017, the State of Illinois filed notice that it was declining to intervene in the plaintiff’s claim under the Illinois False Claims Act. On March 21, 2018, the Court granted the Company’s motion to dismiss the Second Amended Complaint in part and narrowed the lawsuit to whether the federal False Claims Act was violated with respect to home health services provided at three senior living facilities in Illinois. On September 24, 2019, the parties reached an agreement to settle this lawsuit. In connection with the settlement, the Company recognized an expense of $0.6 million in discontinued operations for the three months ended September 30, 2019. The lawsuit was dismissed in full on October 15, 2019.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94" w:lineRule="exact"/>
        <w:rPr>
          <w:sz w:val="20"/>
          <w:szCs w:val="20"/>
          <w:color w:val="auto"/>
        </w:rPr>
      </w:pPr>
    </w:p>
    <w:p>
      <w:pPr>
        <w:ind w:right="40" w:firstLine="484"/>
        <w:spacing w:after="0" w:line="253" w:lineRule="auto"/>
        <w:rPr>
          <w:sz w:val="20"/>
          <w:szCs w:val="20"/>
          <w:color w:val="auto"/>
        </w:rPr>
      </w:pPr>
      <w:r>
        <w:rPr>
          <w:rFonts w:ascii="Times New Roman" w:cs="Times New Roman" w:eastAsia="Times New Roman" w:hAnsi="Times New Roman"/>
          <w:sz w:val="18"/>
          <w:szCs w:val="18"/>
          <w:color w:val="auto"/>
        </w:rPr>
        <w:t>During 2017, the Company entered into employment agreements with certain members of senior management. The terms of these agreements are up to four years with the potential to auto-renew and include non-compete, non-solicitation and nondisclosure provisions, as well as provide for defined severance payments in the event of termination. On November 5, 2018 we amended and restated the employment agreements of each of the Company’s named executive officers in order to: (i) increase the amount of severance that would be payable on certain terminations of employment in connection with a change in control (as defined in the employment agreements), from two times annual compensation to three times annual compensation (as defined in the employment agreements) in the case of the Company’s chief executive officer, and from one times annual compensation to two times annual compensation (as defined in the employment agreements) in the case of the Company’s other named executive officers; (ii) provide that the enhanced severance for terminations of employment in connection with a change in control would be payable if the named executive officers self-terminated for good reason (as defined in the employment agreements); (iii) stipulate that severance for terminations of employment in connection with a change in control would include any unpaid bonus for a performance period completed prior to termination (the chief executive officer already had this right); and (iv) adjust the duration of non-competition and non-solicitation periods to match the number of years of annual compensation that the named executive officer would receive in severance.</w:t>
      </w:r>
    </w:p>
    <w:p>
      <w:pPr>
        <w:spacing w:after="0" w:line="137" w:lineRule="exact"/>
        <w:rPr>
          <w:sz w:val="20"/>
          <w:szCs w:val="20"/>
          <w:color w:val="auto"/>
        </w:rPr>
      </w:pPr>
    </w:p>
    <w:p>
      <w:pPr>
        <w:ind w:right="160" w:firstLine="484"/>
        <w:spacing w:after="0" w:line="261" w:lineRule="auto"/>
        <w:rPr>
          <w:sz w:val="20"/>
          <w:szCs w:val="20"/>
          <w:color w:val="auto"/>
        </w:rPr>
      </w:pPr>
      <w:r>
        <w:rPr>
          <w:rFonts w:ascii="Times New Roman" w:cs="Times New Roman" w:eastAsia="Times New Roman" w:hAnsi="Times New Roman"/>
          <w:sz w:val="18"/>
          <w:szCs w:val="18"/>
          <w:color w:val="auto"/>
        </w:rPr>
        <w:t>A substantial percentage of the Company’s workforce is represented by the Service Employees International Union (“SEIU”) through local collective bargaining agreements. These agreements are re-negotiated at various intervals. These negotiations are often initiated when the Company receives increases in hourly reimbursement rates from various state agencies. Upon expiration of these collective bargaining agreements, the Company may not be able to negotiate labor agreements on satisfactory terms with these labor unions.</w:t>
      </w:r>
    </w:p>
    <w:p>
      <w:pPr>
        <w:sectPr>
          <w:pgSz w:w="11900" w:h="16838" w:orient="portrait"/>
          <w:cols w:equalWidth="0" w:num="1">
            <w:col w:w="11420"/>
          </w:cols>
          <w:pgMar w:left="240" w:top="117" w:right="2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94" w:lineRule="exact"/>
        <w:rPr>
          <w:sz w:val="20"/>
          <w:szCs w:val="20"/>
          <w:color w:val="auto"/>
        </w:rPr>
      </w:pPr>
    </w:p>
    <w:p>
      <w:pPr>
        <w:ind w:right="140" w:firstLine="484"/>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 distinct but related business segments providing in-home services.</w:t>
      </w:r>
    </w:p>
    <w:p>
      <w:pPr>
        <w:spacing w:after="0" w:line="126" w:lineRule="exact"/>
        <w:rPr>
          <w:sz w:val="20"/>
          <w:szCs w:val="20"/>
          <w:color w:val="auto"/>
        </w:rPr>
      </w:pPr>
    </w:p>
    <w:p>
      <w:pPr>
        <w:ind w:right="60" w:firstLine="484"/>
        <w:spacing w:after="0" w:line="258" w:lineRule="auto"/>
        <w:rPr>
          <w:sz w:val="20"/>
          <w:szCs w:val="20"/>
          <w:color w:val="auto"/>
        </w:rPr>
      </w:pPr>
      <w:r>
        <w:rPr>
          <w:rFonts w:ascii="Times New Roman" w:cs="Times New Roman" w:eastAsia="Times New Roman" w:hAnsi="Times New Roman"/>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30" w:lineRule="exact"/>
        <w:rPr>
          <w:sz w:val="20"/>
          <w:szCs w:val="20"/>
          <w:color w:val="auto"/>
        </w:rPr>
      </w:pPr>
    </w:p>
    <w:p>
      <w:pPr>
        <w:ind w:right="180" w:firstLine="484"/>
        <w:spacing w:after="0" w:line="266" w:lineRule="auto"/>
        <w:rPr>
          <w:sz w:val="20"/>
          <w:szCs w:val="20"/>
          <w:color w:val="auto"/>
        </w:rPr>
      </w:pPr>
      <w:r>
        <w:rPr>
          <w:rFonts w:ascii="Times New Roman" w:cs="Times New Roman" w:eastAsia="Times New Roman" w:hAnsi="Times New Roman"/>
          <w:sz w:val="18"/>
          <w:szCs w:val="18"/>
          <w:color w:val="auto"/>
        </w:rPr>
        <w:t>The tables below set forth information about the Company’s reportable segments for the three and nine months ended September 30, 2019 and 2018 along with the items necessary to reconcile the segment information to the totals reported in the accompanying condensed consolidated financial statements. Segment assets are not reviewed by the company’s chief operating decision maker function and therefore are not disclosed below.</w:t>
      </w:r>
    </w:p>
    <w:p>
      <w:pPr>
        <w:spacing w:after="0" w:line="122" w:lineRule="exact"/>
        <w:rPr>
          <w:sz w:val="20"/>
          <w:szCs w:val="20"/>
          <w:color w:val="auto"/>
        </w:rPr>
      </w:pPr>
    </w:p>
    <w:p>
      <w:pPr>
        <w:ind w:right="260" w:firstLine="484"/>
        <w:spacing w:after="0" w:line="261" w:lineRule="auto"/>
        <w:rPr>
          <w:sz w:val="20"/>
          <w:szCs w:val="20"/>
          <w:color w:val="auto"/>
        </w:rPr>
      </w:pPr>
      <w:r>
        <w:rPr>
          <w:rFonts w:ascii="Times New Roman" w:cs="Times New Roman" w:eastAsia="Times New Roman" w:hAnsi="Times New Roman"/>
          <w:sz w:val="18"/>
          <w:szCs w:val="18"/>
          <w:color w:val="auto"/>
        </w:rPr>
        <w:t>Segment operating income consists of the net service revenues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revenues disaggregated by revenue source.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10"/>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2019</w:t>
            </w: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6"/>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Personal Care</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Hospice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left="136"/>
              <w:spacing w:after="0" w:line="155" w:lineRule="exact"/>
              <w:rPr>
                <w:sz w:val="20"/>
                <w:szCs w:val="20"/>
                <w:color w:val="auto"/>
              </w:rPr>
            </w:pPr>
            <w:r>
              <w:rPr>
                <w:rFonts w:ascii="Times New Roman" w:cs="Times New Roman" w:eastAsia="Times New Roman" w:hAnsi="Times New Roman"/>
                <w:sz w:val="14"/>
                <w:szCs w:val="14"/>
                <w:b w:val="1"/>
                <w:bCs w:val="1"/>
                <w:color w:val="auto"/>
                <w:w w:val="95"/>
              </w:rPr>
              <w:t>Home Health</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154,563</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4,366</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services revenues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115,504</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2,818</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123,817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1,548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15,602</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23,457</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27,716</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0"/>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2018</w:t>
            </w: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6"/>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Personal Care</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Hospice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5"/>
          </w:tcPr>
          <w:p>
            <w:pPr>
              <w:jc w:val="center"/>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Home Health</w:t>
            </w:r>
          </w:p>
        </w:tc>
        <w:tc>
          <w:tcPr>
            <w:tcW w:w="200" w:type="dxa"/>
            <w:vAlign w:val="bottom"/>
          </w:tcPr>
          <w:p>
            <w:pPr>
              <w:spacing w:after="0"/>
              <w:rPr>
                <w:sz w:val="13"/>
                <w:szCs w:val="13"/>
                <w:color w:val="auto"/>
              </w:rPr>
            </w:pPr>
          </w:p>
        </w:tc>
        <w:tc>
          <w:tcPr>
            <w:tcW w:w="1440" w:type="dxa"/>
            <w:vAlign w:val="bottom"/>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128,179</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2,421</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137,716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services revenues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95,428</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1,721</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22,257</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24,217</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20" w:type="dxa"/>
            <w:vAlign w:val="bottom"/>
            <w:gridSpan w:val="1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9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Reconciliation:</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98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27,716</w:t>
            </w:r>
          </w:p>
        </w:tc>
        <w:tc>
          <w:tcPr>
            <w:tcW w:w="34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Items not allocated at segment level:</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8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3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9"/>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For the Nine Months Ended September 30, 2019</w:t>
            </w: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(Amounts in Thousands)</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Personal Care</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8"/>
              <w:spacing w:after="0" w:line="155" w:lineRule="exact"/>
              <w:rPr>
                <w:sz w:val="20"/>
                <w:szCs w:val="20"/>
                <w:color w:val="auto"/>
              </w:rPr>
            </w:pPr>
            <w:r>
              <w:rPr>
                <w:rFonts w:ascii="Times New Roman" w:cs="Times New Roman" w:eastAsia="Times New Roman" w:hAnsi="Times New Roman"/>
                <w:sz w:val="14"/>
                <w:szCs w:val="14"/>
                <w:b w:val="1"/>
                <w:bCs w:val="1"/>
                <w:color w:val="auto"/>
              </w:rPr>
              <w:t>Hospice</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Home Health</w:t>
            </w: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421,458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services revenues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314,329</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6,803</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107,129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3,260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41,373</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2,187</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65,756</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1,073</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9"/>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For the Nine Months Ended September 30, 2018</w:t>
            </w: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(Amounts in Thousands)</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Personal Care</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8"/>
              <w:spacing w:after="0" w:line="155" w:lineRule="exact"/>
              <w:rPr>
                <w:sz w:val="20"/>
                <w:szCs w:val="20"/>
                <w:color w:val="auto"/>
              </w:rPr>
            </w:pPr>
            <w:r>
              <w:rPr>
                <w:rFonts w:ascii="Times New Roman" w:cs="Times New Roman" w:eastAsia="Times New Roman" w:hAnsi="Times New Roman"/>
                <w:sz w:val="14"/>
                <w:szCs w:val="14"/>
                <w:b w:val="1"/>
                <w:bCs w:val="1"/>
                <w:color w:val="auto"/>
              </w:rPr>
              <w:t>Hospice</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Home Health</w:t>
            </w: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362,740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3,944</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services revenues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268,815</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2,819</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93,925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1,125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29,283</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64,642</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gridSpan w:val="10"/>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Borders>
              <w:top w:val="single" w:sz="8" w:color="auto"/>
              <w:bottom w:val="single" w:sz="8" w:color="auto"/>
            </w:tcBorders>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9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380" w:type="dxa"/>
            <w:vAlign w:val="bottom"/>
            <w:tcBorders>
              <w:bottom w:val="single" w:sz="8" w:color="CFF0FC"/>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Reconciliation:</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75,508</w:t>
            </w:r>
          </w:p>
        </w:tc>
        <w:tc>
          <w:tcPr>
            <w:tcW w:w="34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Items not allocated at segment level:</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46,907</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(1,096)</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20,168</w:t>
            </w:r>
          </w:p>
        </w:tc>
        <w:tc>
          <w:tcPr>
            <w:tcW w:w="3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Significant Payors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and nine months ended September 30, 2019 and 2018, the Company’s revenue disaggregated by payor type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Personal Care</w:t>
            </w: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gridSpan w:val="8"/>
          </w:tcPr>
          <w:p>
            <w:pPr>
              <w:jc w:val="right"/>
              <w:ind w:right="580"/>
              <w:spacing w:after="0" w:line="155" w:lineRule="exact"/>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920" w:type="dxa"/>
            <w:vAlign w:val="bottom"/>
            <w:tcBorders>
              <w:bottom w:val="single" w:sz="8" w:color="auto"/>
            </w:tcBorders>
            <w:gridSpan w:val="9"/>
          </w:tcPr>
          <w:p>
            <w:pPr>
              <w:jc w:val="right"/>
              <w:ind w:right="639"/>
              <w:spacing w:after="0" w:line="155" w:lineRule="exact"/>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9"/>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Segment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2640" w:type="dxa"/>
            <w:vAlign w:val="bottom"/>
          </w:tcPr>
          <w:p>
            <w:pPr>
              <w:spacing w:after="0"/>
              <w:rPr>
                <w:sz w:val="14"/>
                <w:szCs w:val="14"/>
                <w:color w:val="auto"/>
              </w:rPr>
            </w:pP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Revenues</w:t>
            </w:r>
          </w:p>
        </w:tc>
        <w:tc>
          <w:tcPr>
            <w:tcW w:w="1400" w:type="dxa"/>
            <w:vAlign w:val="bottom"/>
            <w:gridSpan w:val="4"/>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w w:val="95"/>
              </w:rPr>
              <w:t>(in Thousands)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34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(in Thousands)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360" w:type="dxa"/>
            <w:vAlign w:val="bottom"/>
          </w:tcPr>
          <w:p>
            <w:pPr>
              <w:spacing w:after="0"/>
              <w:rPr>
                <w:sz w:val="14"/>
                <w:szCs w:val="14"/>
                <w:color w:val="auto"/>
              </w:rPr>
            </w:pPr>
          </w:p>
        </w:tc>
        <w:tc>
          <w:tcPr>
            <w:tcW w:w="11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(in Thousands)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Revenues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264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State, local and other governmental</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programs</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75,569</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73,691</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222,677</w:t>
            </w: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213,145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68,795</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45,271</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170,946</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pay</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Commercial insurance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5"/>
        </w:trPr>
        <w:tc>
          <w:tcPr>
            <w:tcW w:w="2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personal care segment net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154,563</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128,179</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421,458</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Hospice</w:t>
            </w: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56"/>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gridSpan w:val="8"/>
          </w:tcPr>
          <w:p>
            <w:pPr>
              <w:jc w:val="center"/>
              <w:ind w:right="82"/>
              <w:spacing w:after="0" w:line="155" w:lineRule="exact"/>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920" w:type="dxa"/>
            <w:vAlign w:val="bottom"/>
            <w:tcBorders>
              <w:bottom w:val="single" w:sz="8" w:color="auto"/>
            </w:tcBorders>
            <w:gridSpan w:val="8"/>
          </w:tcPr>
          <w:p>
            <w:pPr>
              <w:jc w:val="center"/>
              <w:ind w:right="81"/>
              <w:spacing w:after="0" w:line="155" w:lineRule="exact"/>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280" w:type="dxa"/>
            <w:vAlign w:val="bottom"/>
          </w:tcPr>
          <w:p>
            <w:pPr>
              <w:spacing w:after="0"/>
              <w:rPr>
                <w:sz w:val="13"/>
                <w:szCs w:val="13"/>
                <w:color w:val="auto"/>
              </w:rPr>
            </w:pPr>
          </w:p>
        </w:tc>
      </w:tr>
      <w:tr>
        <w:trPr>
          <w:trHeight w:val="156"/>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3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280" w:type="dxa"/>
            <w:vAlign w:val="bottom"/>
          </w:tcPr>
          <w:p>
            <w:pPr>
              <w:spacing w:after="0"/>
              <w:rPr>
                <w:sz w:val="12"/>
                <w:szCs w:val="12"/>
                <w:color w:val="auto"/>
              </w:rPr>
            </w:pPr>
          </w:p>
        </w:tc>
      </w:tr>
      <w:tr>
        <w:trPr>
          <w:trHeight w:val="14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Segment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280" w:type="dxa"/>
            <w:vAlign w:val="bottom"/>
          </w:tcPr>
          <w:p>
            <w:pPr>
              <w:spacing w:after="0"/>
              <w:rPr>
                <w:sz w:val="12"/>
                <w:szCs w:val="12"/>
                <w:color w:val="auto"/>
              </w:rPr>
            </w:pPr>
          </w:p>
        </w:tc>
      </w:tr>
      <w:tr>
        <w:trPr>
          <w:trHeight w:val="14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280" w:type="dxa"/>
            <w:vAlign w:val="bottom"/>
          </w:tcPr>
          <w:p>
            <w:pPr>
              <w:spacing w:after="0"/>
              <w:rPr>
                <w:sz w:val="12"/>
                <w:szCs w:val="12"/>
                <w:color w:val="auto"/>
              </w:rPr>
            </w:pPr>
          </w:p>
        </w:tc>
      </w:tr>
      <w:tr>
        <w:trPr>
          <w:trHeight w:val="165"/>
        </w:trPr>
        <w:tc>
          <w:tcPr>
            <w:tcW w:w="2580" w:type="dxa"/>
            <w:vAlign w:val="bottom"/>
          </w:tcPr>
          <w:p>
            <w:pPr>
              <w:spacing w:after="0"/>
              <w:rPr>
                <w:sz w:val="14"/>
                <w:szCs w:val="14"/>
                <w:color w:val="auto"/>
              </w:rPr>
            </w:pPr>
          </w:p>
        </w:tc>
        <w:tc>
          <w:tcPr>
            <w:tcW w:w="12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Revenues</w:t>
            </w:r>
          </w:p>
        </w:tc>
        <w:tc>
          <w:tcPr>
            <w:tcW w:w="1400" w:type="dxa"/>
            <w:vAlign w:val="bottom"/>
            <w:gridSpan w:val="4"/>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w w:val="95"/>
              </w:rPr>
              <w:t>(in Thousands)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34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(in Thousands)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36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(in Thousands)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Revenues</w:t>
            </w:r>
          </w:p>
        </w:tc>
        <w:tc>
          <w:tcPr>
            <w:tcW w:w="280" w:type="dxa"/>
            <w:vAlign w:val="bottom"/>
          </w:tcPr>
          <w:p>
            <w:pPr>
              <w:spacing w:after="0"/>
              <w:rPr>
                <w:sz w:val="14"/>
                <w:szCs w:val="14"/>
                <w:color w:val="auto"/>
              </w:rPr>
            </w:pP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Medicare</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1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36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34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25,243</w:t>
            </w:r>
          </w:p>
        </w:tc>
        <w:tc>
          <w:tcPr>
            <w:tcW w:w="1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36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19"/>
                <w:szCs w:val="19"/>
                <w:color w:val="auto"/>
              </w:rPr>
            </w:pPr>
          </w:p>
        </w:tc>
      </w:tr>
      <w:tr>
        <w:trPr>
          <w:trHeight w:val="230"/>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FF0FC"/>
          </w:tcPr>
          <w:p>
            <w:pPr>
              <w:spacing w:after="0"/>
              <w:rPr>
                <w:sz w:val="19"/>
                <w:szCs w:val="19"/>
                <w:color w:val="auto"/>
              </w:rPr>
            </w:pPr>
          </w:p>
        </w:tc>
      </w:tr>
      <w:tr>
        <w:trPr>
          <w:trHeight w:val="205"/>
        </w:trPr>
        <w:tc>
          <w:tcPr>
            <w:tcW w:w="2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hospice segment net service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27,228</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6"/>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Home Health</w:t>
            </w: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156"/>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gridSpan w:val="8"/>
          </w:tcPr>
          <w:p>
            <w:pPr>
              <w:jc w:val="center"/>
              <w:ind w:right="82"/>
              <w:spacing w:after="0" w:line="155" w:lineRule="exact"/>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920" w:type="dxa"/>
            <w:vAlign w:val="bottom"/>
            <w:tcBorders>
              <w:bottom w:val="single" w:sz="8" w:color="auto"/>
            </w:tcBorders>
            <w:gridSpan w:val="8"/>
          </w:tcPr>
          <w:p>
            <w:pPr>
              <w:jc w:val="center"/>
              <w:ind w:right="81"/>
              <w:spacing w:after="0" w:line="155" w:lineRule="exact"/>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280" w:type="dxa"/>
            <w:vAlign w:val="bottom"/>
          </w:tcPr>
          <w:p>
            <w:pPr>
              <w:spacing w:after="0"/>
              <w:rPr>
                <w:sz w:val="13"/>
                <w:szCs w:val="13"/>
                <w:color w:val="auto"/>
              </w:rPr>
            </w:pPr>
          </w:p>
        </w:tc>
      </w:tr>
      <w:tr>
        <w:trPr>
          <w:trHeight w:val="156"/>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3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280" w:type="dxa"/>
            <w:vAlign w:val="bottom"/>
          </w:tcPr>
          <w:p>
            <w:pPr>
              <w:spacing w:after="0"/>
              <w:rPr>
                <w:sz w:val="12"/>
                <w:szCs w:val="12"/>
                <w:color w:val="auto"/>
              </w:rPr>
            </w:pPr>
          </w:p>
        </w:tc>
      </w:tr>
      <w:tr>
        <w:trPr>
          <w:trHeight w:val="14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Segment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280" w:type="dxa"/>
            <w:vAlign w:val="bottom"/>
          </w:tcPr>
          <w:p>
            <w:pPr>
              <w:spacing w:after="0"/>
              <w:rPr>
                <w:sz w:val="12"/>
                <w:szCs w:val="12"/>
                <w:color w:val="auto"/>
              </w:rPr>
            </w:pPr>
          </w:p>
        </w:tc>
      </w:tr>
      <w:tr>
        <w:trPr>
          <w:trHeight w:val="14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280" w:type="dxa"/>
            <w:vAlign w:val="bottom"/>
          </w:tcPr>
          <w:p>
            <w:pPr>
              <w:spacing w:after="0"/>
              <w:rPr>
                <w:sz w:val="12"/>
                <w:szCs w:val="12"/>
                <w:color w:val="auto"/>
              </w:rPr>
            </w:pPr>
          </w:p>
        </w:tc>
      </w:tr>
      <w:tr>
        <w:trPr>
          <w:trHeight w:val="165"/>
        </w:trPr>
        <w:tc>
          <w:tcPr>
            <w:tcW w:w="2580" w:type="dxa"/>
            <w:vAlign w:val="bottom"/>
          </w:tcPr>
          <w:p>
            <w:pPr>
              <w:spacing w:after="0"/>
              <w:rPr>
                <w:sz w:val="14"/>
                <w:szCs w:val="14"/>
                <w:color w:val="auto"/>
              </w:rPr>
            </w:pPr>
          </w:p>
        </w:tc>
        <w:tc>
          <w:tcPr>
            <w:tcW w:w="12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Revenues</w:t>
            </w:r>
          </w:p>
        </w:tc>
        <w:tc>
          <w:tcPr>
            <w:tcW w:w="1400" w:type="dxa"/>
            <w:vAlign w:val="bottom"/>
            <w:gridSpan w:val="4"/>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w w:val="95"/>
              </w:rPr>
              <w:t>(in Thousands)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34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(in Thousands)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36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(in Thousands)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Revenues</w:t>
            </w:r>
          </w:p>
        </w:tc>
        <w:tc>
          <w:tcPr>
            <w:tcW w:w="280" w:type="dxa"/>
            <w:vAlign w:val="bottom"/>
          </w:tcPr>
          <w:p>
            <w:pPr>
              <w:spacing w:after="0"/>
              <w:rPr>
                <w:sz w:val="14"/>
                <w:szCs w:val="14"/>
                <w:color w:val="auto"/>
              </w:rPr>
            </w:pP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Medicare</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6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34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6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19"/>
                <w:szCs w:val="19"/>
                <w:color w:val="auto"/>
              </w:rPr>
            </w:pPr>
          </w:p>
        </w:tc>
      </w:tr>
      <w:tr>
        <w:trPr>
          <w:trHeight w:val="230"/>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shd w:val="clear" w:color="auto" w:fill="CFF0FC"/>
          </w:tcPr>
          <w:p>
            <w:pPr>
              <w:spacing w:after="0"/>
              <w:rPr>
                <w:sz w:val="19"/>
                <w:szCs w:val="19"/>
                <w:color w:val="auto"/>
              </w:rPr>
            </w:pPr>
          </w:p>
        </w:tc>
      </w:tr>
      <w:tr>
        <w:trPr>
          <w:trHeight w:val="205"/>
        </w:trPr>
        <w:tc>
          <w:tcPr>
            <w:tcW w:w="2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home health segment net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60" w:firstLine="484"/>
        <w:spacing w:after="0" w:line="282" w:lineRule="auto"/>
        <w:rPr>
          <w:sz w:val="20"/>
          <w:szCs w:val="20"/>
          <w:color w:val="auto"/>
        </w:rPr>
      </w:pPr>
      <w:r>
        <w:rPr>
          <w:rFonts w:ascii="Times New Roman" w:cs="Times New Roman" w:eastAsia="Times New Roman" w:hAnsi="Times New Roman"/>
          <w:sz w:val="18"/>
          <w:szCs w:val="18"/>
          <w:color w:val="auto"/>
        </w:rPr>
        <w:t>The percentages of segment revenue for each of the Company’s significant states for the three and nine months ended September 30, 2019 and 2018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Personal Care</w:t>
            </w: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56"/>
        </w:trPr>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14"/>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14"/>
          </w:tcPr>
          <w:p>
            <w:pPr>
              <w:jc w:val="cente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56"/>
        </w:trPr>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4"/>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31"/>
        </w:trPr>
        <w:tc>
          <w:tcPr>
            <w:tcW w:w="2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w w:val="99"/>
              </w:rPr>
              <w:t>% of Segment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tcPr>
          <w:p>
            <w:pPr>
              <w:jc w:val="center"/>
              <w:ind w:left="48"/>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80" w:type="dxa"/>
            <w:vAlign w:val="bottom"/>
          </w:tcPr>
          <w:p>
            <w:pPr>
              <w:spacing w:after="0"/>
              <w:rPr>
                <w:sz w:val="11"/>
                <w:szCs w:val="11"/>
                <w:color w:val="auto"/>
              </w:rPr>
            </w:pPr>
          </w:p>
        </w:tc>
      </w:tr>
      <w:tr>
        <w:trPr>
          <w:trHeight w:val="149"/>
        </w:trPr>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5"/>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280" w:type="dxa"/>
            <w:vAlign w:val="bottom"/>
          </w:tcPr>
          <w:p>
            <w:pPr>
              <w:spacing w:after="0"/>
              <w:rPr>
                <w:sz w:val="12"/>
                <w:szCs w:val="12"/>
                <w:color w:val="auto"/>
              </w:rPr>
            </w:pPr>
          </w:p>
        </w:tc>
      </w:tr>
      <w:tr>
        <w:trPr>
          <w:trHeight w:val="173"/>
        </w:trPr>
        <w:tc>
          <w:tcPr>
            <w:tcW w:w="2100" w:type="dxa"/>
            <w:vAlign w:val="bottom"/>
          </w:tcPr>
          <w:p>
            <w:pPr>
              <w:spacing w:after="0"/>
              <w:rPr>
                <w:sz w:val="15"/>
                <w:szCs w:val="15"/>
                <w:color w:val="auto"/>
              </w:rPr>
            </w:pPr>
          </w:p>
        </w:tc>
        <w:tc>
          <w:tcPr>
            <w:tcW w:w="9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w w:val="95"/>
              </w:rPr>
              <w:t>(in Thousands)</w:t>
            </w:r>
          </w:p>
        </w:tc>
        <w:tc>
          <w:tcPr>
            <w:tcW w:w="200" w:type="dxa"/>
            <w:vAlign w:val="bottom"/>
          </w:tcPr>
          <w:p>
            <w:pPr>
              <w:spacing w:after="0"/>
              <w:rPr>
                <w:sz w:val="15"/>
                <w:szCs w:val="15"/>
                <w:color w:val="auto"/>
              </w:rPr>
            </w:pPr>
          </w:p>
        </w:tc>
        <w:tc>
          <w:tcPr>
            <w:tcW w:w="9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15"/>
                <w:szCs w:val="15"/>
                <w:color w:val="auto"/>
              </w:rPr>
            </w:pPr>
          </w:p>
        </w:tc>
        <w:tc>
          <w:tcPr>
            <w:tcW w:w="12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5"/>
              </w:rPr>
              <w:t>(in Thousands)</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5"/>
                <w:szCs w:val="15"/>
                <w:color w:val="auto"/>
              </w:rPr>
            </w:pPr>
          </w:p>
        </w:tc>
        <w:tc>
          <w:tcPr>
            <w:tcW w:w="7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5"/>
                <w:szCs w:val="15"/>
                <w:color w:val="auto"/>
              </w:rPr>
            </w:pPr>
          </w:p>
        </w:tc>
      </w:tr>
      <w:tr>
        <w:trPr>
          <w:trHeight w:val="223"/>
        </w:trPr>
        <w:tc>
          <w:tcPr>
            <w:tcW w:w="2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61,958</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58,948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179,444</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174,591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75,746</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19"/>
                <w:szCs w:val="19"/>
                <w:color w:val="auto"/>
              </w:rPr>
            </w:pPr>
          </w:p>
        </w:tc>
      </w:tr>
      <w:tr>
        <w:trPr>
          <w:trHeight w:val="230"/>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Mexico</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55,006</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shd w:val="clear" w:color="auto" w:fill="CFF0FC"/>
          </w:tcPr>
          <w:p>
            <w:pPr>
              <w:spacing w:after="0"/>
              <w:rPr>
                <w:sz w:val="19"/>
                <w:szCs w:val="19"/>
                <w:color w:val="auto"/>
              </w:rPr>
            </w:pPr>
          </w:p>
        </w:tc>
      </w:tr>
      <w:tr>
        <w:trPr>
          <w:trHeight w:val="230"/>
        </w:trPr>
        <w:tc>
          <w:tcPr>
            <w:tcW w:w="2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 other states</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38,030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36,404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111,262</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97,556</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tcBorders>
              <w:bottom w:val="single" w:sz="8" w:color="CFF0FC"/>
            </w:tcBorders>
          </w:tcPr>
          <w:p>
            <w:pPr>
              <w:spacing w:after="0"/>
              <w:rPr>
                <w:sz w:val="19"/>
                <w:szCs w:val="19"/>
                <w:color w:val="auto"/>
              </w:rPr>
            </w:pPr>
          </w:p>
        </w:tc>
      </w:tr>
      <w:tr>
        <w:trPr>
          <w:trHeight w:val="205"/>
        </w:trPr>
        <w:tc>
          <w:tcPr>
            <w:tcW w:w="21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personal care segment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34"/>
        </w:trPr>
        <w:tc>
          <w:tcPr>
            <w:tcW w:w="2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service revenues</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154,563</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128,179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421,458</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362,740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r>
      <w:tr>
        <w:trPr>
          <w:trHeight w:val="426"/>
        </w:trPr>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Hospice</w:t>
            </w: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156"/>
        </w:trPr>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15"/>
          </w:tcPr>
          <w:p>
            <w:pPr>
              <w:jc w:val="center"/>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gridSpan w:val="15"/>
          </w:tcPr>
          <w:p>
            <w:pPr>
              <w:jc w:val="center"/>
              <w:ind w:right="608"/>
              <w:spacing w:after="0" w:line="155" w:lineRule="exact"/>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280" w:type="dxa"/>
            <w:vAlign w:val="bottom"/>
          </w:tcPr>
          <w:p>
            <w:pPr>
              <w:spacing w:after="0"/>
              <w:rPr>
                <w:sz w:val="13"/>
                <w:szCs w:val="13"/>
                <w:color w:val="auto"/>
              </w:rPr>
            </w:pPr>
          </w:p>
        </w:tc>
      </w:tr>
      <w:tr>
        <w:trPr>
          <w:trHeight w:val="156"/>
        </w:trPr>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4"/>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39"/>
        </w:trPr>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center"/>
              <w:ind w:left="161"/>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left="8"/>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280" w:type="dxa"/>
            <w:vAlign w:val="bottom"/>
          </w:tcPr>
          <w:p>
            <w:pPr>
              <w:spacing w:after="0"/>
              <w:rPr>
                <w:sz w:val="12"/>
                <w:szCs w:val="12"/>
                <w:color w:val="auto"/>
              </w:rPr>
            </w:pPr>
          </w:p>
        </w:tc>
      </w:tr>
      <w:tr>
        <w:trPr>
          <w:trHeight w:val="149"/>
        </w:trPr>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280" w:type="dxa"/>
            <w:vAlign w:val="bottom"/>
          </w:tcPr>
          <w:p>
            <w:pPr>
              <w:spacing w:after="0"/>
              <w:rPr>
                <w:sz w:val="12"/>
                <w:szCs w:val="12"/>
                <w:color w:val="auto"/>
              </w:rPr>
            </w:pPr>
          </w:p>
        </w:tc>
      </w:tr>
      <w:tr>
        <w:trPr>
          <w:trHeight w:val="149"/>
        </w:trPr>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5"/>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280" w:type="dxa"/>
            <w:vAlign w:val="bottom"/>
          </w:tcPr>
          <w:p>
            <w:pPr>
              <w:spacing w:after="0"/>
              <w:rPr>
                <w:sz w:val="12"/>
                <w:szCs w:val="12"/>
                <w:color w:val="auto"/>
              </w:rPr>
            </w:pPr>
          </w:p>
        </w:tc>
      </w:tr>
      <w:tr>
        <w:trPr>
          <w:trHeight w:val="165"/>
        </w:trPr>
        <w:tc>
          <w:tcPr>
            <w:tcW w:w="2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Revenues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5"/>
              </w:rPr>
              <w:t>(in Thousands)</w:t>
            </w:r>
          </w:p>
        </w:tc>
        <w:tc>
          <w:tcPr>
            <w:tcW w:w="220" w:type="dxa"/>
            <w:vAlign w:val="bottom"/>
          </w:tcPr>
          <w:p>
            <w:pPr>
              <w:spacing w:after="0"/>
              <w:rPr>
                <w:sz w:val="14"/>
                <w:szCs w:val="14"/>
                <w:color w:val="auto"/>
              </w:rPr>
            </w:pPr>
          </w:p>
        </w:tc>
        <w:tc>
          <w:tcPr>
            <w:tcW w:w="6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5"/>
              </w:rPr>
              <w:t>Revenues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5"/>
              </w:rPr>
              <w:t>(in Thousands)</w:t>
            </w: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Revenues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Revenues</w:t>
            </w:r>
          </w:p>
        </w:tc>
        <w:tc>
          <w:tcPr>
            <w:tcW w:w="280" w:type="dxa"/>
            <w:vAlign w:val="bottom"/>
          </w:tcPr>
          <w:p>
            <w:pPr>
              <w:spacing w:after="0"/>
              <w:rPr>
                <w:sz w:val="14"/>
                <w:szCs w:val="14"/>
                <w:color w:val="auto"/>
              </w:rPr>
            </w:pPr>
          </w:p>
        </w:tc>
      </w:tr>
      <w:tr>
        <w:trPr>
          <w:trHeight w:val="223"/>
        </w:trPr>
        <w:tc>
          <w:tcPr>
            <w:tcW w:w="2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Mexico</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7,116</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27,228</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258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Total hospice segment net service</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2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7,116</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27,228</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6"/>
        </w:trPr>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9"/>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Home Health</w:t>
            </w: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156"/>
        </w:trPr>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15"/>
          </w:tcPr>
          <w:p>
            <w:pPr>
              <w:jc w:val="center"/>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gridSpan w:val="15"/>
          </w:tcPr>
          <w:p>
            <w:pPr>
              <w:jc w:val="center"/>
              <w:ind w:right="608"/>
              <w:spacing w:after="0" w:line="155" w:lineRule="exact"/>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280" w:type="dxa"/>
            <w:vAlign w:val="bottom"/>
          </w:tcPr>
          <w:p>
            <w:pPr>
              <w:spacing w:after="0"/>
              <w:rPr>
                <w:sz w:val="13"/>
                <w:szCs w:val="13"/>
                <w:color w:val="auto"/>
              </w:rPr>
            </w:pPr>
          </w:p>
        </w:tc>
      </w:tr>
      <w:tr>
        <w:trPr>
          <w:trHeight w:val="156"/>
        </w:trPr>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4"/>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39"/>
        </w:trPr>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center"/>
              <w:ind w:left="161"/>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left="8"/>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280" w:type="dxa"/>
            <w:vAlign w:val="bottom"/>
          </w:tcPr>
          <w:p>
            <w:pPr>
              <w:spacing w:after="0"/>
              <w:rPr>
                <w:sz w:val="12"/>
                <w:szCs w:val="12"/>
                <w:color w:val="auto"/>
              </w:rPr>
            </w:pPr>
          </w:p>
        </w:tc>
      </w:tr>
      <w:tr>
        <w:trPr>
          <w:trHeight w:val="149"/>
        </w:trPr>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Segment</w:t>
            </w:r>
          </w:p>
        </w:tc>
        <w:tc>
          <w:tcPr>
            <w:tcW w:w="280" w:type="dxa"/>
            <w:vAlign w:val="bottom"/>
          </w:tcPr>
          <w:p>
            <w:pPr>
              <w:spacing w:after="0"/>
              <w:rPr>
                <w:sz w:val="12"/>
                <w:szCs w:val="12"/>
                <w:color w:val="auto"/>
              </w:rPr>
            </w:pPr>
          </w:p>
        </w:tc>
      </w:tr>
      <w:tr>
        <w:trPr>
          <w:trHeight w:val="149"/>
        </w:trPr>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5"/>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Net Service</w:t>
            </w:r>
          </w:p>
        </w:tc>
        <w:tc>
          <w:tcPr>
            <w:tcW w:w="280" w:type="dxa"/>
            <w:vAlign w:val="bottom"/>
          </w:tcPr>
          <w:p>
            <w:pPr>
              <w:spacing w:after="0"/>
              <w:rPr>
                <w:sz w:val="12"/>
                <w:szCs w:val="12"/>
                <w:color w:val="auto"/>
              </w:rPr>
            </w:pPr>
          </w:p>
        </w:tc>
      </w:tr>
      <w:tr>
        <w:trPr>
          <w:trHeight w:val="165"/>
        </w:trPr>
        <w:tc>
          <w:tcPr>
            <w:tcW w:w="2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Revenues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5"/>
              </w:rPr>
              <w:t>(in Thousands)</w:t>
            </w:r>
          </w:p>
        </w:tc>
        <w:tc>
          <w:tcPr>
            <w:tcW w:w="220" w:type="dxa"/>
            <w:vAlign w:val="bottom"/>
          </w:tcPr>
          <w:p>
            <w:pPr>
              <w:spacing w:after="0"/>
              <w:rPr>
                <w:sz w:val="14"/>
                <w:szCs w:val="14"/>
                <w:color w:val="auto"/>
              </w:rPr>
            </w:pPr>
          </w:p>
        </w:tc>
        <w:tc>
          <w:tcPr>
            <w:tcW w:w="6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5"/>
              </w:rPr>
              <w:t>Revenues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5"/>
              </w:rPr>
              <w:t>(in Thousands)</w:t>
            </w: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Revenues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Revenues</w:t>
            </w:r>
          </w:p>
        </w:tc>
        <w:tc>
          <w:tcPr>
            <w:tcW w:w="280" w:type="dxa"/>
            <w:vAlign w:val="bottom"/>
          </w:tcPr>
          <w:p>
            <w:pPr>
              <w:spacing w:after="0"/>
              <w:rPr>
                <w:sz w:val="14"/>
                <w:szCs w:val="14"/>
                <w:color w:val="auto"/>
              </w:rPr>
            </w:pPr>
          </w:p>
        </w:tc>
      </w:tr>
      <w:tr>
        <w:trPr>
          <w:trHeight w:val="223"/>
        </w:trPr>
        <w:tc>
          <w:tcPr>
            <w:tcW w:w="2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Mexico</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4,366</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2,421</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23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Total home health segment net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4,366</w:t>
            </w:r>
          </w:p>
        </w:tc>
        <w:tc>
          <w:tcPr>
            <w:tcW w:w="2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2,421</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17"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ind w:firstLine="484"/>
        <w:spacing w:after="0" w:line="255" w:lineRule="auto"/>
        <w:rPr>
          <w:sz w:val="20"/>
          <w:szCs w:val="20"/>
          <w:color w:val="auto"/>
        </w:rPr>
      </w:pPr>
      <w:r>
        <w:rPr>
          <w:rFonts w:ascii="Times New Roman" w:cs="Times New Roman" w:eastAsia="Times New Roman" w:hAnsi="Times New Roman"/>
          <w:sz w:val="18"/>
          <w:szCs w:val="18"/>
          <w:color w:val="auto"/>
        </w:rPr>
        <w:t>A substantial portion of the Company’s net service revenues and accounts receivable are derived from services performed for state and local governmental agencies. We derive a significant amount of our net service revenues in Illinois, which represented 36.5% and 42.8% of our total net service revenues for the three months ended September 30, 2019 and 2018, respectively, and accounted for 39.1% and 46.1% of our total net service revenues for the nine months ended September 30, 2019 and 2018, respectively. The Illinois Department on Aging, the largest payor program for the Company’s Illinois personal care operations, accounted for 22.0% and 29.5% of the Company’s net service revenues for the three months ended September 30, 2019 and 2018, respectively, and accounted for 25.9% and 31.8% of the Company’s net service revenues for the nine months ended September 30, 2019 and 2018, respectively.</w:t>
      </w:r>
    </w:p>
    <w:p>
      <w:pPr>
        <w:spacing w:after="0" w:line="135" w:lineRule="exact"/>
        <w:rPr>
          <w:sz w:val="20"/>
          <w:szCs w:val="20"/>
          <w:color w:val="auto"/>
        </w:rPr>
      </w:pPr>
    </w:p>
    <w:p>
      <w:pPr>
        <w:ind w:right="620" w:firstLine="484"/>
        <w:spacing w:after="0" w:line="282" w:lineRule="auto"/>
        <w:rPr>
          <w:sz w:val="20"/>
          <w:szCs w:val="20"/>
          <w:color w:val="auto"/>
        </w:rPr>
      </w:pPr>
      <w:r>
        <w:rPr>
          <w:rFonts w:ascii="Times New Roman" w:cs="Times New Roman" w:eastAsia="Times New Roman" w:hAnsi="Times New Roman"/>
          <w:sz w:val="18"/>
          <w:szCs w:val="18"/>
          <w:color w:val="auto"/>
        </w:rPr>
        <w:t>The related receivables due from the Illinois Department on Aging represented 18.9% and 22.5% of the Company’s net accounts receivable at September 30, 2019 and December 31, 2018,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94" w:lineRule="exact"/>
        <w:rPr>
          <w:sz w:val="20"/>
          <w:szCs w:val="20"/>
          <w:color w:val="auto"/>
        </w:rPr>
      </w:pPr>
    </w:p>
    <w:p>
      <w:pPr>
        <w:ind w:right="80" w:firstLine="484"/>
        <w:spacing w:after="0" w:line="258" w:lineRule="auto"/>
        <w:rPr>
          <w:sz w:val="20"/>
          <w:szCs w:val="20"/>
          <w:color w:val="auto"/>
        </w:rPr>
      </w:pPr>
      <w:r>
        <w:rPr>
          <w:rFonts w:ascii="Times New Roman" w:cs="Times New Roman" w:eastAsia="Times New Roman" w:hAnsi="Times New Roman"/>
          <w:sz w:val="18"/>
          <w:szCs w:val="18"/>
          <w:color w:val="auto"/>
        </w:rPr>
        <w:t>On October 1, 2019, the Company completed the acquisition of Hospice Partners for approximately $130.0 million, subject to customary adjustments for working capital and other items. The Company funded this acquisition with a portion of the net proceeds of the Company’s Public Offering. With the purchase of Hospice Partners, the Company expanded its hospice operations through 21 locations across Idaho, Kansas, Missouri, Oregon, Texas and Virginia. Hospice Partners also launched a palliative care program in Texas in 2018. The Company is currently assessing the fair value of identifiable net assets acquired.</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17" w:right="3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9" w:lineRule="exact"/>
        <w:rPr>
          <w:sz w:val="20"/>
          <w:szCs w:val="20"/>
          <w:color w:val="auto"/>
        </w:rPr>
      </w:pPr>
    </w:p>
    <w:p>
      <w:pPr>
        <w:ind w:right="20" w:firstLine="484"/>
        <w:spacing w:after="0" w:line="25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changes in operational and reimbursement processes and payment structures at the state or federal levels; changes in Medicaid, Medicare, other government program and managed care organizations policies and payment rates;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city and state minimum wage pressure, including any failure of Illinois or any other governmental entity to enact a minimum wage offset and/or the timing of any such enactment; changes in payments and covered services due to the overall economic conditions and deficit spending by federal and state governments; cost containment initiatives undertaken by state and other third-party payors; our ability to access financing through the capital and credit markets; our ability to meet debt service requirements and comply with covenants in debt agreements; business disruptions due to natural disasters or acts of terrorism; our ability to integrate and manage our information systems; our expectations regarding the size and growth of the market for our services; the acceptance of privatized social services; our expectations regarding changes in reimbursement rates; eligibility standards and limits on services imposed by state governmental agencies; the potential for litigation; discretionary determinations by government officials; our ability to successfully implement our business model to grow our business; our ability to continue identifying, pursuing and integrating acquisition opportunities and expand into new geographic markets; the impact of acquisitions and dispositions on our business, including the potential inability to realize the benefits of the acquisition of Hospice Partners; the potential impact of the discontinuation or modification of LIBOR; the effectiveness, quality and cost of our services; our ability to successfully execute our growth strategy; changes in tax rates; the impact of inclement weather or natural disasters; and various other matters, many of which are beyond our control. In addition, the risk factors set forth in Part I, Item 1A of our Annual Report on Form 10-K for the period ended December 31, 2018, filed on March 18, 2019, and Part II, Item 1A of this quarterly report on Form 10-Q, may result in these differences. You should carefully review all of these factors.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81" w:lineRule="exact"/>
        <w:rPr>
          <w:sz w:val="20"/>
          <w:szCs w:val="20"/>
          <w:color w:val="auto"/>
        </w:rPr>
      </w:pPr>
    </w:p>
    <w:p>
      <w:pPr>
        <w:ind w:right="120" w:firstLine="484"/>
        <w:spacing w:after="0" w:line="258" w:lineRule="auto"/>
        <w:rPr>
          <w:sz w:val="20"/>
          <w:szCs w:val="20"/>
          <w:color w:val="auto"/>
        </w:rPr>
      </w:pPr>
      <w:r>
        <w:rPr>
          <w:rFonts w:ascii="Times New Roman" w:cs="Times New Roman" w:eastAsia="Times New Roman" w:hAnsi="Times New Roman"/>
          <w:sz w:val="18"/>
          <w:szCs w:val="18"/>
          <w:color w:val="auto"/>
        </w:rPr>
        <w:t>We are a home care services provider operating in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41.4% and 33.3% of our revenue during the three months ended September 30, 2019 and 2018, respectively, and 38.0% and 33.8% of our revenue during the nine months ended September 30, 2019 and 2018, respectively.</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our financial results for the three and nine months ended September 30, 2019 and 2018 is provided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40" w:type="dxa"/>
            <w:vAlign w:val="bottom"/>
            <w:gridSpan w:val="5"/>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56"/>
        </w:trPr>
        <w:tc>
          <w:tcPr>
            <w:tcW w:w="3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7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3"/>
                <w:szCs w:val="13"/>
                <w:color w:val="auto"/>
              </w:rPr>
            </w:pPr>
          </w:p>
        </w:tc>
      </w:tr>
      <w:tr>
        <w:trPr>
          <w:trHeight w:val="156"/>
        </w:trPr>
        <w:tc>
          <w:tcPr>
            <w:tcW w:w="3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service revenues - continuing operations</w:t>
            </w:r>
          </w:p>
        </w:tc>
        <w:tc>
          <w:tcPr>
            <w:tcW w:w="1400" w:type="dxa"/>
            <w:vAlign w:val="bottom"/>
            <w:gridSpan w:val="2"/>
            <w:shd w:val="clear" w:color="auto" w:fill="CFF0FC"/>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137,716</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458,749</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378,449</w:t>
            </w:r>
          </w:p>
        </w:tc>
        <w:tc>
          <w:tcPr>
            <w:tcW w:w="12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12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(574)</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(574)</w:t>
            </w:r>
          </w:p>
        </w:tc>
        <w:tc>
          <w:tcPr>
            <w:tcW w:w="6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12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20" w:firstLine="484"/>
        <w:spacing w:after="0" w:line="266" w:lineRule="auto"/>
        <w:rPr>
          <w:sz w:val="20"/>
          <w:szCs w:val="20"/>
          <w:color w:val="auto"/>
        </w:rPr>
      </w:pPr>
      <w:r>
        <w:rPr>
          <w:rFonts w:ascii="Times New Roman" w:cs="Times New Roman" w:eastAsia="Times New Roman" w:hAnsi="Times New Roman"/>
          <w:sz w:val="18"/>
          <w:szCs w:val="18"/>
          <w:color w:val="auto"/>
        </w:rPr>
        <w:t>As of September 30, 2019, we provided our services in 24 states through 179 offices. For the nine months ended September 30, 2019 and 2018, we served approximately 57,000 and 55,000 discrete individuals, respectively. Our personal care segment also includes staffing services, with clients including assisted living facilities, nursing homes and hospice facilities.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94" w:lineRule="exact"/>
        <w:rPr>
          <w:sz w:val="20"/>
          <w:szCs w:val="20"/>
          <w:color w:val="auto"/>
        </w:rPr>
      </w:pPr>
    </w:p>
    <w:p>
      <w:pPr>
        <w:ind w:right="40" w:firstLine="484"/>
        <w:spacing w:after="0" w:line="282" w:lineRule="auto"/>
        <w:rPr>
          <w:sz w:val="20"/>
          <w:szCs w:val="20"/>
          <w:color w:val="auto"/>
        </w:rPr>
      </w:pPr>
      <w:r>
        <w:rPr>
          <w:rFonts w:ascii="Times New Roman" w:cs="Times New Roman" w:eastAsia="Times New Roman" w:hAnsi="Times New Roman"/>
          <w:sz w:val="18"/>
          <w:szCs w:val="18"/>
          <w:color w:val="auto"/>
        </w:rPr>
        <w:t>In addition to organic growth, we have grown through acquisitions that have expanded our presence in current markets or facilitated our entry into new markets where in-home care has been moving to managed care organizations.</w:t>
      </w:r>
    </w:p>
    <w:p>
      <w:pPr>
        <w:spacing w:after="0" w:line="108" w:lineRule="exact"/>
        <w:rPr>
          <w:sz w:val="20"/>
          <w:szCs w:val="20"/>
          <w:color w:val="auto"/>
        </w:rPr>
      </w:pPr>
    </w:p>
    <w:p>
      <w:pPr>
        <w:ind w:right="800" w:firstLine="484"/>
        <w:spacing w:after="0" w:line="282" w:lineRule="auto"/>
        <w:rPr>
          <w:sz w:val="20"/>
          <w:szCs w:val="20"/>
          <w:color w:val="auto"/>
        </w:rPr>
      </w:pPr>
      <w:r>
        <w:rPr>
          <w:rFonts w:ascii="Times New Roman" w:cs="Times New Roman" w:eastAsia="Times New Roman" w:hAnsi="Times New Roman"/>
          <w:sz w:val="18"/>
          <w:szCs w:val="18"/>
          <w:color w:val="auto"/>
        </w:rPr>
        <w:t>On January 1, 2018, we acquired certain assets of LifeStyle in order to expand private pay services in Illinois. The total consideration for the transaction was $4.1 million.</w:t>
      </w:r>
    </w:p>
    <w:p>
      <w:pPr>
        <w:sectPr>
          <w:pgSz w:w="11900" w:h="16838" w:orient="portrait"/>
          <w:cols w:equalWidth="0" w:num="1">
            <w:col w:w="11420"/>
          </w:cols>
          <w:pgMar w:left="240" w:top="117"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91" w:lineRule="exact"/>
        <w:rPr>
          <w:sz w:val="20"/>
          <w:szCs w:val="20"/>
          <w:color w:val="auto"/>
        </w:rPr>
      </w:pPr>
    </w:p>
    <w:p>
      <w:pPr>
        <w:ind w:right="260" w:firstLine="484"/>
        <w:spacing w:after="0" w:line="266" w:lineRule="auto"/>
        <w:rPr>
          <w:sz w:val="20"/>
          <w:szCs w:val="20"/>
          <w:color w:val="auto"/>
        </w:rPr>
      </w:pPr>
      <w:r>
        <w:rPr>
          <w:rFonts w:ascii="Times New Roman" w:cs="Times New Roman" w:eastAsia="Times New Roman" w:hAnsi="Times New Roman"/>
          <w:sz w:val="18"/>
          <w:szCs w:val="18"/>
          <w:color w:val="auto"/>
        </w:rPr>
        <w:t>On April 1, 2018, we completed the acquisition of certain assets of Arcadia for approximately $18.9 million. Arcadia provides home care services through 26 offices in 10 states. We funded this acquisition through the delayed draw term loan portion of our credit facility. In September 2018, we acquired certain affiliate branches of Arcadia for $0.6 million using cash on hand.</w:t>
      </w:r>
    </w:p>
    <w:p>
      <w:pPr>
        <w:spacing w:after="0" w:line="122" w:lineRule="exact"/>
        <w:rPr>
          <w:sz w:val="20"/>
          <w:szCs w:val="20"/>
          <w:color w:val="auto"/>
        </w:rPr>
      </w:pPr>
    </w:p>
    <w:p>
      <w:pPr>
        <w:ind w:right="380" w:firstLine="484"/>
        <w:spacing w:after="0" w:line="261" w:lineRule="auto"/>
        <w:rPr>
          <w:sz w:val="20"/>
          <w:szCs w:val="20"/>
          <w:color w:val="auto"/>
        </w:rPr>
      </w:pPr>
      <w:r>
        <w:rPr>
          <w:rFonts w:ascii="Times New Roman" w:cs="Times New Roman" w:eastAsia="Times New Roman" w:hAnsi="Times New Roman"/>
          <w:sz w:val="18"/>
          <w:szCs w:val="18"/>
          <w:color w:val="auto"/>
        </w:rPr>
        <w:t>On May 1, 2018, we completed the acquisition of all of the issued and outstanding stock of Ambercare for approximately $39.6 million plus the amount of excess cash held by Ambercare at closing (approximately $12.0 million). With the purchase of Ambercare, we expanded our personal care operations and entered into our hospice and home health operations in the state of New Mexico. We funded this acquisition through the delayed draw term loan portion of our credit facility.</w:t>
      </w:r>
    </w:p>
    <w:p>
      <w:pPr>
        <w:spacing w:after="0" w:line="126" w:lineRule="exact"/>
        <w:rPr>
          <w:sz w:val="20"/>
          <w:szCs w:val="20"/>
          <w:color w:val="auto"/>
        </w:rPr>
      </w:pPr>
    </w:p>
    <w:p>
      <w:pPr>
        <w:ind w:right="120" w:firstLine="484"/>
        <w:spacing w:after="0" w:line="266" w:lineRule="auto"/>
        <w:rPr>
          <w:sz w:val="20"/>
          <w:szCs w:val="20"/>
          <w:color w:val="auto"/>
        </w:rPr>
      </w:pPr>
      <w:r>
        <w:rPr>
          <w:rFonts w:ascii="Times New Roman" w:cs="Times New Roman" w:eastAsia="Times New Roman" w:hAnsi="Times New Roman"/>
          <w:sz w:val="18"/>
          <w:szCs w:val="18"/>
          <w:color w:val="auto"/>
        </w:rPr>
        <w:t>On June 1, 2019, we completed the acquisition of VIP for approximately $29.9 million. With the purchase of VIP, we expanded our personal care services in the state of New York and into the New York City metropolitan area. We funded this acquisition through the delayed draw term loan portion of our credit facility and cash on hand.</w:t>
      </w:r>
    </w:p>
    <w:p>
      <w:pPr>
        <w:spacing w:after="0" w:line="122" w:lineRule="exact"/>
        <w:rPr>
          <w:sz w:val="20"/>
          <w:szCs w:val="20"/>
          <w:color w:val="auto"/>
        </w:rPr>
      </w:pPr>
    </w:p>
    <w:p>
      <w:pPr>
        <w:ind w:right="120" w:firstLine="484"/>
        <w:spacing w:after="0" w:line="261" w:lineRule="auto"/>
        <w:rPr>
          <w:sz w:val="20"/>
          <w:szCs w:val="20"/>
          <w:color w:val="auto"/>
        </w:rPr>
      </w:pPr>
      <w:r>
        <w:rPr>
          <w:rFonts w:ascii="Times New Roman" w:cs="Times New Roman" w:eastAsia="Times New Roman" w:hAnsi="Times New Roman"/>
          <w:sz w:val="18"/>
          <w:szCs w:val="18"/>
          <w:color w:val="auto"/>
        </w:rPr>
        <w:t>On August 1, 2019, we completed the acquisition of Alliance for approximately $23.5 million. Additionally, we acquired the assets of Foremost Home Care (“Foremost”) for approximately $1.4 million. We funded these acquisitions through a combination of our revolving credit facility and available cash. With the purchase of Alliance, we expanded our personal care, home health and hospice operations in the state of New Mexico. The addition of Foremost will support our growth strategy in the New York City market area.</w:t>
      </w:r>
    </w:p>
    <w:p>
      <w:pPr>
        <w:spacing w:after="0" w:line="126" w:lineRule="exact"/>
        <w:rPr>
          <w:sz w:val="20"/>
          <w:szCs w:val="20"/>
          <w:color w:val="auto"/>
        </w:rPr>
      </w:pPr>
    </w:p>
    <w:p>
      <w:pPr>
        <w:ind w:right="280" w:firstLine="484"/>
        <w:spacing w:after="0" w:line="266" w:lineRule="auto"/>
        <w:rPr>
          <w:sz w:val="20"/>
          <w:szCs w:val="20"/>
          <w:color w:val="auto"/>
        </w:rPr>
      </w:pPr>
      <w:r>
        <w:rPr>
          <w:rFonts w:ascii="Times New Roman" w:cs="Times New Roman" w:eastAsia="Times New Roman" w:hAnsi="Times New Roman"/>
          <w:sz w:val="18"/>
          <w:szCs w:val="18"/>
          <w:color w:val="auto"/>
        </w:rPr>
        <w:t>On October 1, 2019, we completed the acquisition of Hospice Partners for approximately $130.0 million. We funded the acquisition with a portion of the net proceeds of our Public Offering. With the purchase of Hospice Partners, we expanded our hospice operations through 21 locations across Idaho, Kansas, Missouri, Oregon, Texas and Virginia. Hospice Partners also launched a palliative care program in Texas in 2018.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Payor</w:t>
      </w:r>
    </w:p>
    <w:p>
      <w:pPr>
        <w:spacing w:after="0" w:line="94" w:lineRule="exact"/>
        <w:rPr>
          <w:sz w:val="20"/>
          <w:szCs w:val="20"/>
          <w:color w:val="auto"/>
        </w:rPr>
      </w:pPr>
    </w:p>
    <w:p>
      <w:pPr>
        <w:ind w:right="220" w:firstLine="484"/>
        <w:spacing w:after="0" w:line="261" w:lineRule="auto"/>
        <w:rPr>
          <w:sz w:val="20"/>
          <w:szCs w:val="20"/>
          <w:color w:val="auto"/>
        </w:rPr>
      </w:pPr>
      <w:r>
        <w:rPr>
          <w:rFonts w:ascii="Times New Roman" w:cs="Times New Roman" w:eastAsia="Times New Roman" w:hAnsi="Times New Roman"/>
          <w:sz w:val="18"/>
          <w:szCs w:val="18"/>
          <w:color w:val="auto"/>
        </w:rPr>
        <w:t>Our payor clients are principally federal, state and local governmental agencies and managed care organizations. The federal, state and local programs under which the agencies operate are subject to legislative, budgetary and other risks that can influence reimbursement rates. We continue to experience a transition of business from government payors to managed care organizations, which we believe aligns with our emphasis on coordinated care and the reduction of the need for acute care.</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and nine months ended September 30, 2019 and 2018, our payor revenue and significant states by segment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Personal Care</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gridSpan w:val="1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14"/>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of Segment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of Segment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of Segment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of Segment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5"/>
                <w:szCs w:val="15"/>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120" w:type="dxa"/>
            <w:vAlign w:val="bottom"/>
            <w:tcBorders>
              <w:top w:val="single" w:sz="8" w:color="CFF0FC"/>
              <w:right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State, local and other</w:t>
            </w: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right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governmental programs</w:t>
            </w: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75,569</w:t>
            </w: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73,691</w:t>
            </w:r>
          </w:p>
        </w:tc>
        <w:tc>
          <w:tcPr>
            <w:tcW w:w="140" w:type="dxa"/>
            <w:vAlign w:val="bottom"/>
            <w:tcBorders>
              <w:right w:val="single" w:sz="8" w:color="CFF0FC"/>
            </w:tcBorders>
            <w:shd w:val="clear" w:color="auto" w:fill="CFF0FC"/>
          </w:tcPr>
          <w:p>
            <w:pPr>
              <w:spacing w:after="0"/>
              <w:rPr>
                <w:sz w:val="20"/>
                <w:szCs w:val="20"/>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8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222,677</w:t>
            </w: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213,145</w:t>
            </w:r>
          </w:p>
        </w:tc>
        <w:tc>
          <w:tcPr>
            <w:tcW w:w="120" w:type="dxa"/>
            <w:vAlign w:val="bottom"/>
            <w:tcBorders>
              <w:right w:val="single" w:sz="8" w:color="CFF0FC"/>
            </w:tcBorders>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68,795</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45,271</w:t>
            </w:r>
          </w:p>
        </w:tc>
        <w:tc>
          <w:tcPr>
            <w:tcW w:w="14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170,946</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126,809</w:t>
            </w:r>
          </w:p>
        </w:tc>
        <w:tc>
          <w:tcPr>
            <w:tcW w:w="12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pay</w:t>
            </w:r>
          </w:p>
        </w:tc>
        <w:tc>
          <w:tcPr>
            <w:tcW w:w="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5,750</w:t>
            </w: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5,549</w:t>
            </w:r>
          </w:p>
        </w:tc>
        <w:tc>
          <w:tcPr>
            <w:tcW w:w="140" w:type="dxa"/>
            <w:vAlign w:val="bottom"/>
            <w:tcBorders>
              <w:right w:val="single" w:sz="8" w:color="CFF0FC"/>
            </w:tcBorders>
            <w:shd w:val="clear" w:color="auto" w:fill="CFF0FC"/>
          </w:tcPr>
          <w:p>
            <w:pPr>
              <w:spacing w:after="0"/>
              <w:rPr>
                <w:sz w:val="23"/>
                <w:szCs w:val="23"/>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right w:val="single" w:sz="8" w:color="CFF0FC"/>
            </w:tcBorders>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14,861</w:t>
            </w:r>
          </w:p>
        </w:tc>
        <w:tc>
          <w:tcPr>
            <w:tcW w:w="120" w:type="dxa"/>
            <w:vAlign w:val="bottom"/>
            <w:tcBorders>
              <w:right w:val="single" w:sz="8" w:color="CFF0FC"/>
            </w:tcBorders>
            <w:shd w:val="clear" w:color="auto" w:fill="CFF0FC"/>
          </w:tcPr>
          <w:p>
            <w:pPr>
              <w:spacing w:after="0"/>
              <w:rPr>
                <w:sz w:val="23"/>
                <w:szCs w:val="23"/>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Commercial insurance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2,697</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1,869</w:t>
            </w:r>
          </w:p>
        </w:tc>
        <w:tc>
          <w:tcPr>
            <w:tcW w:w="14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4,271</w:t>
            </w:r>
          </w:p>
        </w:tc>
        <w:tc>
          <w:tcPr>
            <w:tcW w:w="12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1,752</w:t>
            </w: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1,799</w:t>
            </w:r>
          </w:p>
        </w:tc>
        <w:tc>
          <w:tcPr>
            <w:tcW w:w="140" w:type="dxa"/>
            <w:vAlign w:val="bottom"/>
            <w:tcBorders>
              <w:right w:val="single" w:sz="8" w:color="CFF0FC"/>
            </w:tcBorders>
            <w:shd w:val="clear" w:color="auto" w:fill="CFF0FC"/>
          </w:tcPr>
          <w:p>
            <w:pPr>
              <w:spacing w:after="0"/>
              <w:rPr>
                <w:sz w:val="22"/>
                <w:szCs w:val="22"/>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right w:val="single" w:sz="8" w:color="CFF0FC"/>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3,654</w:t>
            </w:r>
          </w:p>
        </w:tc>
        <w:tc>
          <w:tcPr>
            <w:tcW w:w="120" w:type="dxa"/>
            <w:vAlign w:val="bottom"/>
            <w:tcBorders>
              <w:right w:val="single" w:sz="8" w:color="CFF0FC"/>
            </w:tcBorders>
            <w:shd w:val="clear" w:color="auto" w:fill="CFF0FC"/>
          </w:tcPr>
          <w:p>
            <w:pPr>
              <w:spacing w:after="0"/>
              <w:rPr>
                <w:sz w:val="22"/>
                <w:szCs w:val="22"/>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1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personal care segment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service revenues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154,563</w:t>
            </w:r>
          </w:p>
        </w:tc>
        <w:tc>
          <w:tcPr>
            <w:tcW w:w="200" w:type="dxa"/>
            <w:vAlign w:val="bottom"/>
            <w:gridSpan w:val="2"/>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128,179</w:t>
            </w:r>
          </w:p>
        </w:tc>
        <w:tc>
          <w:tcPr>
            <w:tcW w:w="1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421,458</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362,740</w:t>
            </w:r>
          </w:p>
        </w:tc>
        <w:tc>
          <w:tcPr>
            <w:tcW w:w="1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Hospice</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gridSpan w:val="12"/>
          </w:tcPr>
          <w:p>
            <w:pPr>
              <w:jc w:val="center"/>
              <w:ind w:left="516"/>
              <w:spacing w:after="0" w:line="155" w:lineRule="exact"/>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12"/>
          </w:tcPr>
          <w:p>
            <w:pPr>
              <w:jc w:val="center"/>
              <w:ind w:left="536"/>
              <w:spacing w:after="0" w:line="155" w:lineRule="exact"/>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4"/>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4"/>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8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960" w:type="dxa"/>
            <w:vAlign w:val="bottom"/>
            <w:gridSpan w:val="3"/>
          </w:tcPr>
          <w:p>
            <w:pPr>
              <w:jc w:val="center"/>
              <w:ind w:left="12"/>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 of Segment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5"/>
                <w:szCs w:val="15"/>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5"/>
                <w:szCs w:val="15"/>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Pr>
          <w:p>
            <w:pPr>
              <w:spacing w:after="0"/>
              <w:rPr>
                <w:sz w:val="15"/>
                <w:szCs w:val="15"/>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Medicare</w:t>
            </w:r>
          </w:p>
        </w:tc>
        <w:tc>
          <w:tcPr>
            <w:tcW w:w="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right w:val="single" w:sz="8" w:color="CFF0FC"/>
            </w:tcBorders>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right w:val="single" w:sz="8" w:color="CFF0FC"/>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Managed care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organizations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1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hospice segment net</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10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2"/>
                <w:szCs w:val="22"/>
                <w:color w:val="auto"/>
              </w:rPr>
            </w:pPr>
          </w:p>
        </w:tc>
        <w:tc>
          <w:tcPr>
            <w:tcW w:w="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27,228</w:t>
            </w:r>
          </w:p>
        </w:tc>
        <w:tc>
          <w:tcPr>
            <w:tcW w:w="10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right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Mexico</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2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2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120" w:type="dxa"/>
            <w:vAlign w:val="bottom"/>
            <w:tcBorders>
              <w:right w:val="single" w:sz="8" w:color="CFF0FC"/>
            </w:tcBorders>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27,228</w:t>
            </w: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0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520"/>
          </w:cols>
          <w:pgMar w:left="240" w:top="117" w:right="139" w:bottom="1440" w:gutter="0" w:footer="0" w:header="0"/>
        </w:sect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117" w:right="1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Home Health</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gridSpan w:val="7"/>
          </w:tcPr>
          <w:p>
            <w:pPr>
              <w:jc w:val="center"/>
              <w:ind w:left="577"/>
              <w:spacing w:after="0" w:line="155" w:lineRule="exact"/>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8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7"/>
          </w:tcPr>
          <w:p>
            <w:pPr>
              <w:jc w:val="center"/>
              <w:ind w:left="597"/>
              <w:spacing w:after="0" w:line="155" w:lineRule="exact"/>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8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7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8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2"/>
          </w:tcPr>
          <w:p>
            <w:pPr>
              <w:jc w:val="center"/>
              <w:ind w:left="88"/>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ind w:left="114"/>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 of Segment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Medicare</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6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360" w:type="dxa"/>
            <w:vAlign w:val="bottom"/>
            <w:tcBorders>
              <w:top w:val="single" w:sz="8" w:color="CFF0FC"/>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6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Managed care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organizations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right w:val="single" w:sz="8" w:color="CFF0FC"/>
            </w:tcBorders>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right w:val="single" w:sz="8" w:color="CFF0FC"/>
            </w:tcBorders>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home health segment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Mexico</w:t>
            </w: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40" w:type="dxa"/>
            <w:vAlign w:val="bottom"/>
            <w:vMerge w:val="continue"/>
            <w:shd w:val="clear" w:color="auto" w:fill="CFF0FC"/>
          </w:tcPr>
          <w:p>
            <w:pPr>
              <w:spacing w:after="0"/>
              <w:rPr>
                <w:sz w:val="19"/>
                <w:szCs w:val="19"/>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40" w:type="dxa"/>
            <w:vAlign w:val="bottom"/>
            <w:tcBorders>
              <w:right w:val="single" w:sz="8" w:color="CFF0FC"/>
            </w:tcBorders>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20" w:type="dxa"/>
            <w:vAlign w:val="bottom"/>
            <w:tcBorders>
              <w:right w:val="single" w:sz="8" w:color="CFF0FC"/>
            </w:tcBorders>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Personal Care</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gridSpan w:val="7"/>
          </w:tcPr>
          <w:p>
            <w:pPr>
              <w:jc w:val="center"/>
              <w:ind w:left="577"/>
              <w:spacing w:after="0" w:line="155" w:lineRule="exact"/>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8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7"/>
          </w:tcPr>
          <w:p>
            <w:pPr>
              <w:jc w:val="center"/>
              <w:ind w:left="597"/>
              <w:spacing w:after="0" w:line="155" w:lineRule="exact"/>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8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7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8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2"/>
          </w:tcPr>
          <w:p>
            <w:pPr>
              <w:jc w:val="center"/>
              <w:ind w:left="88"/>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ind w:left="114"/>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 of Segment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61,958</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6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58,948</w:t>
            </w: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60" w:type="dxa"/>
            <w:vAlign w:val="bottom"/>
            <w:tcBorders>
              <w:top w:val="single" w:sz="8" w:color="CFF0FC"/>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179,444</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6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174,591</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47,999</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Mexico</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19,662</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16,013</w:t>
            </w:r>
          </w:p>
        </w:tc>
        <w:tc>
          <w:tcPr>
            <w:tcW w:w="240" w:type="dxa"/>
            <w:vAlign w:val="bottom"/>
            <w:tcBorders>
              <w:right w:val="single" w:sz="8" w:color="CFF0FC"/>
            </w:tcBorders>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55,006</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42,594</w:t>
            </w:r>
          </w:p>
        </w:tc>
        <w:tc>
          <w:tcPr>
            <w:tcW w:w="220" w:type="dxa"/>
            <w:vAlign w:val="bottom"/>
            <w:tcBorders>
              <w:right w:val="single" w:sz="8" w:color="CFF0FC"/>
            </w:tcBorders>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All other states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4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personal care</w:t>
            </w: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right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service revenues</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154,563</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128,179</w:t>
            </w:r>
          </w:p>
        </w:tc>
        <w:tc>
          <w:tcPr>
            <w:tcW w:w="240" w:type="dxa"/>
            <w:vAlign w:val="bottom"/>
            <w:tcBorders>
              <w:right w:val="single" w:sz="8" w:color="CFF0FC"/>
            </w:tcBorders>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421,458</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362,740</w:t>
            </w:r>
          </w:p>
        </w:tc>
        <w:tc>
          <w:tcPr>
            <w:tcW w:w="220" w:type="dxa"/>
            <w:vAlign w:val="bottom"/>
            <w:tcBorders>
              <w:right w:val="single" w:sz="8" w:color="CFF0FC"/>
            </w:tcBorders>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360" w:firstLine="484"/>
        <w:spacing w:after="0" w:line="266" w:lineRule="auto"/>
        <w:rPr>
          <w:sz w:val="20"/>
          <w:szCs w:val="20"/>
          <w:color w:val="auto"/>
        </w:rPr>
      </w:pPr>
      <w:r>
        <w:rPr>
          <w:rFonts w:ascii="Times New Roman" w:cs="Times New Roman" w:eastAsia="Times New Roman" w:hAnsi="Times New Roman"/>
          <w:sz w:val="18"/>
          <w:szCs w:val="18"/>
          <w:color w:val="auto"/>
        </w:rPr>
        <w:t>We derive a significant amount of our net service revenues in Illinois, which represented 36.5% and 42.8% of our total net service revenues for the three months ended September 30, 2019 and 2018, respectively, and accounted for 39.1% and 46.1% of our total net service revenues for the nine months ended September 30, 2019 and 2018, respectively.</w:t>
      </w:r>
    </w:p>
    <w:p>
      <w:pPr>
        <w:spacing w:after="0" w:line="122" w:lineRule="exact"/>
        <w:rPr>
          <w:sz w:val="20"/>
          <w:szCs w:val="20"/>
          <w:color w:val="auto"/>
        </w:rPr>
      </w:pPr>
    </w:p>
    <w:p>
      <w:pPr>
        <w:ind w:right="20" w:firstLine="484"/>
        <w:spacing w:after="0" w:line="266" w:lineRule="auto"/>
        <w:rPr>
          <w:sz w:val="20"/>
          <w:szCs w:val="20"/>
          <w:color w:val="auto"/>
        </w:rPr>
      </w:pPr>
      <w:r>
        <w:rPr>
          <w:rFonts w:ascii="Times New Roman" w:cs="Times New Roman" w:eastAsia="Times New Roman" w:hAnsi="Times New Roman"/>
          <w:sz w:val="18"/>
          <w:szCs w:val="18"/>
          <w:color w:val="auto"/>
        </w:rPr>
        <w:t>A significant amount of our net service revenues are derived from one payor client, the Illinois Department on Aging, which accounted for 22.0% and 29.5% of our total net service revenues for the three months ended September 30, 2019 and 2018, respectively, and accounted for 25.9% and 31.8% of our net service revenues for the nine months ended September 30, 2019 and 2018, respectively.</w:t>
      </w:r>
    </w:p>
    <w:p>
      <w:pPr>
        <w:spacing w:after="0" w:line="122" w:lineRule="exact"/>
        <w:rPr>
          <w:sz w:val="20"/>
          <w:szCs w:val="20"/>
          <w:color w:val="auto"/>
        </w:rPr>
      </w:pPr>
    </w:p>
    <w:p>
      <w:pPr>
        <w:ind w:right="80" w:firstLine="484"/>
        <w:spacing w:after="0" w:line="256" w:lineRule="auto"/>
        <w:rPr>
          <w:sz w:val="20"/>
          <w:szCs w:val="20"/>
          <w:color w:val="auto"/>
        </w:rPr>
      </w:pPr>
      <w:r>
        <w:rPr>
          <w:rFonts w:ascii="Times New Roman" w:cs="Times New Roman" w:eastAsia="Times New Roman" w:hAnsi="Times New Roman"/>
          <w:sz w:val="18"/>
          <w:szCs w:val="18"/>
          <w:color w:val="auto"/>
        </w:rPr>
        <w:t>The Illinois Department on Aging’s payments for non-Medicaid consumers have been delayed in the past and may continue to be delayed in the future due to budget disputes. The state of Illinois did not adopt comprehensive budgets for fiscal years 2016 or 2017, ending June 30, 2016 and June 30, 2017, respectively. On July 6, 2017, the state of Illinois passed a budget for the state fiscal year 2018, which began on July 1, 2017, authorizing the Illinois Department on Aging to pay for our services rendered to non-Medicaid consumers provided in prior fiscal years. On June 4, 2018, the state of Illinois passed a budget for state fiscal year 2019, which began on July 1, 2018. On June 6, 2019, the state of Illinois passed a budget for state fiscal year 2020, which began on July 1, 2019.</w:t>
      </w:r>
    </w:p>
    <w:p>
      <w:pPr>
        <w:spacing w:after="0" w:line="134" w:lineRule="exact"/>
        <w:rPr>
          <w:sz w:val="20"/>
          <w:szCs w:val="20"/>
          <w:color w:val="auto"/>
        </w:rPr>
      </w:pPr>
    </w:p>
    <w:p>
      <w:pPr>
        <w:ind w:right="20" w:firstLine="484"/>
        <w:spacing w:after="0" w:line="252" w:lineRule="auto"/>
        <w:rPr>
          <w:sz w:val="20"/>
          <w:szCs w:val="20"/>
          <w:color w:val="auto"/>
        </w:rPr>
      </w:pPr>
      <w:r>
        <w:rPr>
          <w:rFonts w:ascii="Times New Roman" w:cs="Times New Roman" w:eastAsia="Times New Roman" w:hAnsi="Times New Roman"/>
          <w:sz w:val="18"/>
          <w:szCs w:val="18"/>
          <w:color w:val="auto"/>
        </w:rPr>
        <w:t>We are subject to minimum wage laws and minimum wages have increased in many of the jurisdictions in which we operate. Since our operations are concentrated in Illinois, New York and New Mexico, we are particularly sensitive to changes in these states. For example, in 2014, the Chicago City Council passed an ordinance that raised the minimum wage for Chicago workers to $13 per hour on July 1, 2019, with increases adjusted to the Consumer Price Index in subsequent years. Since 2014, wage increases have only been partially offset by a reimbursement rate increase. In the budget process for the 2019 fiscal year, a proposed rate increase was not included in the final budget. In June of 2019, the State of Illinois finalized its fiscal year 2020 budget with the inclusion of an appropriation to raise in-home care rates to offset the costs of previous minimum wage increases by the Chicago City Council. The state of Illinois previously expected these two increases to have an effective date of September 1, 2019 and January 1, 2020 but is currently awaiting approval from the Centers for Medicare &amp; Medicaid Services (“CMS”) of a Medicaid waiver amendment submitted by the state with a proposed effective date of September 1, 2019. Approval from CMS is pending and can be granted retroactively to the proposed effective date, but there can be no assurances that such retroactivity will be granted. In the interim, the Illinois Department on Aging (“IDOA”), in conjunction with Illinois’ Health Care and Family Services, announced that the new rates would become effective retroactive to July 1, 2019 for services covered by the managed care organizations. While approximately one-third of our services in Illinois are covered by managed care organizations and thus will benefit from such retroactivity to July 1, 2019, a majority of our IDOA operations in Illinois are not covered by managed care organizations, and our financial performance is impacted in quarters for which an offsetting reimbursement rate increase is not in effect.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Changes in Medicare and Medicaid Reimbursement</w:t>
      </w:r>
    </w:p>
    <w:p>
      <w:pPr>
        <w:spacing w:after="0" w:line="94" w:lineRule="exact"/>
        <w:rPr>
          <w:sz w:val="20"/>
          <w:szCs w:val="20"/>
          <w:color w:val="auto"/>
        </w:rPr>
      </w:pPr>
    </w:p>
    <w:p>
      <w:pPr>
        <w:ind w:right="80" w:firstLine="484"/>
        <w:spacing w:after="0" w:line="258" w:lineRule="auto"/>
        <w:rPr>
          <w:sz w:val="20"/>
          <w:szCs w:val="20"/>
          <w:color w:val="auto"/>
        </w:rPr>
      </w:pPr>
      <w:r>
        <w:rPr>
          <w:rFonts w:ascii="Times New Roman" w:cs="Times New Roman" w:eastAsia="Times New Roman" w:hAnsi="Times New Roman"/>
          <w:sz w:val="18"/>
          <w:szCs w:val="18"/>
          <w:color w:val="auto"/>
        </w:rPr>
        <w:t>CMS has issued final rules and policy updates that allow Medicare Advantage insurers to offer beneficiaries more options and new types of benefits. Effective January 1, 2019, CMS expanded the scope of its “primarily health-related” supplemental benefit standard, permitting plans to cover a broader array of services that increase health and improve quality of life, including coverage of non-skilled in-home care. This policy change, emphasizing improving quality and reducing costs, aligns with our overall approach to care, and we believe the increased demand for personal care from the Medicare Advantage population represents a significant upside opportunity over the next three to five years.</w:t>
      </w:r>
    </w:p>
    <w:p>
      <w:pPr>
        <w:sectPr>
          <w:pgSz w:w="11900" w:h="16838" w:orient="portrait"/>
          <w:cols w:equalWidth="0" w:num="1">
            <w:col w:w="11420"/>
          </w:cols>
          <w:pgMar w:left="240" w:top="117"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91" w:lineRule="exact"/>
        <w:rPr>
          <w:sz w:val="20"/>
          <w:szCs w:val="20"/>
          <w:color w:val="auto"/>
        </w:rPr>
      </w:pPr>
    </w:p>
    <w:p>
      <w:pPr>
        <w:ind w:right="400" w:firstLine="484"/>
        <w:spacing w:after="0" w:line="261" w:lineRule="auto"/>
        <w:rPr>
          <w:sz w:val="20"/>
          <w:szCs w:val="20"/>
          <w:color w:val="auto"/>
        </w:rPr>
      </w:pPr>
      <w:r>
        <w:rPr>
          <w:rFonts w:ascii="Times New Roman" w:cs="Times New Roman" w:eastAsia="Times New Roman" w:hAnsi="Times New Roman"/>
          <w:sz w:val="18"/>
          <w:szCs w:val="18"/>
          <w:color w:val="auto"/>
        </w:rPr>
        <w:t>The Bipartisan Budget Act of 2018 requires CMS to use a 30-day episode of care and implement the Patient-Driven Groupings Model (“PDGM”) beginning January 1, 2020. In July 2019, CMS issued a proposed rule that would implement these policies, but that rule has not yet been finalized. The PDGM will replace the current case-mix system, which uses the number of visits to determine payment, and will classify patients based on clinical characteristics.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Statements of Income</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Service Revenues</w:t>
      </w:r>
    </w:p>
    <w:p>
      <w:pPr>
        <w:spacing w:after="0" w:line="81" w:lineRule="exact"/>
        <w:rPr>
          <w:sz w:val="20"/>
          <w:szCs w:val="20"/>
          <w:color w:val="auto"/>
        </w:rPr>
      </w:pPr>
    </w:p>
    <w:p>
      <w:pPr>
        <w:ind w:right="100" w:firstLine="484"/>
        <w:spacing w:after="0" w:line="258" w:lineRule="auto"/>
        <w:rPr>
          <w:sz w:val="20"/>
          <w:szCs w:val="20"/>
          <w:color w:val="auto"/>
        </w:rPr>
      </w:pPr>
      <w:r>
        <w:rPr>
          <w:rFonts w:ascii="Times New Roman" w:cs="Times New Roman" w:eastAsia="Times New Roman" w:hAnsi="Times New Roman"/>
          <w:sz w:val="18"/>
          <w:szCs w:val="18"/>
          <w:color w:val="auto"/>
        </w:rPr>
        <w:t>We generate net service revenues by providing our services directly to consumers and primarily on an hourly basis. We receive payment for providing such services from our payor clients, including federal, state and local governmental agencies, managed care organizations, commercial insurers and private consumers. Net service revenues are principally provided based on authorized hours, determined by the relevant agency, at an hourly rate which is either contractual or fixed by legislation and are recognized at the time services are rendered. We also record estimated implicit price concessions (based primarily on historical collection experience) related to uninsured accounts to record self-pay revenues at the estimated amounts we expect to collect.</w:t>
      </w:r>
    </w:p>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 Revenues</w:t>
      </w:r>
    </w:p>
    <w:p>
      <w:pPr>
        <w:spacing w:after="0" w:line="94" w:lineRule="exact"/>
        <w:rPr>
          <w:sz w:val="20"/>
          <w:szCs w:val="20"/>
          <w:color w:val="auto"/>
        </w:rPr>
      </w:pPr>
    </w:p>
    <w:p>
      <w:pPr>
        <w:ind w:right="120" w:firstLine="484"/>
        <w:spacing w:after="0" w:line="313" w:lineRule="auto"/>
        <w:rPr>
          <w:sz w:val="20"/>
          <w:szCs w:val="20"/>
          <w:color w:val="auto"/>
        </w:rPr>
      </w:pPr>
      <w:r>
        <w:rPr>
          <w:rFonts w:ascii="Times New Roman" w:cs="Times New Roman" w:eastAsia="Times New Roman" w:hAnsi="Times New Roman"/>
          <w:sz w:val="17"/>
          <w:szCs w:val="17"/>
          <w:color w:val="auto"/>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81" w:lineRule="exact"/>
        <w:rPr>
          <w:sz w:val="20"/>
          <w:szCs w:val="20"/>
          <w:color w:val="auto"/>
        </w:rPr>
      </w:pPr>
    </w:p>
    <w:p>
      <w:pPr>
        <w:ind w:right="20" w:firstLine="484"/>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from continuing operations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postage, telephone and office expenses. Our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terminated employees, termination of professional services relationships, other contract termination costs and asset write-offs are also included in general and administrative expenses.</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81" w:lineRule="exact"/>
        <w:rPr>
          <w:sz w:val="20"/>
          <w:szCs w:val="20"/>
          <w:color w:val="auto"/>
        </w:rPr>
      </w:pPr>
    </w:p>
    <w:p>
      <w:pPr>
        <w:jc w:val="both"/>
        <w:ind w:right="180" w:firstLine="484"/>
        <w:spacing w:after="0" w:line="261" w:lineRule="auto"/>
        <w:rPr>
          <w:sz w:val="20"/>
          <w:szCs w:val="20"/>
          <w:color w:val="auto"/>
        </w:rPr>
      </w:pPr>
      <w:r>
        <w:rPr>
          <w:rFonts w:ascii="Times New Roman" w:cs="Times New Roman" w:eastAsia="Times New Roman" w:hAnsi="Times New Roman"/>
          <w:sz w:val="18"/>
          <w:szCs w:val="18"/>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non-compete agreements, principally using accelerated methods based upon their estimated useful lives.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94" w:lineRule="exact"/>
        <w:rPr>
          <w:sz w:val="20"/>
          <w:szCs w:val="20"/>
          <w:color w:val="auto"/>
        </w:rPr>
      </w:pPr>
    </w:p>
    <w:p>
      <w:pPr>
        <w:ind w:firstLine="484"/>
        <w:spacing w:after="0" w:line="258" w:lineRule="auto"/>
        <w:rPr>
          <w:sz w:val="20"/>
          <w:szCs w:val="20"/>
          <w:color w:val="auto"/>
        </w:rPr>
      </w:pPr>
      <w:r>
        <w:rPr>
          <w:rFonts w:ascii="Times New Roman" w:cs="Times New Roman" w:eastAsia="Times New Roman" w:hAnsi="Times New Roman"/>
          <w:sz w:val="18"/>
          <w:szCs w:val="18"/>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three months ended September 30, 2019, we received $0.5 million in prompt payment interest. For the three months ended September 30, 2018, we did not receive any prompt payment interest. For the nine months ended September 30, 2019 and 2018, we received $0.6 million and $2.3 million, respectively, in prompt payment interest.</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81" w:lineRule="exact"/>
        <w:rPr>
          <w:sz w:val="20"/>
          <w:szCs w:val="20"/>
          <w:color w:val="auto"/>
        </w:rPr>
      </w:pPr>
    </w:p>
    <w:p>
      <w:pPr>
        <w:ind w:right="180" w:firstLine="484"/>
        <w:spacing w:after="0" w:line="282" w:lineRule="auto"/>
        <w:rPr>
          <w:sz w:val="20"/>
          <w:szCs w:val="20"/>
          <w:color w:val="auto"/>
        </w:rPr>
      </w:pPr>
      <w:r>
        <w:rPr>
          <w:rFonts w:ascii="Times New Roman" w:cs="Times New Roman" w:eastAsia="Times New Roman" w:hAnsi="Times New Roman"/>
          <w:sz w:val="18"/>
          <w:szCs w:val="18"/>
          <w:color w:val="auto"/>
        </w:rPr>
        <w:t>Interest expense is reported when incurred and consists of interest and unused credit line fees on our credit facility, and our Terminated Senior Credit Facility and interest on our financing lease obligations.</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94" w:lineRule="exact"/>
        <w:rPr>
          <w:sz w:val="20"/>
          <w:szCs w:val="20"/>
          <w:color w:val="auto"/>
        </w:rPr>
      </w:pPr>
    </w:p>
    <w:p>
      <w:pPr>
        <w:ind w:right="20" w:firstLine="484"/>
        <w:spacing w:after="0" w:line="266"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The effective income tax rate from continuing operations was 24.4% and 20.3% for the three months ended September 30, 2019 and 2018, respectively, and 21.6% and 20.4% for the nine months ended September 30, 2019 and 2018,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Consolidated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2019 Compared to Three Months Ended September 30, 2018</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consolidated results of operations.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10"/>
          </w:tcPr>
          <w:p>
            <w:pPr>
              <w:ind w:left="7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72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Of</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Service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Service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w w:val="95"/>
              </w:rPr>
              <w:t>(Amounts in Thousands,</w:t>
            </w:r>
          </w:p>
        </w:tc>
        <w:tc>
          <w:tcPr>
            <w:tcW w:w="13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Except Percentages)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137,716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123,817</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100,926</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22,891</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45,986</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38,706</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30,802</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5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Operating income from continuing</w:t>
            </w: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7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240" w:type="dxa"/>
            <w:vAlign w:val="bottom"/>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220" w:type="dxa"/>
            <w:vAlign w:val="bottom"/>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7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2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5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Income from continuing operations</w:t>
            </w:r>
          </w:p>
        </w:tc>
        <w:tc>
          <w:tcPr>
            <w:tcW w:w="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before income taxes</w:t>
            </w: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5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income from continuing</w:t>
            </w: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(574)</w:t>
            </w:r>
          </w:p>
        </w:tc>
        <w:tc>
          <w:tcPr>
            <w:tcW w:w="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(574)</w:t>
            </w: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40" w:firstLine="484"/>
        <w:spacing w:after="0" w:line="255" w:lineRule="auto"/>
        <w:rPr>
          <w:sz w:val="20"/>
          <w:szCs w:val="20"/>
          <w:color w:val="auto"/>
        </w:rPr>
      </w:pPr>
      <w:r>
        <w:rPr>
          <w:rFonts w:ascii="Times New Roman" w:cs="Times New Roman" w:eastAsia="Times New Roman" w:hAnsi="Times New Roman"/>
          <w:sz w:val="18"/>
          <w:szCs w:val="18"/>
          <w:color w:val="auto"/>
        </w:rPr>
        <w:t>Net service revenues increased by 23.3% to $169.8 million for the three months ended September 30, 2019 compared to $137.7 million for the three months ended September 30, 2018. The increase was due to an 11.1% increase in billable hours and an 8.5% increase in revenues per billable hour for the three months ended September 30, 2019 in our personal care segment. Billable hours increased in our personal care segment for the three months ended September 30, 2019 compared to September 30, 2018, partially due to the acquisition of VIP on June 1, 2019 and the acquisition of Alliance on August 1, 2019, as well as an increase in same store billable census. Revenues per billable hour increased due to rate increases in several states. In addition, revenue increased by $3.8 million and $1.9 million from our hospice and home health segments, respectively, during the three months ended September 30, 2019, compared to the same period in 2018.</w:t>
      </w:r>
    </w:p>
    <w:p>
      <w:pPr>
        <w:spacing w:after="0" w:line="135" w:lineRule="exact"/>
        <w:rPr>
          <w:sz w:val="20"/>
          <w:szCs w:val="20"/>
          <w:color w:val="auto"/>
        </w:rPr>
      </w:pPr>
    </w:p>
    <w:p>
      <w:pPr>
        <w:ind w:right="200" w:firstLine="484"/>
        <w:spacing w:after="0" w:line="266"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increased to 27.1% for the three months ended September 30, 2019, compared to 26.7% for the same period in 2018. The increase was due to a decrease of direct service employee wages, taxes and benefit costs of 0.4% as a percentage of net service revenues.</w:t>
      </w:r>
    </w:p>
    <w:p>
      <w:pPr>
        <w:spacing w:after="0" w:line="122" w:lineRule="exact"/>
        <w:rPr>
          <w:sz w:val="20"/>
          <w:szCs w:val="20"/>
          <w:color w:val="auto"/>
        </w:rPr>
      </w:pPr>
    </w:p>
    <w:p>
      <w:pPr>
        <w:ind w:right="20" w:firstLine="48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to $36.0 million for the three months ended September 30, 2019 compared to $28.3 million for the three months ended September 30, 2018. The increase in general and administrative expenses was primarily due to acquisitions that resulted in an increase in administrative employee wages, taxes and benefit costs of $5.5 million and an increase in rent of $0.3 million. In addition, acquisition costs increased by $0.3 million, professional fees increased by $0.2 million and stock based compensation increased by $0.4 million for the three months ended September 30, 2019 compared to the three months ended September 30, 2018. General and administrative expenses, expressed as a percentage of net service revenues was 21.2% and 20.5% for the three months ended September 30, 2019 and September 30, 2018, respectively.</w:t>
      </w:r>
    </w:p>
    <w:p>
      <w:pPr>
        <w:spacing w:after="0" w:line="134" w:lineRule="exact"/>
        <w:rPr>
          <w:sz w:val="20"/>
          <w:szCs w:val="20"/>
          <w:color w:val="auto"/>
        </w:rPr>
      </w:pPr>
    </w:p>
    <w:p>
      <w:pPr>
        <w:ind w:right="580" w:firstLine="48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to $2.8 million for the three months ended September 30, 2019 from $2.5 million for the three months ended September 30, 2018, primarily due to the increase of intangible assets related to the fiscal year 2019 and 2018 acquisitions.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94" w:lineRule="exact"/>
        <w:rPr>
          <w:sz w:val="20"/>
          <w:szCs w:val="20"/>
          <w:color w:val="auto"/>
        </w:rPr>
      </w:pPr>
    </w:p>
    <w:p>
      <w:pPr>
        <w:jc w:val="both"/>
        <w:ind w:right="80" w:firstLine="484"/>
        <w:spacing w:after="0" w:line="266" w:lineRule="auto"/>
        <w:rPr>
          <w:sz w:val="20"/>
          <w:szCs w:val="20"/>
          <w:color w:val="auto"/>
        </w:rPr>
      </w:pPr>
      <w:r>
        <w:rPr>
          <w:rFonts w:ascii="Times New Roman" w:cs="Times New Roman" w:eastAsia="Times New Roman" w:hAnsi="Times New Roman"/>
          <w:sz w:val="18"/>
          <w:szCs w:val="18"/>
          <w:color w:val="auto"/>
        </w:rPr>
        <w:t>Interest income increased by $0.7 million to $0.8 million for the three months ended September 30, 2019 from $0.1 million for the three months ended September 30, 2018. For the three months ended September 30, 2019, we received $0.5 million in prompt payment interest from the state of Illinois. For the three months ended September 30, 2018, we did not receive any prompt payment interest.</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decreased to $0.9 million for the three months ended September 30, 2019 compared to $1.5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2018. The decrease in interest expense is primarily due to a lower outstanding loan balance under our credit facility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compared to the three months ended September 30, 2018.</w:t>
      </w:r>
    </w:p>
    <w:p>
      <w:pPr>
        <w:sectPr>
          <w:pgSz w:w="11900" w:h="16838" w:orient="portrait"/>
          <w:cols w:equalWidth="0" w:num="1">
            <w:col w:w="11420"/>
          </w:cols>
          <w:pgMar w:left="240" w:top="117"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94" w:lineRule="exact"/>
        <w:rPr>
          <w:sz w:val="20"/>
          <w:szCs w:val="20"/>
          <w:color w:val="auto"/>
        </w:rPr>
      </w:pPr>
    </w:p>
    <w:p>
      <w:pPr>
        <w:ind w:right="80" w:firstLine="484"/>
        <w:spacing w:after="0" w:line="261"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The effective income tax rate was 24.4% and 20.3% for the three months ended September 30, 2019 and 2018, respectively. The difference between the federal statutory and our effective income tax rates is principally due to the inclusion of state taxes and non-deductible compensation, offset by an excess tax benefit and the use of federal employment tax credits.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2019 Compared to Nine Months Ended September 30, 2018</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consolidated results of operations.</w:t>
      </w:r>
    </w:p>
    <w:p>
      <w:pPr>
        <w:spacing w:after="0" w:line="30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gridSpan w:val="3"/>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ind w:left="64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3"/>
        </w:trPr>
        <w:tc>
          <w:tcPr>
            <w:tcW w:w="3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 Of</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 Of</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62"/>
        </w:trPr>
        <w:tc>
          <w:tcPr>
            <w:tcW w:w="3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Net Service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Net Service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5"/>
        </w:trPr>
        <w:tc>
          <w:tcPr>
            <w:tcW w:w="3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Revenues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3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w w:val="88"/>
              </w:rPr>
              <w:t>(Amounts in Thousands,</w:t>
            </w:r>
          </w:p>
        </w:tc>
        <w:tc>
          <w:tcPr>
            <w:tcW w:w="13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Except Percentages)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458,749</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378,449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334,719</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277,985</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23"/>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124,030</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100,464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3"/>
        </w:trPr>
        <w:tc>
          <w:tcPr>
            <w:tcW w:w="3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102,794</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82,974</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05"/>
        </w:trPr>
        <w:tc>
          <w:tcPr>
            <w:tcW w:w="35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Operating income from continuing</w:t>
            </w: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34"/>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7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21,236</w:t>
            </w:r>
          </w:p>
        </w:tc>
        <w:tc>
          <w:tcPr>
            <w:tcW w:w="240" w:type="dxa"/>
            <w:vAlign w:val="bottom"/>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220" w:type="dxa"/>
            <w:vAlign w:val="bottom"/>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(1,672)</w:t>
            </w: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shd w:val="clear" w:color="auto" w:fill="CFF0FC"/>
          </w:tcPr>
          <w:p>
            <w:pPr>
              <w:spacing w:after="0"/>
              <w:rPr>
                <w:sz w:val="19"/>
                <w:szCs w:val="19"/>
                <w:color w:val="auto"/>
              </w:rPr>
            </w:pPr>
          </w:p>
        </w:tc>
      </w:tr>
      <w:tr>
        <w:trPr>
          <w:trHeight w:val="223"/>
        </w:trPr>
        <w:tc>
          <w:tcPr>
            <w:tcW w:w="3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7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4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2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191"/>
        </w:trPr>
        <w:tc>
          <w:tcPr>
            <w:tcW w:w="35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Income from continuing operations</w:t>
            </w:r>
          </w:p>
        </w:tc>
        <w:tc>
          <w:tcPr>
            <w:tcW w:w="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234"/>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before income taxes</w:t>
            </w: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20,168</w:t>
            </w: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30"/>
        </w:trPr>
        <w:tc>
          <w:tcPr>
            <w:tcW w:w="3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05"/>
        </w:trPr>
        <w:tc>
          <w:tcPr>
            <w:tcW w:w="35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income from continuing</w:t>
            </w: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34"/>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15,821</w:t>
            </w: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(574)</w:t>
            </w:r>
          </w:p>
        </w:tc>
        <w:tc>
          <w:tcPr>
            <w:tcW w:w="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2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2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firstLine="484"/>
        <w:spacing w:after="0" w:line="255" w:lineRule="auto"/>
        <w:rPr>
          <w:sz w:val="20"/>
          <w:szCs w:val="20"/>
          <w:color w:val="auto"/>
        </w:rPr>
      </w:pPr>
      <w:r>
        <w:rPr>
          <w:rFonts w:ascii="Times New Roman" w:cs="Times New Roman" w:eastAsia="Times New Roman" w:hAnsi="Times New Roman"/>
          <w:sz w:val="18"/>
          <w:szCs w:val="18"/>
          <w:color w:val="auto"/>
        </w:rPr>
        <w:t>Net service revenues increased by 21.2% to $458.7 million for the nine months ended September 30, 2019 compared to $378.4 million for the nine months ended September 30, 2018. The increase was due to a 10.3% increase in billable hours and a 5.3% increase in revenues per billable hour for the nine months ended September 30, 2019 in our personal care segment. Billable hours increased in our personal care segment for the nine months ended September 30, 2019 compared to September 30, 2018, partially due to the acquisition of Ambercare on May 1, 2018, the acquisition of VIP on June 1, 2019 and the acquisition of Alliance on August 1, 2019, as well as an increase in same store billable census. Revenues per billable hour increased due to rate increases in several states. In addition, revenue increased by $15.5 million and $6.1 million from our hospice and home health segments, respectively, during the nine months ended September 30, 2019, compared to the same period in 2018.</w:t>
      </w:r>
    </w:p>
    <w:p>
      <w:pPr>
        <w:spacing w:after="0" w:line="135" w:lineRule="exact"/>
        <w:rPr>
          <w:sz w:val="20"/>
          <w:szCs w:val="20"/>
          <w:color w:val="auto"/>
        </w:rPr>
      </w:pPr>
    </w:p>
    <w:p>
      <w:pPr>
        <w:ind w:right="40" w:firstLine="484"/>
        <w:spacing w:after="0" w:line="266"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increased to 27.0% for the nine months ended September 30, 2019, compared to 26.5% for the same period in 2018. The increase was due to a decrease of direct service employee wages, taxes and benefit costs of 0.6% as a percentage of net service revenues.</w:t>
      </w:r>
    </w:p>
    <w:p>
      <w:pPr>
        <w:spacing w:after="0" w:line="122" w:lineRule="exact"/>
        <w:rPr>
          <w:sz w:val="20"/>
          <w:szCs w:val="20"/>
          <w:color w:val="auto"/>
        </w:rPr>
      </w:pPr>
    </w:p>
    <w:p>
      <w:pPr>
        <w:ind w:right="120" w:firstLine="48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to $95.4 million for the nine months ended September 30, 2019 compared to $76.3 million for the nine months ended September 30, 2018. The increase in general and administrative expenses was primarily due to acquisitions that resulted in an increase in administrative employee wages, taxes and benefit costs of $13.2 million, an increase in data processing of $0.8 million, and an increase in rent expense of $0.7 million. In addition, professional fees increased by $1.3 million and stock based compensation increased by $1.2 million for the nine months ended September 30, 2019 compared to the nine months ended September 30, 2018. General and administrative expenses, expressed as a percentage of net service revenues increased to 20.8% for the nine months ended September 30, 2019, from 20.2% for the nine months ended September 30, 2018.</w:t>
      </w:r>
    </w:p>
    <w:p>
      <w:pPr>
        <w:spacing w:after="0" w:line="134" w:lineRule="exact"/>
        <w:rPr>
          <w:sz w:val="20"/>
          <w:szCs w:val="20"/>
          <w:color w:val="auto"/>
        </w:rPr>
      </w:pPr>
    </w:p>
    <w:p>
      <w:pPr>
        <w:ind w:right="100" w:firstLine="48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to $7.4 million for the nine months ended September 30, 2019 from $6.7 million for the nine months ended September 30, 2018, primarily due to the increase of intangible assets related to the fiscal year 2019 and 2018 acquisitions.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81" w:lineRule="exact"/>
        <w:rPr>
          <w:sz w:val="20"/>
          <w:szCs w:val="20"/>
          <w:color w:val="auto"/>
        </w:rPr>
      </w:pPr>
    </w:p>
    <w:p>
      <w:pPr>
        <w:jc w:val="both"/>
        <w:ind w:right="120" w:firstLine="484"/>
        <w:spacing w:after="0" w:line="266" w:lineRule="auto"/>
        <w:rPr>
          <w:sz w:val="20"/>
          <w:szCs w:val="20"/>
          <w:color w:val="auto"/>
        </w:rPr>
      </w:pPr>
      <w:r>
        <w:rPr>
          <w:rFonts w:ascii="Times New Roman" w:cs="Times New Roman" w:eastAsia="Times New Roman" w:hAnsi="Times New Roman"/>
          <w:sz w:val="18"/>
          <w:szCs w:val="18"/>
          <w:color w:val="auto"/>
        </w:rPr>
        <w:t>Interest income decreased by $1.4 million to $1.1 million for the nine months ended September 30, 2019 from $2.5 million for the nine months ended September 30, 2018. For the nine months ended September 30, 2019 and September 30, 2018, we received prompt payment interest from the state of Illinois of $0.6 million and $2.3 million, respectively.</w:t>
      </w:r>
    </w:p>
    <w:p>
      <w:pPr>
        <w:sectPr>
          <w:pgSz w:w="11900" w:h="16838" w:orient="portrait"/>
          <w:cols w:equalWidth="0" w:num="1">
            <w:col w:w="11420"/>
          </w:cols>
          <w:pgMar w:left="240" w:top="117"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decreased to $2.2 million for the nine months ended September 30, 2019 compared to $3.8 million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2018. The decrease in interest expense is primarily due to a lower outstanding loan balance under our credit facility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compared to the nine months ended September 30, 2018.</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81" w:lineRule="exact"/>
        <w:rPr>
          <w:sz w:val="20"/>
          <w:szCs w:val="20"/>
          <w:color w:val="auto"/>
        </w:rPr>
      </w:pPr>
    </w:p>
    <w:p>
      <w:pPr>
        <w:jc w:val="both"/>
        <w:ind w:right="100" w:firstLine="484"/>
        <w:spacing w:after="0" w:line="261"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The effective income tax rate was 21.6% and 20.4% for the nine months ended September 30, 2019 and 2018, respectively. The difference between the federal statutory rate and our effective income tax rates is principally due to the inclusion of state taxes and non-deductible compensation, offset by an excess tax benefit and the use of federal employment tax credits.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Segments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and related analysis summarize our operating results and business metrics by segment: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Personal Care Segment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3"/>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52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50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52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54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Personal Care</w:t>
            </w:r>
          </w:p>
        </w:tc>
        <w:tc>
          <w:tcPr>
            <w:tcW w:w="6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20" w:type="dxa"/>
            <w:vAlign w:val="bottom"/>
          </w:tcPr>
          <w:p>
            <w:pPr>
              <w:spacing w:after="0"/>
              <w:rPr>
                <w:sz w:val="12"/>
                <w:szCs w:val="12"/>
                <w:color w:val="auto"/>
              </w:rPr>
            </w:pPr>
          </w:p>
        </w:tc>
        <w:tc>
          <w:tcPr>
            <w:tcW w:w="62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30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Net Service</w:t>
            </w:r>
          </w:p>
        </w:tc>
        <w:tc>
          <w:tcPr>
            <w:tcW w:w="300" w:type="dxa"/>
            <w:vAlign w:val="bottom"/>
          </w:tcPr>
          <w:p>
            <w:pPr>
              <w:spacing w:after="0"/>
              <w:rPr>
                <w:sz w:val="12"/>
                <w:szCs w:val="12"/>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4"/>
            <w:vMerge w:val="continue"/>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4"/>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12"/>
          </w:tcPr>
          <w:p>
            <w:pPr>
              <w:jc w:val="right"/>
              <w:ind w:right="147"/>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Operating Results</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auto"/>
              </w:rPr>
              <w:t>Net service revenues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154,563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128,179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26,384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20.6</w:t>
            </w:r>
          </w:p>
        </w:tc>
        <w:tc>
          <w:tcPr>
            <w:tcW w:w="3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421,458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362,740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58,718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14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Cost of services</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revenues</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115,504</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95,428</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74.4</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20,076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8"/>
              </w:rPr>
              <w:t>21.0</w:t>
            </w:r>
          </w:p>
        </w:tc>
        <w:tc>
          <w:tcPr>
            <w:tcW w:w="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314,329</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74.6</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268,815</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74.1</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45,514</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Gross profit</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39,059</w:t>
            </w:r>
          </w:p>
        </w:tc>
        <w:tc>
          <w:tcPr>
            <w:tcW w:w="160" w:type="dxa"/>
            <w:vAlign w:val="bottom"/>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25.3</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32,751</w:t>
            </w:r>
          </w:p>
        </w:tc>
        <w:tc>
          <w:tcPr>
            <w:tcW w:w="140" w:type="dxa"/>
            <w:vAlign w:val="bottom"/>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25.6</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6,308</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98"/>
              </w:rPr>
              <w:t>19.3</w:t>
            </w: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107,129</w:t>
            </w:r>
          </w:p>
        </w:tc>
        <w:tc>
          <w:tcPr>
            <w:tcW w:w="160" w:type="dxa"/>
            <w:vAlign w:val="bottom"/>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25.4</w:t>
            </w: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93,925</w:t>
            </w:r>
          </w:p>
        </w:tc>
        <w:tc>
          <w:tcPr>
            <w:tcW w:w="180" w:type="dxa"/>
            <w:vAlign w:val="bottom"/>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25.9</w:t>
            </w: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13,204</w:t>
            </w: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14.1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General and</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administrative</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expenses</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15,602</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10,494</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5,108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8"/>
              </w:rPr>
              <w:t>48.7</w:t>
            </w:r>
          </w:p>
        </w:tc>
        <w:tc>
          <w:tcPr>
            <w:tcW w:w="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41,373</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29,283</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12,090</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41.3</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48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Segment operating</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auto"/>
              </w:rPr>
              <w:t>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23,457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22,257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3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65,756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64,642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5"/>
        </w:trPr>
        <w:tc>
          <w:tcPr>
            <w:tcW w:w="1480" w:type="dxa"/>
            <w:vAlign w:val="bottom"/>
            <w:tcBorders>
              <w:top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Business Metrics</w:t>
            </w:r>
          </w:p>
        </w:tc>
        <w:tc>
          <w:tcPr>
            <w:tcW w:w="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(Actual</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b w:val="1"/>
                <w:bCs w:val="1"/>
                <w:color w:val="auto"/>
              </w:rPr>
              <w:t>Numbers, Except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Billable</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b w:val="1"/>
                <w:bCs w:val="1"/>
                <w:color w:val="auto"/>
              </w:rPr>
              <w:t>Hours in</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Thousands)</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States served at period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auto"/>
              </w:rPr>
              <w:t>end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Locations at period end</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auto"/>
              </w:rPr>
              <w:t>Average billable census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39,342</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37,670</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39,279</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37,704</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Billable hours</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7,785</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7,007</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8"/>
              </w:rPr>
              <w:t>11.1</w:t>
            </w:r>
          </w:p>
        </w:tc>
        <w:tc>
          <w:tcPr>
            <w:tcW w:w="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21,918</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19,865</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2,053</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Average billable hours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census per month</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58.2</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Billable hours per</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business day</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117,956</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8"/>
              </w:rPr>
              <w:t>107,793</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10,163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112,400</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101,351</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11,049</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Revenues per billable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auto"/>
              </w:rPr>
              <w:t>hour</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19.87</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18.31</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19.23</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18.27</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14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Same store growth</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 xml:space="preserve">revenue % </w:t>
            </w:r>
            <w:r>
              <w:rPr>
                <w:rFonts w:ascii="Times New Roman" w:cs="Times New Roman" w:eastAsia="Times New Roman" w:hAnsi="Times New Roman"/>
                <w:sz w:val="13"/>
                <w:szCs w:val="13"/>
                <w:color w:val="auto"/>
              </w:rPr>
              <w:t>(1)</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4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60" w:right="260" w:hanging="352"/>
        <w:spacing w:after="0" w:line="260" w:lineRule="auto"/>
        <w:tabs>
          <w:tab w:leader="none" w:pos="3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w:t>
      </w:r>
    </w:p>
    <w:p>
      <w:pPr>
        <w:spacing w:after="0" w:line="154" w:lineRule="exact"/>
        <w:rPr>
          <w:sz w:val="20"/>
          <w:szCs w:val="20"/>
          <w:color w:val="auto"/>
        </w:rPr>
      </w:pPr>
    </w:p>
    <w:p>
      <w:pPr>
        <w:ind w:right="20" w:firstLine="484"/>
        <w:spacing w:after="0" w:line="255" w:lineRule="auto"/>
        <w:rPr>
          <w:sz w:val="20"/>
          <w:szCs w:val="20"/>
          <w:color w:val="auto"/>
        </w:rPr>
      </w:pPr>
      <w:r>
        <w:rPr>
          <w:rFonts w:ascii="Times New Roman" w:cs="Times New Roman" w:eastAsia="Times New Roman" w:hAnsi="Times New Roman"/>
          <w:sz w:val="18"/>
          <w:szCs w:val="18"/>
          <w:color w:val="auto"/>
        </w:rPr>
        <w:t>Net service revenues from state, local and other governmental programs accounted for 49.0% and 57.5% of net service revenues for the three months ended September 30, 2019 and 2018, and 52.8% and 58.7% of net service revenues for the nine months ended September 30, 2019 and 2018, respectively. Managed care organizations accounted for 44.5% and 35.3% of net service revenues for the three months ended September 30, 2019 and 2018, respectively, and 40.6% and 35.0% of net service revenues for the nine months ended September 30, 2019 and 2018, respectively, with commercial insurance, private pay and other payors accounting for the remainder of net service revenues. One payor client, the Illinois Department on Aging, accounted for 22.0% and 29.5% of net service revenues for the three months ended September 30, 2019 and 2018, respectively, and accounted for 25.9% and 31.8% of net service revenues for the nine months ended September 30, 2019 and 2018, respectively.</w:t>
      </w:r>
    </w:p>
    <w:p>
      <w:pPr>
        <w:spacing w:after="0" w:line="135" w:lineRule="exact"/>
        <w:rPr>
          <w:sz w:val="20"/>
          <w:szCs w:val="20"/>
          <w:color w:val="auto"/>
        </w:rPr>
      </w:pPr>
    </w:p>
    <w:p>
      <w:pPr>
        <w:ind w:firstLine="484"/>
        <w:spacing w:after="0" w:line="255" w:lineRule="auto"/>
        <w:rPr>
          <w:sz w:val="20"/>
          <w:szCs w:val="20"/>
          <w:color w:val="auto"/>
        </w:rPr>
      </w:pPr>
      <w:r>
        <w:rPr>
          <w:rFonts w:ascii="Times New Roman" w:cs="Times New Roman" w:eastAsia="Times New Roman" w:hAnsi="Times New Roman"/>
          <w:sz w:val="18"/>
          <w:szCs w:val="18"/>
          <w:color w:val="auto"/>
        </w:rPr>
        <w:t>Net service revenues increased by 20.6% for the three months ended September 30, 2019 compared to the three months ended September 30, 2018. Net service revenues increased primarily due to an 11.1% increase in billable hours and an 8.5% increase in revenues per billable hour for the three months ended September 30, 2019 compared to the three months ended September 30, 2018. Net service revenues increased by 16.2% for the nine months ended September 30, 2019 compared to the nine months ended September 30, 2018. Net service revenues increased primarily due to a 10.3% increase in billable hours and a 5.3% increase in revenues per billable hour for the nine months ended September 30, 2019 compared to the nine months ended September 30, 2018. Billable hours increased for the three and nine months ended September 30, 2019 compared to September 30, 2018, partially due to the acquisition of Ambercare on May 1, 2018, the acquisition of VIP on June 1, 2019 and acquisition of Alliance on August 1, 2019. Revenues per billable hour increased due to rate increases in several states.</w:t>
      </w:r>
    </w:p>
    <w:p>
      <w:pPr>
        <w:sectPr>
          <w:pgSz w:w="11900" w:h="16838" w:orient="portrait"/>
          <w:cols w:equalWidth="0" w:num="1">
            <w:col w:w="11420"/>
          </w:cols>
          <w:pgMar w:left="240" w:top="117" w:right="239" w:bottom="968"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968"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91" w:lineRule="exact"/>
        <w:rPr>
          <w:sz w:val="20"/>
          <w:szCs w:val="20"/>
          <w:color w:val="auto"/>
        </w:rPr>
      </w:pPr>
    </w:p>
    <w:p>
      <w:pPr>
        <w:ind w:right="40" w:firstLine="484"/>
        <w:spacing w:after="0" w:line="261"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decreased from 25.6% for the three months ended September 30, 2018 to 25.3% for the three months ended September 30, 2019 and from 25.9% for the nine months ended September 30, 2018 to 25.4% for the nine months ended September 30, 2019. For the three and nine months ended September 30, 2019, the decrease as a percentage of net service revenues was due to an increase of direct service employee wages, taxes and benefit costs of 0.3% and 0.5%, respectively.</w:t>
      </w:r>
    </w:p>
    <w:p>
      <w:pPr>
        <w:spacing w:after="0" w:line="126" w:lineRule="exact"/>
        <w:rPr>
          <w:sz w:val="20"/>
          <w:szCs w:val="20"/>
          <w:color w:val="auto"/>
        </w:rPr>
      </w:pPr>
    </w:p>
    <w:p>
      <w:pPr>
        <w:ind w:right="20" w:firstLine="48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approximately $5.1 million and $12.1 million for the three and nine months ended September 30, 2019, respectively. The increase in general and administrative expenses was primarily due to acquisitions that resulted in a $3.6 million and $9.6 million increase in administrative employee wages, taxes and benefit costs and a $0.4 million and $1.0 million increase in rent expenses for the three and nine months ended September 30, 2019,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11"/>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11"/>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487"/>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487"/>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52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44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Hospice</w:t>
            </w:r>
          </w:p>
        </w:tc>
        <w:tc>
          <w:tcPr>
            <w:tcW w:w="8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30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300" w:type="dxa"/>
            <w:vAlign w:val="bottom"/>
          </w:tcPr>
          <w:p>
            <w:pPr>
              <w:spacing w:after="0"/>
              <w:rPr>
                <w:sz w:val="12"/>
                <w:szCs w:val="12"/>
                <w:color w:val="auto"/>
              </w:rPr>
            </w:pPr>
          </w:p>
        </w:tc>
        <w:tc>
          <w:tcPr>
            <w:tcW w:w="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34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320" w:type="dxa"/>
            <w:vAlign w:val="bottom"/>
          </w:tcPr>
          <w:p>
            <w:pPr>
              <w:spacing w:after="0"/>
              <w:rPr>
                <w:sz w:val="12"/>
                <w:szCs w:val="12"/>
                <w:color w:val="auto"/>
              </w:rPr>
            </w:pPr>
          </w:p>
        </w:tc>
        <w:tc>
          <w:tcPr>
            <w:tcW w:w="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780" w:type="dxa"/>
            <w:vAlign w:val="bottom"/>
            <w:gridSpan w:val="2"/>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tcBorders>
              <w:top w:val="single" w:sz="8" w:color="auto"/>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Operating Results</w:t>
            </w: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3300" w:type="dxa"/>
            <w:vAlign w:val="bottom"/>
            <w:tcBorders>
              <w:top w:val="single" w:sz="8" w:color="auto"/>
              <w:bottom w:val="single" w:sz="8" w:color="auto"/>
            </w:tcBorders>
            <w:gridSpan w:val="1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7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Net service revenues</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10,874</w:t>
            </w:r>
          </w:p>
        </w:tc>
        <w:tc>
          <w:tcPr>
            <w:tcW w:w="86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100.0</w:t>
            </w:r>
          </w:p>
        </w:tc>
        <w:tc>
          <w:tcPr>
            <w:tcW w:w="300" w:type="dxa"/>
            <w:vAlign w:val="bottom"/>
            <w:shd w:val="clear" w:color="auto" w:fill="CFF0FC"/>
          </w:tcPr>
          <w:p>
            <w:pPr>
              <w:jc w:val="right"/>
              <w:ind w:right="23"/>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FF0FC"/>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7,116</w:t>
            </w:r>
          </w:p>
        </w:tc>
        <w:tc>
          <w:tcPr>
            <w:tcW w:w="84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100.0</w:t>
            </w:r>
          </w:p>
        </w:tc>
        <w:tc>
          <w:tcPr>
            <w:tcW w:w="300" w:type="dxa"/>
            <w:vAlign w:val="bottom"/>
            <w:shd w:val="clear" w:color="auto" w:fill="CFF0FC"/>
          </w:tcPr>
          <w:p>
            <w:pPr>
              <w:jc w:val="right"/>
              <w:ind w:right="23"/>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3,758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52.8</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43"/>
              <w:spacing w:after="0" w:line="169" w:lineRule="exact"/>
              <w:rPr>
                <w:sz w:val="20"/>
                <w:szCs w:val="20"/>
                <w:color w:val="auto"/>
              </w:rPr>
            </w:pPr>
            <w:r>
              <w:rPr>
                <w:rFonts w:ascii="Times New Roman" w:cs="Times New Roman" w:eastAsia="Times New Roman" w:hAnsi="Times New Roman"/>
                <w:sz w:val="15"/>
                <w:szCs w:val="15"/>
                <w:color w:val="auto"/>
                <w:w w:val="95"/>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27,228</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100.0</w:t>
            </w:r>
          </w:p>
        </w:tc>
        <w:tc>
          <w:tcPr>
            <w:tcW w:w="340" w:type="dxa"/>
            <w:vAlign w:val="bottom"/>
            <w:shd w:val="clear" w:color="auto" w:fill="CFF0FC"/>
          </w:tcPr>
          <w:p>
            <w:pPr>
              <w:jc w:val="right"/>
              <w:ind w:right="23"/>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11,765</w:t>
            </w:r>
          </w:p>
        </w:tc>
        <w:tc>
          <w:tcPr>
            <w:tcW w:w="78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100.0</w:t>
            </w:r>
          </w:p>
        </w:tc>
        <w:tc>
          <w:tcPr>
            <w:tcW w:w="320" w:type="dxa"/>
            <w:vAlign w:val="bottom"/>
            <w:shd w:val="clear" w:color="auto" w:fill="CFF0FC"/>
          </w:tcPr>
          <w:p>
            <w:pPr>
              <w:jc w:val="right"/>
              <w:ind w:right="23"/>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15,463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tcBorders>
              <w:right w:val="single" w:sz="8" w:color="CFF0FC"/>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131.4</w:t>
            </w:r>
          </w:p>
        </w:tc>
        <w:tc>
          <w:tcPr>
            <w:tcW w:w="1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Cost of services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revenues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5,495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13,587</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6,351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54.0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113.9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tcBorders>
              <w:top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Gross profit</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5,379</w:t>
            </w:r>
          </w:p>
        </w:tc>
        <w:tc>
          <w:tcPr>
            <w:tcW w:w="16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49.5</w:t>
            </w:r>
          </w:p>
        </w:tc>
        <w:tc>
          <w:tcPr>
            <w:tcW w:w="3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right w:val="single" w:sz="8" w:color="CFF0FC"/>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3,339</w:t>
            </w:r>
          </w:p>
        </w:tc>
        <w:tc>
          <w:tcPr>
            <w:tcW w:w="14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46.9</w:t>
            </w:r>
          </w:p>
        </w:tc>
        <w:tc>
          <w:tcPr>
            <w:tcW w:w="3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2,040</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61.1</w:t>
            </w:r>
          </w:p>
        </w:tc>
        <w:tc>
          <w:tcPr>
            <w:tcW w:w="8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13,641</w:t>
            </w:r>
          </w:p>
        </w:tc>
        <w:tc>
          <w:tcPr>
            <w:tcW w:w="16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50.1</w:t>
            </w:r>
          </w:p>
        </w:tc>
        <w:tc>
          <w:tcPr>
            <w:tcW w:w="3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5,414</w:t>
            </w:r>
          </w:p>
        </w:tc>
        <w:tc>
          <w:tcPr>
            <w:tcW w:w="180" w:type="dxa"/>
            <w:vAlign w:val="bottom"/>
            <w:tcBorders>
              <w:top w:val="single" w:sz="8" w:color="CFF0FC"/>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46.0</w:t>
            </w:r>
          </w:p>
        </w:tc>
        <w:tc>
          <w:tcPr>
            <w:tcW w:w="3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8,227</w:t>
            </w: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right w:val="single" w:sz="8" w:color="CFF0FC"/>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152.0</w:t>
            </w:r>
          </w:p>
        </w:tc>
        <w:tc>
          <w:tcPr>
            <w:tcW w:w="18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General and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administrative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expenses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4,962</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113.1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80" w:type="dxa"/>
            <w:vAlign w:val="bottom"/>
            <w:tcBorders>
              <w:top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5"/>
                <w:szCs w:val="15"/>
                <w:color w:val="auto"/>
              </w:rPr>
              <w:t>Segment operating</w:t>
            </w: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right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right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income</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3,555</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30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1,864</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30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1,691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90.7</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5"/>
                <w:szCs w:val="15"/>
                <w:color w:val="auto"/>
                <w:w w:val="95"/>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8,679</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3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3,085</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3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5,594</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181.3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Business Metrics</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(Actual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Numbers)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Locations at period end</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5"/>
                <w:szCs w:val="15"/>
                <w:color w:val="auto"/>
              </w:rPr>
              <w:t>Admissions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80" w:type="dxa"/>
            <w:vAlign w:val="bottom"/>
          </w:tcPr>
          <w:p>
            <w:pPr>
              <w:spacing w:after="0"/>
              <w:rPr>
                <w:sz w:val="15"/>
                <w:szCs w:val="15"/>
                <w:color w:val="auto"/>
              </w:rPr>
            </w:pPr>
          </w:p>
        </w:tc>
        <w:tc>
          <w:tcPr>
            <w:tcW w:w="2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95"/>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1,548</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140.7</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Average daily census</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52.1</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659</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24.8</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5"/>
                <w:szCs w:val="15"/>
                <w:color w:val="auto"/>
              </w:rPr>
              <w:t>Average length of stay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145.4</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(24.8)</w:t>
            </w:r>
          </w:p>
        </w:tc>
        <w:tc>
          <w:tcPr>
            <w:tcW w:w="12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(17.1)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121.9</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146.1</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(24.2)</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Patient days</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72,261</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47,679</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24,582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178,792</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80,279</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98,513</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122.7</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5"/>
                <w:szCs w:val="15"/>
                <w:color w:val="auto"/>
              </w:rPr>
              <w:t>Revenue per patient day</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150.48</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149.25</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Pr>
          <w:p>
            <w:pPr>
              <w:spacing w:after="0"/>
              <w:rPr>
                <w:sz w:val="15"/>
                <w:szCs w:val="15"/>
                <w:color w:val="auto"/>
              </w:rPr>
            </w:pPr>
          </w:p>
        </w:tc>
        <w:tc>
          <w:tcPr>
            <w:tcW w:w="2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95"/>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152.29</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146.55</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Same store growth</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 xml:space="preserve">revenue % </w:t>
            </w:r>
            <w:r>
              <w:rPr>
                <w:rFonts w:ascii="Times New Roman" w:cs="Times New Roman" w:eastAsia="Times New Roman" w:hAnsi="Times New Roman"/>
                <w:sz w:val="13"/>
                <w:szCs w:val="13"/>
                <w:color w:val="auto"/>
              </w:rPr>
              <w:t>(1)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26.5</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Same store growth</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500" w:type="dxa"/>
            <w:vAlign w:val="bottom"/>
            <w:gridSpan w:val="2"/>
          </w:tcPr>
          <w:p>
            <w:pPr>
              <w:spacing w:after="0" w:line="171" w:lineRule="exact"/>
              <w:rPr>
                <w:sz w:val="20"/>
                <w:szCs w:val="20"/>
                <w:color w:val="auto"/>
              </w:rPr>
            </w:pPr>
            <w:r>
              <w:rPr>
                <w:rFonts w:ascii="Times New Roman" w:cs="Times New Roman" w:eastAsia="Times New Roman" w:hAnsi="Times New Roman"/>
                <w:sz w:val="15"/>
                <w:szCs w:val="15"/>
                <w:color w:val="auto"/>
              </w:rPr>
              <w:t>average daily census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1"/>
          <w:szCs w:val="11"/>
          <w:color w:val="auto"/>
        </w:rPr>
        <w:t>_________________</w:t>
      </w:r>
    </w:p>
    <w:p>
      <w:pPr>
        <w:spacing w:after="0" w:line="15" w:lineRule="exact"/>
        <w:rPr>
          <w:sz w:val="20"/>
          <w:szCs w:val="20"/>
          <w:color w:val="auto"/>
        </w:rPr>
      </w:pPr>
    </w:p>
    <w:p>
      <w:pPr>
        <w:ind w:left="360" w:right="220" w:hanging="352"/>
        <w:spacing w:after="0" w:line="262"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 store reflects the change in year-over-year revenue and daily census for the same store base. We define the same store base to include those stores open for at least 52 full weeks. This measure highlights the performance of existing stores, while excluding the impact of acquisitions, new store openings and closures.</w:t>
      </w:r>
    </w:p>
    <w:p>
      <w:pPr>
        <w:spacing w:after="0" w:line="153" w:lineRule="exact"/>
        <w:rPr>
          <w:sz w:val="20"/>
          <w:szCs w:val="20"/>
          <w:color w:val="auto"/>
        </w:rPr>
      </w:pPr>
    </w:p>
    <w:p>
      <w:pPr>
        <w:ind w:right="40" w:firstLine="484"/>
        <w:spacing w:after="0" w:line="258" w:lineRule="auto"/>
        <w:rPr>
          <w:sz w:val="20"/>
          <w:szCs w:val="20"/>
          <w:color w:val="auto"/>
        </w:rPr>
      </w:pPr>
      <w:r>
        <w:rPr>
          <w:rFonts w:ascii="Times New Roman" w:cs="Times New Roman" w:eastAsia="Times New Roman" w:hAnsi="Times New Roman"/>
          <w:sz w:val="18"/>
          <w:szCs w:val="18"/>
          <w:color w:val="auto"/>
        </w:rPr>
        <w:t>On May 1, 2018, upon the completion of our acquisition of Ambercare, we began operating our hospice segment. We expanded this segment with the acquisition of Alliance on August 1, 2019. Hospice generates net service revenues by providing care to patients with a life expectancy of six months or less, and their families. Net service revenues from Medicare accounted for 92.3% and 93.8% and managed care organizations accounted for 5.4% and 6.0% for the three months ended September 30, 2019 and 2018, respectively. Net service revenues from Medicare accounted for 92.7% and 93.8% and managed care organizations accounted for 5.2% and 6.1% for the nine months ended September 30, 2019 and 2018, respectively.</w:t>
      </w:r>
    </w:p>
    <w:p>
      <w:pPr>
        <w:spacing w:after="0" w:line="130" w:lineRule="exact"/>
        <w:rPr>
          <w:sz w:val="20"/>
          <w:szCs w:val="20"/>
          <w:color w:val="auto"/>
        </w:rPr>
      </w:pPr>
    </w:p>
    <w:p>
      <w:pPr>
        <w:ind w:right="80" w:firstLine="484"/>
        <w:spacing w:after="0" w:line="258" w:lineRule="auto"/>
        <w:rPr>
          <w:sz w:val="20"/>
          <w:szCs w:val="20"/>
          <w:color w:val="auto"/>
        </w:rPr>
      </w:pPr>
      <w:r>
        <w:rPr>
          <w:rFonts w:ascii="Times New Roman" w:cs="Times New Roman" w:eastAsia="Times New Roman" w:hAnsi="Times New Roman"/>
          <w:sz w:val="18"/>
          <w:szCs w:val="18"/>
          <w:color w:val="auto"/>
        </w:rPr>
        <w:t>Net service revenues increased by $3.8 million and $15.5 million for the three and nine months ended September 30, 2019 compared to the three and nine months ended September 30, 2018. For the three months ended September 30, 2019, net service revenues increased primarily due to an increase in average daily census as well as the acquisition of Alliance on August 1, 2019. For the nine months ended September 30, 2019, net service revenues increased primarily due to an increase in average daily census and revenue per patient days as well as the acquisitions of Ambercare on May 1, 2018 and Alliance on August 1, 2019.</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Gross profit, expressed as a percentage of net service revenues was 49.5% and 46.9% for the three months ended September 30, 2019 and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and 50.1% and 46.0%, for the nine months ended September 30, 2019 and 2018, respectively. For the three and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the increase as a percentage of net service revenues was due to a decrease of pharmacy costs of 3.3% and 3.2%, respectively, and direct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employee wages, taxes and benefit costs of 0.4% and 0.9%, respectively.</w:t>
      </w:r>
    </w:p>
    <w:p>
      <w:pPr>
        <w:spacing w:after="0" w:line="153" w:lineRule="exact"/>
        <w:rPr>
          <w:sz w:val="20"/>
          <w:szCs w:val="20"/>
          <w:color w:val="auto"/>
        </w:rPr>
      </w:pPr>
    </w:p>
    <w:p>
      <w:pPr>
        <w:ind w:right="220" w:firstLine="484"/>
        <w:spacing w:after="0" w:line="258" w:lineRule="auto"/>
        <w:rPr>
          <w:sz w:val="20"/>
          <w:szCs w:val="20"/>
          <w:color w:val="auto"/>
        </w:rPr>
      </w:pPr>
      <w:r>
        <w:rPr>
          <w:rFonts w:ascii="Times New Roman" w:cs="Times New Roman" w:eastAsia="Times New Roman" w:hAnsi="Times New Roman"/>
          <w:sz w:val="18"/>
          <w:szCs w:val="18"/>
          <w:color w:val="auto"/>
        </w:rPr>
        <w:t>The hospice segment’s general and administrative expenses primarily consist of administrative employee wages, taxes and benefit costs, rent, information technology and office expenses. General and administrative expenses, expressed as a percentage of net service revenues was 16.8% and 20.7% for the three months ended September 30, 2019 and 2018, respectively, and 18.2% and 19.8% for the nine months ended September 30, 2019 and 2018, respectively. The hospice segment’s operating income was $3.6 million and $1.9 million for the three months ended September 30, 2019 and 2018, respectively, and $8.7 million and $3.1 million for the nine months ended September 30, 2019 and 2018, respectively.</w:t>
      </w:r>
    </w:p>
    <w:p>
      <w:pPr>
        <w:sectPr>
          <w:pgSz w:w="11900" w:h="16838" w:orient="portrait"/>
          <w:cols w:equalWidth="0" w:num="1">
            <w:col w:w="11420"/>
          </w:cols>
          <w:pgMar w:left="240" w:top="117"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11"/>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487"/>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487"/>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center"/>
              <w:ind w:left="144"/>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487"/>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44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Home Health</w:t>
            </w: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left="65"/>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30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320" w:type="dxa"/>
            <w:vAlign w:val="bottom"/>
          </w:tcPr>
          <w:p>
            <w:pPr>
              <w:spacing w:after="0"/>
              <w:rPr>
                <w:sz w:val="12"/>
                <w:szCs w:val="12"/>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34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320" w:type="dxa"/>
            <w:vAlign w:val="bottom"/>
          </w:tcPr>
          <w:p>
            <w:pPr>
              <w:spacing w:after="0"/>
              <w:rPr>
                <w:sz w:val="12"/>
                <w:szCs w:val="12"/>
                <w:color w:val="auto"/>
              </w:rPr>
            </w:pPr>
          </w:p>
        </w:tc>
        <w:tc>
          <w:tcPr>
            <w:tcW w:w="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4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780" w:type="dxa"/>
            <w:vAlign w:val="bottom"/>
            <w:gridSpan w:val="2"/>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20" w:type="dxa"/>
            <w:vAlign w:val="bottom"/>
            <w:tcBorders>
              <w:top w:val="single" w:sz="8" w:color="auto"/>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Operating Results</w:t>
            </w: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3080" w:type="dxa"/>
            <w:vAlign w:val="bottom"/>
            <w:tcBorders>
              <w:top w:val="single" w:sz="8" w:color="auto"/>
              <w:bottom w:val="single" w:sz="8" w:color="auto"/>
            </w:tcBorders>
            <w:gridSpan w:val="10"/>
          </w:tcPr>
          <w:p>
            <w:pPr>
              <w:jc w:val="center"/>
              <w:ind w:left="27"/>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20" w:type="dxa"/>
            <w:vAlign w:val="bottom"/>
            <w:tcBorders>
              <w:right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Net service revenues</w:t>
            </w:r>
          </w:p>
        </w:tc>
        <w:tc>
          <w:tcPr>
            <w:tcW w:w="1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FF0FC"/>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4,366</w:t>
            </w:r>
          </w:p>
        </w:tc>
        <w:tc>
          <w:tcPr>
            <w:tcW w:w="84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100.0</w:t>
            </w:r>
          </w:p>
        </w:tc>
        <w:tc>
          <w:tcPr>
            <w:tcW w:w="300" w:type="dxa"/>
            <w:vAlign w:val="bottom"/>
            <w:tcBorders>
              <w:right w:val="single" w:sz="8" w:color="CFF0FC"/>
            </w:tcBorders>
            <w:shd w:val="clear" w:color="auto" w:fill="CFF0FC"/>
          </w:tcPr>
          <w:p>
            <w:pPr>
              <w:jc w:val="right"/>
              <w:ind w:right="3"/>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FF0FC"/>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2,421</w:t>
            </w:r>
          </w:p>
        </w:tc>
        <w:tc>
          <w:tcPr>
            <w:tcW w:w="84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100.0</w:t>
            </w:r>
          </w:p>
        </w:tc>
        <w:tc>
          <w:tcPr>
            <w:tcW w:w="320" w:type="dxa"/>
            <w:vAlign w:val="bottom"/>
            <w:shd w:val="clear" w:color="auto" w:fill="CFF0FC"/>
          </w:tcPr>
          <w:p>
            <w:pPr>
              <w:jc w:val="right"/>
              <w:ind w:right="23"/>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1,945</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80.3</w:t>
            </w:r>
          </w:p>
        </w:tc>
        <w:tc>
          <w:tcPr>
            <w:tcW w:w="320" w:type="dxa"/>
            <w:vAlign w:val="bottom"/>
            <w:tcBorders>
              <w:right w:val="single" w:sz="8" w:color="CFF0FC"/>
            </w:tcBorders>
            <w:shd w:val="clear" w:color="auto" w:fill="CFF0FC"/>
          </w:tcPr>
          <w:p>
            <w:pPr>
              <w:jc w:val="right"/>
              <w:ind w:right="23"/>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10,063</w:t>
            </w:r>
          </w:p>
        </w:tc>
        <w:tc>
          <w:tcPr>
            <w:tcW w:w="86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100.0</w:t>
            </w:r>
          </w:p>
        </w:tc>
        <w:tc>
          <w:tcPr>
            <w:tcW w:w="340" w:type="dxa"/>
            <w:vAlign w:val="bottom"/>
            <w:shd w:val="clear" w:color="auto" w:fill="CFF0FC"/>
          </w:tcPr>
          <w:p>
            <w:pPr>
              <w:jc w:val="right"/>
              <w:ind w:right="23"/>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3,944</w:t>
            </w:r>
          </w:p>
        </w:tc>
        <w:tc>
          <w:tcPr>
            <w:tcW w:w="78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100.0</w:t>
            </w:r>
          </w:p>
        </w:tc>
        <w:tc>
          <w:tcPr>
            <w:tcW w:w="320" w:type="dxa"/>
            <w:vAlign w:val="bottom"/>
            <w:shd w:val="clear" w:color="auto" w:fill="CFF0FC"/>
          </w:tcPr>
          <w:p>
            <w:pPr>
              <w:jc w:val="right"/>
              <w:ind w:right="23"/>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6,119</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155.1</w:t>
            </w:r>
          </w:p>
        </w:tc>
        <w:tc>
          <w:tcPr>
            <w:tcW w:w="2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2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Cost of services</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revenues</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63.7</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6,803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67.6</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3,984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20" w:type="dxa"/>
            <w:vAlign w:val="bottom"/>
            <w:tcBorders>
              <w:top w:val="single" w:sz="8" w:color="CFF0FC"/>
              <w:right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Gross profit</w:t>
            </w:r>
          </w:p>
        </w:tc>
        <w:tc>
          <w:tcPr>
            <w:tcW w:w="1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right w:val="single" w:sz="8" w:color="CFF0FC"/>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1,548</w:t>
            </w:r>
          </w:p>
        </w:tc>
        <w:tc>
          <w:tcPr>
            <w:tcW w:w="14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35.5</w:t>
            </w:r>
          </w:p>
        </w:tc>
        <w:tc>
          <w:tcPr>
            <w:tcW w:w="300" w:type="dxa"/>
            <w:vAlign w:val="bottom"/>
            <w:tcBorders>
              <w:top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right w:val="single" w:sz="8" w:color="CFF0FC"/>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700</w:t>
            </w:r>
          </w:p>
        </w:tc>
        <w:tc>
          <w:tcPr>
            <w:tcW w:w="14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28.9</w:t>
            </w:r>
          </w:p>
        </w:tc>
        <w:tc>
          <w:tcPr>
            <w:tcW w:w="3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848</w:t>
            </w:r>
          </w:p>
        </w:tc>
        <w:tc>
          <w:tcPr>
            <w:tcW w:w="1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94"/>
              </w:rPr>
              <w:t>121.1</w:t>
            </w:r>
          </w:p>
        </w:tc>
        <w:tc>
          <w:tcPr>
            <w:tcW w:w="320" w:type="dxa"/>
            <w:vAlign w:val="bottom"/>
            <w:tcBorders>
              <w:top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3,260</w:t>
            </w:r>
          </w:p>
        </w:tc>
        <w:tc>
          <w:tcPr>
            <w:tcW w:w="160" w:type="dxa"/>
            <w:vAlign w:val="bottom"/>
            <w:tcBorders>
              <w:top w:val="single" w:sz="8" w:color="CFF0FC"/>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32.4</w:t>
            </w:r>
          </w:p>
        </w:tc>
        <w:tc>
          <w:tcPr>
            <w:tcW w:w="3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1,125</w:t>
            </w:r>
          </w:p>
        </w:tc>
        <w:tc>
          <w:tcPr>
            <w:tcW w:w="180" w:type="dxa"/>
            <w:vAlign w:val="bottom"/>
            <w:tcBorders>
              <w:top w:val="single" w:sz="8" w:color="CFF0FC"/>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28.5</w:t>
            </w:r>
          </w:p>
        </w:tc>
        <w:tc>
          <w:tcPr>
            <w:tcW w:w="3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2,135</w:t>
            </w: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189.8</w:t>
            </w:r>
          </w:p>
        </w:tc>
        <w:tc>
          <w:tcPr>
            <w:tcW w:w="2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2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General and</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administrative</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expenses</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130.9</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20" w:type="dxa"/>
            <w:vAlign w:val="bottom"/>
            <w:tcBorders>
              <w:top w:val="single" w:sz="8" w:color="CFF0FC"/>
              <w:right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5"/>
                <w:szCs w:val="15"/>
                <w:color w:val="auto"/>
              </w:rPr>
              <w:t>Segment operating</w:t>
            </w:r>
          </w:p>
        </w:tc>
        <w:tc>
          <w:tcPr>
            <w:tcW w:w="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right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right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income</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300" w:type="dxa"/>
            <w:vAlign w:val="bottom"/>
            <w:tcBorders>
              <w:right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3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608</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4"/>
              </w:rPr>
              <w:t>633.3</w:t>
            </w:r>
          </w:p>
        </w:tc>
        <w:tc>
          <w:tcPr>
            <w:tcW w:w="320" w:type="dxa"/>
            <w:vAlign w:val="bottom"/>
            <w:tcBorders>
              <w:right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1,073</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3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32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895</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502.8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Business Metrics</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(Actual</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2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Numbers)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Locations at period end</w:t>
            </w:r>
          </w:p>
        </w:tc>
        <w:tc>
          <w:tcPr>
            <w:tcW w:w="1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New admissions</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910</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653</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2,325</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123.3</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Recertifications</w:t>
            </w:r>
          </w:p>
        </w:tc>
        <w:tc>
          <w:tcPr>
            <w:tcW w:w="1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764</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3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1,949</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985</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964</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Total volume</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1,674</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1,269</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4,274</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2,026</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Visits</w:t>
            </w:r>
          </w:p>
        </w:tc>
        <w:tc>
          <w:tcPr>
            <w:tcW w:w="1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31,477</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21,774</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9,703</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320" w:type="dxa"/>
            <w:vAlign w:val="bottom"/>
            <w:tcBorders>
              <w:right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75,188</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34,631</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40,557</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2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Same store growth</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revenue % </w:t>
            </w: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49.1</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20" w:type="dxa"/>
            <w:vAlign w:val="bottom"/>
            <w:tcBorders>
              <w:right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Same store growth new</w:t>
            </w:r>
          </w:p>
        </w:tc>
        <w:tc>
          <w:tcPr>
            <w:tcW w:w="100" w:type="dxa"/>
            <w:vAlign w:val="bottom"/>
            <w:shd w:val="clear" w:color="auto" w:fill="CFF0FC"/>
          </w:tcPr>
          <w:p>
            <w:pPr>
              <w:spacing w:after="0"/>
              <w:rPr>
                <w:sz w:val="13"/>
                <w:szCs w:val="13"/>
                <w:color w:val="auto"/>
              </w:rPr>
            </w:pPr>
          </w:p>
        </w:tc>
        <w:tc>
          <w:tcPr>
            <w:tcW w:w="4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 xml:space="preserve">admissions % </w:t>
            </w: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60" w:right="200" w:hanging="352"/>
        <w:spacing w:after="0" w:line="260" w:lineRule="auto"/>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 store growth reflects the change in year-over-year revenue and admission for the same store base. We define the same store base to include those stores open for at least 52 full weeks. This measure highlights the performance of existing stores, while excluding the impact of acquisitions, new store openings and closures.</w:t>
      </w:r>
    </w:p>
    <w:p>
      <w:pPr>
        <w:spacing w:after="0" w:line="154" w:lineRule="exact"/>
        <w:rPr>
          <w:sz w:val="20"/>
          <w:szCs w:val="20"/>
          <w:color w:val="auto"/>
        </w:rPr>
      </w:pPr>
    </w:p>
    <w:p>
      <w:pPr>
        <w:ind w:right="100" w:firstLine="484"/>
        <w:spacing w:after="0" w:line="256" w:lineRule="auto"/>
        <w:rPr>
          <w:sz w:val="20"/>
          <w:szCs w:val="20"/>
          <w:color w:val="auto"/>
        </w:rPr>
      </w:pPr>
      <w:r>
        <w:rPr>
          <w:rFonts w:ascii="Times New Roman" w:cs="Times New Roman" w:eastAsia="Times New Roman" w:hAnsi="Times New Roman"/>
          <w:sz w:val="18"/>
          <w:szCs w:val="18"/>
          <w:color w:val="auto"/>
        </w:rPr>
        <w:t>On May 1, 2018, upon the completion of our acquisition of Ambercare, we began operating our home health segment. We expanded this segment with the acquisition of Alliance on August 1, 2019. Home health generates net service revenues by providing home health services on a short-term, intermittent or episodic basis to individuals, generally to treat an illness or injury. Net service revenues from Medicare accounted for 76.4% and 90.2%, managed care organizations accounted for 22.0% and 9.1% and other accounted for 1.6% and 0.7% for the three months ended September 30, 2019 and 2018, respectively. Net service revenues from Medicare accounted for 79.0% and 91.0%, managed care organizations accounted for 18.6% and 8.3% and other accounted for 2.4% and 0.7% for the nine months ended September 30, 2019 and 2018, respectively.</w:t>
      </w:r>
    </w:p>
    <w:p>
      <w:pPr>
        <w:spacing w:after="0" w:line="134" w:lineRule="exact"/>
        <w:rPr>
          <w:sz w:val="20"/>
          <w:szCs w:val="20"/>
          <w:color w:val="auto"/>
        </w:rPr>
      </w:pPr>
    </w:p>
    <w:p>
      <w:pPr>
        <w:ind w:right="140" w:firstLine="484"/>
        <w:spacing w:after="0" w:line="261" w:lineRule="auto"/>
        <w:rPr>
          <w:sz w:val="20"/>
          <w:szCs w:val="20"/>
          <w:color w:val="auto"/>
        </w:rPr>
      </w:pPr>
      <w:r>
        <w:rPr>
          <w:rFonts w:ascii="Times New Roman" w:cs="Times New Roman" w:eastAsia="Times New Roman" w:hAnsi="Times New Roman"/>
          <w:sz w:val="18"/>
          <w:szCs w:val="18"/>
          <w:color w:val="auto"/>
        </w:rPr>
        <w:t>Net service revenues increased by $1.9 million and $6.1 million for the three and nine months ended September 30, 2019 compared to the three and nine months ended September 30, 2018. For the three months ended September 30, 2019, net service revenues increased primarily due to an increase in total visits as well as the acquisition of Alliance on August 1, 2019. For the nine months ended September 30, 2019, net service revenues increased primarily due to an increase in total visits as well as the acquisitions of Ambercare on May 1, 2018 and Alliance on August 1, 2019.</w:t>
      </w:r>
    </w:p>
    <w:p>
      <w:pPr>
        <w:spacing w:after="0" w:line="126" w:lineRule="exact"/>
        <w:rPr>
          <w:sz w:val="20"/>
          <w:szCs w:val="20"/>
          <w:color w:val="auto"/>
        </w:rPr>
      </w:pPr>
    </w:p>
    <w:p>
      <w:pPr>
        <w:ind w:right="220" w:firstLine="484"/>
        <w:spacing w:after="0" w:line="261"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was 35.5% and 28.9% for the three months ended September 30, 2019 and 2018 and 32.4% and 28.5% for the nine months ended September 30, 2019 and 2018, respectively. For the three and nine months ended September 30, 2019, the increase was due to a decrease of direct employee wages, taxes and benefit costs of 5.4% and 2.8% as a percentage of net service revenues compared to the three and nine months ended September 30, 2018.</w:t>
      </w:r>
    </w:p>
    <w:p>
      <w:pPr>
        <w:spacing w:after="0" w:line="126" w:lineRule="exact"/>
        <w:rPr>
          <w:sz w:val="20"/>
          <w:szCs w:val="20"/>
          <w:color w:val="auto"/>
        </w:rPr>
      </w:pPr>
    </w:p>
    <w:p>
      <w:pPr>
        <w:ind w:right="140" w:firstLine="484"/>
        <w:spacing w:after="0" w:line="258" w:lineRule="auto"/>
        <w:rPr>
          <w:sz w:val="20"/>
          <w:szCs w:val="20"/>
          <w:color w:val="auto"/>
        </w:rPr>
      </w:pPr>
      <w:r>
        <w:rPr>
          <w:rFonts w:ascii="Times New Roman" w:cs="Times New Roman" w:eastAsia="Times New Roman" w:hAnsi="Times New Roman"/>
          <w:sz w:val="18"/>
          <w:szCs w:val="18"/>
          <w:color w:val="auto"/>
        </w:rPr>
        <w:t>The home health segment’s general and administrative expenses consist of administrative employee wages, taxes and benefit costs, rent, information technology and office expenses. General and administrative expenses, expressed as a percentage of net service revenues was 19.3% and 24.9%, respectively, for the three months ended September 30, 2019 and 2018, and 21.7% and 24.0% for the nine months ended September 30, 2019 and 2018, respectively. The home health segment’s operating income was $0.7 million and $0.1 million for the three months ended September 30, 2019 and 2018, respectively, and $1.1 million and $0.2 million for the nine months ended September 30, 2019 and 2018,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79" w:lineRule="exact"/>
        <w:rPr>
          <w:sz w:val="20"/>
          <w:szCs w:val="20"/>
          <w:color w:val="auto"/>
        </w:rPr>
      </w:pPr>
    </w:p>
    <w:p>
      <w:pPr>
        <w:ind w:right="20" w:firstLine="484"/>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cash from operations and borrowings under our credit facility. During the three months ended September 30, 2019, we received cash proceeds from the issuance and sale of shares of common stock in our Public Offering as described below. As also described below, we entered into a credit facility on May 8, 2018 that replaced our Terminated Senior Secured Credit Facility. We amended and restated our existing credit agreement on October 31, 2018 and amended it again on September 12, 2019. At September 30, 2019 and December 31, 2018, we had cash balances of $239.6 million and $70.4 million, respectively.</w:t>
      </w:r>
    </w:p>
    <w:p>
      <w:pPr>
        <w:sectPr>
          <w:pgSz w:w="11900" w:h="16838" w:orient="portrait"/>
          <w:cols w:equalWidth="0" w:num="1">
            <w:col w:w="11420"/>
          </w:cols>
          <w:pgMar w:left="240" w:top="117"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91" w:lineRule="exact"/>
        <w:rPr>
          <w:sz w:val="20"/>
          <w:szCs w:val="20"/>
          <w:color w:val="auto"/>
        </w:rPr>
      </w:pPr>
    </w:p>
    <w:p>
      <w:pPr>
        <w:ind w:right="40" w:firstLine="484"/>
        <w:spacing w:after="0" w:line="272" w:lineRule="auto"/>
        <w:rPr>
          <w:sz w:val="20"/>
          <w:szCs w:val="20"/>
          <w:color w:val="auto"/>
        </w:rPr>
      </w:pPr>
      <w:r>
        <w:rPr>
          <w:rFonts w:ascii="Times New Roman" w:cs="Times New Roman" w:eastAsia="Times New Roman" w:hAnsi="Times New Roman"/>
          <w:sz w:val="17"/>
          <w:szCs w:val="17"/>
          <w:color w:val="auto"/>
        </w:rPr>
        <w:t>We drew approximately $23.5 million on the revolver portion of our credit facility to fund, in part, the purchase price for the Alliance acquisition on August 1, 2019. Additionally, we drew $19.6 million on the term loan portion of our credit facility to fund, in part, the VIP acquisition on June 1, 2019. As of September 30, 2019, we had a total of $43.5 million in revolving loans, with an interest rate of 3.85%, and $19.4 million term loans, with an interest rate of</w:t>
      </w:r>
    </w:p>
    <w:p>
      <w:pPr>
        <w:spacing w:after="0" w:line="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3.86%, outstanding on our credit facility. After giving effect to the amount drawn on our credit facility, approximately $10.0 million of outstanding letters of credit and borrowing limits based on an advance multiple of adjusted EBITDA, we had $134.1 million available for borrowing under our credit facility.</w:t>
      </w:r>
    </w:p>
    <w:p>
      <w:pPr>
        <w:spacing w:after="0" w:line="126" w:lineRule="exact"/>
        <w:rPr>
          <w:sz w:val="20"/>
          <w:szCs w:val="20"/>
          <w:color w:val="auto"/>
        </w:rPr>
      </w:pPr>
    </w:p>
    <w:p>
      <w:pPr>
        <w:ind w:right="40" w:firstLine="484"/>
        <w:spacing w:after="0" w:line="266" w:lineRule="auto"/>
        <w:rPr>
          <w:sz w:val="20"/>
          <w:szCs w:val="20"/>
          <w:color w:val="auto"/>
        </w:rPr>
      </w:pPr>
      <w:r>
        <w:rPr>
          <w:rFonts w:ascii="Times New Roman" w:cs="Times New Roman" w:eastAsia="Times New Roman" w:hAnsi="Times New Roman"/>
          <w:sz w:val="18"/>
          <w:szCs w:val="18"/>
          <w:color w:val="auto"/>
        </w:rPr>
        <w:t>As of December 31, 2018, we had a total of $20.0 million revolving loans outstanding on our credit facility with an interest rate of 4.35%. After giving effect to the amount drawn on our credit facility, approximately $10.8 million of outstanding letters of credit and borrowing limits based on an advance multiple of adjusted EBITDA, we had $142.9 million available for borrowing under our revolving credit loan facility.</w:t>
      </w:r>
    </w:p>
    <w:p>
      <w:pPr>
        <w:spacing w:after="0" w:line="122" w:lineRule="exact"/>
        <w:rPr>
          <w:sz w:val="20"/>
          <w:szCs w:val="20"/>
          <w:color w:val="auto"/>
        </w:rPr>
      </w:pPr>
    </w:p>
    <w:p>
      <w:pPr>
        <w:ind w:firstLine="484"/>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represent the inflow of cash from our payor clients and the outflow of cash for payroll and payroll taxes, operating expenses, interest and taxes. Due to its revenue deficiencies as well as budget and financing issues, from time to time the state of Illinois has reimbursed us on a delayed basis with respect to our various agreements including with our largest payor, the Illinois Department on Aging. The open receivable balance from the state of Illinois increased by $1.8 million from $24.3 million as of December 31, 2018 to $26.1 million as of September 30, 2019.</w:t>
      </w:r>
    </w:p>
    <w:p>
      <w:pPr>
        <w:spacing w:after="0" w:line="126" w:lineRule="exact"/>
        <w:rPr>
          <w:sz w:val="20"/>
          <w:szCs w:val="20"/>
          <w:color w:val="auto"/>
        </w:rPr>
      </w:pPr>
    </w:p>
    <w:p>
      <w:pPr>
        <w:ind w:right="60" w:firstLine="484"/>
        <w:spacing w:after="0" w:line="258" w:lineRule="auto"/>
        <w:rPr>
          <w:sz w:val="20"/>
          <w:szCs w:val="20"/>
          <w:color w:val="auto"/>
        </w:rPr>
      </w:pPr>
      <w:r>
        <w:rPr>
          <w:rFonts w:ascii="Times New Roman" w:cs="Times New Roman" w:eastAsia="Times New Roman" w:hAnsi="Times New Roman"/>
          <w:sz w:val="18"/>
          <w:szCs w:val="18"/>
          <w:color w:val="auto"/>
        </w:rPr>
        <w:t>The Illinois Department on Aging’s payments for non-Medicaid consumers have been delayed in the past and may continue to be delayed in the future due to budget disputes. On June 4, 2018, the state of Illinois passed a budget for state fiscal year 2019, which began on July 1, 2018. On June 6, 2019, the state of Illinois passed a budget for state fiscal year 2020, which began on July 1, 2019. There remains uncertainty surrounding the State of Illinois’ future year budgets. If future budgets are not enacted, timely payments from the state of Illinois could be delayed in the future. The delays could adversely impact our liquidity and result in the need to increase borrowings under our credit facility or cause us to pursue other liquidity options.</w:t>
      </w:r>
    </w:p>
    <w:p>
      <w:pPr>
        <w:spacing w:after="0" w:line="130" w:lineRule="exact"/>
        <w:rPr>
          <w:sz w:val="20"/>
          <w:szCs w:val="20"/>
          <w:color w:val="auto"/>
        </w:rPr>
      </w:pPr>
    </w:p>
    <w:p>
      <w:pPr>
        <w:ind w:right="100" w:firstLine="484"/>
        <w:spacing w:after="0" w:line="261" w:lineRule="auto"/>
        <w:rPr>
          <w:sz w:val="20"/>
          <w:szCs w:val="20"/>
          <w:color w:val="auto"/>
        </w:rPr>
      </w:pPr>
      <w:r>
        <w:rPr>
          <w:rFonts w:ascii="Times New Roman" w:cs="Times New Roman" w:eastAsia="Times New Roman" w:hAnsi="Times New Roman"/>
          <w:sz w:val="18"/>
          <w:szCs w:val="18"/>
          <w:color w:val="auto"/>
        </w:rPr>
        <w:t>We are subject to minimum wage laws and minimum wages have increased in many of the jurisdictions in which we operate. Since our operations are concentrated in Illinois, New York and New Mexico, we are particularly sensitive to changes in these states. For example, in 2014, the Chicago City Council passed an ordinance that will raise the minimum wage for Chicago workers to $13 per hour on July 1, 2019, with increases adjusted to the Consumer Price Index in subsequent years. Since 2014, wage increases have only been partially offset by a reimbursement rate increase.</w:t>
      </w:r>
    </w:p>
    <w:p>
      <w:pPr>
        <w:spacing w:after="0" w:line="126" w:lineRule="exact"/>
        <w:rPr>
          <w:sz w:val="20"/>
          <w:szCs w:val="20"/>
          <w:color w:val="auto"/>
        </w:rPr>
      </w:pPr>
    </w:p>
    <w:p>
      <w:pPr>
        <w:ind w:right="20" w:firstLine="484"/>
        <w:spacing w:after="0" w:line="254" w:lineRule="auto"/>
        <w:rPr>
          <w:sz w:val="20"/>
          <w:szCs w:val="20"/>
          <w:color w:val="auto"/>
        </w:rPr>
      </w:pPr>
      <w:r>
        <w:rPr>
          <w:rFonts w:ascii="Times New Roman" w:cs="Times New Roman" w:eastAsia="Times New Roman" w:hAnsi="Times New Roman"/>
          <w:sz w:val="18"/>
          <w:szCs w:val="18"/>
          <w:color w:val="auto"/>
        </w:rPr>
        <w:t>In the budget process for the 2019 fiscal year, a proposed rate increase was not included in the final budget. In June of 2019, the State of Illinois finalized its fiscal year 2020 budget with the inclusion of an appropriation to raise in-home care rates to offset the costs of previous minimum wage increases by the Chicago City Council. The state of Illinois previously expected these two increases to have an effective date of September 1, 2019 and January 1, 2020 but is currently awaiting approval from the Centers for Medicare &amp; Medicaid Services (“CMS”) of a Medicaid waiver amendment submitted by the state with a proposed effective date of September 1, 2019. Approval from CMS is pending and can be granted retroactively to the proposed effective date, but there can be no assurances that such retroactivity will be granted. In the interim, the Illinois Department on Aging (“IDOA”), in conjunction with Illinois’ Health Care and Family Services, announced that the new rates would become effective retroactive to July 1, 2019 for services covered by the managed care organizations. While approximately one-third of our services in Illinois are covered by managed care organizations and thus will benefit from such retroactivity to July 1, 2019, a majority of our IDOA operations in Illinois are not covered by managed care organizations, and our financial performance is impacted in quarters for which an offsetting reimbursement rate increase is not in effect.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94" w:lineRule="exact"/>
        <w:rPr>
          <w:sz w:val="20"/>
          <w:szCs w:val="20"/>
          <w:color w:val="auto"/>
        </w:rPr>
      </w:pPr>
    </w:p>
    <w:p>
      <w:pPr>
        <w:ind w:right="100" w:firstLine="484"/>
        <w:spacing w:after="0" w:line="256" w:lineRule="auto"/>
        <w:rPr>
          <w:sz w:val="20"/>
          <w:szCs w:val="20"/>
          <w:color w:val="auto"/>
        </w:rPr>
      </w:pPr>
      <w:r>
        <w:rPr>
          <w:rFonts w:ascii="Times New Roman" w:cs="Times New Roman" w:eastAsia="Times New Roman" w:hAnsi="Times New Roman"/>
          <w:sz w:val="18"/>
          <w:szCs w:val="18"/>
          <w:color w:val="auto"/>
        </w:rPr>
        <w:t>On September 9, 2019, we completed a public offering of an aggregate 2,300,000 shares of common stock, par value $0.001 per share, including 300,000 shares of common stock sold pursuant to the exercise in full by the underwriters of their option to purchase additional shares, at a public offering price of $79.50 per share (the “Public Offering”). We received net proceeds of approximately $172.9 million, after deducting underwriting discounts and estimated offering expenses of approximately $9.9 million. We used approximately $130.0 million from the net proceeds of the offering to fund the purchase price for our acquisition of Hospice Partners on October 1, 2019 and may use any remaining net proceeds of the offering for general corporate purposes, including future acquisitions or investments, and the repayment of indebtedness outstanding under our amended and restated credit facility.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Amendment to Amended and Restated Senior Secured Credit Facility</w:t>
      </w:r>
    </w:p>
    <w:p>
      <w:pPr>
        <w:spacing w:after="0" w:line="81" w:lineRule="exact"/>
        <w:rPr>
          <w:sz w:val="20"/>
          <w:szCs w:val="20"/>
          <w:color w:val="auto"/>
        </w:rPr>
      </w:pPr>
    </w:p>
    <w:p>
      <w:pPr>
        <w:ind w:right="80" w:firstLine="484"/>
        <w:spacing w:after="0" w:line="256" w:lineRule="auto"/>
        <w:rPr>
          <w:sz w:val="20"/>
          <w:szCs w:val="20"/>
          <w:color w:val="auto"/>
        </w:rPr>
      </w:pPr>
      <w:r>
        <w:rPr>
          <w:rFonts w:ascii="Times New Roman" w:cs="Times New Roman" w:eastAsia="Times New Roman" w:hAnsi="Times New Roman"/>
          <w:sz w:val="18"/>
          <w:szCs w:val="18"/>
          <w:color w:val="auto"/>
        </w:rPr>
        <w:t>On September 12, 2019, we entered into a First Amendment (the “Amendment”) to our Credit Agreement (as defined below), with certain lenders and Capital One, National Association, as a lender and as agent for all lenders, which amended our Credit Agreement, dated as of October 31, 2018, with certain lenders and the Agent. The Amendment increased our amended and restated credit facility by $50.0 million in incremental revolving loans, for an aggregate $300.0 million in revolving loans. The Amendment provides that future incremental loans may be for term loans or an increase to the revolving loan commitments. The Amendment further provides that the proceeds of the incremental revolving loan commitments may be used for, among other things, general corporate purposes. In connection with this Amendment, we incurred approximately $0.4 million of debt issuance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Senior Secured Credit Facility</w:t>
      </w:r>
    </w:p>
    <w:p>
      <w:pPr>
        <w:spacing w:after="0" w:line="81" w:lineRule="exact"/>
        <w:rPr>
          <w:sz w:val="20"/>
          <w:szCs w:val="20"/>
          <w:color w:val="auto"/>
        </w:rPr>
      </w:pPr>
    </w:p>
    <w:p>
      <w:pPr>
        <w:ind w:right="40" w:firstLine="484"/>
        <w:spacing w:after="0" w:line="256" w:lineRule="auto"/>
        <w:rPr>
          <w:sz w:val="20"/>
          <w:szCs w:val="20"/>
          <w:color w:val="auto"/>
        </w:rPr>
      </w:pPr>
      <w:r>
        <w:rPr>
          <w:rFonts w:ascii="Times New Roman" w:cs="Times New Roman" w:eastAsia="Times New Roman" w:hAnsi="Times New Roman"/>
          <w:sz w:val="18"/>
          <w:szCs w:val="18"/>
          <w:color w:val="auto"/>
        </w:rPr>
        <w:t>On October 31, 2018, we amended and restated our Existing Credit Agreement, with certain lenders and Capital One, National Association as a lender and swing line lender and as agent for all lenders. This amended and restated credit facility totals $269.6 million, inclusive of a $250.0 million revolving loan and a $19.6 million delayed draw term loan and is evidenced by the Credit Agreement. This amended and restated credit facility amended and restated our existing senior secured credit facility totaling $250.0 million. The maturity of this amended and restated credit facility is May 8, 2023, with borrowing under the delayed draw term loan available until June 30, 2019, as extended pursuant to the consent letter, dated January 30, 2019, executed by the Required Lenders (as defined in the Credit Agreement). Interest on our amended and restated credit</w:t>
      </w:r>
    </w:p>
    <w:p>
      <w:pPr>
        <w:sectPr>
          <w:pgSz w:w="11900" w:h="16838" w:orient="portrait"/>
          <w:cols w:equalWidth="0" w:num="1">
            <w:col w:w="11400"/>
          </w:cols>
          <w:pgMar w:left="240" w:top="117" w:right="25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amended and restated credit facility is conditioned, among other things, upon (after giving effect to such draws) the Total Net Leverage Ratio (as defined in the Credit Agreement) not exceeding 3.75:1.00. In certain circumstances, in connection with a Material Acquisition (as defined in the Credit Agreement), we can elect to increase our Total Net Leverage Ratio compliance covenant to 4.25:1.00 for the then current fiscal quarter and the three succeeding fiscal quarters. In connection with this amended and restated credit facility, we incurred approximately $0.9 million of debt issuance costs.</w:t>
      </w:r>
    </w:p>
    <w:p>
      <w:pPr>
        <w:spacing w:after="0" w:line="132" w:lineRule="exact"/>
        <w:rPr>
          <w:sz w:val="20"/>
          <w:szCs w:val="20"/>
          <w:color w:val="auto"/>
        </w:rPr>
      </w:pPr>
    </w:p>
    <w:p>
      <w:pPr>
        <w:ind w:right="160" w:firstLine="484"/>
        <w:spacing w:after="0" w:line="258" w:lineRule="auto"/>
        <w:rPr>
          <w:sz w:val="20"/>
          <w:szCs w:val="20"/>
          <w:color w:val="auto"/>
        </w:rPr>
      </w:pPr>
      <w:r>
        <w:rPr>
          <w:rFonts w:ascii="Times New Roman" w:cs="Times New Roman" w:eastAsia="Times New Roman" w:hAnsi="Times New Roman"/>
          <w:sz w:val="18"/>
          <w:szCs w:val="18"/>
          <w:color w:val="auto"/>
        </w:rPr>
        <w:t>Addus HealthCare is the borrower, and its parent, Holdings, and substantially all of Holdings’ subsidiaries are guarantors under this amended and restated credit facility, and it is collateralized by a first priority security interest in all of our and the other credit parties’ current and future tangible and intangible assets, including the shares of stock of the borrower and subsidiaries. The Credit Agreement contains affirmative and negative covenants customary for credit facilities of this type, including limitations on us with respect to liens, indebtedness, guaranties, investments, distributions, mergers and acquisitions and dispositions of assets.</w:t>
      </w:r>
    </w:p>
    <w:p>
      <w:pPr>
        <w:spacing w:after="0" w:line="130" w:lineRule="exact"/>
        <w:rPr>
          <w:sz w:val="20"/>
          <w:szCs w:val="20"/>
          <w:color w:val="auto"/>
        </w:rPr>
      </w:pPr>
    </w:p>
    <w:p>
      <w:pPr>
        <w:ind w:right="160" w:firstLine="484"/>
        <w:spacing w:after="0" w:line="282" w:lineRule="auto"/>
        <w:rPr>
          <w:sz w:val="20"/>
          <w:szCs w:val="20"/>
          <w:color w:val="auto"/>
        </w:rPr>
      </w:pPr>
      <w:r>
        <w:rPr>
          <w:rFonts w:ascii="Times New Roman" w:cs="Times New Roman" w:eastAsia="Times New Roman" w:hAnsi="Times New Roman"/>
          <w:sz w:val="18"/>
          <w:szCs w:val="18"/>
          <w:color w:val="auto"/>
        </w:rPr>
        <w:t>We pay a fee ranging from 0.20% to 0.35% based on the applicable senior net leverage ratio times the unused portion of the revolving loan portion of the amended and restated credit facility.</w:t>
      </w:r>
    </w:p>
    <w:p>
      <w:pPr>
        <w:spacing w:after="0" w:line="108" w:lineRule="exact"/>
        <w:rPr>
          <w:sz w:val="20"/>
          <w:szCs w:val="20"/>
          <w:color w:val="auto"/>
        </w:rPr>
      </w:pPr>
    </w:p>
    <w:p>
      <w:pPr>
        <w:ind w:right="240" w:firstLine="484"/>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 $7.5 million in any year absent of an event of default, plus limited exceptions for tax and administrative distributions), a restriction on the ability to consummate acquisitions (without the consent of the lenders) under our credit facility subject to compliance with the Total Net Leverage Ratio (as defined in the Credit Agreement), restrictions on mergers, dispositions of assets, and affiliate transactions, and restrictions on fundamental changes and lines of business.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September 30, 2019, we were in compliance with our covenants under the Credit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p>
    <w:p>
      <w:pPr>
        <w:spacing w:after="0" w:line="81" w:lineRule="exact"/>
        <w:rPr>
          <w:sz w:val="20"/>
          <w:szCs w:val="20"/>
          <w:color w:val="auto"/>
        </w:rPr>
      </w:pPr>
    </w:p>
    <w:p>
      <w:pPr>
        <w:ind w:right="160" w:firstLine="484"/>
        <w:spacing w:after="0" w:line="258" w:lineRule="auto"/>
        <w:rPr>
          <w:sz w:val="20"/>
          <w:szCs w:val="20"/>
          <w:color w:val="auto"/>
        </w:rPr>
      </w:pPr>
      <w:r>
        <w:rPr>
          <w:rFonts w:ascii="Times New Roman" w:cs="Times New Roman" w:eastAsia="Times New Roman" w:hAnsi="Times New Roman"/>
          <w:sz w:val="18"/>
          <w:szCs w:val="18"/>
          <w:color w:val="auto"/>
        </w:rPr>
        <w:t>Prior to October 31, 2018, we were a party to the Existing Credit Agreement with certain lenders and Capital One, National Association, as a lender and swing lender and as agent for all lenders. This credit facility totaled $250.0 million, replaced our previous Terminated Senior Secured Credit Facility totaling $125.0 million, and terminated the Terminated Senior Secured Credit Agreement, dated as of November 10, 2015, as modified by the May 24, 2016 amendment, between us, certain lenders and Fifth Third Bank, as agent, which evidenced the Terminated Senior Secured Credit Facility. The credit facility included a $125.0 million revolving loan, a $45.0 million term loan and an $80.0 million delayed draw term loan.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changes in our cash flows for the nine months ended September 30, 2019 and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4020" w:type="dxa"/>
            <w:vAlign w:val="bottom"/>
            <w:tcBorders>
              <w:bottom w:val="single" w:sz="8" w:color="auto"/>
            </w:tcBorders>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6520" w:type="dxa"/>
            <w:vAlign w:val="bottom"/>
          </w:tcPr>
          <w:p>
            <w:pPr>
              <w:spacing w:after="0"/>
              <w:rPr>
                <w:sz w:val="20"/>
                <w:szCs w:val="20"/>
                <w:color w:val="auto"/>
              </w:rPr>
            </w:pPr>
          </w:p>
        </w:tc>
        <w:tc>
          <w:tcPr>
            <w:tcW w:w="14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2018</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20" w:type="dxa"/>
            <w:vAlign w:val="bottom"/>
            <w:gridSpan w:val="2"/>
          </w:tcPr>
          <w:p>
            <w:pPr>
              <w:jc w:val="center"/>
              <w:ind w:right="554"/>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0" w:type="dxa"/>
            <w:vAlign w:val="bottom"/>
            <w:shd w:val="clear" w:color="auto" w:fill="CFF0FC"/>
          </w:tcPr>
          <w:p>
            <w:pPr>
              <w:jc w:val="right"/>
              <w:ind w:right="1241"/>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8,084</w:t>
            </w:r>
          </w:p>
        </w:tc>
        <w:tc>
          <w:tcPr>
            <w:tcW w:w="1600" w:type="dxa"/>
            <w:vAlign w:val="bottom"/>
            <w:shd w:val="clear" w:color="auto" w:fill="CFF0FC"/>
          </w:tcPr>
          <w:p>
            <w:pPr>
              <w:jc w:val="right"/>
              <w:ind w:right="1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24,679</w:t>
            </w:r>
          </w:p>
        </w:tc>
        <w:tc>
          <w:tcPr>
            <w:tcW w:w="100" w:type="dxa"/>
            <w:vAlign w:val="bottom"/>
            <w:shd w:val="clear" w:color="auto" w:fill="CFF0FC"/>
          </w:tcPr>
          <w:p>
            <w:pPr>
              <w:spacing w:after="0"/>
              <w:rPr>
                <w:sz w:val="20"/>
                <w:szCs w:val="20"/>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(56,301)</w:t>
            </w:r>
          </w:p>
        </w:tc>
        <w:tc>
          <w:tcPr>
            <w:tcW w:w="16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(65,731)</w:t>
            </w: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217,420</w:t>
            </w:r>
          </w:p>
        </w:tc>
        <w:tc>
          <w:tcPr>
            <w:tcW w:w="16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134,775</w:t>
            </w:r>
          </w:p>
        </w:tc>
        <w:tc>
          <w:tcPr>
            <w:tcW w:w="100" w:type="dxa"/>
            <w:vAlign w:val="bottom"/>
            <w:shd w:val="clear" w:color="auto" w:fill="CFF0FC"/>
          </w:tcPr>
          <w:p>
            <w:pPr>
              <w:spacing w:after="0"/>
              <w:rPr>
                <w:sz w:val="19"/>
                <w:szCs w:val="19"/>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2019 Compared to Nine Months Ended September 30, 2018</w:t>
      </w:r>
    </w:p>
    <w:p>
      <w:pPr>
        <w:spacing w:after="0" w:line="79" w:lineRule="exact"/>
        <w:rPr>
          <w:sz w:val="20"/>
          <w:szCs w:val="20"/>
          <w:color w:val="auto"/>
        </w:rPr>
      </w:pPr>
    </w:p>
    <w:p>
      <w:pPr>
        <w:ind w:right="60" w:firstLine="48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$8.1 million for the nine months ended September 30, 2019, compared to net cash provided by operating activities of $24.7 million for the same period in 2018 primarily related to changes in accounts receivable primarily related to the growth in revenue during for the nine months ended September 30, 2019 compared to 2018. The related receivables due from the Illinois Department on Aging represented 18.9% and 22.5% of net accounts receivable at September 30, 2019 and December 31, 2018, respectively.</w:t>
      </w:r>
    </w:p>
    <w:p>
      <w:pPr>
        <w:spacing w:after="0" w:line="126" w:lineRule="exact"/>
        <w:rPr>
          <w:sz w:val="20"/>
          <w:szCs w:val="20"/>
          <w:color w:val="auto"/>
        </w:rPr>
      </w:pPr>
    </w:p>
    <w:p>
      <w:pPr>
        <w:ind w:right="120" w:firstLine="484"/>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$56.3 million for the nine months ended September 30, 2019 compared to $65.7 million for the nine months ended September 30, 2018. Our investing activities for the nine months ended September 30, 2019 primarily consisted of $29.9 million for the acquisition of VIP, $23.5 million for the acquisition of Alliance, and $3.1 million in purchases of property and equipment primarily related to our ongoing investments in our technology infrastructure. Our investing activities for the nine months ended September 30, 2018 consisted of $39.6 million for the acquisition of Ambercare, net of cash acquired of $12.0 million, $18.9 million for the acquisition of Arcadia, $3.3 million for the acquisition of LifeStyle and $3.4 million in purchases of property and equipment primarily related to investments in our technology infrastructure.</w:t>
      </w:r>
    </w:p>
    <w:p>
      <w:pPr>
        <w:sectPr>
          <w:pgSz w:w="11900" w:h="16838" w:orient="portrait"/>
          <w:cols w:equalWidth="0" w:num="1">
            <w:col w:w="11420"/>
          </w:cols>
          <w:pgMar w:left="240" w:top="117"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91" w:lineRule="exact"/>
        <w:rPr>
          <w:sz w:val="20"/>
          <w:szCs w:val="20"/>
          <w:color w:val="auto"/>
        </w:rPr>
      </w:pPr>
    </w:p>
    <w:p>
      <w:pPr>
        <w:ind w:right="40" w:firstLine="484"/>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$217.4 million for the nine months ended September 30, 2019 compared to $134.8 million for the nine months ended September 30, 2018. Our financing activities for the nine months ended September 30, 2019 primarily related to net proceeds from our Public Offering of $172.9 million, borrowings of $23.5 million on the revolver portion of our credit facility to fund the Alliance acquisition, borrowings of $19.6 million on the delayed draw term loan portion of our credit facility to fund, in part, the VIP acquisition and $2.1 million in cash received from the exercise of stock options. Our financing activities for the nine months ended September 30, 2018 primarily were from net proceeds from our 2018 secondary offering of $76.6 million, borrowings of approximately $60.4 million on the delayed draw term loan portion of our credit facility to fund the acquisitions of Arcadia and Ambercare, $1.7 million of payments on the term loan portion of the credit facility, $1.0 million in payments on financing lease obligations and $0.5 million in cash received from the exercise of stock options.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Accounts Receivable</w:t>
      </w:r>
    </w:p>
    <w:p>
      <w:pPr>
        <w:spacing w:after="0" w:line="92" w:lineRule="exact"/>
        <w:rPr>
          <w:sz w:val="20"/>
          <w:szCs w:val="20"/>
          <w:color w:val="auto"/>
        </w:rPr>
      </w:pPr>
    </w:p>
    <w:p>
      <w:pPr>
        <w:ind w:firstLine="484"/>
        <w:spacing w:after="0" w:line="261" w:lineRule="auto"/>
        <w:rPr>
          <w:sz w:val="20"/>
          <w:szCs w:val="20"/>
          <w:color w:val="auto"/>
        </w:rPr>
      </w:pPr>
      <w:r>
        <w:rPr>
          <w:rFonts w:ascii="Times New Roman" w:cs="Times New Roman" w:eastAsia="Times New Roman" w:hAnsi="Times New Roman"/>
          <w:sz w:val="18"/>
          <w:szCs w:val="18"/>
          <w:color w:val="auto"/>
        </w:rPr>
        <w:t>Gross accounts receivable as of September 30, 2019 and December 31, 2018 were approximately $139.7 million and $108.7 million, respectively. Outstanding accounts receivable, net of the allowance for doubtful accounts, increased by $30.0 million as of September 30, 2019 compared to December 31, 2018. This increase is related to the increase in DSO as well as increases of approximately $8.7 million with the acquisitions of VIP and Alliance during the nine months ended September 30, 2019.</w:t>
      </w:r>
    </w:p>
    <w:p>
      <w:pPr>
        <w:spacing w:after="0" w:line="126" w:lineRule="exact"/>
        <w:rPr>
          <w:sz w:val="20"/>
          <w:szCs w:val="20"/>
          <w:color w:val="auto"/>
        </w:rPr>
      </w:pPr>
    </w:p>
    <w:p>
      <w:pPr>
        <w:ind w:right="40" w:firstLine="484"/>
        <w:spacing w:after="0" w:line="258" w:lineRule="auto"/>
        <w:rPr>
          <w:sz w:val="20"/>
          <w:szCs w:val="20"/>
          <w:color w:val="auto"/>
        </w:rPr>
      </w:pPr>
      <w:r>
        <w:rPr>
          <w:rFonts w:ascii="Times New Roman" w:cs="Times New Roman" w:eastAsia="Times New Roman" w:hAnsi="Times New Roman"/>
          <w:sz w:val="18"/>
          <w:szCs w:val="18"/>
          <w:color w:val="auto"/>
        </w:rPr>
        <w:t>We calculate our DSO by taking the trade accounts receivable outstanding net of the allowance for doubtful accounts divided by the total net service revenues for the last quarter, multiplied by the number of days in that quarter. Our DSOs were 75 days and 71 days at September 30, 2019 and December 31, 2018, respectively. The DSOs for our largest payor, the Illinois Department on Aging, at September 30, 2019 and December 31, 2018 were 65 days and 55 days, respectively. We may not receive payments on a consistent basis in the near term and our DSOs and the DSO for the Illinois Department on Aging may increase despite the state of Illinois’s enactment of state budgets for fiscal years 2019 and 2020.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2019, we did not have any off-balance sheet guarantees or arrangements with unconsolidated entities.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previously disclosed under the caption “Management’s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of Financial Condition and Results of Operations — Critical Accounting Policies and Estimates” set forth in Part II, Item 7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period ended December 31, 2018, filed on March 18, 2019.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2 to the Notes to Consolidated Financial Statements for further discussion.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81" w:lineRule="exact"/>
        <w:rPr>
          <w:sz w:val="20"/>
          <w:szCs w:val="20"/>
          <w:color w:val="auto"/>
        </w:rPr>
      </w:pPr>
    </w:p>
    <w:p>
      <w:pPr>
        <w:ind w:right="180" w:firstLine="484"/>
        <w:spacing w:after="0" w:line="258"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on our variable rate long-term debt. As of September 30, 2019, we had outstanding borrowings of approximately $62.8 million on our credit facility, all of such borrowings were subject to variable interest rates. If the variable rates on this debt were 100 basis points higher than the rate applicable to the borrowing during the three and nine months period ended September 30, 2019, our net income would have decreased by $0.1 million, or $0.01 per diluted share and $0.2 million, or $0.01 per diluted share, for the respective periods. We do not currently have any derivative or hedging arrangements, or other known exposures, to changes in interest rates.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81" w:lineRule="exact"/>
        <w:rPr>
          <w:sz w:val="20"/>
          <w:szCs w:val="20"/>
          <w:color w:val="auto"/>
        </w:rPr>
      </w:pPr>
    </w:p>
    <w:p>
      <w:pPr>
        <w:ind w:right="20" w:firstLine="48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2019.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include, without limitation, controls and procedures designed to reasonably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32" w:lineRule="exact"/>
        <w:rPr>
          <w:sz w:val="20"/>
          <w:szCs w:val="20"/>
          <w:color w:val="auto"/>
        </w:rPr>
      </w:pPr>
    </w:p>
    <w:p>
      <w:pPr>
        <w:ind w:right="320" w:firstLine="48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Chief Executive Officer and Chief Financial Officer concluded that our disclosure controls and procedures were not effective as of September 30, 2019 due to a material weakness in internal control over financial reporting that was disclosed in our Annual Report on Form 10-K for the year ended December 31, 2018.</w:t>
      </w:r>
    </w:p>
    <w:p>
      <w:pPr>
        <w:spacing w:after="0" w:line="122" w:lineRule="exact"/>
        <w:rPr>
          <w:sz w:val="20"/>
          <w:szCs w:val="20"/>
          <w:color w:val="auto"/>
        </w:rPr>
      </w:pPr>
    </w:p>
    <w:p>
      <w:pPr>
        <w:ind w:right="120" w:firstLine="484"/>
        <w:spacing w:after="0" w:line="282" w:lineRule="auto"/>
        <w:rPr>
          <w:sz w:val="20"/>
          <w:szCs w:val="20"/>
          <w:color w:val="auto"/>
        </w:rPr>
      </w:pPr>
      <w:r>
        <w:rPr>
          <w:rFonts w:ascii="Times New Roman" w:cs="Times New Roman" w:eastAsia="Times New Roman" w:hAnsi="Times New Roman"/>
          <w:sz w:val="18"/>
          <w:szCs w:val="18"/>
          <w:color w:val="auto"/>
        </w:rPr>
        <w:t>However, we believe that the financial statements included in this quarterly report fairly present in all material respects our financial condition, results of operations, and cash flows for the periods presented.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w:t>
      </w:r>
    </w:p>
    <w:p>
      <w:pPr>
        <w:spacing w:after="0" w:line="94" w:lineRule="exact"/>
        <w:rPr>
          <w:sz w:val="20"/>
          <w:szCs w:val="20"/>
          <w:color w:val="auto"/>
        </w:rPr>
      </w:pPr>
    </w:p>
    <w:p>
      <w:pPr>
        <w:ind w:firstLine="484"/>
        <w:spacing w:after="0" w:line="255" w:lineRule="auto"/>
        <w:rPr>
          <w:sz w:val="20"/>
          <w:szCs w:val="20"/>
          <w:color w:val="auto"/>
        </w:rPr>
      </w:pPr>
      <w:r>
        <w:rPr>
          <w:rFonts w:ascii="Times New Roman" w:cs="Times New Roman" w:eastAsia="Times New Roman" w:hAnsi="Times New Roman"/>
          <w:sz w:val="18"/>
          <w:szCs w:val="18"/>
          <w:color w:val="auto"/>
        </w:rPr>
        <w:t>As previously described in Part II, Item 9A of our Annual Report on Form 10-K for the year ended December 31, 2018, we began implementing a remediation plan to address the material weakness mentioned above. We received assurances from our preferred electronic visit verification (“EVV”) vendor that it will deliver a Service Organization Control 1 Type 2 (“SOC 1 Type 2”) report with respect to 2019. In addition, we are reviewing related existing controls to consider additional and modified controls to increase our level of precision to further strengthen the control environment without regard to whether we obtain the SOC 1 Type 2 report from our EVV vendor. The material weakness will not be considered remediated until the applicable controls are designed, implemented and in operation for a sufficient period of time and management has concluded, including delivery of the SOC 1 Type 2 report or otherwise and testing of our control environment, that these controls are designed and operating effectively.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81" w:lineRule="exact"/>
        <w:rPr>
          <w:sz w:val="20"/>
          <w:szCs w:val="20"/>
          <w:color w:val="auto"/>
        </w:rPr>
      </w:pPr>
    </w:p>
    <w:p>
      <w:pPr>
        <w:ind w:right="300" w:firstLine="484"/>
        <w:spacing w:after="0" w:line="282" w:lineRule="auto"/>
        <w:rPr>
          <w:sz w:val="20"/>
          <w:szCs w:val="20"/>
          <w:color w:val="auto"/>
        </w:rPr>
      </w:pPr>
      <w:r>
        <w:rPr>
          <w:rFonts w:ascii="Times New Roman" w:cs="Times New Roman" w:eastAsia="Times New Roman" w:hAnsi="Times New Roman"/>
          <w:sz w:val="18"/>
          <w:szCs w:val="18"/>
          <w:color w:val="auto"/>
        </w:rPr>
        <w:t>We continue to integrate application changes and acquisitions processes into our established internal control environment to effectively manage our risk and financial reporting efforts.</w:t>
      </w:r>
    </w:p>
    <w:p>
      <w:pPr>
        <w:spacing w:after="0" w:line="108" w:lineRule="exact"/>
        <w:rPr>
          <w:sz w:val="20"/>
          <w:szCs w:val="20"/>
          <w:color w:val="auto"/>
        </w:rPr>
      </w:pPr>
    </w:p>
    <w:p>
      <w:pPr>
        <w:ind w:right="80" w:firstLine="484"/>
        <w:spacing w:after="0" w:line="266" w:lineRule="auto"/>
        <w:rPr>
          <w:sz w:val="20"/>
          <w:szCs w:val="20"/>
          <w:color w:val="auto"/>
        </w:rPr>
      </w:pPr>
      <w:r>
        <w:rPr>
          <w:rFonts w:ascii="Times New Roman" w:cs="Times New Roman" w:eastAsia="Times New Roman" w:hAnsi="Times New Roman"/>
          <w:sz w:val="18"/>
          <w:szCs w:val="18"/>
          <w:color w:val="auto"/>
        </w:rPr>
        <w:t>Except as mentioned above, there were no changes in our internal control over financial reporting identified in connection with the evaluation required by Rule 13a-15(d) and 15d-15(d) of the Exchange Act that occurred during the fiscal quarter ended September 30, 2019 that has materially affected, or is reasonably likely to materially affect, our internal control over financial reporting.</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94" w:lineRule="exact"/>
        <w:rPr>
          <w:sz w:val="20"/>
          <w:szCs w:val="20"/>
          <w:color w:val="auto"/>
        </w:rPr>
      </w:pPr>
    </w:p>
    <w:p>
      <w:pPr>
        <w:ind w:right="580" w:firstLine="484"/>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08" w:lineRule="exact"/>
        <w:rPr>
          <w:sz w:val="20"/>
          <w:szCs w:val="20"/>
          <w:color w:val="auto"/>
        </w:rPr>
      </w:pPr>
    </w:p>
    <w:p>
      <w:pPr>
        <w:ind w:right="20" w:firstLine="484"/>
        <w:spacing w:after="0" w:line="252" w:lineRule="auto"/>
        <w:rPr>
          <w:sz w:val="20"/>
          <w:szCs w:val="20"/>
          <w:color w:val="auto"/>
        </w:rPr>
      </w:pPr>
      <w:r>
        <w:rPr>
          <w:rFonts w:ascii="Times New Roman" w:cs="Times New Roman" w:eastAsia="Times New Roman" w:hAnsi="Times New Roman"/>
          <w:sz w:val="18"/>
          <w:szCs w:val="18"/>
          <w:color w:val="auto"/>
        </w:rPr>
        <w:t>On January 20, 2016, we were served with a lawsuit filed in the United States District Court for the Northern District of Illinois against our Company and Cigna Corporation by Stop Illinois Marketing Fraud, LLC, a qui tam relator formed for the purpose of bringing this action. In the action, the plaintiff alleged, inter alia, violations of the federal False Claims Act relating primarily to allegations of violations of the federal Anti-Kickback Statute and allegedly improper referrals of patients from our home care division to our home health business, substantially all of which was sold in 2013. The plaintiff sought to recover damages, fees and costs under the federal False Claims Act including treble damages, civil penalties and its attorneys’ fees. The U.S. government declined to intervene. Plaintiff amended its complaint on April 4, 2016 to include additional allegations in support of its False Claims Act claims, including alleged violations of the federal Anti-Kickback Statute. We and Cigna Corporation filed a motion to dismiss the amended complaint on June 6, 2016. On February 3, 2017, the Court granted Cigna Corporation’s motion to dismiss in full, and granted our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we filed a partial motion to dismiss the Second Amended Complaint. On May 24, 2017, the state of Illinois filed notice that it was declining to intervene in the plaintiff’s claim under the Illinois False Claims Act. On March 21, 2018, the Court granted our motion to dismiss the Second Amended Complaint in part and narrowed the lawsuit to whether the federal False Claims Act was violated with respect to home health services provided at three senior living facilities in Illinois. On September 24, 2019, the parties reached an agreement to settle this lawsuit. In connection with the settlement, the Company recognized expense of $0.6 million in discontinued operations for the three months ended September 30, 2019. The lawsuit was dismissed in full on October 15,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81" w:lineRule="exact"/>
        <w:rPr>
          <w:sz w:val="20"/>
          <w:szCs w:val="20"/>
          <w:color w:val="auto"/>
        </w:rPr>
      </w:pPr>
    </w:p>
    <w:p>
      <w:pPr>
        <w:jc w:val="both"/>
        <w:ind w:right="120" w:firstLine="484"/>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In addition to the other information set forth in this quarterly report on Form 10-Q, you should carefully consider the risk factors discussed under the caption “Risk Factors” set forth in Part I, Item 1A, of our Annual Report on Form 10-K for the year ended December 31, 2018. There have been no material changes to the risk factors previously disclosed under the caption “Risk Factors” in our Annual Report on Form 10-K, except as set forth below. Additional risks and uncertainties not currently known to us or that we currently deem to be immaterial also may materially adversely affect our business, financial condition or operating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potential cessation or modification of LIBOR may increase our interest expense or otherwise adversely affect us.</w:t>
      </w:r>
    </w:p>
    <w:p>
      <w:pPr>
        <w:spacing w:after="0" w:line="81" w:lineRule="exact"/>
        <w:rPr>
          <w:sz w:val="20"/>
          <w:szCs w:val="20"/>
          <w:color w:val="auto"/>
        </w:rPr>
      </w:pPr>
    </w:p>
    <w:p>
      <w:pPr>
        <w:ind w:firstLine="484"/>
        <w:spacing w:after="0" w:line="254" w:lineRule="auto"/>
        <w:rPr>
          <w:sz w:val="20"/>
          <w:szCs w:val="20"/>
          <w:color w:val="auto"/>
        </w:rPr>
      </w:pPr>
      <w:r>
        <w:rPr>
          <w:rFonts w:ascii="Times New Roman" w:cs="Times New Roman" w:eastAsia="Times New Roman" w:hAnsi="Times New Roman"/>
          <w:sz w:val="18"/>
          <w:szCs w:val="18"/>
          <w:color w:val="auto"/>
        </w:rPr>
        <w:t>A substantial portion of our indebtedness under the credit facility bears interest at variable interest rates that use the London Inter-Bank Offered Rate (“LIBOR”) as a benchmark rate. On July 27, 2017, the United Kingdom’s Financial Conduct Authority, which regulates LIBOR, announced that it intends to stop persuading or compelling banks to submit LIBOR quotations after 2021 (the “FCA Announcement”). The FCA Announcement indicates that the continuation of LIBOR on the current basis cannot and will not be assured after 2021, and LIBOR may cease to exist or otherwise be unsuitable for use as a benchmark. Recent proposals for LIBOR reforms may result in the establishment of new methods of calculating LIBOR or the establishment of one or more alternative benchmark rates. Although our credit facility provides for alternative base rates, some of those alternative base rates are related to LIBOR, and the consequences of any potential cessation, modification or other reform of LIBOR cannot be predicted at this time. If LIBOR ceases to exist, we most likely will need to amend the credit facility, and we cannot predict what alternative interest rate(s) will be negotiated with our counterparties. As a result, our interest expense may increase, our ability to refinance some or all of our existing indebtedness may be impacted and our available cash flow may be adversely affected.</w:t>
      </w:r>
    </w:p>
    <w:p>
      <w:pPr>
        <w:spacing w:after="0" w:line="19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local laws and regulations that govern our employment practices, including minimum wage, living wage, and paid time-off requirements. Failure to comply with these laws and regulations, or changes to these laws and regulations that increase our employment-related expenses, could adversely impact our operations.</w:t>
      </w:r>
    </w:p>
    <w:p>
      <w:pPr>
        <w:spacing w:after="0" w:line="40" w:lineRule="exact"/>
        <w:rPr>
          <w:sz w:val="20"/>
          <w:szCs w:val="20"/>
          <w:color w:val="auto"/>
        </w:rPr>
      </w:pPr>
    </w:p>
    <w:p>
      <w:pPr>
        <w:ind w:right="40" w:firstLine="484"/>
        <w:spacing w:after="0" w:line="254" w:lineRule="auto"/>
        <w:rPr>
          <w:sz w:val="20"/>
          <w:szCs w:val="20"/>
          <w:color w:val="auto"/>
        </w:rPr>
      </w:pPr>
      <w:r>
        <w:rPr>
          <w:rFonts w:ascii="Times New Roman" w:cs="Times New Roman" w:eastAsia="Times New Roman" w:hAnsi="Times New Roman"/>
          <w:sz w:val="18"/>
          <w:szCs w:val="18"/>
          <w:color w:val="auto"/>
        </w:rPr>
        <w:t>We are required to comply with all applicable federal, state and local laws and regulations relating to employment, including occupational safety and health requirements, wage and hour and other compensation requirements, employee benefits, providing leave and sick pay, employment insurance, proper classification of workers as employees or independent contractors, immigration and equal employment opportunity laws. These laws and regulations can vary significantly among jurisdictions and can be highly technical. Costs and expenses related to these requirements are a significant operating expense and may increase as a result of, among other things, changes in federal, state or local laws or regulations, or the interpretation thereof, requiring employers to provide specified benefits or rights to employees, increases in the minimum wage and local living wage ordinances, increases in the level of existing benefits or the lengthening of periods for which unemployment benefits are available. We may not be able to offset any increased costs and expenses. Furthermore, any failure to comply with these laws requirements, including even a seemingly minor infraction, can result in significant penalties which could harm our reputation and have a material adverse effect on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91" w:lineRule="exact"/>
        <w:rPr>
          <w:sz w:val="20"/>
          <w:szCs w:val="20"/>
          <w:color w:val="auto"/>
        </w:rPr>
      </w:pPr>
    </w:p>
    <w:p>
      <w:pPr>
        <w:ind w:right="20" w:firstLine="484"/>
        <w:spacing w:after="0" w:line="254" w:lineRule="auto"/>
        <w:rPr>
          <w:sz w:val="20"/>
          <w:szCs w:val="20"/>
          <w:color w:val="auto"/>
        </w:rPr>
      </w:pPr>
      <w:r>
        <w:rPr>
          <w:rFonts w:ascii="Times New Roman" w:cs="Times New Roman" w:eastAsia="Times New Roman" w:hAnsi="Times New Roman"/>
          <w:sz w:val="18"/>
          <w:szCs w:val="18"/>
          <w:color w:val="auto"/>
        </w:rPr>
        <w:t>Since our operations are concentrated in Illinois, New York and New Mexico, we are particularly sensitive to changes in laws and regulations in these states. For example, in December 2014, the Chicago City Council passed an ordinance that raised the minimum wage for Chicago workers to $13 per hour by July 1, 2019, with increases adjusted to the Consumer Price Index in subsequent years. The wage increase in 2016 did not have a material impact on us because of our existing wage scale. The 2017 wage increase was offset by a reimbursement rate increase. In the budget process for the 2019 fiscal year, a similar provision was proposed but was not included in the final budget. In June of 2019, the state of Illinois finalized its fiscal year 2020 budget with the inclusion of an appropriation to raise in-home care rates to offset the costs of previous minimum wage increases. The state of Illinois previously expected an effective date of September 1, 2019 and January 1, 2020 for two reimbursement rate increases to fund all minimum wage increases but is currently awaiting CMS approval of a Medicaid waiver amendment submitted by the state. Our financial performance is impacted in quarters for which an offsetting reimbursement rate increase is not in effect, including with respect to the potential impact of the timing of the two reimbursement rate increases noted above.</w:t>
      </w:r>
    </w:p>
    <w:p>
      <w:pPr>
        <w:spacing w:after="0" w:line="135" w:lineRule="exact"/>
        <w:rPr>
          <w:sz w:val="20"/>
          <w:szCs w:val="20"/>
          <w:color w:val="auto"/>
        </w:rPr>
      </w:pPr>
    </w:p>
    <w:p>
      <w:pPr>
        <w:ind w:firstLine="484"/>
        <w:spacing w:after="0" w:line="258" w:lineRule="auto"/>
        <w:rPr>
          <w:sz w:val="20"/>
          <w:szCs w:val="20"/>
          <w:color w:val="auto"/>
        </w:rPr>
      </w:pPr>
      <w:r>
        <w:rPr>
          <w:rFonts w:ascii="Times New Roman" w:cs="Times New Roman" w:eastAsia="Times New Roman" w:hAnsi="Times New Roman"/>
          <w:sz w:val="18"/>
          <w:szCs w:val="18"/>
          <w:color w:val="auto"/>
        </w:rPr>
        <w:t>In addition, certain individuals and entities, known as excluded persons, are prohibited from receiving payment for their services rendered to Medicaid, Medicare and other federal and state healthcare program beneficiaries. If we inadvertently hire or contract with an excluded person, or if any of our current employees or contractors becomes an excluded person in the future without our knowledge, we may be subject to substantial civil penalties, including up to $20,000 for each item or service furnished by the excluded individual to a federal or state healthcare program beneficiary, an assessment of up to three times the amount claimed and exclusion from the program.</w:t>
      </w:r>
    </w:p>
    <w:p>
      <w:pPr>
        <w:spacing w:after="0" w:line="130" w:lineRule="exact"/>
        <w:rPr>
          <w:sz w:val="20"/>
          <w:szCs w:val="20"/>
          <w:color w:val="auto"/>
        </w:rPr>
      </w:pPr>
    </w:p>
    <w:p>
      <w:pPr>
        <w:ind w:right="200" w:firstLine="484"/>
        <w:spacing w:after="0" w:line="282" w:lineRule="auto"/>
        <w:rPr>
          <w:sz w:val="20"/>
          <w:szCs w:val="20"/>
          <w:color w:val="auto"/>
        </w:rPr>
      </w:pPr>
      <w:r>
        <w:rPr>
          <w:rFonts w:ascii="Times New Roman" w:cs="Times New Roman" w:eastAsia="Times New Roman" w:hAnsi="Times New Roman"/>
          <w:sz w:val="18"/>
          <w:szCs w:val="18"/>
          <w:color w:val="auto"/>
        </w:rPr>
        <w:t>The Company and each of our subsidiaries are required to offer a minimum level of health coverage to 95% of our respective full-time employees in 2019 or be subject to an annual penalty under the Affordable Care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Acquisition of Hospice Partners (“the Acquisition”)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that are anticipated from the Acquisition.</w:t>
      </w:r>
    </w:p>
    <w:p>
      <w:pPr>
        <w:spacing w:after="0" w:line="81" w:lineRule="exact"/>
        <w:rPr>
          <w:sz w:val="20"/>
          <w:szCs w:val="20"/>
          <w:color w:val="auto"/>
        </w:rPr>
      </w:pPr>
    </w:p>
    <w:p>
      <w:pPr>
        <w:ind w:right="100" w:firstLine="484"/>
        <w:spacing w:after="0" w:line="254" w:lineRule="auto"/>
        <w:rPr>
          <w:sz w:val="20"/>
          <w:szCs w:val="20"/>
          <w:color w:val="auto"/>
        </w:rPr>
      </w:pPr>
      <w:r>
        <w:rPr>
          <w:rFonts w:ascii="Times New Roman" w:cs="Times New Roman" w:eastAsia="Times New Roman" w:hAnsi="Times New Roman"/>
          <w:sz w:val="18"/>
          <w:szCs w:val="18"/>
          <w:color w:val="auto"/>
        </w:rPr>
        <w:t>The benefits that are expected to result from the Acquisition will depend, in part, on our ability to realize the growth opportunities we anticipate from the Acquisition. Our success in realizing these growth opportunities, and the timing of this realization, depends, in part, on Hospice Partners performing in accordance with our expectations and the successful integration of Hospice Partners. Even if we are able to integrate Hospice Partners successfully and it performs as expected, this integration may not result in the realization of the full benefits of the growth opportunities we currently expect, nor can we give assurances that these benefits will be achieved when expected or at all. Moreover, we also expect to incur expenses in connection with the integration of Hospice Partners. Further, our due diligence review of Hospice Partners may not have successfully identified all potential issues. Accordingly, the benefits from the Acquisition may be offset by costs incurred or delays in integrating the businesses. In addition, the integration of Hospice Partners may result in material unanticipated problems, expenses, liabilities, regulatory risks, and diversion of management’s attention. Further, we may not be able to maintain the growth rate, levels of revenue, earnings or operating efficiency that we and the Hospice Partners business have achieved or might achieve separately.</w:t>
      </w:r>
    </w:p>
    <w:p>
      <w:pPr>
        <w:spacing w:after="0" w:line="19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16" w:lineRule="exact"/>
        <w:rPr>
          <w:sz w:val="20"/>
          <w:szCs w:val="20"/>
          <w:color w:val="auto"/>
        </w:rPr>
      </w:pPr>
    </w:p>
    <w:p>
      <w:pPr>
        <w:ind w:left="760" w:hanging="665"/>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59">
        <w:r>
          <w:rPr>
            <w:rFonts w:ascii="Times New Roman" w:cs="Times New Roman" w:eastAsia="Times New Roman" w:hAnsi="Times New Roman"/>
            <w:sz w:val="18"/>
            <w:szCs w:val="18"/>
            <w:u w:val="single" w:color="auto"/>
            <w:color w:val="0000EE"/>
          </w:rPr>
          <w:t>Amended and Restated Certificate of Incorporation of the Company dated as of October 27, 2009 (filed on November 20, 2009 as Exhibit 3.1 to the</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Company’s Quarterly Report on Form 10-Q (File No. 001-34504) and incorporated by reference herein)</w:t>
        </w:r>
      </w:hyperlink>
    </w:p>
    <w:p>
      <w:pPr>
        <w:spacing w:after="0" w:line="27" w:lineRule="exact"/>
        <w:rPr>
          <w:sz w:val="20"/>
          <w:szCs w:val="20"/>
          <w:color w:val="auto"/>
        </w:rPr>
      </w:pPr>
    </w:p>
    <w:p>
      <w:pPr>
        <w:ind w:left="760" w:right="100" w:hanging="665"/>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60">
        <w:r>
          <w:rPr>
            <w:rFonts w:ascii="Times New Roman" w:cs="Times New Roman" w:eastAsia="Times New Roman" w:hAnsi="Times New Roman"/>
            <w:sz w:val="18"/>
            <w:szCs w:val="18"/>
            <w:u w:val="single" w:color="auto"/>
            <w:color w:val="0000EE"/>
          </w:rPr>
          <w:t>Amended and Restated Bylaws of the Company, as amended by the First Amendment to the Amended and Restated Bylaws (filed on May 9, 2013</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as Exhibit 3.2 to the Company’s Quarterly Report on Form 10-Q (File No. 001-34504) and incorporated by reference herein)</w:t>
        </w:r>
      </w:hyperlink>
    </w:p>
    <w:p>
      <w:pPr>
        <w:spacing w:after="0" w:line="27" w:lineRule="exact"/>
        <w:rPr>
          <w:sz w:val="20"/>
          <w:szCs w:val="20"/>
          <w:color w:val="auto"/>
        </w:rPr>
      </w:pPr>
    </w:p>
    <w:p>
      <w:pPr>
        <w:ind w:left="760" w:right="340" w:hanging="665"/>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61">
        <w:r>
          <w:rPr>
            <w:rFonts w:ascii="Times New Roman" w:cs="Times New Roman" w:eastAsia="Times New Roman" w:hAnsi="Times New Roman"/>
            <w:sz w:val="18"/>
            <w:szCs w:val="18"/>
            <w:u w:val="single" w:color="auto"/>
            <w:color w:val="0000EE"/>
          </w:rPr>
          <w:t>Form of Common Stock Certificate (filed on October 2, 2009 as Exhibit 4.1 to Amendment No. 4 to the Company’s Registration Statement on</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Form S-1 (File No. 333-160634) and incorporated by reference herein)</w:t>
        </w:r>
      </w:hyperlink>
    </w:p>
    <w:p>
      <w:pPr>
        <w:spacing w:after="0" w:line="27" w:lineRule="exact"/>
        <w:rPr>
          <w:sz w:val="20"/>
          <w:szCs w:val="20"/>
          <w:color w:val="auto"/>
        </w:rPr>
      </w:pPr>
    </w:p>
    <w:p>
      <w:pPr>
        <w:ind w:left="760" w:right="140" w:hanging="665"/>
        <w:spacing w:after="0" w:line="261"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62">
        <w:r>
          <w:rPr>
            <w:rFonts w:ascii="Times New Roman" w:cs="Times New Roman" w:eastAsia="Times New Roman" w:hAnsi="Times New Roman"/>
            <w:sz w:val="18"/>
            <w:szCs w:val="18"/>
            <w:u w:val="single" w:color="auto"/>
            <w:color w:val="0000EE"/>
          </w:rPr>
          <w:t>Registration Rights Agreement, dated September 19, 2006, by and among Addus HomeCare Corporation, Eos Capital Partners III, L.P., Eos</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Partners SBIC III, L.P., Freeport Loan Fund LLC, W. Andrew Wright, III, Addus Term Trust, W. Andrew Wright Grantor Retained Annuity Trust,</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Mark S. Heaney, James A. Wright and Courtney E. Panzer (filed on July 17, 2009 as Exhibit 4.3 to Addus HomeCare Corporation’s Registration</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Statement on Form S-1 (File No. 333-160634) and incorporated by reference herein)</w:t>
        </w:r>
      </w:hyperlink>
    </w:p>
    <w:p>
      <w:pPr>
        <w:spacing w:after="0" w:line="45" w:lineRule="exact"/>
        <w:rPr>
          <w:rFonts w:ascii="Times New Roman" w:cs="Times New Roman" w:eastAsia="Times New Roman" w:hAnsi="Times New Roman"/>
          <w:sz w:val="18"/>
          <w:szCs w:val="18"/>
          <w:u w:val="single" w:color="auto"/>
          <w:color w:val="0000EE"/>
        </w:rPr>
      </w:pPr>
    </w:p>
    <w:p>
      <w:pPr>
        <w:spacing w:after="0"/>
        <w:tabs>
          <w:tab w:leader="none" w:pos="7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63">
        <w:r>
          <w:rPr>
            <w:rFonts w:ascii="Times New Roman" w:cs="Times New Roman" w:eastAsia="Times New Roman" w:hAnsi="Times New Roman"/>
            <w:sz w:val="17"/>
            <w:szCs w:val="17"/>
            <w:u w:val="single" w:color="auto"/>
            <w:color w:val="0000EE"/>
          </w:rPr>
          <w:t>Transition Agreement and Release, effective as of July 31, 2019, by and between Addus HealthCare, Inc. and James “Zeke” Zoccoli (filed on July</w:t>
        </w:r>
      </w:hyperlink>
    </w:p>
    <w:p>
      <w:pPr>
        <w:spacing w:after="0" w:line="27" w:lineRule="exact"/>
        <w:rPr>
          <w:rFonts w:ascii="Times New Roman" w:cs="Times New Roman" w:eastAsia="Times New Roman" w:hAnsi="Times New Roman"/>
          <w:sz w:val="18"/>
          <w:szCs w:val="18"/>
          <w:u w:val="single" w:color="auto"/>
          <w:color w:val="0000EE"/>
        </w:rPr>
      </w:pPr>
    </w:p>
    <w:p>
      <w:pPr>
        <w:ind w:left="760"/>
        <w:spacing w:after="0"/>
        <w:rPr>
          <w:rFonts w:ascii="Times New Roman" w:cs="Times New Roman" w:eastAsia="Times New Roman" w:hAnsi="Times New Roman"/>
          <w:sz w:val="18"/>
          <w:szCs w:val="18"/>
          <w:u w:val="single" w:color="auto"/>
          <w:color w:val="0000EE"/>
        </w:rPr>
      </w:pPr>
      <w:hyperlink r:id="rId63">
        <w:r>
          <w:rPr>
            <w:rFonts w:ascii="Times New Roman" w:cs="Times New Roman" w:eastAsia="Times New Roman" w:hAnsi="Times New Roman"/>
            <w:sz w:val="18"/>
            <w:szCs w:val="18"/>
            <w:u w:val="single" w:color="auto"/>
            <w:color w:val="0000EE"/>
          </w:rPr>
          <w:t>24, 2019 as Exhibit 10.1 to the Company’s Current Report on Form 8-K (File No. 001-34504) and incorporated by reference herein)+</w:t>
        </w:r>
      </w:hyperlink>
    </w:p>
    <w:p>
      <w:pPr>
        <w:spacing w:after="0" w:line="112" w:lineRule="exact"/>
        <w:rPr>
          <w:rFonts w:ascii="Times New Roman" w:cs="Times New Roman" w:eastAsia="Times New Roman" w:hAnsi="Times New Roman"/>
          <w:sz w:val="18"/>
          <w:szCs w:val="18"/>
          <w:u w:val="single" w:color="auto"/>
          <w:color w:val="0000EE"/>
        </w:rPr>
      </w:pPr>
    </w:p>
    <w:p>
      <w:pPr>
        <w:jc w:val="both"/>
        <w:ind w:left="760" w:right="440" w:hanging="755"/>
        <w:spacing w:after="0" w:line="261"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64">
        <w:r>
          <w:rPr>
            <w:rFonts w:ascii="Times New Roman" w:cs="Times New Roman" w:eastAsia="Times New Roman" w:hAnsi="Times New Roman"/>
            <w:sz w:val="18"/>
            <w:szCs w:val="18"/>
            <w:u w:val="single" w:color="auto"/>
            <w:color w:val="0000EE"/>
          </w:rPr>
          <w:t>Equity Purchase Agreement, dated August 25, 2019, by and among Addus Healthcare, Inc., Hospice Partners of America, LLC, New Capital</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Partners II – HS, Inc., Senior Care Services, LLC, Eastside Partners II, L.P., and New Capital Partners II, LLC (filed on September 3, 2019 as</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Exhibit 2.1 to Addus HomeCare Corporation’s Registration Statement on Form S-3ASR (File No. 333-233600) and incorporated by reference</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herein)</w:t>
        </w:r>
      </w:hyperlink>
    </w:p>
    <w:p>
      <w:pPr>
        <w:spacing w:after="0" w:line="86" w:lineRule="exact"/>
        <w:rPr>
          <w:rFonts w:ascii="Times New Roman" w:cs="Times New Roman" w:eastAsia="Times New Roman" w:hAnsi="Times New Roman"/>
          <w:sz w:val="18"/>
          <w:szCs w:val="18"/>
          <w:u w:val="single" w:color="auto"/>
          <w:color w:val="0000EE"/>
        </w:rPr>
      </w:pPr>
    </w:p>
    <w:p>
      <w:pPr>
        <w:ind w:left="760" w:right="300" w:hanging="755"/>
        <w:spacing w:after="0" w:line="261"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65">
        <w:r>
          <w:rPr>
            <w:rFonts w:ascii="Times New Roman" w:cs="Times New Roman" w:eastAsia="Times New Roman" w:hAnsi="Times New Roman"/>
            <w:sz w:val="18"/>
            <w:szCs w:val="18"/>
            <w:u w:val="single" w:color="auto"/>
            <w:color w:val="0000EE"/>
          </w:rPr>
          <w:t>First Amendment to Amended and Restated Credit Agreement, dated as of September 12, 2019, by and among Addus HealthCare, Inc., as the</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Borrower, Addus HomeCare Corporation, other Credit Parties party thereto, Capital One, National Association, as administrative agent and as a</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Lender, and the other Lenders party thereto (filed on September 13, 2019 as Exhibit 10.1 to Addus HomeCare Corporation’s Current Report on</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Form 8-K (File No. 001-34504) and incorporated by reference herein)</w:t>
        </w:r>
      </w:hyperlink>
    </w:p>
    <w:p>
      <w:pPr>
        <w:spacing w:after="0" w:line="86" w:lineRule="exact"/>
        <w:rPr>
          <w:rFonts w:ascii="Times New Roman" w:cs="Times New Roman" w:eastAsia="Times New Roman" w:hAnsi="Times New Roman"/>
          <w:sz w:val="18"/>
          <w:szCs w:val="18"/>
          <w:u w:val="single" w:color="auto"/>
          <w:color w:val="0000EE"/>
        </w:rPr>
      </w:pPr>
    </w:p>
    <w:p>
      <w:pPr>
        <w:ind w:left="760" w:right="100" w:hanging="755"/>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40">
        <w:r>
          <w:rPr>
            <w:rFonts w:ascii="Times New Roman" w:cs="Times New Roman" w:eastAsia="Times New Roman" w:hAnsi="Times New Roman"/>
            <w:sz w:val="18"/>
            <w:szCs w:val="18"/>
            <w:u w:val="single" w:color="auto"/>
            <w:color w:val="0000EE"/>
          </w:rPr>
          <w:t>Certification of Chief Executive Officer Pursuant to Rule 13a-14(a) of the Securities Exchange Act of 1934 as Adopted Pursuant to Section 302 of</w:t>
        </w:r>
      </w:hyperlink>
      <w:r>
        <w:rPr>
          <w:rFonts w:ascii="Times New Roman" w:cs="Times New Roman" w:eastAsia="Times New Roman" w:hAnsi="Times New Roman"/>
          <w:sz w:val="18"/>
          <w:szCs w:val="18"/>
          <w:u w:val="single" w:color="auto"/>
          <w:color w:val="0000EE"/>
        </w:rPr>
        <w:t xml:space="preserve"> </w:t>
      </w:r>
      <w:hyperlink w:anchor="page40">
        <w:r>
          <w:rPr>
            <w:rFonts w:ascii="Times New Roman" w:cs="Times New Roman" w:eastAsia="Times New Roman" w:hAnsi="Times New Roman"/>
            <w:sz w:val="18"/>
            <w:szCs w:val="18"/>
            <w:u w:val="single" w:color="auto"/>
            <w:color w:val="0000EE"/>
          </w:rPr>
          <w:t>the Sarbanes-Oxley Act of 2002*</w:t>
        </w:r>
      </w:hyperlink>
    </w:p>
    <w:p>
      <w:pPr>
        <w:spacing w:after="0" w:line="27" w:lineRule="exact"/>
        <w:rPr>
          <w:sz w:val="20"/>
          <w:szCs w:val="20"/>
          <w:color w:val="auto"/>
        </w:rPr>
      </w:pPr>
    </w:p>
    <w:p>
      <w:pPr>
        <w:ind w:left="760" w:right="160" w:hanging="755"/>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41">
        <w:r>
          <w:rPr>
            <w:rFonts w:ascii="Times New Roman" w:cs="Times New Roman" w:eastAsia="Times New Roman" w:hAnsi="Times New Roman"/>
            <w:sz w:val="18"/>
            <w:szCs w:val="18"/>
            <w:u w:val="single" w:color="auto"/>
            <w:color w:val="0000EE"/>
          </w:rPr>
          <w:t>Certification of Chief Financial Officer Pursuant to Rule 13a-14(a) of the Securities Exchange Act of 1934 as Adopted Pursuant to Section 302 of</w:t>
        </w:r>
      </w:hyperlink>
      <w:r>
        <w:rPr>
          <w:rFonts w:ascii="Times New Roman" w:cs="Times New Roman" w:eastAsia="Times New Roman" w:hAnsi="Times New Roman"/>
          <w:sz w:val="18"/>
          <w:szCs w:val="18"/>
          <w:u w:val="single" w:color="auto"/>
          <w:color w:val="0000EE"/>
        </w:rPr>
        <w:t xml:space="preserve"> </w:t>
      </w:r>
      <w:hyperlink w:anchor="page41">
        <w:r>
          <w:rPr>
            <w:rFonts w:ascii="Times New Roman" w:cs="Times New Roman" w:eastAsia="Times New Roman" w:hAnsi="Times New Roman"/>
            <w:sz w:val="18"/>
            <w:szCs w:val="18"/>
            <w:u w:val="single" w:color="auto"/>
            <w:color w:val="0000EE"/>
          </w:rPr>
          <w:t>the Sarbanes-Oxley Act of 2002*</w:t>
        </w:r>
      </w:hyperlink>
    </w:p>
    <w:p>
      <w:pPr>
        <w:spacing w:after="0" w:line="27" w:lineRule="exact"/>
        <w:rPr>
          <w:sz w:val="20"/>
          <w:szCs w:val="20"/>
          <w:color w:val="auto"/>
        </w:rPr>
      </w:pPr>
    </w:p>
    <w:p>
      <w:pPr>
        <w:ind w:left="760" w:right="320" w:hanging="755"/>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32.1</w:t>
      </w:r>
      <w:r>
        <w:rPr>
          <w:sz w:val="20"/>
          <w:szCs w:val="20"/>
          <w:color w:val="auto"/>
        </w:rPr>
        <w:tab/>
      </w:r>
      <w:hyperlink w:anchor="page42">
        <w:r>
          <w:rPr>
            <w:rFonts w:ascii="Times New Roman" w:cs="Times New Roman" w:eastAsia="Times New Roman" w:hAnsi="Times New Roman"/>
            <w:sz w:val="18"/>
            <w:szCs w:val="18"/>
            <w:u w:val="single" w:color="auto"/>
            <w:color w:val="0000EE"/>
          </w:rPr>
          <w:t>Certification of Chief Executive Officer Pursuant to 18 U.S.C. Section 1350, as Adopted Pursuant to Section 906 of the Sarbanes-Oxley Act of</w:t>
        </w:r>
      </w:hyperlink>
      <w:r>
        <w:rPr>
          <w:rFonts w:ascii="Times New Roman" w:cs="Times New Roman" w:eastAsia="Times New Roman" w:hAnsi="Times New Roman"/>
          <w:sz w:val="18"/>
          <w:szCs w:val="18"/>
          <w:u w:val="single" w:color="auto"/>
          <w:color w:val="0000EE"/>
        </w:rPr>
        <w:t xml:space="preserve"> </w:t>
      </w:r>
      <w:hyperlink w:anchor="page42">
        <w:r>
          <w:rPr>
            <w:rFonts w:ascii="Times New Roman" w:cs="Times New Roman" w:eastAsia="Times New Roman" w:hAnsi="Times New Roman"/>
            <w:sz w:val="18"/>
            <w:szCs w:val="18"/>
            <w:u w:val="single" w:color="auto"/>
            <w:color w:val="0000EE"/>
          </w:rPr>
          <w:t>2002**</w:t>
        </w:r>
      </w:hyperlink>
    </w:p>
    <w:p>
      <w:pPr>
        <w:spacing w:after="0" w:line="67" w:lineRule="exact"/>
        <w:rPr>
          <w:sz w:val="20"/>
          <w:szCs w:val="20"/>
          <w:color w:val="auto"/>
        </w:rPr>
      </w:pPr>
    </w:p>
    <w:p>
      <w:pPr>
        <w:ind w:left="760" w:right="360" w:hanging="755"/>
        <w:spacing w:after="0" w:line="282"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32.2</w:t>
      </w:r>
      <w:r>
        <w:rPr>
          <w:sz w:val="20"/>
          <w:szCs w:val="20"/>
          <w:color w:val="auto"/>
        </w:rPr>
        <w:tab/>
      </w:r>
      <w:hyperlink w:anchor="page43">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906 of the Sarbanes-Oxley Act of</w:t>
        </w:r>
      </w:hyperlink>
      <w:r>
        <w:rPr>
          <w:rFonts w:ascii="Times New Roman" w:cs="Times New Roman" w:eastAsia="Times New Roman" w:hAnsi="Times New Roman"/>
          <w:sz w:val="18"/>
          <w:szCs w:val="18"/>
          <w:u w:val="single" w:color="auto"/>
          <w:color w:val="0000EE"/>
        </w:rPr>
        <w:t xml:space="preserve"> </w:t>
      </w:r>
      <w:hyperlink w:anchor="page43">
        <w:r>
          <w:rPr>
            <w:rFonts w:ascii="Times New Roman" w:cs="Times New Roman" w:eastAsia="Times New Roman" w:hAnsi="Times New Roman"/>
            <w:sz w:val="18"/>
            <w:szCs w:val="18"/>
            <w:u w:val="single" w:color="auto"/>
            <w:color w:val="0000EE"/>
          </w:rPr>
          <w:t>2002**</w:t>
        </w:r>
      </w:hyperlink>
    </w:p>
    <w:p>
      <w:pPr>
        <w:spacing w:after="0" w:line="27" w:lineRule="exact"/>
        <w:rPr>
          <w:sz w:val="20"/>
          <w:szCs w:val="20"/>
          <w:color w:val="auto"/>
        </w:rPr>
      </w:pPr>
    </w:p>
    <w:p>
      <w:pPr>
        <w:ind w:left="760" w:right="140" w:hanging="752"/>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quarterly report on Form 10-Q of Addus HomeCare Corporation for the quarter ended September 30, 2019, filed on November 8, 2019 formatted in XBRL: (i) Condensed Consolidated Balance Sheets, (ii) Condensed Consolidated Statements of Income,</w:t>
      </w:r>
    </w:p>
    <w:p>
      <w:pPr>
        <w:ind w:left="760" w:right="3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Condensed Consolidated Statements of Stockholders’ Equity, (iv) Condensed Consolidated Statements of Cash Flows, and (v) the Notes to Condensed Consolidated Financial Statements*</w:t>
      </w:r>
    </w:p>
    <w:p>
      <w:pPr>
        <w:spacing w:after="0" w:line="166"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9"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compensation plan or arrangement.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b w:val="1"/>
          <w:bCs w:val="1"/>
          <w:i w:val="1"/>
          <w:iCs w:val="1"/>
          <w:color w:val="auto"/>
        </w:rPr>
        <w:t>ADDUS HOMECARE CORPORATION</w:t>
      </w:r>
    </w:p>
    <w:p>
      <w:pPr>
        <w:spacing w:after="0" w:line="225" w:lineRule="exact"/>
        <w:rPr>
          <w:sz w:val="20"/>
          <w:szCs w:val="20"/>
          <w:color w:val="auto"/>
        </w:rPr>
      </w:pPr>
    </w:p>
    <w:p>
      <w:pPr>
        <w:spacing w:after="0"/>
        <w:tabs>
          <w:tab w:leader="none" w:pos="5720" w:val="left"/>
          <w:tab w:leader="none" w:pos="8020" w:val="left"/>
        </w:tabs>
        <w:rPr>
          <w:sz w:val="20"/>
          <w:szCs w:val="20"/>
          <w:color w:val="auto"/>
        </w:rPr>
      </w:pPr>
      <w:r>
        <w:rPr>
          <w:rFonts w:ascii="Times New Roman" w:cs="Times New Roman" w:eastAsia="Times New Roman" w:hAnsi="Times New Roman"/>
          <w:sz w:val="16"/>
          <w:szCs w:val="16"/>
          <w:color w:val="auto"/>
        </w:rPr>
        <w:t>Date: November 8, 2019</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29210</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5"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6"/>
          <w:szCs w:val="16"/>
          <w:b w:val="1"/>
          <w:bCs w:val="1"/>
          <w:color w:val="auto"/>
        </w:rPr>
        <w:t>R. Dirk Allison</w:t>
      </w:r>
    </w:p>
    <w:p>
      <w:pPr>
        <w:spacing w:after="0" w:line="28"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6"/>
          <w:szCs w:val="16"/>
          <w:b w:val="1"/>
          <w:bCs w:val="1"/>
          <w:color w:val="auto"/>
        </w:rPr>
        <w:t>(As Principal Executive Officer)</w:t>
      </w:r>
    </w:p>
    <w:p>
      <w:pPr>
        <w:spacing w:after="0" w:line="227" w:lineRule="exact"/>
        <w:rPr>
          <w:sz w:val="20"/>
          <w:szCs w:val="20"/>
          <w:color w:val="auto"/>
        </w:rPr>
      </w:pPr>
    </w:p>
    <w:p>
      <w:pPr>
        <w:spacing w:after="0"/>
        <w:tabs>
          <w:tab w:leader="none" w:pos="5720" w:val="left"/>
          <w:tab w:leader="none" w:pos="8220" w:val="left"/>
        </w:tabs>
        <w:rPr>
          <w:sz w:val="20"/>
          <w:szCs w:val="20"/>
          <w:color w:val="auto"/>
        </w:rPr>
      </w:pPr>
      <w:r>
        <w:rPr>
          <w:rFonts w:ascii="Times New Roman" w:cs="Times New Roman" w:eastAsia="Times New Roman" w:hAnsi="Times New Roman"/>
          <w:sz w:val="16"/>
          <w:szCs w:val="16"/>
          <w:color w:val="auto"/>
        </w:rPr>
        <w:t>Date: November 8, 2019</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20320</wp:posOffset>
            </wp:positionV>
            <wp:extent cx="3327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9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6"/>
          <w:szCs w:val="16"/>
          <w:b w:val="1"/>
          <w:bCs w:val="1"/>
          <w:color w:val="auto"/>
        </w:rPr>
        <w:t>Brian Poff</w:t>
      </w:r>
    </w:p>
    <w:p>
      <w:pPr>
        <w:spacing w:after="0" w:line="28"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6"/>
          <w:szCs w:val="16"/>
          <w:b w:val="1"/>
          <w:bCs w:val="1"/>
          <w:color w:val="auto"/>
        </w:rPr>
        <w:t>(As Principal Financial Officer)</w:t>
      </w:r>
    </w:p>
    <w:p>
      <w:pPr>
        <w:spacing w:after="0" w:line="200" w:lineRule="exact"/>
        <w:rPr>
          <w:sz w:val="20"/>
          <w:szCs w:val="20"/>
          <w:color w:val="auto"/>
        </w:rPr>
      </w:pP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760"/>
          </w:cols>
          <w:pgMar w:left="240" w:top="117" w:right="899" w:bottom="1440" w:gutter="0" w:footer="0" w:header="0"/>
        </w:sectPr>
      </w:pPr>
    </w:p>
    <w:bookmarkStart w:id="39" w:name="page40"/>
    <w:bookmarkEnd w:id="39"/>
    <w:p>
      <w:pPr>
        <w:ind w:left="104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Dirk Allison, certify that:</w:t>
      </w:r>
    </w:p>
    <w:p>
      <w:pPr>
        <w:spacing w:after="0" w:line="171"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Addus HomeCare Corporation;</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8"/>
          <w:szCs w:val="18"/>
          <w:color w:val="auto"/>
        </w:rPr>
      </w:pPr>
    </w:p>
    <w:p>
      <w:pPr>
        <w:ind w:left="960" w:right="60" w:hanging="479"/>
        <w:spacing w:after="0" w:line="281" w:lineRule="auto"/>
        <w:tabs>
          <w:tab w:leader="none" w:pos="96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6"/>
          <w:szCs w:val="16"/>
          <w:color w:val="auto"/>
        </w:rPr>
      </w:pPr>
    </w:p>
    <w:p>
      <w:pPr>
        <w:ind w:left="960" w:hanging="479"/>
        <w:spacing w:after="0" w:line="281" w:lineRule="auto"/>
        <w:tabs>
          <w:tab w:leader="none" w:pos="96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6"/>
          <w:szCs w:val="16"/>
          <w:color w:val="auto"/>
        </w:rPr>
      </w:pPr>
    </w:p>
    <w:p>
      <w:pPr>
        <w:ind w:left="960" w:right="440" w:hanging="479"/>
        <w:spacing w:after="0" w:line="298" w:lineRule="auto"/>
        <w:tabs>
          <w:tab w:leader="none" w:pos="96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ind w:left="960" w:right="80" w:hanging="479"/>
        <w:spacing w:after="0" w:line="281" w:lineRule="auto"/>
        <w:tabs>
          <w:tab w:leader="none" w:pos="96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Times New Roman" w:cs="Times New Roman" w:eastAsia="Times New Roman" w:hAnsi="Times New Roman"/>
          <w:sz w:val="16"/>
          <w:szCs w:val="16"/>
          <w:color w:val="auto"/>
        </w:rPr>
      </w:pPr>
    </w:p>
    <w:p>
      <w:pPr>
        <w:ind w:right="46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8"/>
          <w:szCs w:val="18"/>
          <w:color w:val="auto"/>
        </w:rPr>
      </w:pPr>
    </w:p>
    <w:p>
      <w:pPr>
        <w:ind w:left="960" w:right="600" w:hanging="479"/>
        <w:spacing w:after="0" w:line="298" w:lineRule="auto"/>
        <w:tabs>
          <w:tab w:leader="none" w:pos="96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960" w:right="220" w:hanging="479"/>
        <w:spacing w:after="0" w:line="298" w:lineRule="auto"/>
        <w:tabs>
          <w:tab w:leader="none" w:pos="96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8, 2019</w:t>
            </w:r>
          </w:p>
        </w:tc>
        <w:tc>
          <w:tcPr>
            <w:tcW w:w="782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By:  /s/ R. Dirk Allison</w:t>
            </w:r>
          </w:p>
        </w:tc>
      </w:tr>
      <w:tr>
        <w:trPr>
          <w:trHeight w:val="185"/>
        </w:trPr>
        <w:tc>
          <w:tcPr>
            <w:tcW w:w="36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R. Dirk Allison</w:t>
            </w:r>
          </w:p>
        </w:tc>
      </w:tr>
      <w:tr>
        <w:trPr>
          <w:trHeight w:val="210"/>
        </w:trPr>
        <w:tc>
          <w:tcPr>
            <w:tcW w:w="3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bl>
    <w:p>
      <w:pPr>
        <w:sectPr>
          <w:pgSz w:w="11900" w:h="16838" w:orient="portrait"/>
          <w:cols w:equalWidth="0" w:num="1">
            <w:col w:w="11420"/>
          </w:cols>
          <w:pgMar w:left="240" w:top="117" w:right="239" w:bottom="1440" w:gutter="0" w:footer="0" w:header="0"/>
        </w:sectPr>
      </w:pPr>
    </w:p>
    <w:bookmarkStart w:id="40" w:name="page41"/>
    <w:bookmarkEnd w:id="40"/>
    <w:p>
      <w:pPr>
        <w:ind w:left="104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Poff, certify that:</w:t>
      </w:r>
    </w:p>
    <w:p>
      <w:pPr>
        <w:spacing w:after="0" w:line="171"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Addus HomeCare Corporation;</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8"/>
          <w:szCs w:val="18"/>
          <w:color w:val="auto"/>
        </w:rPr>
      </w:pPr>
    </w:p>
    <w:p>
      <w:pPr>
        <w:ind w:left="960" w:right="60" w:hanging="479"/>
        <w:spacing w:after="0" w:line="281" w:lineRule="auto"/>
        <w:tabs>
          <w:tab w:leader="none" w:pos="9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6"/>
          <w:szCs w:val="16"/>
          <w:color w:val="auto"/>
        </w:rPr>
      </w:pPr>
    </w:p>
    <w:p>
      <w:pPr>
        <w:ind w:left="960" w:hanging="479"/>
        <w:spacing w:after="0" w:line="281" w:lineRule="auto"/>
        <w:tabs>
          <w:tab w:leader="none" w:pos="9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6"/>
          <w:szCs w:val="16"/>
          <w:color w:val="auto"/>
        </w:rPr>
      </w:pPr>
    </w:p>
    <w:p>
      <w:pPr>
        <w:ind w:left="960" w:right="440" w:hanging="479"/>
        <w:spacing w:after="0" w:line="298" w:lineRule="auto"/>
        <w:tabs>
          <w:tab w:leader="none" w:pos="9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ind w:left="960" w:right="80" w:hanging="479"/>
        <w:spacing w:after="0" w:line="281" w:lineRule="auto"/>
        <w:tabs>
          <w:tab w:leader="none" w:pos="9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Times New Roman" w:cs="Times New Roman" w:eastAsia="Times New Roman" w:hAnsi="Times New Roman"/>
          <w:sz w:val="16"/>
          <w:szCs w:val="16"/>
          <w:color w:val="auto"/>
        </w:rPr>
      </w:pPr>
    </w:p>
    <w:p>
      <w:pPr>
        <w:ind w:right="46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8"/>
          <w:szCs w:val="18"/>
          <w:color w:val="auto"/>
        </w:rPr>
      </w:pPr>
    </w:p>
    <w:p>
      <w:pPr>
        <w:ind w:left="960" w:right="600" w:hanging="479"/>
        <w:spacing w:after="0" w:line="298" w:lineRule="auto"/>
        <w:tabs>
          <w:tab w:leader="none" w:pos="9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960" w:right="220" w:hanging="479"/>
        <w:spacing w:after="0" w:line="298" w:lineRule="auto"/>
        <w:tabs>
          <w:tab w:leader="none" w:pos="9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8, 2019</w:t>
            </w:r>
          </w:p>
        </w:tc>
        <w:tc>
          <w:tcPr>
            <w:tcW w:w="782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By:  /s/ Brian Poff</w:t>
            </w:r>
          </w:p>
        </w:tc>
      </w:tr>
      <w:tr>
        <w:trPr>
          <w:trHeight w:val="185"/>
        </w:trPr>
        <w:tc>
          <w:tcPr>
            <w:tcW w:w="36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Brian Poff</w:t>
            </w:r>
          </w:p>
        </w:tc>
      </w:tr>
      <w:tr>
        <w:trPr>
          <w:trHeight w:val="210"/>
        </w:trPr>
        <w:tc>
          <w:tcPr>
            <w:tcW w:w="3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11420"/>
          </w:cols>
          <w:pgMar w:left="240" w:top="117"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September 30, 2019 of Addus HomeCare Corporation (the “Company”) as filed with the Securities and Exchange Commission on the date hereof (the “Report”), I, R. Dirk Allison, President and Chief Executive Officer of the Company, certify, pursuant to 18 U.S.C. Section 1350, as adopted pursuant to Section 906 of the Sarbanes-Oxley Act of 2002, that:</w:t>
      </w:r>
    </w:p>
    <w:p>
      <w:pPr>
        <w:spacing w:after="0" w:line="167" w:lineRule="exact"/>
        <w:rPr>
          <w:sz w:val="20"/>
          <w:szCs w:val="20"/>
          <w:color w:val="auto"/>
        </w:rPr>
      </w:pPr>
    </w:p>
    <w:p>
      <w:pPr>
        <w:ind w:left="880" w:hanging="841"/>
        <w:spacing w:after="0"/>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21" w:lineRule="exact"/>
        <w:rPr>
          <w:rFonts w:ascii="Times New Roman" w:cs="Times New Roman" w:eastAsia="Times New Roman" w:hAnsi="Times New Roman"/>
          <w:sz w:val="16"/>
          <w:szCs w:val="16"/>
          <w:color w:val="auto"/>
        </w:rPr>
      </w:pPr>
    </w:p>
    <w:p>
      <w:pPr>
        <w:ind w:left="880" w:hanging="841"/>
        <w:spacing w:after="0"/>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8, 2019</w:t>
            </w:r>
          </w:p>
        </w:tc>
        <w:tc>
          <w:tcPr>
            <w:tcW w:w="7820" w:type="dxa"/>
            <w:vAlign w:val="bottom"/>
            <w:gridSpan w:val="2"/>
          </w:tcPr>
          <w:p>
            <w:pPr>
              <w:ind w:left="2000"/>
              <w:spacing w:after="0"/>
              <w:rPr>
                <w:sz w:val="20"/>
                <w:szCs w:val="20"/>
                <w:color w:val="auto"/>
              </w:rPr>
            </w:pPr>
            <w:r>
              <w:rPr>
                <w:rFonts w:ascii="Times New Roman" w:cs="Times New Roman" w:eastAsia="Times New Roman" w:hAnsi="Times New Roman"/>
                <w:sz w:val="16"/>
                <w:szCs w:val="16"/>
                <w:color w:val="auto"/>
              </w:rPr>
              <w:t>By:  /s/ R. Dirk Allison</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R. Dirk Allison</w:t>
            </w:r>
          </w:p>
        </w:tc>
      </w:tr>
      <w:tr>
        <w:trPr>
          <w:trHeight w:val="243"/>
        </w:trPr>
        <w:tc>
          <w:tcPr>
            <w:tcW w:w="36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bl>
    <w:p>
      <w:pPr>
        <w:sectPr>
          <w:pgSz w:w="11900" w:h="16838" w:orient="portrait"/>
          <w:cols w:equalWidth="0" w:num="1">
            <w:col w:w="11420"/>
          </w:cols>
          <w:pgMar w:left="240" w:top="117"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September 30, 2019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167" w:lineRule="exact"/>
        <w:rPr>
          <w:sz w:val="20"/>
          <w:szCs w:val="20"/>
          <w:color w:val="auto"/>
        </w:rPr>
      </w:pPr>
    </w:p>
    <w:p>
      <w:pPr>
        <w:ind w:left="880" w:hanging="841"/>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21" w:lineRule="exact"/>
        <w:rPr>
          <w:rFonts w:ascii="Times New Roman" w:cs="Times New Roman" w:eastAsia="Times New Roman" w:hAnsi="Times New Roman"/>
          <w:sz w:val="16"/>
          <w:szCs w:val="16"/>
          <w:color w:val="auto"/>
        </w:rPr>
      </w:pPr>
    </w:p>
    <w:p>
      <w:pPr>
        <w:ind w:left="880" w:hanging="841"/>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8, 2019</w:t>
            </w:r>
          </w:p>
        </w:tc>
        <w:tc>
          <w:tcPr>
            <w:tcW w:w="7820" w:type="dxa"/>
            <w:vAlign w:val="bottom"/>
            <w:gridSpan w:val="2"/>
          </w:tcPr>
          <w:p>
            <w:pPr>
              <w:ind w:left="2000"/>
              <w:spacing w:after="0"/>
              <w:rPr>
                <w:sz w:val="20"/>
                <w:szCs w:val="20"/>
                <w:color w:val="auto"/>
              </w:rPr>
            </w:pPr>
            <w:r>
              <w:rPr>
                <w:rFonts w:ascii="Times New Roman" w:cs="Times New Roman" w:eastAsia="Times New Roman" w:hAnsi="Times New Roman"/>
                <w:sz w:val="16"/>
                <w:szCs w:val="16"/>
                <w:color w:val="auto"/>
              </w:rPr>
              <w:t>By:   /s/ Brian Poff</w:t>
            </w:r>
          </w:p>
        </w:tc>
      </w:tr>
      <w:tr>
        <w:trPr>
          <w:trHeight w:val="20"/>
        </w:trPr>
        <w:tc>
          <w:tcPr>
            <w:tcW w:w="3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r>
      <w:tr>
        <w:trPr>
          <w:trHeight w:val="234"/>
        </w:trPr>
        <w:tc>
          <w:tcPr>
            <w:tcW w:w="3600" w:type="dxa"/>
            <w:vAlign w:val="bottom"/>
          </w:tcPr>
          <w:p>
            <w:pPr>
              <w:spacing w:after="0"/>
              <w:rPr>
                <w:sz w:val="20"/>
                <w:szCs w:val="20"/>
                <w:color w:val="auto"/>
              </w:rPr>
            </w:pPr>
          </w:p>
        </w:tc>
        <w:tc>
          <w:tcPr>
            <w:tcW w:w="7820" w:type="dxa"/>
            <w:vAlign w:val="bottom"/>
            <w:gridSpan w:val="2"/>
          </w:tcPr>
          <w:p>
            <w:pPr>
              <w:ind w:left="2420"/>
              <w:spacing w:after="0"/>
              <w:rPr>
                <w:sz w:val="20"/>
                <w:szCs w:val="20"/>
                <w:color w:val="auto"/>
              </w:rPr>
            </w:pPr>
            <w:r>
              <w:rPr>
                <w:rFonts w:ascii="Times New Roman" w:cs="Times New Roman" w:eastAsia="Times New Roman" w:hAnsi="Times New Roman"/>
                <w:sz w:val="16"/>
                <w:szCs w:val="16"/>
                <w:color w:val="auto"/>
              </w:rPr>
              <w:t>Brian Poff</w:t>
            </w:r>
          </w:p>
        </w:tc>
      </w:tr>
      <w:tr>
        <w:trPr>
          <w:trHeight w:val="243"/>
        </w:trPr>
        <w:tc>
          <w:tcPr>
            <w:tcW w:w="3600" w:type="dxa"/>
            <w:vAlign w:val="bottom"/>
          </w:tcPr>
          <w:p>
            <w:pPr>
              <w:spacing w:after="0"/>
              <w:rPr>
                <w:sz w:val="21"/>
                <w:szCs w:val="21"/>
                <w:color w:val="auto"/>
              </w:rPr>
            </w:pPr>
          </w:p>
        </w:tc>
        <w:tc>
          <w:tcPr>
            <w:tcW w:w="7820" w:type="dxa"/>
            <w:vAlign w:val="bottom"/>
            <w:gridSpan w:val="2"/>
          </w:tcPr>
          <w:p>
            <w:pPr>
              <w:ind w:left="242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decimal"/>
      <w:start w:val="10"/>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0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59" Type="http://schemas.openxmlformats.org/officeDocument/2006/relationships/hyperlink" Target="http://www.sec.gov/Archives/edgar/data/1468328/000119312509238641/dex31.htm" TargetMode="External"/><Relationship Id="rId60" Type="http://schemas.openxmlformats.org/officeDocument/2006/relationships/hyperlink" Target="http://www.sec.gov/Archives/edgar/data/1468328/000119312513211165/d535575dex32.htm" TargetMode="External"/><Relationship Id="rId61" Type="http://schemas.openxmlformats.org/officeDocument/2006/relationships/hyperlink" Target="http://www.sec.gov/Archives/edgar/data/1468328/000119312509202215/dex41.htm" TargetMode="External"/><Relationship Id="rId62" Type="http://schemas.openxmlformats.org/officeDocument/2006/relationships/hyperlink" Target="http://www.sec.gov/Archives/edgar/data/1468328/000119312509150710/dex43.htm" TargetMode="External"/><Relationship Id="rId63" Type="http://schemas.openxmlformats.org/officeDocument/2006/relationships/hyperlink" Target="http://www.sec.gov/Archives/edgar/data/1468328/000119312519200611/d778833d8k.htm" TargetMode="External"/><Relationship Id="rId64" Type="http://schemas.openxmlformats.org/officeDocument/2006/relationships/hyperlink" Target="http://www.sec.gov/Archives/edgar/data/1468328/000119312519236513/d24972dex21.htm" TargetMode="External"/><Relationship Id="rId65" Type="http://schemas.openxmlformats.org/officeDocument/2006/relationships/hyperlink" Target="http://www.sec.gov/Archives/edgar/data/1468328/000119312519244941/d80162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2019-12-28T01:50:08Z</dcterms:created>
  <dcterms:modified xsi:type="dcterms:W3CDTF">2019-12-28T01:50:08Z</dcterms:modified>
</cp:coreProperties>
</file>