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dus20250930_10q.htm"/>
      <w:bookmarkStart w:id="1" w:name="ksadus20250930_10q"/>
      <w:bookmarkEnd w:id="0"/>
      <w:bookmarkEnd w:id="1"/>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transition period from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001-34504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HorizontalLine"/>
        <w:pBdr>
          <w:bottom w:val="double" w:sz="2" w:space="0" w:color="808080"/>
        </w:pBdr>
        <w:bidi w:val="0"/>
        <w:spacing w:before="0" w:after="283"/>
        <w:jc w:val="left"/>
        <w:rPr/>
      </w:pPr>
      <w:r>
        <w:rPr/>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20-5340172</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6303 Cowboys Way, Suite 600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Frisco, TX</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75034</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(469) 535-8200</w:t>
      </w:r>
    </w:p>
    <w:p>
      <w:pPr>
        <w:pStyle w:val="TextBody"/>
        <w:bidi w:val="0"/>
        <w:spacing w:before="0" w:after="0"/>
        <w:ind w:left="0" w:right="0" w:firstLine="50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28" w:type="dxa"/>
          <w:left w:w="28" w:type="dxa"/>
          <w:bottom w:w="28" w:type="dxa"/>
          <w:right w:w="0" w:type="dxa"/>
        </w:tblCellMar>
      </w:tblPr>
      <w:tblGrid>
        <w:gridCol w:w="2735"/>
        <w:gridCol w:w="1535"/>
        <w:gridCol w:w="3575"/>
      </w:tblGrid>
      <w:tr>
        <w:trPr/>
        <w:tc>
          <w:tcPr>
            <w:tcW w:w="27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7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ADUS</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0" w:type="dxa"/>
        </w:tblCellMar>
      </w:tblPr>
      <w:tblGrid>
        <w:gridCol w:w="2300"/>
        <w:gridCol w:w="230"/>
        <w:gridCol w:w="2345"/>
        <w:gridCol w:w="230"/>
      </w:tblGrid>
      <w:tr>
        <w:trPr/>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As of October 28, 2025, Addus HomeCare Corporation had </w:t>
      </w:r>
      <w:r>
        <w:rPr>
          <w:rFonts w:ascii="Times New Roman" w:hAnsi="Times New Roman"/>
          <w:caps w:val="false"/>
          <w:smallCaps w:val="false"/>
          <w:sz w:val="20"/>
          <w:shd w:fill="FFFFFF" w:val="clear"/>
        </w:rPr>
        <w:t>18,483,271 </w:t>
      </w:r>
      <w:r>
        <w:rPr>
          <w:rFonts w:ascii="Times New Roman" w:hAnsi="Times New Roman"/>
          <w:caps w:val="false"/>
          <w:smallCaps w:val="false"/>
          <w:sz w:val="20"/>
        </w:rPr>
        <w:t>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75"/>
        <w:gridCol w:w="230"/>
      </w:tblGrid>
      <w:tr>
        <w:trPr/>
        <w:tc>
          <w:tcPr>
            <w:tcW w:w="9975" w:type="dxa"/>
            <w:tcBorders/>
            <w:vAlign w:val="center"/>
          </w:tcPr>
          <w:p>
            <w:pPr>
              <w:pStyle w:val="TableContents"/>
              <w:bidi w:val="0"/>
              <w:spacing w:before="0" w:after="0"/>
              <w:ind w:left="180" w:right="0" w:hanging="0"/>
              <w:jc w:val="left"/>
              <w:rPr/>
            </w:pPr>
            <w:hyperlink w:anchor="part1">
              <w:r>
                <w:rPr>
                  <w:rStyle w:val="InternetLink"/>
                  <w:rFonts w:ascii="Times New Roman" w:hAnsi="Times New Roman"/>
                  <w:caps w:val="false"/>
                  <w:smallCaps w:val="false"/>
                  <w:sz w:val="20"/>
                  <w:u w:val="single"/>
                </w:rPr>
                <w:t>PART I. FINANCIAL INFORMATION</w:t>
              </w:r>
            </w:hyperlink>
          </w:p>
        </w:tc>
        <w:tc>
          <w:tcPr>
            <w:tcW w:w="230" w:type="dxa"/>
            <w:tcBorders/>
            <w:vAlign w:val="center"/>
          </w:tcPr>
          <w:p>
            <w:pPr>
              <w:pStyle w:val="TableContents"/>
              <w:bidi w:val="0"/>
              <w:spacing w:before="0" w:after="0"/>
              <w:ind w:left="0" w:right="0" w:hanging="0"/>
              <w:jc w:val="right"/>
              <w:rPr/>
            </w:pPr>
            <w:hyperlink w:anchor="part1">
              <w:r>
                <w:rPr>
                  <w:rStyle w:val="InternetLink"/>
                  <w:rFonts w:ascii="Times New Roman" w:hAnsi="Times New Roman"/>
                  <w:caps w:val="false"/>
                  <w:smallCaps w:val="false"/>
                  <w:sz w:val="20"/>
                </w:rPr>
                <w:t>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finstmts">
              <w:r>
                <w:rPr>
                  <w:rStyle w:val="InternetLink"/>
                  <w:rFonts w:ascii="Times New Roman" w:hAnsi="Times New Roman"/>
                  <w:caps w:val="false"/>
                  <w:smallCaps w:val="false"/>
                  <w:sz w:val="20"/>
                  <w:u w:val="single"/>
                </w:rPr>
                <w:t>Item 1. Financial Statements (Unaudited)</w:t>
              </w:r>
            </w:hyperlink>
          </w:p>
        </w:tc>
        <w:tc>
          <w:tcPr>
            <w:tcW w:w="230" w:type="dxa"/>
            <w:tcBorders/>
            <w:vAlign w:val="center"/>
          </w:tcPr>
          <w:p>
            <w:pPr>
              <w:pStyle w:val="TableContents"/>
              <w:bidi w:val="0"/>
              <w:spacing w:before="0" w:after="0"/>
              <w:ind w:left="0" w:right="0" w:hanging="0"/>
              <w:jc w:val="right"/>
              <w:rPr/>
            </w:pPr>
            <w:hyperlink w:anchor="finstmts">
              <w:r>
                <w:rPr>
                  <w:rStyle w:val="InternetLink"/>
                  <w:rFonts w:ascii="Times New Roman" w:hAnsi="Times New Roman"/>
                  <w:caps w:val="false"/>
                  <w:smallCaps w:val="false"/>
                  <w:sz w:val="20"/>
                </w:rPr>
                <w:t>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900" w:right="0" w:hanging="0"/>
              <w:jc w:val="left"/>
              <w:rPr/>
            </w:pPr>
            <w:hyperlink w:anchor="bs">
              <w:r>
                <w:rPr>
                  <w:rStyle w:val="InternetLink"/>
                  <w:rFonts w:ascii="Times New Roman" w:hAnsi="Times New Roman"/>
                  <w:caps w:val="false"/>
                  <w:smallCaps w:val="false"/>
                  <w:sz w:val="20"/>
                  <w:u w:val="single"/>
                </w:rPr>
                <w:t xml:space="preserve">Condensed Consolidated Balance Sheets as of September 30, 2025 and December 31, 2024 </w:t>
              </w:r>
            </w:hyperlink>
          </w:p>
        </w:tc>
        <w:tc>
          <w:tcPr>
            <w:tcW w:w="23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900" w:right="0" w:hanging="0"/>
              <w:jc w:val="left"/>
              <w:rPr/>
            </w:pPr>
            <w:hyperlink w:anchor="inc">
              <w:r>
                <w:rPr>
                  <w:rStyle w:val="InternetLink"/>
                  <w:rFonts w:ascii="Times New Roman" w:hAnsi="Times New Roman"/>
                  <w:caps w:val="false"/>
                  <w:smallCaps w:val="false"/>
                  <w:sz w:val="20"/>
                  <w:u w:val="single"/>
                </w:rPr>
                <w:t>Condensed Consolidated Statements of Income For the Three and Nine Months Ended September 30, 2025 and 2024</w:t>
              </w:r>
            </w:hyperlink>
          </w:p>
        </w:tc>
        <w:tc>
          <w:tcPr>
            <w:tcW w:w="230" w:type="dxa"/>
            <w:tcBorders/>
            <w:vAlign w:val="center"/>
          </w:tcPr>
          <w:p>
            <w:pPr>
              <w:pStyle w:val="TableContents"/>
              <w:bidi w:val="0"/>
              <w:spacing w:before="0" w:after="0"/>
              <w:ind w:left="0" w:right="0" w:hanging="0"/>
              <w:jc w:val="right"/>
              <w:rPr/>
            </w:pPr>
            <w:hyperlink w:anchor="inc">
              <w:r>
                <w:rPr>
                  <w:rStyle w:val="InternetLink"/>
                  <w:rFonts w:ascii="Times New Roman" w:hAnsi="Times New Roman"/>
                  <w:caps w:val="false"/>
                  <w:smallCaps w:val="false"/>
                  <w:sz w:val="20"/>
                </w:rPr>
                <w:t>5</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900" w:right="0" w:hanging="0"/>
              <w:jc w:val="left"/>
              <w:rPr/>
            </w:pPr>
            <w:hyperlink w:anchor="se">
              <w:r>
                <w:rPr>
                  <w:rStyle w:val="InternetLink"/>
                  <w:rFonts w:ascii="Times New Roman" w:hAnsi="Times New Roman"/>
                  <w:caps w:val="false"/>
                  <w:smallCaps w:val="false"/>
                  <w:sz w:val="20"/>
                  <w:u w:val="single"/>
                </w:rPr>
                <w:t>Condensed Consolidated Statement of Stockholders’ Equity For the Three and Nine Months Ended September 30, 2025 and 2024</w:t>
              </w:r>
            </w:hyperlink>
          </w:p>
        </w:tc>
        <w:tc>
          <w:tcPr>
            <w:tcW w:w="230" w:type="dxa"/>
            <w:tcBorders/>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6</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900" w:right="0" w:hanging="0"/>
              <w:jc w:val="left"/>
              <w:rPr/>
            </w:pPr>
            <w:hyperlink w:anchor="cf">
              <w:r>
                <w:rPr>
                  <w:rStyle w:val="InternetLink"/>
                  <w:rFonts w:ascii="Times New Roman" w:hAnsi="Times New Roman"/>
                  <w:caps w:val="false"/>
                  <w:smallCaps w:val="false"/>
                  <w:sz w:val="20"/>
                  <w:u w:val="single"/>
                </w:rPr>
                <w:t>Condensed Consolidated Statements of Cash Flows For the Nine Months Ended September 30, 2025 and 2024</w:t>
              </w:r>
            </w:hyperlink>
          </w:p>
        </w:tc>
        <w:tc>
          <w:tcPr>
            <w:tcW w:w="23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8</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900" w:right="0" w:hanging="0"/>
              <w:jc w:val="left"/>
              <w:rPr/>
            </w:pPr>
            <w:hyperlink w:anchor="notes">
              <w:r>
                <w:rPr>
                  <w:rStyle w:val="InternetLink"/>
                  <w:rFonts w:ascii="Times New Roman" w:hAnsi="Times New Roman"/>
                  <w:caps w:val="false"/>
                  <w:smallCaps w:val="false"/>
                  <w:sz w:val="20"/>
                  <w:u w:val="single"/>
                </w:rPr>
                <w:t xml:space="preserve">Notes to Condensed Consolidated Financial Statements </w:t>
              </w:r>
            </w:hyperlink>
          </w:p>
        </w:tc>
        <w:tc>
          <w:tcPr>
            <w:tcW w:w="23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9</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mda">
              <w:r>
                <w:rPr>
                  <w:rStyle w:val="InternetLink"/>
                  <w:rFonts w:ascii="Times New Roman" w:hAnsi="Times New Roman"/>
                  <w:caps w:val="false"/>
                  <w:smallCaps w:val="false"/>
                  <w:sz w:val="20"/>
                  <w:u w:val="single"/>
                </w:rPr>
                <w:t>Item 2. Management’s Discussion and Analysis of Financial Condition and Results of Operations</w:t>
              </w:r>
            </w:hyperlink>
          </w:p>
        </w:tc>
        <w:tc>
          <w:tcPr>
            <w:tcW w:w="23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25</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quant">
              <w:r>
                <w:rPr>
                  <w:rStyle w:val="InternetLink"/>
                  <w:rFonts w:ascii="Times New Roman" w:hAnsi="Times New Roman"/>
                  <w:caps w:val="false"/>
                  <w:smallCaps w:val="false"/>
                  <w:sz w:val="20"/>
                  <w:u w:val="single"/>
                </w:rPr>
                <w:t>Item 3. Quantitative and Qualitative Disclosures About Market Risk</w:t>
              </w:r>
            </w:hyperlink>
          </w:p>
        </w:tc>
        <w:tc>
          <w:tcPr>
            <w:tcW w:w="23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43</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controls">
              <w:r>
                <w:rPr>
                  <w:rStyle w:val="InternetLink"/>
                  <w:rFonts w:ascii="Times New Roman" w:hAnsi="Times New Roman"/>
                  <w:caps w:val="false"/>
                  <w:smallCaps w:val="false"/>
                  <w:sz w:val="20"/>
                  <w:u w:val="single"/>
                </w:rPr>
                <w:t>Item 4. Controls and Procedures</w:t>
              </w:r>
            </w:hyperlink>
          </w:p>
        </w:tc>
        <w:tc>
          <w:tcPr>
            <w:tcW w:w="23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43</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180" w:right="0" w:hanging="0"/>
              <w:jc w:val="left"/>
              <w:rPr/>
            </w:pPr>
            <w:hyperlink w:anchor="part2">
              <w:r>
                <w:rPr>
                  <w:rStyle w:val="InternetLink"/>
                  <w:rFonts w:ascii="Times New Roman" w:hAnsi="Times New Roman"/>
                  <w:caps w:val="false"/>
                  <w:smallCaps w:val="false"/>
                  <w:sz w:val="20"/>
                  <w:u w:val="single"/>
                </w:rPr>
                <w:t>PART II. OTHER INFORMATION</w:t>
              </w:r>
            </w:hyperlink>
          </w:p>
        </w:tc>
        <w:tc>
          <w:tcPr>
            <w:tcW w:w="230" w:type="dxa"/>
            <w:tcBorders/>
            <w:vAlign w:val="center"/>
          </w:tcPr>
          <w:p>
            <w:pPr>
              <w:pStyle w:val="TableContents"/>
              <w:bidi w:val="0"/>
              <w:spacing w:before="0" w:after="0"/>
              <w:ind w:left="0" w:right="0" w:hanging="0"/>
              <w:jc w:val="right"/>
              <w:rPr/>
            </w:pPr>
            <w:hyperlink w:anchor="part2">
              <w:r>
                <w:rPr>
                  <w:rStyle w:val="InternetLink"/>
                  <w:rFonts w:ascii="Times New Roman" w:hAnsi="Times New Roman"/>
                  <w:caps w:val="false"/>
                  <w:smallCaps w:val="false"/>
                  <w:sz w:val="20"/>
                </w:rPr>
                <w:t>44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legal">
              <w:r>
                <w:rPr>
                  <w:rStyle w:val="InternetLink"/>
                  <w:rFonts w:ascii="Times New Roman" w:hAnsi="Times New Roman"/>
                  <w:caps w:val="false"/>
                  <w:smallCaps w:val="false"/>
                  <w:sz w:val="20"/>
                  <w:u w:val="single"/>
                </w:rPr>
                <w:t>Item 1. Legal Proceedings</w:t>
              </w:r>
            </w:hyperlink>
          </w:p>
        </w:tc>
        <w:tc>
          <w:tcPr>
            <w:tcW w:w="23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44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risk">
              <w:r>
                <w:rPr>
                  <w:rStyle w:val="InternetLink"/>
                  <w:rFonts w:ascii="Times New Roman" w:hAnsi="Times New Roman"/>
                  <w:caps w:val="false"/>
                  <w:smallCaps w:val="false"/>
                  <w:sz w:val="20"/>
                  <w:u w:val="single"/>
                </w:rPr>
                <w:t>Item 1A. Risk Factors</w:t>
              </w:r>
            </w:hyperlink>
          </w:p>
        </w:tc>
        <w:tc>
          <w:tcPr>
            <w:tcW w:w="23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44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unregistered">
              <w:r>
                <w:rPr>
                  <w:rStyle w:val="InternetLink"/>
                  <w:rFonts w:ascii="Times New Roman" w:hAnsi="Times New Roman"/>
                  <w:caps w:val="false"/>
                  <w:smallCaps w:val="false"/>
                  <w:sz w:val="20"/>
                  <w:u w:val="single"/>
                </w:rPr>
                <w:t>Item 2. Unregistered Sales of Equity Securities and Use of Proceeds</w:t>
              </w:r>
            </w:hyperlink>
          </w:p>
        </w:tc>
        <w:tc>
          <w:tcPr>
            <w:tcW w:w="23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44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defaults">
              <w:r>
                <w:rPr>
                  <w:rStyle w:val="InternetLink"/>
                  <w:rFonts w:ascii="Times New Roman" w:hAnsi="Times New Roman"/>
                  <w:caps w:val="false"/>
                  <w:smallCaps w:val="false"/>
                  <w:sz w:val="20"/>
                  <w:u w:val="single"/>
                </w:rPr>
                <w:t>Item 3. Defaults Upon Senior Securities</w:t>
              </w:r>
            </w:hyperlink>
          </w:p>
        </w:tc>
        <w:tc>
          <w:tcPr>
            <w:tcW w:w="23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44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mine">
              <w:r>
                <w:rPr>
                  <w:rStyle w:val="InternetLink"/>
                  <w:rFonts w:ascii="Times New Roman" w:hAnsi="Times New Roman"/>
                  <w:caps w:val="false"/>
                  <w:smallCaps w:val="false"/>
                  <w:sz w:val="20"/>
                  <w:u w:val="single"/>
                </w:rPr>
                <w:t>Item 4. Mine Safety Disclosures</w:t>
              </w:r>
            </w:hyperlink>
          </w:p>
        </w:tc>
        <w:tc>
          <w:tcPr>
            <w:tcW w:w="23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44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otherinfo">
              <w:r>
                <w:rPr>
                  <w:rStyle w:val="InternetLink"/>
                  <w:rFonts w:ascii="Times New Roman" w:hAnsi="Times New Roman"/>
                  <w:caps w:val="false"/>
                  <w:smallCaps w:val="false"/>
                  <w:sz w:val="20"/>
                  <w:u w:val="single"/>
                </w:rPr>
                <w:t>Item 5. Other Information</w:t>
              </w:r>
            </w:hyperlink>
          </w:p>
        </w:tc>
        <w:tc>
          <w:tcPr>
            <w:tcW w:w="23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45</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540" w:right="0" w:hanging="0"/>
              <w:jc w:val="left"/>
              <w:rPr/>
            </w:pPr>
            <w:hyperlink w:anchor="exhibits">
              <w:r>
                <w:rPr>
                  <w:rStyle w:val="InternetLink"/>
                  <w:rFonts w:ascii="Times New Roman" w:hAnsi="Times New Roman"/>
                  <w:caps w:val="false"/>
                  <w:smallCaps w:val="false"/>
                  <w:sz w:val="20"/>
                  <w:u w:val="single"/>
                </w:rPr>
                <w:t>Item 6. Exhibits</w:t>
              </w:r>
            </w:hyperlink>
          </w:p>
        </w:tc>
        <w:tc>
          <w:tcPr>
            <w:tcW w:w="23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3" w:name="part1"/>
      <w:bookmarkEnd w:id="3"/>
      <w:r>
        <w:rPr>
          <w:rFonts w:ascii="Times New Roman" w:hAnsi="Times New Roman"/>
          <w:b/>
          <w:caps w:val="false"/>
          <w:smallCaps w:val="false"/>
          <w:sz w:val="20"/>
        </w:rPr>
        <w:t xml:space="preserve">PART I </w:t>
      </w:r>
      <w:r>
        <w:rPr>
          <w:rFonts w:ascii="Times New Roman" w:hAnsi="Times New Roman"/>
          <w:caps w:val="false"/>
          <w:smallCaps w:val="false"/>
          <w:sz w:val="20"/>
        </w:rPr>
        <w:t xml:space="preserve">– </w:t>
      </w:r>
      <w:r>
        <w:rPr>
          <w:rFonts w:ascii="Times New Roman" w:hAnsi="Times New Roman"/>
          <w:b/>
          <w:caps w:val="false"/>
          <w:smallCaps w:val="false"/>
          <w:sz w:val="20"/>
        </w:rPr>
        <w:t>FINANCIAL INFORMATION</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b/>
          <w:caps w:val="false"/>
          <w:smallCaps w:val="false"/>
          <w:sz w:val="20"/>
        </w:rPr>
      </w:pPr>
      <w:bookmarkStart w:id="4" w:name="finstmts"/>
      <w:bookmarkEnd w:id="4"/>
      <w:r>
        <w:rPr>
          <w:rFonts w:ascii="Times New Roman" w:hAnsi="Times New Roman"/>
          <w:b/>
          <w:caps w:val="false"/>
          <w:smallCaps w:val="false"/>
          <w:sz w:val="20"/>
        </w:rPr>
        <w:t>Item 1.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September 30, 2025 and December 31,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and Shares 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61"/>
        <w:gridCol w:w="60"/>
        <w:gridCol w:w="168"/>
        <w:gridCol w:w="1136"/>
        <w:gridCol w:w="60"/>
        <w:gridCol w:w="60"/>
        <w:gridCol w:w="165"/>
        <w:gridCol w:w="1117"/>
        <w:gridCol w:w="78"/>
      </w:tblGrid>
      <w:tr>
        <w:trPr/>
        <w:tc>
          <w:tcPr>
            <w:tcW w:w="7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78" w:type="dxa"/>
            <w:tcBorders/>
            <w:shd w:fill="FFFFFF" w:val="clear"/>
            <w:vAlign w:val="center"/>
          </w:tcPr>
          <w:p>
            <w:pPr>
              <w:pStyle w:val="TableContents"/>
              <w:bidi w:val="0"/>
              <w:spacing w:before="0" w:after="283"/>
              <w:jc w:val="left"/>
              <w:rPr/>
            </w:pPr>
            <w:r>
              <w:rPr/>
              <w:t> </w:t>
            </w:r>
          </w:p>
        </w:tc>
      </w:tr>
      <w:tr>
        <w:trPr/>
        <w:tc>
          <w:tcPr>
            <w:tcW w:w="736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3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180" w:right="0" w:hanging="0"/>
              <w:jc w:val="left"/>
              <w:rPr/>
            </w:pPr>
            <w:r>
              <w:rPr/>
              <w:t> </w:t>
            </w:r>
          </w:p>
        </w:tc>
      </w:tr>
      <w:tr>
        <w:trPr/>
        <w:tc>
          <w:tcPr>
            <w:tcW w:w="73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98,911</w:t>
            </w:r>
          </w:p>
        </w:tc>
        <w:tc>
          <w:tcPr>
            <w:tcW w:w="78" w:type="dxa"/>
            <w:tcBorders/>
            <w:shd w:fill="CCEEFF" w:val="clear"/>
            <w:vAlign w:val="center"/>
          </w:tcPr>
          <w:p>
            <w:pPr>
              <w:pStyle w:val="TableContents"/>
              <w:bidi w:val="0"/>
              <w:spacing w:before="0" w:after="283"/>
              <w:ind w:left="180" w:right="0" w:hanging="0"/>
              <w:jc w:val="left"/>
              <w:rPr/>
            </w:pPr>
            <w:r>
              <w:rPr/>
              <w:t> </w:t>
            </w:r>
          </w:p>
        </w:tc>
      </w:tr>
      <w:tr>
        <w:trPr/>
        <w:tc>
          <w:tcPr>
            <w:tcW w:w="73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122,880</w:t>
            </w:r>
          </w:p>
        </w:tc>
        <w:tc>
          <w:tcPr>
            <w:tcW w:w="78" w:type="dxa"/>
            <w:tcBorders/>
            <w:shd w:fill="FFFFFF" w:val="clear"/>
            <w:vAlign w:val="center"/>
          </w:tcPr>
          <w:p>
            <w:pPr>
              <w:pStyle w:val="TableContents"/>
              <w:bidi w:val="0"/>
              <w:spacing w:before="0" w:after="283"/>
              <w:ind w:left="180" w:right="0" w:hanging="0"/>
              <w:jc w:val="left"/>
              <w:rPr/>
            </w:pPr>
            <w:r>
              <w:rPr/>
              <w:t> </w:t>
            </w:r>
          </w:p>
        </w:tc>
      </w:tr>
      <w:tr>
        <w:trPr/>
        <w:tc>
          <w:tcPr>
            <w:tcW w:w="73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38,591</w:t>
            </w:r>
          </w:p>
        </w:tc>
        <w:tc>
          <w:tcPr>
            <w:tcW w:w="78" w:type="dxa"/>
            <w:tcBorders/>
            <w:shd w:fill="CCEEFF" w:val="clear"/>
            <w:vAlign w:val="center"/>
          </w:tcPr>
          <w:p>
            <w:pPr>
              <w:pStyle w:val="TableContents"/>
              <w:bidi w:val="0"/>
              <w:spacing w:before="0" w:after="283"/>
              <w:jc w:val="left"/>
              <w:rPr/>
            </w:pPr>
            <w:r>
              <w:rPr/>
              <w:t> </w:t>
            </w:r>
          </w:p>
        </w:tc>
      </w:tr>
      <w:tr>
        <w:trPr/>
        <w:tc>
          <w:tcPr>
            <w:tcW w:w="73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260,382</w:t>
            </w:r>
          </w:p>
        </w:tc>
        <w:tc>
          <w:tcPr>
            <w:tcW w:w="78" w:type="dxa"/>
            <w:tcBorders/>
            <w:shd w:fill="FFFFFF" w:val="clear"/>
            <w:vAlign w:val="center"/>
          </w:tcPr>
          <w:p>
            <w:pPr>
              <w:pStyle w:val="TableContents"/>
              <w:bidi w:val="0"/>
              <w:spacing w:before="0" w:after="283"/>
              <w:jc w:val="left"/>
              <w:rPr/>
            </w:pPr>
            <w:r>
              <w:rPr/>
              <w:t> </w:t>
            </w:r>
          </w:p>
        </w:tc>
      </w:tr>
      <w:tr>
        <w:trPr/>
        <w:tc>
          <w:tcPr>
            <w:tcW w:w="73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 of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24,703</w:t>
            </w:r>
          </w:p>
        </w:tc>
        <w:tc>
          <w:tcPr>
            <w:tcW w:w="78" w:type="dxa"/>
            <w:tcBorders/>
            <w:shd w:fill="CCEEFF" w:val="clear"/>
            <w:vAlign w:val="center"/>
          </w:tcPr>
          <w:p>
            <w:pPr>
              <w:pStyle w:val="TableContents"/>
              <w:bidi w:val="0"/>
              <w:spacing w:before="0" w:after="283"/>
              <w:jc w:val="left"/>
              <w:rPr/>
            </w:pPr>
            <w:r>
              <w:rPr/>
              <w:t> </w:t>
            </w:r>
          </w:p>
        </w:tc>
      </w:tr>
      <w:tr>
        <w:trPr/>
        <w:tc>
          <w:tcPr>
            <w:tcW w:w="73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180" w:right="0" w:hanging="0"/>
              <w:jc w:val="left"/>
              <w:rPr/>
            </w:pPr>
            <w:r>
              <w:rPr/>
              <w:t> </w:t>
            </w:r>
          </w:p>
        </w:tc>
      </w:tr>
      <w:tr>
        <w:trPr/>
        <w:tc>
          <w:tcPr>
            <w:tcW w:w="73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970,558</w:t>
            </w:r>
          </w:p>
        </w:tc>
        <w:tc>
          <w:tcPr>
            <w:tcW w:w="78" w:type="dxa"/>
            <w:tcBorders/>
            <w:shd w:fill="CCEEFF" w:val="clear"/>
            <w:vAlign w:val="center"/>
          </w:tcPr>
          <w:p>
            <w:pPr>
              <w:pStyle w:val="TableContents"/>
              <w:bidi w:val="0"/>
              <w:spacing w:before="0" w:after="283"/>
              <w:ind w:left="180" w:right="0" w:hanging="0"/>
              <w:jc w:val="left"/>
              <w:rPr/>
            </w:pPr>
            <w:r>
              <w:rPr/>
              <w:t> </w:t>
            </w:r>
          </w:p>
        </w:tc>
      </w:tr>
      <w:tr>
        <w:trPr/>
        <w:tc>
          <w:tcPr>
            <w:tcW w:w="73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 of accumulated amortization</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109,643</w:t>
            </w:r>
          </w:p>
        </w:tc>
        <w:tc>
          <w:tcPr>
            <w:tcW w:w="78" w:type="dxa"/>
            <w:tcBorders/>
            <w:shd w:fill="FFFFFF" w:val="clear"/>
            <w:vAlign w:val="center"/>
          </w:tcPr>
          <w:p>
            <w:pPr>
              <w:pStyle w:val="TableContents"/>
              <w:bidi w:val="0"/>
              <w:spacing w:before="0" w:after="283"/>
              <w:ind w:left="180" w:right="0" w:hanging="0"/>
              <w:jc w:val="left"/>
              <w:rPr/>
            </w:pPr>
            <w:r>
              <w:rPr/>
              <w:t> </w:t>
            </w:r>
          </w:p>
        </w:tc>
      </w:tr>
      <w:tr>
        <w:trPr/>
        <w:tc>
          <w:tcPr>
            <w:tcW w:w="73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net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47,348</w:t>
            </w:r>
          </w:p>
        </w:tc>
        <w:tc>
          <w:tcPr>
            <w:tcW w:w="78" w:type="dxa"/>
            <w:tcBorders/>
            <w:shd w:fill="CCEEFF" w:val="clear"/>
            <w:vAlign w:val="center"/>
          </w:tcPr>
          <w:p>
            <w:pPr>
              <w:pStyle w:val="TableContents"/>
              <w:bidi w:val="0"/>
              <w:spacing w:before="0" w:after="283"/>
              <w:jc w:val="left"/>
              <w:rPr/>
            </w:pPr>
            <w:r>
              <w:rPr/>
              <w:t> </w:t>
            </w:r>
          </w:p>
        </w:tc>
      </w:tr>
      <w:tr>
        <w:trPr/>
        <w:tc>
          <w:tcPr>
            <w:tcW w:w="73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1,127,549</w:t>
            </w:r>
          </w:p>
        </w:tc>
        <w:tc>
          <w:tcPr>
            <w:tcW w:w="78" w:type="dxa"/>
            <w:tcBorders/>
            <w:shd w:fill="FFFFFF" w:val="clear"/>
            <w:vAlign w:val="center"/>
          </w:tcPr>
          <w:p>
            <w:pPr>
              <w:pStyle w:val="TableContents"/>
              <w:bidi w:val="0"/>
              <w:spacing w:before="0" w:after="283"/>
              <w:jc w:val="left"/>
              <w:rPr/>
            </w:pPr>
            <w:r>
              <w:rPr/>
              <w:t> </w:t>
            </w:r>
          </w:p>
        </w:tc>
      </w:tr>
      <w:tr>
        <w:trPr/>
        <w:tc>
          <w:tcPr>
            <w:tcW w:w="73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1,412,634</w:t>
            </w:r>
          </w:p>
        </w:tc>
        <w:tc>
          <w:tcPr>
            <w:tcW w:w="78" w:type="dxa"/>
            <w:tcBorders/>
            <w:shd w:fill="CCEEFF" w:val="clear"/>
            <w:vAlign w:val="center"/>
          </w:tcPr>
          <w:p>
            <w:pPr>
              <w:pStyle w:val="TableContents"/>
              <w:bidi w:val="0"/>
              <w:spacing w:before="0" w:after="283"/>
              <w:jc w:val="left"/>
              <w:rPr/>
            </w:pPr>
            <w:r>
              <w:rPr/>
              <w:t> </w:t>
            </w:r>
          </w:p>
        </w:tc>
      </w:tr>
      <w:tr>
        <w:trPr/>
        <w:tc>
          <w:tcPr>
            <w:tcW w:w="736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3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180" w:right="0" w:hanging="0"/>
              <w:jc w:val="left"/>
              <w:rPr/>
            </w:pPr>
            <w:r>
              <w:rPr/>
              <w:t> </w:t>
            </w:r>
          </w:p>
        </w:tc>
      </w:tr>
      <w:tr>
        <w:trPr/>
        <w:tc>
          <w:tcPr>
            <w:tcW w:w="73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27,176</w:t>
            </w:r>
          </w:p>
        </w:tc>
        <w:tc>
          <w:tcPr>
            <w:tcW w:w="78" w:type="dxa"/>
            <w:tcBorders/>
            <w:shd w:fill="FFFFFF" w:val="clear"/>
            <w:vAlign w:val="center"/>
          </w:tcPr>
          <w:p>
            <w:pPr>
              <w:pStyle w:val="TableContents"/>
              <w:bidi w:val="0"/>
              <w:spacing w:before="0" w:after="283"/>
              <w:ind w:left="180" w:right="0" w:hanging="0"/>
              <w:jc w:val="left"/>
              <w:rPr/>
            </w:pPr>
            <w:r>
              <w:rPr/>
              <w:t> </w:t>
            </w:r>
          </w:p>
        </w:tc>
      </w:tr>
      <w:tr>
        <w:trPr/>
        <w:tc>
          <w:tcPr>
            <w:tcW w:w="73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62,053</w:t>
            </w:r>
          </w:p>
        </w:tc>
        <w:tc>
          <w:tcPr>
            <w:tcW w:w="78" w:type="dxa"/>
            <w:tcBorders/>
            <w:shd w:fill="CCEEFF" w:val="clear"/>
            <w:vAlign w:val="center"/>
          </w:tcPr>
          <w:p>
            <w:pPr>
              <w:pStyle w:val="TableContents"/>
              <w:bidi w:val="0"/>
              <w:spacing w:before="0" w:after="283"/>
              <w:ind w:left="180" w:right="0" w:hanging="0"/>
              <w:jc w:val="left"/>
              <w:rPr/>
            </w:pPr>
            <w:r>
              <w:rPr/>
              <w:t> </w:t>
            </w:r>
          </w:p>
        </w:tc>
      </w:tr>
      <w:tr>
        <w:trPr/>
        <w:tc>
          <w:tcPr>
            <w:tcW w:w="73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28,959</w:t>
            </w:r>
          </w:p>
        </w:tc>
        <w:tc>
          <w:tcPr>
            <w:tcW w:w="78" w:type="dxa"/>
            <w:tcBorders/>
            <w:shd w:fill="FFFFFF" w:val="clear"/>
            <w:vAlign w:val="center"/>
          </w:tcPr>
          <w:p>
            <w:pPr>
              <w:pStyle w:val="TableContents"/>
              <w:bidi w:val="0"/>
              <w:spacing w:before="0" w:after="283"/>
              <w:ind w:left="180" w:right="0" w:hanging="0"/>
              <w:jc w:val="left"/>
              <w:rPr/>
            </w:pPr>
            <w:r>
              <w:rPr/>
              <w:t> </w:t>
            </w:r>
          </w:p>
        </w:tc>
      </w:tr>
      <w:tr>
        <w:trPr/>
        <w:tc>
          <w:tcPr>
            <w:tcW w:w="73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12,800</w:t>
            </w:r>
          </w:p>
        </w:tc>
        <w:tc>
          <w:tcPr>
            <w:tcW w:w="78" w:type="dxa"/>
            <w:tcBorders/>
            <w:shd w:fill="CCEEFF" w:val="clear"/>
            <w:vAlign w:val="center"/>
          </w:tcPr>
          <w:p>
            <w:pPr>
              <w:pStyle w:val="TableContents"/>
              <w:bidi w:val="0"/>
              <w:spacing w:before="0" w:after="283"/>
              <w:ind w:left="180" w:right="0" w:hanging="0"/>
              <w:jc w:val="left"/>
              <w:rPr/>
            </w:pPr>
            <w:r>
              <w:rPr/>
              <w:t> </w:t>
            </w:r>
          </w:p>
        </w:tc>
      </w:tr>
      <w:tr>
        <w:trPr/>
        <w:tc>
          <w:tcPr>
            <w:tcW w:w="73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stimulus advances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11,239</w:t>
            </w:r>
          </w:p>
        </w:tc>
        <w:tc>
          <w:tcPr>
            <w:tcW w:w="78" w:type="dxa"/>
            <w:tcBorders/>
            <w:shd w:fill="FFFFFF" w:val="clear"/>
            <w:vAlign w:val="center"/>
          </w:tcPr>
          <w:p>
            <w:pPr>
              <w:pStyle w:val="TableContents"/>
              <w:bidi w:val="0"/>
              <w:spacing w:before="0" w:after="283"/>
              <w:ind w:left="180" w:right="0" w:hanging="0"/>
              <w:jc w:val="left"/>
              <w:rPr/>
            </w:pPr>
            <w:r>
              <w:rPr/>
              <w:t> </w:t>
            </w:r>
          </w:p>
        </w:tc>
      </w:tr>
      <w:tr>
        <w:trPr/>
        <w:tc>
          <w:tcPr>
            <w:tcW w:w="73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workers' compensation insurance</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13,644</w:t>
            </w:r>
          </w:p>
        </w:tc>
        <w:tc>
          <w:tcPr>
            <w:tcW w:w="78" w:type="dxa"/>
            <w:tcBorders/>
            <w:shd w:fill="CCEEFF" w:val="clear"/>
            <w:vAlign w:val="center"/>
          </w:tcPr>
          <w:p>
            <w:pPr>
              <w:pStyle w:val="TableContents"/>
              <w:bidi w:val="0"/>
              <w:spacing w:before="0" w:after="283"/>
              <w:jc w:val="left"/>
              <w:rPr/>
            </w:pPr>
            <w:r>
              <w:rPr/>
              <w:t> </w:t>
            </w:r>
          </w:p>
        </w:tc>
      </w:tr>
      <w:tr>
        <w:trPr/>
        <w:tc>
          <w:tcPr>
            <w:tcW w:w="73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155,871</w:t>
            </w:r>
          </w:p>
        </w:tc>
        <w:tc>
          <w:tcPr>
            <w:tcW w:w="78" w:type="dxa"/>
            <w:tcBorders/>
            <w:shd w:fill="FFFFFF" w:val="clear"/>
            <w:vAlign w:val="center"/>
          </w:tcPr>
          <w:p>
            <w:pPr>
              <w:pStyle w:val="TableContents"/>
              <w:bidi w:val="0"/>
              <w:spacing w:before="0" w:after="283"/>
              <w:jc w:val="left"/>
              <w:rPr/>
            </w:pPr>
            <w:r>
              <w:rPr/>
              <w:t> </w:t>
            </w:r>
          </w:p>
        </w:tc>
      </w:tr>
      <w:tr>
        <w:trPr/>
        <w:tc>
          <w:tcPr>
            <w:tcW w:w="73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180" w:right="0" w:hanging="0"/>
              <w:jc w:val="left"/>
              <w:rPr/>
            </w:pPr>
            <w:r>
              <w:rPr/>
              <w:t> </w:t>
            </w:r>
          </w:p>
        </w:tc>
      </w:tr>
      <w:tr>
        <w:trPr/>
        <w:tc>
          <w:tcPr>
            <w:tcW w:w="73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less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218,443</w:t>
            </w:r>
          </w:p>
        </w:tc>
        <w:tc>
          <w:tcPr>
            <w:tcW w:w="78" w:type="dxa"/>
            <w:tcBorders/>
            <w:shd w:fill="FFFFFF" w:val="clear"/>
            <w:vAlign w:val="center"/>
          </w:tcPr>
          <w:p>
            <w:pPr>
              <w:pStyle w:val="TableContents"/>
              <w:bidi w:val="0"/>
              <w:spacing w:before="0" w:after="283"/>
              <w:ind w:left="180" w:right="0" w:hanging="0"/>
              <w:jc w:val="left"/>
              <w:rPr/>
            </w:pPr>
            <w:r>
              <w:rPr/>
              <w:t> </w:t>
            </w:r>
          </w:p>
        </w:tc>
      </w:tr>
      <w:tr>
        <w:trPr/>
        <w:tc>
          <w:tcPr>
            <w:tcW w:w="73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41,883</w:t>
            </w:r>
          </w:p>
        </w:tc>
        <w:tc>
          <w:tcPr>
            <w:tcW w:w="78" w:type="dxa"/>
            <w:tcBorders/>
            <w:shd w:fill="CCEEFF" w:val="clear"/>
            <w:vAlign w:val="center"/>
          </w:tcPr>
          <w:p>
            <w:pPr>
              <w:pStyle w:val="TableContents"/>
              <w:bidi w:val="0"/>
              <w:spacing w:before="0" w:after="283"/>
              <w:ind w:left="180" w:right="0" w:hanging="0"/>
              <w:jc w:val="left"/>
              <w:rPr/>
            </w:pPr>
            <w:r>
              <w:rPr/>
              <w:t> </w:t>
            </w:r>
          </w:p>
        </w:tc>
      </w:tr>
      <w:tr>
        <w:trPr/>
        <w:tc>
          <w:tcPr>
            <w:tcW w:w="73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25,820</w:t>
            </w:r>
          </w:p>
        </w:tc>
        <w:tc>
          <w:tcPr>
            <w:tcW w:w="78" w:type="dxa"/>
            <w:tcBorders/>
            <w:shd w:fill="FFFFFF" w:val="clear"/>
            <w:vAlign w:val="center"/>
          </w:tcPr>
          <w:p>
            <w:pPr>
              <w:pStyle w:val="TableContents"/>
              <w:bidi w:val="0"/>
              <w:spacing w:before="0" w:after="283"/>
              <w:ind w:left="180" w:right="0" w:hanging="0"/>
              <w:jc w:val="left"/>
              <w:rPr/>
            </w:pPr>
            <w:r>
              <w:rPr/>
              <w:t> </w:t>
            </w:r>
          </w:p>
        </w:tc>
      </w:tr>
      <w:tr>
        <w:trPr/>
        <w:tc>
          <w:tcPr>
            <w:tcW w:w="73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78" w:type="dxa"/>
            <w:tcBorders/>
            <w:shd w:fill="CCEEFF" w:val="clear"/>
            <w:vAlign w:val="center"/>
          </w:tcPr>
          <w:p>
            <w:pPr>
              <w:pStyle w:val="TableContents"/>
              <w:bidi w:val="0"/>
              <w:spacing w:before="0" w:after="283"/>
              <w:jc w:val="left"/>
              <w:rPr/>
            </w:pPr>
            <w:r>
              <w:rPr/>
              <w:t> </w:t>
            </w:r>
          </w:p>
        </w:tc>
      </w:tr>
      <w:tr>
        <w:trPr/>
        <w:tc>
          <w:tcPr>
            <w:tcW w:w="73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286,271</w:t>
            </w:r>
          </w:p>
        </w:tc>
        <w:tc>
          <w:tcPr>
            <w:tcW w:w="78" w:type="dxa"/>
            <w:tcBorders/>
            <w:shd w:fill="FFFFFF" w:val="clear"/>
            <w:vAlign w:val="center"/>
          </w:tcPr>
          <w:p>
            <w:pPr>
              <w:pStyle w:val="TableContents"/>
              <w:bidi w:val="0"/>
              <w:spacing w:before="0" w:after="283"/>
              <w:jc w:val="left"/>
              <w:rPr/>
            </w:pPr>
            <w:r>
              <w:rPr/>
              <w:t> </w:t>
            </w:r>
          </w:p>
        </w:tc>
      </w:tr>
      <w:tr>
        <w:trPr/>
        <w:tc>
          <w:tcPr>
            <w:tcW w:w="73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442,142</w:t>
            </w:r>
          </w:p>
        </w:tc>
        <w:tc>
          <w:tcPr>
            <w:tcW w:w="78" w:type="dxa"/>
            <w:tcBorders/>
            <w:shd w:fill="CCEEFF" w:val="clear"/>
            <w:vAlign w:val="center"/>
          </w:tcPr>
          <w:p>
            <w:pPr>
              <w:pStyle w:val="TableContents"/>
              <w:bidi w:val="0"/>
              <w:spacing w:before="0" w:after="283"/>
              <w:jc w:val="left"/>
              <w:rPr/>
            </w:pPr>
            <w:r>
              <w:rPr/>
              <w:t> </w:t>
            </w:r>
          </w:p>
        </w:tc>
      </w:tr>
      <w:tr>
        <w:trPr/>
        <w:tc>
          <w:tcPr>
            <w:tcW w:w="73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360" w:right="0" w:hanging="0"/>
              <w:jc w:val="left"/>
              <w:rPr/>
            </w:pPr>
            <w:r>
              <w:rPr/>
              <w:t> </w:t>
            </w:r>
          </w:p>
        </w:tc>
      </w:tr>
      <w:tr>
        <w:trPr/>
        <w:tc>
          <w:tcPr>
            <w:tcW w:w="7361"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stock—$.001 par value; 40,000 authorized and 18,483 and 18,148 shares issued and outstanding as of September 30, 2025 and December 31, 2024, respectively</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78" w:type="dxa"/>
            <w:tcBorders/>
            <w:shd w:fill="CCEEFF" w:val="clear"/>
            <w:vAlign w:val="center"/>
          </w:tcPr>
          <w:p>
            <w:pPr>
              <w:pStyle w:val="TableContents"/>
              <w:bidi w:val="0"/>
              <w:spacing w:before="0" w:after="283"/>
              <w:ind w:left="180" w:right="0" w:hanging="0"/>
              <w:jc w:val="left"/>
              <w:rPr/>
            </w:pPr>
            <w:r>
              <w:rPr/>
              <w:t> </w:t>
            </w:r>
          </w:p>
        </w:tc>
      </w:tr>
      <w:tr>
        <w:trPr/>
        <w:tc>
          <w:tcPr>
            <w:tcW w:w="73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594,044</w:t>
            </w:r>
          </w:p>
        </w:tc>
        <w:tc>
          <w:tcPr>
            <w:tcW w:w="78" w:type="dxa"/>
            <w:tcBorders/>
            <w:shd w:fill="FFFFFF" w:val="clear"/>
            <w:vAlign w:val="center"/>
          </w:tcPr>
          <w:p>
            <w:pPr>
              <w:pStyle w:val="TableContents"/>
              <w:bidi w:val="0"/>
              <w:spacing w:before="0" w:after="283"/>
              <w:ind w:left="180" w:right="0" w:hanging="0"/>
              <w:jc w:val="left"/>
              <w:rPr/>
            </w:pPr>
            <w:r>
              <w:rPr/>
              <w:t> </w:t>
            </w:r>
          </w:p>
        </w:tc>
      </w:tr>
      <w:tr>
        <w:trPr/>
        <w:tc>
          <w:tcPr>
            <w:tcW w:w="73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376,430</w:t>
            </w:r>
          </w:p>
        </w:tc>
        <w:tc>
          <w:tcPr>
            <w:tcW w:w="78" w:type="dxa"/>
            <w:tcBorders/>
            <w:shd w:fill="CCEEFF" w:val="clear"/>
            <w:vAlign w:val="center"/>
          </w:tcPr>
          <w:p>
            <w:pPr>
              <w:pStyle w:val="TableContents"/>
              <w:bidi w:val="0"/>
              <w:spacing w:before="0" w:after="283"/>
              <w:jc w:val="left"/>
              <w:rPr/>
            </w:pPr>
            <w:r>
              <w:rPr/>
              <w:t> </w:t>
            </w:r>
          </w:p>
        </w:tc>
      </w:tr>
      <w:tr>
        <w:trPr/>
        <w:tc>
          <w:tcPr>
            <w:tcW w:w="73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970,492</w:t>
            </w:r>
          </w:p>
        </w:tc>
        <w:tc>
          <w:tcPr>
            <w:tcW w:w="78" w:type="dxa"/>
            <w:tcBorders/>
            <w:shd w:fill="FFFFFF" w:val="clear"/>
            <w:vAlign w:val="center"/>
          </w:tcPr>
          <w:p>
            <w:pPr>
              <w:pStyle w:val="TableContents"/>
              <w:bidi w:val="0"/>
              <w:spacing w:before="0" w:after="283"/>
              <w:jc w:val="left"/>
              <w:rPr/>
            </w:pPr>
            <w:r>
              <w:rPr/>
              <w:t> </w:t>
            </w:r>
          </w:p>
        </w:tc>
      </w:tr>
      <w:tr>
        <w:trPr/>
        <w:tc>
          <w:tcPr>
            <w:tcW w:w="73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1,412,634</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 w:name="inc"/>
      <w:bookmarkEnd w:id="6"/>
      <w:r>
        <w:rPr>
          <w:rFonts w:ascii="Times New Roman" w:hAnsi="Times New Roman"/>
          <w:b/>
          <w:caps w:val="false"/>
          <w:smallCaps w:val="false"/>
          <w:sz w:val="20"/>
        </w:rPr>
        <w:t>CONDENSED CONSOLIDATED STATEMENTS OF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 Nine Months Ended September 30,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and Shares 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72"/>
        <w:gridCol w:w="60"/>
        <w:gridCol w:w="156"/>
        <w:gridCol w:w="874"/>
        <w:gridCol w:w="100"/>
        <w:gridCol w:w="75"/>
        <w:gridCol w:w="156"/>
        <w:gridCol w:w="874"/>
        <w:gridCol w:w="80"/>
        <w:gridCol w:w="60"/>
        <w:gridCol w:w="142"/>
        <w:gridCol w:w="970"/>
        <w:gridCol w:w="91"/>
        <w:gridCol w:w="68"/>
        <w:gridCol w:w="142"/>
        <w:gridCol w:w="798"/>
        <w:gridCol w:w="87"/>
      </w:tblGrid>
      <w:tr>
        <w:trPr/>
        <w:tc>
          <w:tcPr>
            <w:tcW w:w="5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w:t>
            </w:r>
          </w:p>
        </w:tc>
        <w:tc>
          <w:tcPr>
            <w:tcW w:w="87" w:type="dxa"/>
            <w:tcBorders/>
            <w:shd w:fill="FFFFFF" w:val="clear"/>
            <w:vAlign w:val="center"/>
          </w:tcPr>
          <w:p>
            <w:pPr>
              <w:pStyle w:val="TableContents"/>
              <w:bidi w:val="0"/>
              <w:spacing w:before="0" w:after="283"/>
              <w:jc w:val="left"/>
              <w:rPr/>
            </w:pPr>
            <w:r>
              <w:rPr/>
              <w:t> </w:t>
            </w:r>
          </w:p>
        </w:tc>
      </w:tr>
      <w:tr>
        <w:trPr/>
        <w:tc>
          <w:tcPr>
            <w:tcW w:w="5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7" w:type="dxa"/>
            <w:tcBorders/>
            <w:shd w:fill="FFFFFF" w:val="clear"/>
            <w:vAlign w:val="center"/>
          </w:tcPr>
          <w:p>
            <w:pPr>
              <w:pStyle w:val="TableContents"/>
              <w:bidi w:val="0"/>
              <w:spacing w:before="0" w:after="283"/>
              <w:jc w:val="left"/>
              <w:rPr/>
            </w:pPr>
            <w:r>
              <w:rPr/>
              <w:t> </w:t>
            </w:r>
          </w:p>
        </w:tc>
      </w:tr>
      <w:tr>
        <w:trPr/>
        <w:tc>
          <w:tcPr>
            <w:tcW w:w="5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7" w:type="dxa"/>
            <w:tcBorders/>
            <w:shd w:fill="FFFFFF" w:val="clear"/>
            <w:vAlign w:val="center"/>
          </w:tcPr>
          <w:p>
            <w:pPr>
              <w:pStyle w:val="TableContents"/>
              <w:bidi w:val="0"/>
              <w:spacing w:before="0" w:after="283"/>
              <w:jc w:val="left"/>
              <w:rPr/>
            </w:pPr>
            <w:r>
              <w:rPr/>
              <w:t> </w:t>
            </w:r>
          </w:p>
        </w:tc>
      </w:tr>
      <w:tr>
        <w:trPr/>
        <w:tc>
          <w:tcPr>
            <w:tcW w:w="54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362,301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289,787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1,049,452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857,455</w:t>
            </w:r>
          </w:p>
        </w:tc>
        <w:tc>
          <w:tcPr>
            <w:tcW w:w="87" w:type="dxa"/>
            <w:tcBorders/>
            <w:shd w:fill="CCEEFF" w:val="clear"/>
            <w:vAlign w:val="center"/>
          </w:tcPr>
          <w:p>
            <w:pPr>
              <w:pStyle w:val="TableContents"/>
              <w:bidi w:val="0"/>
              <w:spacing w:before="0" w:after="283"/>
              <w:jc w:val="left"/>
              <w:rPr/>
            </w:pPr>
            <w:r>
              <w:rPr/>
              <w:t> </w:t>
            </w:r>
          </w:p>
        </w:tc>
      </w:tr>
      <w:tr>
        <w:trPr/>
        <w:tc>
          <w:tcPr>
            <w:tcW w:w="54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 revenues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245,586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711,183</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583,916</w:t>
            </w:r>
          </w:p>
        </w:tc>
        <w:tc>
          <w:tcPr>
            <w:tcW w:w="87" w:type="dxa"/>
            <w:tcBorders/>
            <w:shd w:fill="FFFFFF" w:val="clear"/>
            <w:vAlign w:val="center"/>
          </w:tcPr>
          <w:p>
            <w:pPr>
              <w:pStyle w:val="TableContents"/>
              <w:bidi w:val="0"/>
              <w:spacing w:before="0" w:after="283"/>
              <w:jc w:val="left"/>
              <w:rPr/>
            </w:pPr>
            <w:r>
              <w:rPr/>
              <w:t> </w:t>
            </w:r>
          </w:p>
        </w:tc>
      </w:tr>
      <w:tr>
        <w:trPr/>
        <w:tc>
          <w:tcPr>
            <w:tcW w:w="54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116,715</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338,269</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273,539</w:t>
            </w:r>
          </w:p>
        </w:tc>
        <w:tc>
          <w:tcPr>
            <w:tcW w:w="87" w:type="dxa"/>
            <w:tcBorders/>
            <w:shd w:fill="CCEEFF" w:val="clear"/>
            <w:vAlign w:val="center"/>
          </w:tcPr>
          <w:p>
            <w:pPr>
              <w:pStyle w:val="TableContents"/>
              <w:bidi w:val="0"/>
              <w:spacing w:before="0" w:after="283"/>
              <w:jc w:val="left"/>
              <w:rPr/>
            </w:pPr>
            <w:r>
              <w:rPr/>
              <w:t> </w:t>
            </w:r>
          </w:p>
        </w:tc>
      </w:tr>
      <w:tr>
        <w:trPr/>
        <w:tc>
          <w:tcPr>
            <w:tcW w:w="54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79,370</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229,667</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187,444</w:t>
            </w:r>
          </w:p>
        </w:tc>
        <w:tc>
          <w:tcPr>
            <w:tcW w:w="87" w:type="dxa"/>
            <w:tcBorders/>
            <w:shd w:fill="FFFFFF" w:val="clear"/>
            <w:vAlign w:val="center"/>
          </w:tcPr>
          <w:p>
            <w:pPr>
              <w:pStyle w:val="TableContents"/>
              <w:bidi w:val="0"/>
              <w:spacing w:before="0" w:after="283"/>
              <w:jc w:val="left"/>
              <w:rPr/>
            </w:pPr>
            <w:r>
              <w:rPr/>
              <w:t> </w:t>
            </w:r>
          </w:p>
        </w:tc>
      </w:tr>
      <w:tr>
        <w:trPr/>
        <w:tc>
          <w:tcPr>
            <w:tcW w:w="54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4,408</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10,316</w:t>
            </w:r>
          </w:p>
        </w:tc>
        <w:tc>
          <w:tcPr>
            <w:tcW w:w="87" w:type="dxa"/>
            <w:tcBorders/>
            <w:shd w:fill="CCEEFF" w:val="clear"/>
            <w:vAlign w:val="center"/>
          </w:tcPr>
          <w:p>
            <w:pPr>
              <w:pStyle w:val="TableContents"/>
              <w:bidi w:val="0"/>
              <w:spacing w:before="0" w:after="283"/>
              <w:jc w:val="left"/>
              <w:rPr/>
            </w:pPr>
            <w:r>
              <w:rPr/>
              <w:t> </w:t>
            </w:r>
          </w:p>
        </w:tc>
      </w:tr>
      <w:tr>
        <w:trPr/>
        <w:tc>
          <w:tcPr>
            <w:tcW w:w="54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83,778</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241,931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197,760</w:t>
            </w:r>
          </w:p>
        </w:tc>
        <w:tc>
          <w:tcPr>
            <w:tcW w:w="87" w:type="dxa"/>
            <w:tcBorders/>
            <w:shd w:fill="FFFFFF" w:val="clear"/>
            <w:vAlign w:val="center"/>
          </w:tcPr>
          <w:p>
            <w:pPr>
              <w:pStyle w:val="TableContents"/>
              <w:bidi w:val="0"/>
              <w:spacing w:before="0" w:after="283"/>
              <w:jc w:val="left"/>
              <w:rPr/>
            </w:pPr>
            <w:r>
              <w:rPr/>
              <w:t> </w:t>
            </w:r>
          </w:p>
        </w:tc>
      </w:tr>
      <w:tr>
        <w:trPr/>
        <w:tc>
          <w:tcPr>
            <w:tcW w:w="54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32,937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96,338</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75,779</w:t>
            </w:r>
          </w:p>
        </w:tc>
        <w:tc>
          <w:tcPr>
            <w:tcW w:w="87" w:type="dxa"/>
            <w:tcBorders/>
            <w:shd w:fill="CCEEFF" w:val="clear"/>
            <w:vAlign w:val="center"/>
          </w:tcPr>
          <w:p>
            <w:pPr>
              <w:pStyle w:val="TableContents"/>
              <w:bidi w:val="0"/>
              <w:spacing w:before="0" w:after="283"/>
              <w:jc w:val="left"/>
              <w:rPr/>
            </w:pPr>
            <w:r>
              <w:rPr/>
              <w:t> </w:t>
            </w:r>
          </w:p>
        </w:tc>
      </w:tr>
      <w:tr>
        <w:trPr/>
        <w:tc>
          <w:tcPr>
            <w:tcW w:w="54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(1,845</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5,445</w:t>
            </w:r>
          </w:p>
        </w:tc>
        <w:tc>
          <w:tcPr>
            <w:tcW w:w="87" w:type="dxa"/>
            <w:tcBorders/>
            <w:shd w:fill="CCEEFF" w:val="clear"/>
            <w:vAlign w:val="center"/>
          </w:tcPr>
          <w:p>
            <w:pPr>
              <w:pStyle w:val="TableContents"/>
              <w:bidi w:val="0"/>
              <w:spacing w:before="0" w:after="283"/>
              <w:jc w:val="left"/>
              <w:rPr/>
            </w:pPr>
            <w:r>
              <w:rPr/>
              <w:t> </w:t>
            </w:r>
          </w:p>
        </w:tc>
      </w:tr>
      <w:tr>
        <w:trPr/>
        <w:tc>
          <w:tcPr>
            <w:tcW w:w="54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w:t>
            </w:r>
          </w:p>
        </w:tc>
        <w:tc>
          <w:tcPr>
            <w:tcW w:w="87" w:type="dxa"/>
            <w:tcBorders/>
            <w:shd w:fill="FFFFFF" w:val="clear"/>
            <w:vAlign w:val="center"/>
          </w:tcPr>
          <w:p>
            <w:pPr>
              <w:pStyle w:val="TableContents"/>
              <w:bidi w:val="0"/>
              <w:spacing w:before="0" w:after="283"/>
              <w:jc w:val="left"/>
              <w:rPr/>
            </w:pPr>
            <w:r>
              <w:rPr/>
              <w:t> </w:t>
            </w:r>
          </w:p>
        </w:tc>
      </w:tr>
      <w:tr>
        <w:trPr/>
        <w:tc>
          <w:tcPr>
            <w:tcW w:w="54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30,354</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87,297</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73,139</w:t>
            </w:r>
          </w:p>
        </w:tc>
        <w:tc>
          <w:tcPr>
            <w:tcW w:w="87" w:type="dxa"/>
            <w:tcBorders/>
            <w:shd w:fill="CCEEFF" w:val="clear"/>
            <w:vAlign w:val="center"/>
          </w:tcPr>
          <w:p>
            <w:pPr>
              <w:pStyle w:val="TableContents"/>
              <w:bidi w:val="0"/>
              <w:spacing w:before="0" w:after="283"/>
              <w:jc w:val="left"/>
              <w:rPr/>
            </w:pPr>
            <w:r>
              <w:rPr/>
              <w:t> </w:t>
            </w:r>
          </w:p>
        </w:tc>
      </w:tr>
      <w:tr>
        <w:trPr/>
        <w:tc>
          <w:tcPr>
            <w:tcW w:w="54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21,169</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19,067</w:t>
            </w:r>
          </w:p>
        </w:tc>
        <w:tc>
          <w:tcPr>
            <w:tcW w:w="87" w:type="dxa"/>
            <w:tcBorders/>
            <w:shd w:fill="FFFFFF" w:val="clear"/>
            <w:vAlign w:val="center"/>
          </w:tcPr>
          <w:p>
            <w:pPr>
              <w:pStyle w:val="TableContents"/>
              <w:bidi w:val="0"/>
              <w:spacing w:before="0" w:after="283"/>
              <w:jc w:val="left"/>
              <w:rPr/>
            </w:pPr>
            <w:r>
              <w:rPr/>
              <w:t> </w:t>
            </w:r>
          </w:p>
        </w:tc>
      </w:tr>
      <w:tr>
        <w:trPr/>
        <w:tc>
          <w:tcPr>
            <w:tcW w:w="54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22,848</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66,128</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54,072</w:t>
            </w:r>
          </w:p>
        </w:tc>
        <w:tc>
          <w:tcPr>
            <w:tcW w:w="87" w:type="dxa"/>
            <w:tcBorders/>
            <w:shd w:fill="CCEEFF" w:val="clear"/>
            <w:vAlign w:val="center"/>
          </w:tcPr>
          <w:p>
            <w:pPr>
              <w:pStyle w:val="TableContents"/>
              <w:bidi w:val="0"/>
              <w:spacing w:before="0" w:after="283"/>
              <w:jc w:val="left"/>
              <w:rPr/>
            </w:pPr>
            <w:r>
              <w:rPr/>
              <w:t> </w:t>
            </w:r>
          </w:p>
        </w:tc>
      </w:tr>
      <w:tr>
        <w:trPr/>
        <w:tc>
          <w:tcPr>
            <w:tcW w:w="54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180" w:right="0" w:hanging="0"/>
              <w:jc w:val="left"/>
              <w:rPr/>
            </w:pPr>
            <w:r>
              <w:rPr/>
              <w:t> </w:t>
            </w:r>
          </w:p>
        </w:tc>
      </w:tr>
      <w:tr>
        <w:trPr/>
        <w:tc>
          <w:tcPr>
            <w:tcW w:w="547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income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7" w:type="dxa"/>
            <w:tcBorders/>
            <w:shd w:fill="CCEEFF" w:val="clear"/>
            <w:vAlign w:val="center"/>
          </w:tcPr>
          <w:p>
            <w:pPr>
              <w:pStyle w:val="TableContents"/>
              <w:bidi w:val="0"/>
              <w:spacing w:before="0" w:after="283"/>
              <w:ind w:left="180" w:right="0" w:hanging="0"/>
              <w:jc w:val="left"/>
              <w:rPr/>
            </w:pPr>
            <w:r>
              <w:rPr/>
              <w:t> </w:t>
            </w:r>
          </w:p>
        </w:tc>
      </w:tr>
      <w:tr>
        <w:trPr/>
        <w:tc>
          <w:tcPr>
            <w:tcW w:w="547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7" w:type="dxa"/>
            <w:tcBorders/>
            <w:shd w:fill="FFFFFF" w:val="clear"/>
            <w:vAlign w:val="center"/>
          </w:tcPr>
          <w:p>
            <w:pPr>
              <w:pStyle w:val="TableContents"/>
              <w:bidi w:val="0"/>
              <w:spacing w:before="0" w:after="283"/>
              <w:jc w:val="left"/>
              <w:rPr/>
            </w:pPr>
            <w:r>
              <w:rPr/>
              <w:t> </w:t>
            </w:r>
          </w:p>
        </w:tc>
      </w:tr>
      <w:tr>
        <w:trPr/>
        <w:tc>
          <w:tcPr>
            <w:tcW w:w="54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and potential common shares outstanding:</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180" w:right="0" w:hanging="0"/>
              <w:jc w:val="left"/>
              <w:rPr/>
            </w:pPr>
            <w:r>
              <w:rPr/>
              <w:t> </w:t>
            </w:r>
          </w:p>
        </w:tc>
      </w:tr>
      <w:tr>
        <w:trPr/>
        <w:tc>
          <w:tcPr>
            <w:tcW w:w="547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18,072</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16,707</w:t>
            </w:r>
          </w:p>
        </w:tc>
        <w:tc>
          <w:tcPr>
            <w:tcW w:w="87" w:type="dxa"/>
            <w:tcBorders/>
            <w:shd w:fill="FFFFFF" w:val="clear"/>
            <w:vAlign w:val="center"/>
          </w:tcPr>
          <w:p>
            <w:pPr>
              <w:pStyle w:val="TableContents"/>
              <w:bidi w:val="0"/>
              <w:spacing w:before="0" w:after="283"/>
              <w:ind w:left="180" w:right="0" w:hanging="0"/>
              <w:jc w:val="left"/>
              <w:rPr/>
            </w:pPr>
            <w:r>
              <w:rPr/>
              <w:t> </w:t>
            </w:r>
          </w:p>
        </w:tc>
      </w:tr>
      <w:tr>
        <w:trPr/>
        <w:tc>
          <w:tcPr>
            <w:tcW w:w="547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18,390</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18,365</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17,065</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se"/>
      <w:bookmarkEnd w:id="7"/>
      <w:r>
        <w:rPr>
          <w:rFonts w:ascii="Times New Roman" w:hAnsi="Times New Roman"/>
          <w:b/>
          <w:caps w:val="false"/>
          <w:smallCaps w:val="false"/>
          <w:sz w:val="20"/>
        </w:rPr>
        <w:t>CONDENSED CONSOLIDATED STATEMENTS OF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 Nine Months Ended September 30,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and Shares 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11"/>
        <w:gridCol w:w="60"/>
        <w:gridCol w:w="64"/>
        <w:gridCol w:w="632"/>
        <w:gridCol w:w="85"/>
        <w:gridCol w:w="64"/>
        <w:gridCol w:w="220"/>
        <w:gridCol w:w="460"/>
        <w:gridCol w:w="60"/>
        <w:gridCol w:w="60"/>
        <w:gridCol w:w="140"/>
        <w:gridCol w:w="780"/>
        <w:gridCol w:w="60"/>
        <w:gridCol w:w="60"/>
        <w:gridCol w:w="125"/>
        <w:gridCol w:w="695"/>
        <w:gridCol w:w="60"/>
        <w:gridCol w:w="60"/>
        <w:gridCol w:w="146"/>
        <w:gridCol w:w="1001"/>
        <w:gridCol w:w="62"/>
      </w:tblGrid>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72"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 2025</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rStyle w:val="Emphasis"/>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July 1,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1,021,854</w:t>
            </w:r>
          </w:p>
        </w:tc>
        <w:tc>
          <w:tcPr>
            <w:tcW w:w="62" w:type="dxa"/>
            <w:tcBorders/>
            <w:shd w:fill="CCEE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common stock under restricted stock award agreements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common stock under restricted stock award agreements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rStyle w:val="Emphasis"/>
              </w:rPr>
              <w:t>—</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4,287</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exercise of stock options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w:t>
            </w:r>
          </w:p>
        </w:tc>
        <w:tc>
          <w:tcPr>
            <w:tcW w:w="62" w:type="dxa"/>
            <w:tcBorders/>
            <w:shd w:fill="CCEE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22,848</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18,483</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1,049,974</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11"/>
        <w:gridCol w:w="60"/>
        <w:gridCol w:w="64"/>
        <w:gridCol w:w="632"/>
        <w:gridCol w:w="85"/>
        <w:gridCol w:w="64"/>
        <w:gridCol w:w="220"/>
        <w:gridCol w:w="460"/>
        <w:gridCol w:w="60"/>
        <w:gridCol w:w="60"/>
        <w:gridCol w:w="140"/>
        <w:gridCol w:w="780"/>
        <w:gridCol w:w="60"/>
        <w:gridCol w:w="60"/>
        <w:gridCol w:w="125"/>
        <w:gridCol w:w="695"/>
        <w:gridCol w:w="60"/>
        <w:gridCol w:w="60"/>
        <w:gridCol w:w="146"/>
        <w:gridCol w:w="1001"/>
        <w:gridCol w:w="62"/>
      </w:tblGrid>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72"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 2025</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rStyle w:val="Emphasis"/>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18,148</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970,492</w:t>
            </w:r>
          </w:p>
        </w:tc>
        <w:tc>
          <w:tcPr>
            <w:tcW w:w="62" w:type="dxa"/>
            <w:tcBorders/>
            <w:shd w:fill="CCEE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common stock under restricted stock award agreements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common stock under restricted stock award agreements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rStyle w:val="Emphasis"/>
              </w:rPr>
              <w:t>—</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11,877</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exercise of stock options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w:t>
            </w:r>
          </w:p>
        </w:tc>
        <w:tc>
          <w:tcPr>
            <w:tcW w:w="62" w:type="dxa"/>
            <w:tcBorders/>
            <w:shd w:fill="CCEE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66,128</w:t>
            </w:r>
          </w:p>
        </w:tc>
        <w:tc>
          <w:tcPr>
            <w:tcW w:w="62" w:type="dxa"/>
            <w:tcBorders/>
            <w:shd w:fill="FFFFFF" w:val="clear"/>
            <w:vAlign w:val="center"/>
          </w:tcPr>
          <w:p>
            <w:pPr>
              <w:pStyle w:val="TableContents"/>
              <w:bidi w:val="0"/>
              <w:spacing w:before="0" w:after="283"/>
              <w:jc w:val="left"/>
              <w:rPr/>
            </w:pPr>
            <w:r>
              <w:rPr/>
              <w:t> </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18,483</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1,049,974</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 Nine Months Ended September 30,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and Shares 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290"/>
        <w:gridCol w:w="60"/>
        <w:gridCol w:w="63"/>
        <w:gridCol w:w="632"/>
        <w:gridCol w:w="85"/>
        <w:gridCol w:w="63"/>
        <w:gridCol w:w="220"/>
        <w:gridCol w:w="460"/>
        <w:gridCol w:w="60"/>
        <w:gridCol w:w="60"/>
        <w:gridCol w:w="140"/>
        <w:gridCol w:w="780"/>
        <w:gridCol w:w="60"/>
        <w:gridCol w:w="60"/>
        <w:gridCol w:w="127"/>
        <w:gridCol w:w="709"/>
        <w:gridCol w:w="60"/>
        <w:gridCol w:w="60"/>
        <w:gridCol w:w="174"/>
        <w:gridCol w:w="973"/>
        <w:gridCol w:w="69"/>
      </w:tblGrid>
      <w:tr>
        <w:trPr/>
        <w:tc>
          <w:tcPr>
            <w:tcW w:w="5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86"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 2024</w:t>
            </w:r>
          </w:p>
        </w:tc>
        <w:tc>
          <w:tcPr>
            <w:tcW w:w="69" w:type="dxa"/>
            <w:tcBorders/>
            <w:shd w:fill="FFFF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rStyle w:val="Emphasis"/>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9" w:type="dxa"/>
            <w:tcBorders/>
            <w:shd w:fill="FFFF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69" w:type="dxa"/>
            <w:tcBorders/>
            <w:shd w:fill="FFFF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69"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July 1, 2024</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18,100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921,655</w:t>
            </w:r>
          </w:p>
        </w:tc>
        <w:tc>
          <w:tcPr>
            <w:tcW w:w="69" w:type="dxa"/>
            <w:tcBorders/>
            <w:shd w:fill="CCEE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common stock under restricted stock award agreements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pPr>
            <w:r>
              <w:rPr/>
              <w:t>—</w:t>
            </w:r>
          </w:p>
        </w:tc>
        <w:tc>
          <w:tcPr>
            <w:tcW w:w="69"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common stock under restricted stock award agreements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pPr>
            <w:r>
              <w:rPr/>
              <w:t>—</w:t>
            </w:r>
          </w:p>
        </w:tc>
        <w:tc>
          <w:tcPr>
            <w:tcW w:w="69" w:type="dxa"/>
            <w:tcBorders/>
            <w:shd w:fill="CCEE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rStyle w:val="Emphasis"/>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2,833</w:t>
            </w:r>
          </w:p>
        </w:tc>
        <w:tc>
          <w:tcPr>
            <w:tcW w:w="69"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exercise of stock options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w:t>
            </w:r>
          </w:p>
        </w:tc>
        <w:tc>
          <w:tcPr>
            <w:tcW w:w="69" w:type="dxa"/>
            <w:tcBorders/>
            <w:shd w:fill="CCEE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in Public offering, net of offering costs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20,163</w:t>
            </w:r>
          </w:p>
        </w:tc>
        <w:tc>
          <w:tcPr>
            <w:tcW w:w="69" w:type="dxa"/>
            <w:tcBorders/>
            <w:shd w:fill="CCEE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2024</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18,133</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947,634</w:t>
            </w:r>
          </w:p>
        </w:tc>
        <w:tc>
          <w:tcPr>
            <w:tcW w:w="6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308"/>
        <w:gridCol w:w="60"/>
        <w:gridCol w:w="64"/>
        <w:gridCol w:w="632"/>
        <w:gridCol w:w="85"/>
        <w:gridCol w:w="64"/>
        <w:gridCol w:w="220"/>
        <w:gridCol w:w="460"/>
        <w:gridCol w:w="60"/>
        <w:gridCol w:w="60"/>
        <w:gridCol w:w="140"/>
        <w:gridCol w:w="780"/>
        <w:gridCol w:w="60"/>
        <w:gridCol w:w="60"/>
        <w:gridCol w:w="125"/>
        <w:gridCol w:w="696"/>
        <w:gridCol w:w="60"/>
        <w:gridCol w:w="60"/>
        <w:gridCol w:w="174"/>
        <w:gridCol w:w="973"/>
        <w:gridCol w:w="64"/>
      </w:tblGrid>
      <w:tr>
        <w:trPr/>
        <w:tc>
          <w:tcPr>
            <w:tcW w:w="5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7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 2024</w:t>
            </w:r>
          </w:p>
        </w:tc>
        <w:tc>
          <w:tcPr>
            <w:tcW w:w="64" w:type="dxa"/>
            <w:tcBorders/>
            <w:shd w:fill="FFFFFF" w:val="clear"/>
            <w:vAlign w:val="center"/>
          </w:tcPr>
          <w:p>
            <w:pPr>
              <w:pStyle w:val="TableContents"/>
              <w:bidi w:val="0"/>
              <w:spacing w:before="0" w:after="283"/>
              <w:jc w:val="left"/>
              <w:rPr/>
            </w:pPr>
            <w:r>
              <w:rPr/>
              <w:t> </w:t>
            </w:r>
          </w:p>
        </w:tc>
      </w:tr>
      <w:tr>
        <w:trPr/>
        <w:tc>
          <w:tcPr>
            <w:tcW w:w="5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rStyle w:val="Emphasis"/>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4" w:type="dxa"/>
            <w:tcBorders/>
            <w:shd w:fill="FFFFFF" w:val="clear"/>
            <w:vAlign w:val="center"/>
          </w:tcPr>
          <w:p>
            <w:pPr>
              <w:pStyle w:val="TableContents"/>
              <w:bidi w:val="0"/>
              <w:spacing w:before="0" w:after="283"/>
              <w:jc w:val="left"/>
              <w:rPr/>
            </w:pPr>
            <w:r>
              <w:rPr/>
              <w:t> </w:t>
            </w:r>
          </w:p>
        </w:tc>
      </w:tr>
      <w:tr>
        <w:trPr/>
        <w:tc>
          <w:tcPr>
            <w:tcW w:w="5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64" w:type="dxa"/>
            <w:tcBorders/>
            <w:shd w:fill="FFFFFF" w:val="clear"/>
            <w:vAlign w:val="center"/>
          </w:tcPr>
          <w:p>
            <w:pPr>
              <w:pStyle w:val="TableContents"/>
              <w:bidi w:val="0"/>
              <w:spacing w:before="0" w:after="283"/>
              <w:jc w:val="left"/>
              <w:rPr/>
            </w:pPr>
            <w:r>
              <w:rPr/>
              <w:t> </w:t>
            </w:r>
          </w:p>
        </w:tc>
      </w:tr>
      <w:tr>
        <w:trPr/>
        <w:tc>
          <w:tcPr>
            <w:tcW w:w="5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64" w:type="dxa"/>
            <w:tcBorders/>
            <w:shd w:fill="FFFFFF" w:val="clear"/>
            <w:vAlign w:val="center"/>
          </w:tcPr>
          <w:p>
            <w:pPr>
              <w:pStyle w:val="TableContents"/>
              <w:bidi w:val="0"/>
              <w:spacing w:before="0" w:after="283"/>
              <w:jc w:val="left"/>
              <w:rPr/>
            </w:pPr>
            <w:r>
              <w:rPr/>
              <w:t> </w:t>
            </w:r>
          </w:p>
        </w:tc>
      </w:tr>
      <w:tr>
        <w:trPr/>
        <w:tc>
          <w:tcPr>
            <w:tcW w:w="5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2024</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706,694</w:t>
            </w:r>
          </w:p>
        </w:tc>
        <w:tc>
          <w:tcPr>
            <w:tcW w:w="64" w:type="dxa"/>
            <w:tcBorders/>
            <w:shd w:fill="CCEEFF" w:val="clear"/>
            <w:vAlign w:val="center"/>
          </w:tcPr>
          <w:p>
            <w:pPr>
              <w:pStyle w:val="TableContents"/>
              <w:bidi w:val="0"/>
              <w:spacing w:before="0" w:after="283"/>
              <w:jc w:val="left"/>
              <w:rPr/>
            </w:pPr>
            <w:r>
              <w:rPr/>
              <w:t> </w:t>
            </w:r>
          </w:p>
        </w:tc>
      </w:tr>
      <w:tr>
        <w:trPr/>
        <w:tc>
          <w:tcPr>
            <w:tcW w:w="53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common stock under restricted stock award agreements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5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common stock under restricted stock award agreements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53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rStyle w:val="Emphasis"/>
              </w:rPr>
              <w:t>—</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8,307</w:t>
            </w:r>
          </w:p>
        </w:tc>
        <w:tc>
          <w:tcPr>
            <w:tcW w:w="64" w:type="dxa"/>
            <w:tcBorders/>
            <w:shd w:fill="FFFFFF" w:val="clear"/>
            <w:vAlign w:val="center"/>
          </w:tcPr>
          <w:p>
            <w:pPr>
              <w:pStyle w:val="TableContents"/>
              <w:bidi w:val="0"/>
              <w:spacing w:before="0" w:after="283"/>
              <w:jc w:val="left"/>
              <w:rPr/>
            </w:pPr>
            <w:r>
              <w:rPr/>
              <w:t> </w:t>
            </w:r>
          </w:p>
        </w:tc>
      </w:tr>
      <w:tr>
        <w:trPr/>
        <w:tc>
          <w:tcPr>
            <w:tcW w:w="5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exercise of stock options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w:t>
            </w:r>
          </w:p>
        </w:tc>
        <w:tc>
          <w:tcPr>
            <w:tcW w:w="64" w:type="dxa"/>
            <w:tcBorders/>
            <w:shd w:fill="CCEEFF" w:val="clear"/>
            <w:vAlign w:val="center"/>
          </w:tcPr>
          <w:p>
            <w:pPr>
              <w:pStyle w:val="TableContents"/>
              <w:bidi w:val="0"/>
              <w:spacing w:before="0" w:after="283"/>
              <w:jc w:val="left"/>
              <w:rPr/>
            </w:pPr>
            <w:r>
              <w:rPr/>
              <w:t> </w:t>
            </w:r>
          </w:p>
        </w:tc>
      </w:tr>
      <w:tr>
        <w:trPr/>
        <w:tc>
          <w:tcPr>
            <w:tcW w:w="530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in Public offering, net of offering costs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1,725</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175,578</w:t>
            </w:r>
          </w:p>
        </w:tc>
        <w:tc>
          <w:tcPr>
            <w:tcW w:w="64" w:type="dxa"/>
            <w:tcBorders/>
            <w:shd w:fill="FFFFFF" w:val="clear"/>
            <w:vAlign w:val="center"/>
          </w:tcPr>
          <w:p>
            <w:pPr>
              <w:pStyle w:val="TableContents"/>
              <w:bidi w:val="0"/>
              <w:spacing w:before="0" w:after="283"/>
              <w:jc w:val="left"/>
              <w:rPr/>
            </w:pPr>
            <w:r>
              <w:rPr/>
              <w:t> </w:t>
            </w:r>
          </w:p>
        </w:tc>
      </w:tr>
      <w:tr>
        <w:trPr/>
        <w:tc>
          <w:tcPr>
            <w:tcW w:w="53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54,072</w:t>
            </w:r>
          </w:p>
        </w:tc>
        <w:tc>
          <w:tcPr>
            <w:tcW w:w="64" w:type="dxa"/>
            <w:tcBorders/>
            <w:shd w:fill="CCEEFF" w:val="clear"/>
            <w:vAlign w:val="center"/>
          </w:tcPr>
          <w:p>
            <w:pPr>
              <w:pStyle w:val="TableContents"/>
              <w:bidi w:val="0"/>
              <w:spacing w:before="0" w:after="283"/>
              <w:jc w:val="left"/>
              <w:rPr/>
            </w:pPr>
            <w:r>
              <w:rPr/>
              <w:t> </w:t>
            </w:r>
          </w:p>
        </w:tc>
      </w:tr>
      <w:tr>
        <w:trPr/>
        <w:tc>
          <w:tcPr>
            <w:tcW w:w="53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2024</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18,133</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947,634</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cf"/>
      <w:bookmarkEnd w:id="8"/>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Nine Months Ended September 30,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09"/>
        <w:gridCol w:w="60"/>
        <w:gridCol w:w="153"/>
        <w:gridCol w:w="852"/>
        <w:gridCol w:w="97"/>
        <w:gridCol w:w="72"/>
        <w:gridCol w:w="153"/>
        <w:gridCol w:w="926"/>
        <w:gridCol w:w="83"/>
      </w:tblGrid>
      <w:tr>
        <w:trPr/>
        <w:tc>
          <w:tcPr>
            <w:tcW w:w="78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66,128</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54,072</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(used in) operating activities, net of acquisitions: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12,264</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10,316</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11,877</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8,307</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 under the credit facility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disposal of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0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termination of operating leases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 net of acquisitions: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(8,513</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17,868</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9,848</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6,187</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stimulus advances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(5,455</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7,890</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(12,204</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11,439</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long-term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4,672</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92,744</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106,016</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of businesses, net of cash acquired</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(24,181</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(5,056</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received from disposal of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received from previous acquisition</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2,937</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received from divestiture of business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3,848</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4,600</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(22,444</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revolver — credit facility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(126,353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0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borrowings on revolver — credit facility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11,335</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debt issuance costs under the credit facility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0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Proceeds from Public offering</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175,578</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exercise of stock options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(67,293</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52,169</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3,007</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158,061</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beginning of period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98,911</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64,791</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101,918</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222,852</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10,071</w:t>
            </w:r>
          </w:p>
        </w:tc>
        <w:tc>
          <w:tcPr>
            <w:tcW w:w="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4,801</w:t>
            </w:r>
          </w:p>
        </w:tc>
        <w:tc>
          <w:tcPr>
            <w:tcW w:w="83" w:type="dxa"/>
            <w:tcBorders/>
            <w:shd w:fill="CCEEFF" w:val="clear"/>
            <w:vAlign w:val="center"/>
          </w:tcPr>
          <w:p>
            <w:pPr>
              <w:pStyle w:val="TableContents"/>
              <w:bidi w:val="0"/>
              <w:spacing w:before="0" w:after="283"/>
              <w:jc w:val="left"/>
              <w:rPr/>
            </w:pPr>
            <w:r>
              <w:rPr/>
              <w:t> </w:t>
            </w:r>
          </w:p>
        </w:tc>
      </w:tr>
      <w:tr>
        <w:trPr/>
        <w:tc>
          <w:tcPr>
            <w:tcW w:w="78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9,240</w:t>
            </w:r>
          </w:p>
        </w:tc>
        <w:tc>
          <w:tcPr>
            <w:tcW w:w="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19,436</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ADDUS HOMECARE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notes"/>
      <w:bookmarkEnd w:id="9"/>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Nature of Operations, Consolidation, and Presentation of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Addus HomeCare Corporation (“Holdings”) and its subsidiaries (together with Holdings, the “Company”, “we”, “us”, or “our”) operate as a multi-state provider of three distinct but related business segments providing in-home services. 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accompanying Unaudited Condensed Consolidated Financial Statements and related notes have been prepared in accordance with the rules and regulations of the U.S. Securities and Exchange Commission (“SEC”) for Quarterly Reports on Form </w:t>
      </w:r>
      <w:r>
        <w:rPr>
          <w:rStyle w:val="Emphasis"/>
          <w:rFonts w:ascii="Times New Roman" w:hAnsi="Times New Roman"/>
          <w:caps w:val="false"/>
          <w:smallCaps w:val="false"/>
          <w:sz w:val="20"/>
        </w:rPr>
        <w:t>10</w:t>
      </w:r>
      <w:r>
        <w:rPr>
          <w:rFonts w:ascii="Times New Roman" w:hAnsi="Times New Roman"/>
          <w:caps w:val="false"/>
          <w:smallCaps w:val="false"/>
          <w:sz w:val="20"/>
        </w:rPr>
        <w:t>-Q. The accompanying balance sheet as of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has been derived from the Company’s audited financial statements for the year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previously filed with the SEC. Accordingly, these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which includes information and disclosures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for a full year or any other interim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These Unaudited Condensed Consolidated Financial Statements include the accounts of Addus HomeCare Corporation and its subsidiaries.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and business combinations, and when required, the quantitative assessment of goodwill.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Computation of Weighted Average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common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7"/>
        <w:gridCol w:w="60"/>
        <w:gridCol w:w="118"/>
        <w:gridCol w:w="1167"/>
        <w:gridCol w:w="118"/>
        <w:gridCol w:w="118"/>
        <w:gridCol w:w="118"/>
        <w:gridCol w:w="1167"/>
        <w:gridCol w:w="60"/>
        <w:gridCol w:w="60"/>
        <w:gridCol w:w="115"/>
        <w:gridCol w:w="1143"/>
        <w:gridCol w:w="115"/>
        <w:gridCol w:w="115"/>
        <w:gridCol w:w="115"/>
        <w:gridCol w:w="1143"/>
        <w:gridCol w:w="66"/>
      </w:tblGrid>
      <w:tr>
        <w:trPr/>
        <w:tc>
          <w:tcPr>
            <w:tcW w:w="44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66" w:type="dxa"/>
            <w:tcBorders/>
            <w:shd w:fill="FFFFFF" w:val="clear"/>
            <w:vAlign w:val="center"/>
          </w:tcPr>
          <w:p>
            <w:pPr>
              <w:pStyle w:val="TableContents"/>
              <w:bidi w:val="0"/>
              <w:spacing w:before="0" w:after="283"/>
              <w:jc w:val="left"/>
              <w:rPr/>
            </w:pPr>
            <w:r>
              <w:rPr/>
              <w:t> </w:t>
            </w:r>
          </w:p>
        </w:tc>
      </w:tr>
      <w:tr>
        <w:trPr/>
        <w:tc>
          <w:tcPr>
            <w:tcW w:w="44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6" w:type="dxa"/>
            <w:tcBorders/>
            <w:shd w:fill="FFFFFF" w:val="clear"/>
            <w:vAlign w:val="center"/>
          </w:tcPr>
          <w:p>
            <w:pPr>
              <w:pStyle w:val="TableContents"/>
              <w:bidi w:val="0"/>
              <w:spacing w:before="0" w:after="283"/>
              <w:jc w:val="left"/>
              <w:rPr/>
            </w:pPr>
            <w:r>
              <w:rPr/>
              <w:t> </w:t>
            </w:r>
          </w:p>
        </w:tc>
      </w:tr>
      <w:tr>
        <w:trPr/>
        <w:tc>
          <w:tcPr>
            <w:tcW w:w="44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2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6" w:type="dxa"/>
            <w:tcBorders/>
            <w:shd w:fill="FFFFFF" w:val="clear"/>
            <w:vAlign w:val="center"/>
          </w:tcPr>
          <w:p>
            <w:pPr>
              <w:pStyle w:val="TableContents"/>
              <w:bidi w:val="0"/>
              <w:spacing w:before="0" w:after="283"/>
              <w:jc w:val="left"/>
              <w:rPr/>
            </w:pPr>
            <w:r>
              <w:rPr/>
              <w:t> </w:t>
            </w:r>
          </w:p>
        </w:tc>
      </w:tr>
      <w:tr>
        <w:trPr/>
        <w:tc>
          <w:tcPr>
            <w:tcW w:w="44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shares outstanding for basic per share calculation</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18,072</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18,031</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16,707</w:t>
            </w:r>
          </w:p>
        </w:tc>
        <w:tc>
          <w:tcPr>
            <w:tcW w:w="66" w:type="dxa"/>
            <w:tcBorders/>
            <w:shd w:fill="CCEEFF" w:val="clear"/>
            <w:vAlign w:val="center"/>
          </w:tcPr>
          <w:p>
            <w:pPr>
              <w:pStyle w:val="TableContents"/>
              <w:bidi w:val="0"/>
              <w:spacing w:before="0" w:after="283"/>
              <w:jc w:val="left"/>
              <w:rPr/>
            </w:pPr>
            <w:r>
              <w:rPr/>
              <w:t> </w:t>
            </w:r>
          </w:p>
        </w:tc>
      </w:tr>
      <w:tr>
        <w:trPr/>
        <w:tc>
          <w:tcPr>
            <w:tcW w:w="44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potential shares: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44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66" w:type="dxa"/>
            <w:tcBorders/>
            <w:shd w:fill="CCEEFF" w:val="clear"/>
            <w:vAlign w:val="center"/>
          </w:tcPr>
          <w:p>
            <w:pPr>
              <w:pStyle w:val="TableContents"/>
              <w:bidi w:val="0"/>
              <w:spacing w:before="0" w:after="283"/>
              <w:jc w:val="left"/>
              <w:rPr/>
            </w:pPr>
            <w:r>
              <w:rPr/>
              <w:t> </w:t>
            </w:r>
          </w:p>
        </w:tc>
      </w:tr>
      <w:tr>
        <w:trPr/>
        <w:tc>
          <w:tcPr>
            <w:tcW w:w="44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awards</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66" w:type="dxa"/>
            <w:tcBorders/>
            <w:shd w:fill="FFFFFF" w:val="clear"/>
            <w:vAlign w:val="center"/>
          </w:tcPr>
          <w:p>
            <w:pPr>
              <w:pStyle w:val="TableContents"/>
              <w:bidi w:val="0"/>
              <w:spacing w:before="0" w:after="283"/>
              <w:jc w:val="left"/>
              <w:rPr/>
            </w:pPr>
            <w:r>
              <w:rPr/>
              <w:t> </w:t>
            </w:r>
          </w:p>
        </w:tc>
      </w:tr>
      <w:tr>
        <w:trPr/>
        <w:tc>
          <w:tcPr>
            <w:tcW w:w="44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weighted average shares for diluted per share calculation</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17,065</w:t>
            </w:r>
          </w:p>
        </w:tc>
        <w:tc>
          <w:tcPr>
            <w:tcW w:w="66" w:type="dxa"/>
            <w:tcBorders/>
            <w:shd w:fill="CCEEFF" w:val="clear"/>
            <w:vAlign w:val="center"/>
          </w:tcPr>
          <w:p>
            <w:pPr>
              <w:pStyle w:val="TableContents"/>
              <w:bidi w:val="0"/>
              <w:spacing w:before="0" w:after="283"/>
              <w:jc w:val="left"/>
              <w:rPr/>
            </w:pPr>
            <w:r>
              <w:rPr/>
              <w:t> </w:t>
            </w:r>
          </w:p>
        </w:tc>
      </w:tr>
      <w:tr>
        <w:trPr/>
        <w:tc>
          <w:tcPr>
            <w:tcW w:w="44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Anti-dilutive shares: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44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143" w:type="dxa"/>
            <w:tcBorders/>
            <w:shd w:fill="CCEEFF" w:val="clear"/>
            <w:vAlign w:val="center"/>
          </w:tcPr>
          <w:p>
            <w:pPr>
              <w:pStyle w:val="TableContents"/>
              <w:bidi w:val="0"/>
              <w:spacing w:before="0" w:after="283"/>
              <w:ind w:left="0" w:right="0" w:hanging="0"/>
              <w:jc w:val="right"/>
              <w:rPr/>
            </w:pPr>
            <w:r>
              <w:rPr/>
              <w:t>—</w:t>
            </w:r>
          </w:p>
        </w:tc>
        <w:tc>
          <w:tcPr>
            <w:tcW w:w="66" w:type="dxa"/>
            <w:tcBorders/>
            <w:shd w:fill="CCEEFF" w:val="clear"/>
            <w:vAlign w:val="center"/>
          </w:tcPr>
          <w:p>
            <w:pPr>
              <w:pStyle w:val="TableContents"/>
              <w:bidi w:val="0"/>
              <w:spacing w:before="0" w:after="283"/>
              <w:jc w:val="left"/>
              <w:rPr/>
            </w:pPr>
            <w:r>
              <w:rPr/>
              <w:t> </w:t>
            </w:r>
          </w:p>
        </w:tc>
      </w:tr>
      <w:tr>
        <w:trPr/>
        <w:tc>
          <w:tcPr>
            <w:tcW w:w="44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awards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143" w:type="dxa"/>
            <w:tcBorders/>
            <w:shd w:fill="FFFFFF" w:val="clear"/>
            <w:vAlign w:val="center"/>
          </w:tcPr>
          <w:p>
            <w:pPr>
              <w:pStyle w:val="TableContents"/>
              <w:bidi w:val="0"/>
              <w:spacing w:before="0" w:after="283"/>
              <w:ind w:left="0" w:right="0" w:hanging="0"/>
              <w:jc w:val="right"/>
              <w:rPr/>
            </w:pPr>
            <w:r>
              <w:rPr/>
              <w:t>—</w:t>
            </w:r>
          </w:p>
        </w:tc>
        <w:tc>
          <w:tcPr>
            <w:tcW w:w="6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Financial Accounting Standards Board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t>
      </w:r>
      <w:r>
        <w:rPr>
          <w:rFonts w:ascii="Times New Roman" w:hAnsi="Times New Roman"/>
          <w:i/>
          <w:caps w:val="false"/>
          <w:smallCaps w:val="false"/>
          <w:sz w:val="20"/>
        </w:rPr>
        <w:t>Improvements to Reportable Segment Disclosures</w:t>
      </w:r>
      <w:r>
        <w:rPr>
          <w:rFonts w:ascii="Times New Roman" w:hAnsi="Times New Roman"/>
          <w:caps w:val="false"/>
          <w:smallCaps w:val="false"/>
          <w:sz w:val="20"/>
        </w:rPr>
        <w:t xml:space="preserve">,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The ASU was adopted in connection with the Company's most recent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which included significant segment expenses reviewed by the Company’s CODM, but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results of operations, financial position,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Improvement to Income Tax Disclosures</w:t>
      </w:r>
      <w:r>
        <w:rPr>
          <w:rFonts w:ascii="Times New Roman" w:hAnsi="Times New Roman"/>
          <w:caps w:val="false"/>
          <w:smallCaps w:val="false"/>
          <w:sz w:val="20"/>
        </w:rPr>
        <w:t xml:space="preserve">, which requires disclosure of disaggregated income taxes paid, prescribes standard categories for the components of the effective tax rate reconciliation, and modifies other income tax-related disclosures.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2024, may </w:t>
      </w:r>
      <w:r>
        <w:rPr>
          <w:rFonts w:ascii="Times New Roman" w:hAnsi="Times New Roman"/>
          <w:caps w:val="false"/>
          <w:smallCaps w:val="false"/>
          <w:sz w:val="20"/>
        </w:rPr>
        <w:t xml:space="preserve">be applied on a prospective basis with the option to apply the standard retrospectively, and allows for early adoption. These requirements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impact on the Company’s financial statements and will expand income tax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Disaggregation of Income Statement Expenses</w:t>
      </w:r>
      <w:r>
        <w:rPr>
          <w:rFonts w:ascii="Times New Roman" w:hAnsi="Times New Roman"/>
          <w:caps w:val="false"/>
          <w:smallCaps w:val="false"/>
          <w:sz w:val="20"/>
        </w:rPr>
        <w:t xml:space="preserve">, which intends to provide investors more detailed disclosures around specific types of expenses. The new disclosures require certain details for expenses presented on the face of the Consolidated Statements of Operations as well as selling expenses to be presented in the notes to the financial statements.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permitted. The disclosure updates are required to be applied prospectively with the option for retrospective application. The Company is currently assessing the impact and timing of adopting the updated provisions.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t>
      </w:r>
      <w:r>
        <w:rPr>
          <w:rFonts w:ascii="Times New Roman" w:hAnsi="Times New Roman"/>
          <w:i/>
          <w:caps w:val="false"/>
          <w:smallCaps w:val="false"/>
          <w:sz w:val="20"/>
        </w:rPr>
        <w:t>Measurement of Credit Losses for Accounts Receivable and Contract Assets</w:t>
      </w:r>
      <w:r>
        <w:rPr>
          <w:rFonts w:ascii="Times New Roman" w:hAnsi="Times New Roman"/>
          <w:caps w:val="false"/>
          <w:smallCaps w:val="false"/>
          <w:sz w:val="20"/>
        </w:rPr>
        <w:t xml:space="preserve">, which replaces the incurred-loss model with a forward-looking current expected credit loss model that requires recognition of lifetime expected credit losses on financial assets measured at amortized cost and certain off-balance-sheet credit exposures (including trade accounts receivable and contract assets), using historical experience, current conditions, and reasonable and supportable forecasts.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is effective for annual reporting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and interim reporting periods within those annual reporting periods, with early adoption permitted. The disclosure updates should be applied prospectively. The Company is currently assessing the impact and timing of adopting the updated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May 20, 2024, </w:t>
      </w:r>
      <w:r>
        <w:rPr>
          <w:rFonts w:ascii="Times New Roman" w:hAnsi="Times New Roman"/>
          <w:caps w:val="false"/>
          <w:smallCaps w:val="false"/>
          <w:sz w:val="20"/>
        </w:rPr>
        <w:t xml:space="preserve">the Company entered into a definitive asset purchase agreement to sell all of the Company’s New York operations for a purchase price of up to $23.0 million in cash, subject to certain adjustments, including adjustments for future operating requirements (the “New York Asset Sale”). The purchase price included 50% cash consideration, paid out as an initial payment of $4.6 million and $6.9 million paid pro rata as a deferred payment as caregivers are transferred, and 50% in the form of contingent consideration for the Company’s New York Consumer Directed Personal Assistance Program (“CDPAP”) business. The Company entered into a consulting agreement with the purchaser effective </w:t>
      </w:r>
      <w:r>
        <w:rPr>
          <w:rStyle w:val="Emphasis"/>
          <w:rFonts w:ascii="Times New Roman" w:hAnsi="Times New Roman"/>
          <w:caps w:val="false"/>
          <w:smallCaps w:val="false"/>
          <w:sz w:val="20"/>
        </w:rPr>
        <w:t xml:space="preserve">May 20, 2024, </w:t>
      </w:r>
      <w:r>
        <w:rPr>
          <w:rFonts w:ascii="Times New Roman" w:hAnsi="Times New Roman"/>
          <w:caps w:val="false"/>
          <w:smallCaps w:val="false"/>
          <w:sz w:val="20"/>
        </w:rPr>
        <w:t xml:space="preserve">as the transfer of clients and caregivers and payment for assets pursuant to the New York Asset Sale is occurring over time as regulatory approvals are received, coordination of the transfer of clients and caregivers occurs, and the change of control takes place. The Company determined that the consulting agreement gave it the ability to control the business until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when the Company determined that it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controlled the business as it transferred more than 50% of the clients and caregivers and therefore qualified for sale consideration of the New York Asset Sale. As a result, the Company deconsolidated the results of its New York operations and recorded a gain on divestiture of $3.7 million during the year ended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The gain was reflected within general and administrative expenses on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connection with this transaction, the Company ceased operations in New York.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recorded deferred payments of </w:t>
      </w:r>
      <w:r>
        <w:rPr>
          <w:rFonts w:ascii="Times New Roman" w:hAnsi="Times New Roman"/>
          <w:caps w:val="false"/>
          <w:smallCaps w:val="false"/>
          <w:sz w:val="20"/>
          <w:shd w:fill="FFFFFF" w:val="clear"/>
        </w:rPr>
        <w:t xml:space="preserve">$3.8 </w:t>
      </w:r>
      <w:r>
        <w:rPr>
          <w:rFonts w:ascii="Times New Roman" w:hAnsi="Times New Roman"/>
          <w:caps w:val="false"/>
          <w:smallCaps w:val="false"/>
          <w:sz w:val="20"/>
        </w:rPr>
        <w:t xml:space="preserve">million with the remaining </w:t>
      </w:r>
      <w:r>
        <w:rPr>
          <w:rFonts w:ascii="Times New Roman" w:hAnsi="Times New Roman"/>
          <w:caps w:val="false"/>
          <w:smallCaps w:val="false"/>
          <w:sz w:val="20"/>
          <w:shd w:fill="FFFFFF" w:val="clear"/>
        </w:rPr>
        <w:t xml:space="preserve">$2.3 </w:t>
      </w:r>
      <w:r>
        <w:rPr>
          <w:rFonts w:ascii="Times New Roman" w:hAnsi="Times New Roman"/>
          <w:caps w:val="false"/>
          <w:smallCaps w:val="false"/>
          <w:sz w:val="20"/>
        </w:rPr>
        <w:t xml:space="preserve">million due from the purchaser reflected within prepaid expenses and other current assets on the condensed consolidated balance sheets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amount was recorded related to the CDPAP business 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New York Asset Sale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as a discontinued operation because it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a strategic shift that has or will have a major effect on the Company’s operation or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Goodwill and intangible assets of $2.9 million and $4.2 million, respectively, were derecognized in connection with the divestiture. The carrying amounts of the assets and liabilities associated with the New York personal care operations included in our Consolidated Balance Sheets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were as follows (amounts in thousands):</w:t>
      </w:r>
    </w:p>
    <w:p>
      <w:pPr>
        <w:pStyle w:val="TextBody"/>
        <w:bidi w:val="0"/>
        <w:spacing w:before="0" w:after="0"/>
        <w:ind w:left="0" w:right="0" w:hanging="0"/>
        <w:jc w:val="left"/>
        <w:rPr>
          <w:caps w:val="false"/>
          <w:smallCaps w:val="false"/>
        </w:rPr>
      </w:pPr>
      <w:r>
        <w:rPr>
          <w:caps w:val="false"/>
          <w:smallCaps w:val="false"/>
        </w:rPr>
        <w:t> </w:t>
      </w:r>
    </w:p>
    <w:tbl>
      <w:tblPr>
        <w:tblW w:w="7869" w:type="dxa"/>
        <w:jc w:val="left"/>
        <w:tblInd w:w="0" w:type="dxa"/>
        <w:tblLayout w:type="fixed"/>
        <w:tblCellMar>
          <w:top w:w="0" w:type="dxa"/>
          <w:left w:w="0" w:type="dxa"/>
          <w:bottom w:w="0" w:type="dxa"/>
          <w:right w:w="0" w:type="dxa"/>
        </w:tblCellMar>
      </w:tblPr>
      <w:tblGrid>
        <w:gridCol w:w="6095"/>
        <w:gridCol w:w="60"/>
        <w:gridCol w:w="338"/>
        <w:gridCol w:w="1316"/>
        <w:gridCol w:w="60"/>
      </w:tblGrid>
      <w:tr>
        <w:trPr/>
        <w:tc>
          <w:tcPr>
            <w:tcW w:w="6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allowances</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 of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 of accumulated amortization</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net</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2,724</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2,724</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2,736</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2,813</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long-term portion</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w:t>
            </w:r>
          </w:p>
        </w:tc>
        <w:tc>
          <w:tcPr>
            <w:tcW w:w="6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Amounts reported on the Company’s Unaudited Condensed Consolidated Balance Sheets for operating leases were as follows:</w:t>
      </w:r>
    </w:p>
    <w:p>
      <w:pPr>
        <w:pStyle w:val="TextBody"/>
        <w:bidi w:val="0"/>
        <w:spacing w:before="0" w:after="0"/>
        <w:ind w:left="0" w:right="0" w:hanging="0"/>
        <w:jc w:val="left"/>
        <w:rPr>
          <w:caps w:val="false"/>
          <w:smallCaps w:val="false"/>
        </w:rPr>
      </w:pPr>
      <w:r>
        <w:rPr>
          <w:caps w:val="false"/>
          <w:smallCaps w:val="false"/>
        </w:rPr>
        <w:t> </w:t>
      </w:r>
    </w:p>
    <w:tbl>
      <w:tblPr>
        <w:tblW w:w="6478" w:type="dxa"/>
        <w:jc w:val="left"/>
        <w:tblInd w:w="0" w:type="dxa"/>
        <w:tblLayout w:type="fixed"/>
        <w:tblCellMar>
          <w:top w:w="0" w:type="dxa"/>
          <w:left w:w="0" w:type="dxa"/>
          <w:bottom w:w="0" w:type="dxa"/>
          <w:right w:w="0" w:type="dxa"/>
        </w:tblCellMar>
      </w:tblPr>
      <w:tblGrid>
        <w:gridCol w:w="2975"/>
        <w:gridCol w:w="60"/>
        <w:gridCol w:w="288"/>
        <w:gridCol w:w="1366"/>
        <w:gridCol w:w="60"/>
        <w:gridCol w:w="60"/>
        <w:gridCol w:w="280"/>
        <w:gridCol w:w="1329"/>
        <w:gridCol w:w="60"/>
      </w:tblGrid>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47,348</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12,800</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41,883</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Lease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Components of lease costs were reported in general and administrative expenses in the Company’s Unaudited Condensed Consolidated Statements of Income as follows:</w:t>
      </w:r>
    </w:p>
    <w:p>
      <w:pPr>
        <w:pStyle w:val="TextBody"/>
        <w:bidi w:val="0"/>
        <w:spacing w:before="0" w:after="0"/>
        <w:ind w:left="0" w:right="0" w:hanging="0"/>
        <w:jc w:val="left"/>
        <w:rPr>
          <w:caps w:val="false"/>
          <w:smallCaps w:val="false"/>
        </w:rPr>
      </w:pPr>
      <w:r>
        <w:rPr>
          <w:caps w:val="false"/>
          <w:smallCaps w:val="false"/>
        </w:rPr>
        <w:t> </w:t>
      </w:r>
    </w:p>
    <w:tbl>
      <w:tblPr>
        <w:tblW w:w="9275" w:type="dxa"/>
        <w:jc w:val="left"/>
        <w:tblInd w:w="0" w:type="dxa"/>
        <w:tblLayout w:type="fixed"/>
        <w:tblCellMar>
          <w:top w:w="0" w:type="dxa"/>
          <w:left w:w="0" w:type="dxa"/>
          <w:bottom w:w="0" w:type="dxa"/>
          <w:right w:w="0" w:type="dxa"/>
        </w:tblCellMar>
      </w:tblPr>
      <w:tblGrid>
        <w:gridCol w:w="1820"/>
        <w:gridCol w:w="60"/>
        <w:gridCol w:w="339"/>
        <w:gridCol w:w="1315"/>
        <w:gridCol w:w="162"/>
        <w:gridCol w:w="162"/>
        <w:gridCol w:w="339"/>
        <w:gridCol w:w="1315"/>
        <w:gridCol w:w="80"/>
        <w:gridCol w:w="60"/>
        <w:gridCol w:w="282"/>
        <w:gridCol w:w="1332"/>
        <w:gridCol w:w="180"/>
        <w:gridCol w:w="135"/>
        <w:gridCol w:w="282"/>
        <w:gridCol w:w="1332"/>
        <w:gridCol w:w="80"/>
      </w:tblGrid>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3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6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10,931</w:t>
            </w:r>
          </w:p>
        </w:tc>
        <w:tc>
          <w:tcPr>
            <w:tcW w:w="18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18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ind w:left="0" w:right="0" w:hanging="0"/>
              <w:jc w:val="left"/>
              <w:rPr/>
            </w:pPr>
            <w:r>
              <w:rPr/>
              <w:t> </w:t>
            </w:r>
          </w:p>
        </w:tc>
        <w:tc>
          <w:tcPr>
            <w:tcW w:w="13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ind w:left="0" w:right="0" w:hanging="0"/>
              <w:jc w:val="left"/>
              <w:rPr/>
            </w:pPr>
            <w:r>
              <w:rPr/>
              <w:t> </w:t>
            </w:r>
          </w:p>
        </w:tc>
        <w:tc>
          <w:tcPr>
            <w:tcW w:w="13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11,778</w:t>
            </w:r>
          </w:p>
        </w:tc>
        <w:tc>
          <w:tcPr>
            <w:tcW w:w="18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10,609</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18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sublease income</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 net</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11,552</w:t>
            </w:r>
          </w:p>
        </w:tc>
        <w:tc>
          <w:tcPr>
            <w:tcW w:w="18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Lease Term and 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Weighted average remaining lease terms and discount rates were as follows:</w:t>
      </w:r>
    </w:p>
    <w:p>
      <w:pPr>
        <w:pStyle w:val="TextBody"/>
        <w:bidi w:val="0"/>
        <w:spacing w:before="0" w:after="0"/>
        <w:ind w:left="0" w:right="0" w:hanging="0"/>
        <w:jc w:val="left"/>
        <w:rPr>
          <w:caps w:val="false"/>
          <w:smallCaps w:val="false"/>
        </w:rPr>
      </w:pPr>
      <w:r>
        <w:rPr>
          <w:caps w:val="false"/>
          <w:smallCaps w:val="false"/>
        </w:rPr>
        <w:t> </w:t>
      </w:r>
    </w:p>
    <w:tbl>
      <w:tblPr>
        <w:tblW w:w="6968" w:type="dxa"/>
        <w:jc w:val="left"/>
        <w:tblInd w:w="0" w:type="dxa"/>
        <w:tblLayout w:type="fixed"/>
        <w:tblCellMar>
          <w:top w:w="0" w:type="dxa"/>
          <w:left w:w="0" w:type="dxa"/>
          <w:bottom w:w="0" w:type="dxa"/>
          <w:right w:w="0" w:type="dxa"/>
        </w:tblCellMar>
      </w:tblPr>
      <w:tblGrid>
        <w:gridCol w:w="3215"/>
        <w:gridCol w:w="60"/>
        <w:gridCol w:w="225"/>
        <w:gridCol w:w="1429"/>
        <w:gridCol w:w="185"/>
        <w:gridCol w:w="60"/>
        <w:gridCol w:w="219"/>
        <w:gridCol w:w="1390"/>
        <w:gridCol w:w="185"/>
      </w:tblGrid>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Maturity of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Remaining operating lease payments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6209" w:type="dxa"/>
        <w:jc w:val="left"/>
        <w:tblInd w:w="0" w:type="dxa"/>
        <w:tblLayout w:type="fixed"/>
        <w:tblCellMar>
          <w:top w:w="0" w:type="dxa"/>
          <w:left w:w="0" w:type="dxa"/>
          <w:bottom w:w="0" w:type="dxa"/>
          <w:right w:w="0" w:type="dxa"/>
        </w:tblCellMar>
      </w:tblPr>
      <w:tblGrid>
        <w:gridCol w:w="4010"/>
        <w:gridCol w:w="60"/>
        <w:gridCol w:w="358"/>
        <w:gridCol w:w="1701"/>
        <w:gridCol w:w="80"/>
      </w:tblGrid>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 Leases</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in the 12-month period ended September 30,</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ind w:left="0" w:right="0" w:hanging="0"/>
              <w:jc w:val="left"/>
              <w:rPr/>
            </w:pPr>
            <w:r>
              <w:rPr/>
              <w:t> </w:t>
            </w:r>
          </w:p>
        </w:tc>
        <w:tc>
          <w:tcPr>
            <w:tcW w:w="3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15,759</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ind w:left="0" w:right="0" w:hanging="0"/>
              <w:jc w:val="left"/>
              <w:rPr/>
            </w:pPr>
            <w:r>
              <w:rPr/>
              <w:t> </w:t>
            </w:r>
          </w:p>
        </w:tc>
        <w:tc>
          <w:tcPr>
            <w:tcW w:w="17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12,614</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hanging="0"/>
              <w:jc w:val="left"/>
              <w:rPr/>
            </w:pPr>
            <w:r>
              <w:rPr/>
              <w:t> </w:t>
            </w:r>
          </w:p>
        </w:tc>
        <w:tc>
          <w:tcPr>
            <w:tcW w:w="1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9,143</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ind w:left="0" w:right="0" w:hanging="0"/>
              <w:jc w:val="left"/>
              <w:rPr/>
            </w:pPr>
            <w:r>
              <w:rPr/>
              <w:t> </w:t>
            </w:r>
          </w:p>
        </w:tc>
        <w:tc>
          <w:tcPr>
            <w:tcW w:w="17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6,946</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hanging="0"/>
              <w:jc w:val="left"/>
              <w:rPr/>
            </w:pPr>
            <w:r>
              <w:rPr/>
              <w:t> </w:t>
            </w:r>
          </w:p>
        </w:tc>
        <w:tc>
          <w:tcPr>
            <w:tcW w:w="1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6,016</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11,064</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minimum rental commitments</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hanging="0"/>
              <w:jc w:val="left"/>
              <w:rPr/>
            </w:pPr>
            <w:r>
              <w:rPr/>
              <w:t> </w:t>
            </w:r>
          </w:p>
        </w:tc>
        <w:tc>
          <w:tcPr>
            <w:tcW w:w="1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61,542</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51,845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Supplemental Cash Flows Information</w:t>
      </w:r>
    </w:p>
    <w:p>
      <w:pPr>
        <w:pStyle w:val="TextBody"/>
        <w:bidi w:val="0"/>
        <w:spacing w:before="0" w:after="0"/>
        <w:ind w:left="0" w:right="0" w:hanging="0"/>
        <w:jc w:val="left"/>
        <w:rPr>
          <w:caps w:val="false"/>
          <w:smallCaps w:val="false"/>
        </w:rPr>
      </w:pPr>
      <w:r>
        <w:rPr>
          <w:caps w:val="false"/>
          <w:smallCaps w:val="false"/>
        </w:rPr>
        <w:t> </w:t>
      </w:r>
    </w:p>
    <w:tbl>
      <w:tblPr>
        <w:tblW w:w="9427" w:type="dxa"/>
        <w:jc w:val="left"/>
        <w:tblInd w:w="0" w:type="dxa"/>
        <w:tblLayout w:type="fixed"/>
        <w:tblCellMar>
          <w:top w:w="0" w:type="dxa"/>
          <w:left w:w="0" w:type="dxa"/>
          <w:bottom w:w="0" w:type="dxa"/>
          <w:right w:w="0" w:type="dxa"/>
        </w:tblCellMar>
      </w:tblPr>
      <w:tblGrid>
        <w:gridCol w:w="5765"/>
        <w:gridCol w:w="60"/>
        <w:gridCol w:w="285"/>
        <w:gridCol w:w="1349"/>
        <w:gridCol w:w="137"/>
        <w:gridCol w:w="137"/>
        <w:gridCol w:w="285"/>
        <w:gridCol w:w="1349"/>
        <w:gridCol w:w="60"/>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6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12,505</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10,925</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7,156</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Times;serif" w:hAnsi="Times New Roman;Times;serif"/>
          <w:caps w:val="false"/>
          <w:smallCaps w:val="false"/>
          <w:sz w:val="20"/>
        </w:rPr>
        <w:t xml:space="preserve">The Company’s acquisitions have been accounted for in accordance with ASC Topic </w:t>
      </w:r>
      <w:r>
        <w:rPr>
          <w:rStyle w:val="Emphasis"/>
          <w:rFonts w:ascii="Times New Roman;Times;serif" w:hAnsi="Times New Roman;Times;serif"/>
          <w:caps w:val="false"/>
          <w:smallCaps w:val="false"/>
          <w:sz w:val="20"/>
        </w:rPr>
        <w:t>805,</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Business Combinations</w:t>
      </w:r>
      <w:r>
        <w:rPr>
          <w:rFonts w:ascii="Times New Roman;Times;serif" w:hAnsi="Times New Roman;Times;serif"/>
          <w:caps w:val="false"/>
          <w:smallCaps w:val="false"/>
          <w:sz w:val="20"/>
        </w:rPr>
        <w:t xml:space="preserve">, and the resulting goodwill and other intangible assets were accounted for under ASC Topic </w:t>
      </w:r>
      <w:r>
        <w:rPr>
          <w:rStyle w:val="Emphasis"/>
          <w:rFonts w:ascii="Times New Roman;Times;serif" w:hAnsi="Times New Roman;Times;serif"/>
          <w:caps w:val="false"/>
          <w:smallCaps w:val="false"/>
          <w:sz w:val="20"/>
        </w:rPr>
        <w:t>350,</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Goodwill and Other Intangible Assets</w:t>
      </w:r>
      <w:r>
        <w:rPr>
          <w:rFonts w:ascii="Times New Roman;Times;serif" w:hAnsi="Times New Roman;Times;serif"/>
          <w:caps w:val="false"/>
          <w:smallCaps w:val="false"/>
          <w:sz w:val="20"/>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Unaudited Condensed Consolidated Statements of Income from the date of acquisition.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Management’s assessment of qualitative factors affecting goodwill for each acquisition includes estimates of market share at the date of purchase, ability to grow in the market, synergy with existing Company operations and the payor profile in the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Helping Hands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August 1, 2025, </w:t>
      </w:r>
      <w:r>
        <w:rPr>
          <w:rFonts w:ascii="Times New Roman;Times;serif" w:hAnsi="Times New Roman;Times;serif"/>
          <w:caps w:val="false"/>
          <w:smallCaps w:val="false"/>
          <w:sz w:val="20"/>
        </w:rPr>
        <w:t xml:space="preserve">the Company completed the acquisition of Helping Hands Home Care Service, Inc., a Pennsylvania corporation (the “Helping Hands Acquisition”), for approximately $21.4 million. The purchase was funded through the Company’s revolving credit facility and available cash. With the Helping Hands Acquisition, the Company expanded its services within its personal care segment and entered the hospice and home health markets in Pennsylvania. The related acquisition and integration costs were $0.3 million and $0.1 million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2025, </w:t>
      </w:r>
      <w:r>
        <w:rPr>
          <w:rFonts w:ascii="Times New Roman;Times;serif" w:hAnsi="Times New Roman;Times;serif"/>
          <w:caps w:val="false"/>
          <w:smallCaps w:val="false"/>
          <w:sz w:val="20"/>
        </w:rPr>
        <w:t xml:space="preserve">and $0.9 million and $0.1 million for the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2025, </w:t>
      </w:r>
      <w:r>
        <w:rPr>
          <w:rFonts w:ascii="Times New Roman;Times;serif" w:hAnsi="Times New Roman;Times;serif"/>
          <w:caps w:val="false"/>
          <w:smallCaps w:val="false"/>
          <w:sz w:val="20"/>
        </w:rPr>
        <w:t>respectively. These costs were included in general and administrative expenses on the Unaudited Condensed Consolidated Statements of Income and were expensed as incurred.</w:t>
      </w:r>
    </w:p>
    <w:p>
      <w:pPr>
        <w:pStyle w:val="TextBody"/>
        <w:bidi w:val="0"/>
        <w:spacing w:before="0" w:after="0"/>
        <w:ind w:left="0" w:right="0" w:hanging="0"/>
        <w:jc w:val="left"/>
        <w:rPr>
          <w:caps w:val="false"/>
          <w:smallCaps w:val="false"/>
        </w:rPr>
      </w:pPr>
      <w:r>
        <w:rPr>
          <w:caps w:val="false"/>
          <w:smallCaps w:val="false"/>
        </w:rPr>
        <w:t> </w:t>
      </w:r>
    </w:p>
    <w:tbl>
      <w:tblPr>
        <w:tblW w:w="5234" w:type="dxa"/>
        <w:jc w:val="left"/>
        <w:tblInd w:w="0" w:type="dxa"/>
        <w:tblLayout w:type="fixed"/>
        <w:tblCellMar>
          <w:top w:w="0" w:type="dxa"/>
          <w:left w:w="0" w:type="dxa"/>
          <w:bottom w:w="0" w:type="dxa"/>
          <w:right w:w="0" w:type="dxa"/>
        </w:tblCellMar>
      </w:tblPr>
      <w:tblGrid>
        <w:gridCol w:w="2570"/>
        <w:gridCol w:w="60"/>
        <w:gridCol w:w="439"/>
        <w:gridCol w:w="2085"/>
        <w:gridCol w:w="80"/>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(Amounts in Thousands)</w:t>
            </w:r>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19,022</w:t>
            </w:r>
          </w:p>
        </w:tc>
        <w:tc>
          <w:tcPr>
            <w:tcW w:w="8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Identifiable intangible assets</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0"/>
              <w:jc w:val="left"/>
              <w:rPr/>
            </w:pPr>
            <w:r>
              <w:rPr/>
              <w:t> </w:t>
            </w:r>
          </w:p>
        </w:tc>
        <w:tc>
          <w:tcPr>
            <w:tcW w:w="20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w:t>
            </w:r>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0"/>
              <w:jc w:val="left"/>
              <w:rPr/>
            </w:pPr>
            <w:r>
              <w:rPr/>
              <w:t> </w:t>
            </w:r>
          </w:p>
        </w:tc>
        <w:tc>
          <w:tcPr>
            <w:tcW w:w="20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0"/>
              <w:jc w:val="left"/>
              <w:rPr/>
            </w:pPr>
            <w:r>
              <w:rPr/>
              <w:t> </w:t>
            </w:r>
          </w:p>
        </w:tc>
        <w:tc>
          <w:tcPr>
            <w:tcW w:w="20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w:t>
            </w:r>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0"/>
              <w:jc w:val="left"/>
              <w:rPr/>
            </w:pPr>
            <w:r>
              <w:rPr/>
              <w:t> </w:t>
            </w:r>
          </w:p>
        </w:tc>
        <w:tc>
          <w:tcPr>
            <w:tcW w:w="20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net</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0"/>
              <w:jc w:val="left"/>
              <w:rPr/>
            </w:pPr>
            <w:r>
              <w:rPr/>
              <w:t> </w:t>
            </w:r>
          </w:p>
        </w:tc>
        <w:tc>
          <w:tcPr>
            <w:tcW w:w="20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0"/>
              <w:jc w:val="left"/>
              <w:rPr/>
            </w:pPr>
            <w:r>
              <w:rPr/>
              <w:t> </w:t>
            </w:r>
          </w:p>
        </w:tc>
        <w:tc>
          <w:tcPr>
            <w:tcW w:w="20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0"/>
              <w:jc w:val="left"/>
              <w:rPr/>
            </w:pPr>
            <w:r>
              <w:rPr/>
              <w:t> </w:t>
            </w:r>
          </w:p>
        </w:tc>
        <w:tc>
          <w:tcPr>
            <w:tcW w:w="20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0"/>
              <w:jc w:val="left"/>
              <w:rPr/>
            </w:pPr>
            <w:r>
              <w:rPr/>
              <w:t> </w:t>
            </w:r>
          </w:p>
        </w:tc>
        <w:tc>
          <w:tcPr>
            <w:tcW w:w="20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total</w:t>
            </w:r>
          </w:p>
        </w:tc>
        <w:tc>
          <w:tcPr>
            <w:tcW w:w="60" w:type="dxa"/>
            <w:tcBorders/>
            <w:shd w:fill="FFFFFF" w:val="clear"/>
            <w:vAlign w:val="center"/>
          </w:tcPr>
          <w:p>
            <w:pPr>
              <w:pStyle w:val="TableContents"/>
              <w:bidi w:val="0"/>
              <w:spacing w:before="0" w:after="283"/>
              <w:jc w:val="left"/>
              <w:rPr/>
            </w:pPr>
            <w:r>
              <w:rPr/>
              <w:t> </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sz w:val="20"/>
        </w:rPr>
        <w:t xml:space="preserve">Identifiable intangible assets acquired included $1.2 million of definite-lived state licenses. The preliminary estimated fair value of identifiable intangible assets was determined with the assistance of a valuation specialist, using Level </w:t>
      </w:r>
      <w:r>
        <w:rPr>
          <w:rStyle w:val="Emphasis"/>
          <w:rFonts w:ascii="Times New Roman" w:hAnsi="Times New Roman"/>
          <w:sz w:val="20"/>
        </w:rPr>
        <w:t>3</w:t>
      </w:r>
      <w:r>
        <w:rPr>
          <w:rFonts w:ascii="Times New Roman" w:hAnsi="Times New Roman"/>
          <w:sz w:val="20"/>
        </w:rPr>
        <w:t xml:space="preserve"> inputs as defined under ASC Topic </w:t>
      </w:r>
      <w:r>
        <w:rPr>
          <w:rStyle w:val="Emphasis"/>
          <w:rFonts w:ascii="Times New Roman" w:hAnsi="Times New Roman"/>
          <w:sz w:val="20"/>
        </w:rPr>
        <w:t>820.</w:t>
      </w:r>
      <w:r>
        <w:rPr>
          <w:rFonts w:ascii="Times New Roman" w:hAnsi="Times New Roman"/>
          <w:sz w:val="20"/>
        </w:rPr>
        <w:t xml:space="preserve"> The fair value analysis and related valuations reflect the conclusions of management. All estimates, key assumptions, and forecasts were either provided by or reviewed by the Company. The goodwill and intangible assets acquired are deductible for tax purposes.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Helping Hands Acquisition accounted for $3.1 million of net service revenues and $0.4 million of operating income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following table contains unaudited pro forma condensed consolidated income statement information of the Company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 </w:t>
      </w:r>
      <w:r>
        <w:rPr>
          <w:rFonts w:ascii="Times New Roman" w:hAnsi="Times New Roman"/>
          <w:caps w:val="false"/>
          <w:smallCaps w:val="false"/>
          <w:sz w:val="20"/>
        </w:rPr>
        <w:t xml:space="preserve">as if the Helping Hands Acquisition closed on </w:t>
      </w:r>
      <w:r>
        <w:rPr>
          <w:rStyle w:val="Emphasis"/>
          <w:rFonts w:ascii="Times New Roman" w:hAnsi="Times New Roman"/>
          <w:caps w:val="false"/>
          <w:smallCaps w:val="false"/>
          <w:sz w:val="20"/>
        </w:rPr>
        <w:t>January 1, 2024.</w:t>
      </w:r>
    </w:p>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2465"/>
        <w:gridCol w:w="60"/>
        <w:gridCol w:w="258"/>
        <w:gridCol w:w="1435"/>
        <w:gridCol w:w="123"/>
        <w:gridCol w:w="123"/>
        <w:gridCol w:w="258"/>
        <w:gridCol w:w="1435"/>
        <w:gridCol w:w="60"/>
        <w:gridCol w:w="60"/>
        <w:gridCol w:w="232"/>
        <w:gridCol w:w="1568"/>
        <w:gridCol w:w="111"/>
        <w:gridCol w:w="111"/>
        <w:gridCol w:w="232"/>
        <w:gridCol w:w="1289"/>
        <w:gridCol w:w="60"/>
      </w:tblGrid>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3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6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5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364,001</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1,060,396</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868,481</w:t>
            </w:r>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4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32,153</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4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5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97,372</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2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76,915</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4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22,327</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4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5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67,120</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2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54,908</w:t>
            </w:r>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56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income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summary of the goodwill by segment and related adjustments is provided below:</w:t>
      </w:r>
    </w:p>
    <w:p>
      <w:pPr>
        <w:pStyle w:val="TextBody"/>
        <w:bidi w:val="0"/>
        <w:spacing w:before="0" w:after="0"/>
        <w:ind w:left="0" w:right="0" w:hanging="0"/>
        <w:jc w:val="left"/>
        <w:rPr>
          <w:caps w:val="false"/>
          <w:smallCaps w:val="false"/>
        </w:rPr>
      </w:pPr>
      <w:r>
        <w:rPr>
          <w:caps w:val="false"/>
          <w:smallCaps w:val="false"/>
        </w:rPr>
        <w:t> </w:t>
      </w:r>
    </w:p>
    <w:tbl>
      <w:tblPr>
        <w:tblW w:w="7794" w:type="dxa"/>
        <w:jc w:val="left"/>
        <w:tblInd w:w="0" w:type="dxa"/>
        <w:tblLayout w:type="fixed"/>
        <w:tblCellMar>
          <w:top w:w="0" w:type="dxa"/>
          <w:left w:w="0" w:type="dxa"/>
          <w:bottom w:w="0" w:type="dxa"/>
          <w:right w:w="0" w:type="dxa"/>
        </w:tblCellMar>
      </w:tblPr>
      <w:tblGrid>
        <w:gridCol w:w="3695"/>
        <w:gridCol w:w="60"/>
        <w:gridCol w:w="125"/>
        <w:gridCol w:w="695"/>
        <w:gridCol w:w="60"/>
        <w:gridCol w:w="60"/>
        <w:gridCol w:w="183"/>
        <w:gridCol w:w="1021"/>
        <w:gridCol w:w="80"/>
        <w:gridCol w:w="60"/>
        <w:gridCol w:w="125"/>
        <w:gridCol w:w="590"/>
        <w:gridCol w:w="80"/>
        <w:gridCol w:w="60"/>
        <w:gridCol w:w="125"/>
        <w:gridCol w:w="695"/>
        <w:gridCol w:w="80"/>
      </w:tblGrid>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Hospice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Personal Care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Health</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as of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970,558</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for acquisitions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22,407</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previously recorded 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as of September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460,837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988,553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the Company completed its acquisition of its Jacksonville affiliate for approximately $0.8 million (the “Jacksonville Acquisition”), with funding provided by available cash. With the Jacksonville Acquisition, the Company expanded its personal care segment in Florida and recorded goodwill of $0.8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2025, </w:t>
      </w:r>
      <w:r>
        <w:rPr>
          <w:rFonts w:ascii="Times New Roman" w:hAnsi="Times New Roman"/>
          <w:caps w:val="false"/>
          <w:smallCaps w:val="false"/>
          <w:sz w:val="20"/>
        </w:rPr>
        <w:t>the Company completed its acquisition of the assets of Great Lakes Home Care Unlimited, LLC for $2.6 million (the “Great Lakes Acquisition”), with funding provided by available cash. With the Great Lakes Acquisition, the Company expanded its personal care segment in Michigan and recognized goodwill in its personal care segment of $2.6 million.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shd w:fill="FFFFFF" w:val="clear"/>
        </w:rPr>
        <w:t>In connection with the Helping Hands Acquisition, the Company recognized goodwill in its personal care segm</w:t>
      </w:r>
      <w:r>
        <w:rPr>
          <w:rFonts w:ascii="Times New Roman" w:hAnsi="Times New Roman"/>
          <w:caps w:val="false"/>
          <w:smallCaps w:val="false"/>
          <w:sz w:val="20"/>
        </w:rPr>
        <w:t>ent of $</w:t>
      </w:r>
      <w:r>
        <w:rPr>
          <w:rFonts w:ascii="Times New Roman" w:hAnsi="Times New Roman"/>
          <w:caps w:val="false"/>
          <w:smallCaps w:val="false"/>
          <w:sz w:val="20"/>
          <w:shd w:fill="FFFFFF" w:val="clear"/>
        </w:rPr>
        <w:t>19.1 </w:t>
      </w:r>
      <w:r>
        <w:rPr>
          <w:rFonts w:ascii="Times New Roman" w:hAnsi="Times New Roman"/>
          <w:caps w:val="false"/>
          <w:smallCaps w:val="false"/>
          <w:sz w:val="20"/>
        </w:rPr>
        <w:t>million during the ni</w:t>
      </w:r>
      <w:r>
        <w:rPr>
          <w:rFonts w:ascii="Times New Roman" w:hAnsi="Times New Roman"/>
          <w:caps w:val="false"/>
          <w:smallCaps w:val="false"/>
          <w:sz w:val="20"/>
          <w:shd w:fill="FFFFFF" w:val="clear"/>
        </w:rPr>
        <w:t xml:space="preserve">ne months ended </w:t>
      </w:r>
      <w:r>
        <w:rPr>
          <w:rStyle w:val="Emphasis"/>
          <w:rFonts w:ascii="Times New Roman" w:hAnsi="Times New Roman"/>
          <w:caps w:val="false"/>
          <w:smallCaps w:val="false"/>
          <w:sz w:val="20"/>
          <w:shd w:fill="FFFFFF" w:val="clear"/>
        </w:rPr>
        <w:t>September 30, 2025.</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recorded </w:t>
      </w:r>
      <w:r>
        <w:rPr>
          <w:rFonts w:ascii="Times New Roman" w:hAnsi="Times New Roman"/>
          <w:caps w:val="false"/>
          <w:smallCaps w:val="false"/>
          <w:sz w:val="20"/>
          <w:shd w:fill="FFFFFF" w:val="clear"/>
        </w:rPr>
        <w:t>$0.3 million and $4.4</w:t>
      </w:r>
      <w:r>
        <w:rPr>
          <w:rFonts w:ascii="Times New Roman" w:hAnsi="Times New Roman"/>
          <w:caps w:val="false"/>
          <w:smallCaps w:val="false"/>
          <w:sz w:val="20"/>
        </w:rPr>
        <w:t xml:space="preserve"> million, respectively, related to measurement period adjustments to previously recorded goodwill including $2.9 million of proceeds received in connection with the Gentiva Acquisition.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 years. Customer and referral relationships are amortized systematically over the periods of expected economic benefit, which range from three to fifteen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carrying amount and accumulated amortization of each identifiable intangible asset category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9"/>
        <w:gridCol w:w="60"/>
        <w:gridCol w:w="1103"/>
        <w:gridCol w:w="60"/>
        <w:gridCol w:w="60"/>
        <w:gridCol w:w="150"/>
        <w:gridCol w:w="839"/>
        <w:gridCol w:w="60"/>
        <w:gridCol w:w="60"/>
        <w:gridCol w:w="179"/>
        <w:gridCol w:w="936"/>
        <w:gridCol w:w="80"/>
        <w:gridCol w:w="60"/>
        <w:gridCol w:w="150"/>
        <w:gridCol w:w="839"/>
        <w:gridCol w:w="60"/>
        <w:gridCol w:w="60"/>
        <w:gridCol w:w="150"/>
        <w:gridCol w:w="839"/>
        <w:gridCol w:w="60"/>
        <w:gridCol w:w="60"/>
        <w:gridCol w:w="179"/>
        <w:gridCol w:w="936"/>
        <w:gridCol w:w="80"/>
        <w:gridCol w:w="60"/>
        <w:gridCol w:w="150"/>
        <w:gridCol w:w="839"/>
        <w:gridCol w:w="67"/>
      </w:tblGrid>
      <w:tr>
        <w:trPr/>
        <w:tc>
          <w:tcPr>
            <w:tcW w:w="20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3"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3"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7" w:type="dxa"/>
            <w:tcBorders/>
            <w:shd w:fill="FFFFFF" w:val="clear"/>
            <w:vAlign w:val="center"/>
          </w:tcPr>
          <w:p>
            <w:pPr>
              <w:pStyle w:val="TableContents"/>
              <w:bidi w:val="0"/>
              <w:spacing w:before="0" w:after="283"/>
              <w:jc w:val="left"/>
              <w:rPr/>
            </w:pPr>
            <w:r>
              <w:rPr/>
              <w:t> </w:t>
            </w:r>
          </w:p>
        </w:tc>
      </w:tr>
      <w:tr>
        <w:trPr/>
        <w:tc>
          <w:tcPr>
            <w:tcW w:w="20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7" w:type="dxa"/>
            <w:tcBorders/>
            <w:shd w:fill="FFFFFF" w:val="clear"/>
            <w:vAlign w:val="center"/>
          </w:tcPr>
          <w:p>
            <w:pPr>
              <w:pStyle w:val="TableContents"/>
              <w:bidi w:val="0"/>
              <w:spacing w:before="0" w:after="283"/>
              <w:jc w:val="left"/>
              <w:rPr/>
            </w:pPr>
            <w:r>
              <w:rPr/>
              <w:t> </w:t>
            </w:r>
          </w:p>
        </w:tc>
      </w:tr>
      <w:tr>
        <w:trPr/>
        <w:tc>
          <w:tcPr>
            <w:tcW w:w="20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 Useful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w:t>
            </w:r>
          </w:p>
        </w:tc>
        <w:tc>
          <w:tcPr>
            <w:tcW w:w="67" w:type="dxa"/>
            <w:tcBorders/>
            <w:shd w:fill="FFFFFF" w:val="clear"/>
            <w:vAlign w:val="center"/>
          </w:tcPr>
          <w:p>
            <w:pPr>
              <w:pStyle w:val="TableContents"/>
              <w:bidi w:val="0"/>
              <w:spacing w:before="0" w:after="283"/>
              <w:jc w:val="left"/>
              <w:rPr/>
            </w:pPr>
            <w:r>
              <w:rPr/>
              <w:t> </w:t>
            </w:r>
          </w:p>
        </w:tc>
      </w:tr>
      <w:tr>
        <w:trPr/>
        <w:tc>
          <w:tcPr>
            <w:tcW w:w="20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Life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7" w:type="dxa"/>
            <w:tcBorders/>
            <w:shd w:fill="FFFFFF" w:val="clear"/>
            <w:vAlign w:val="center"/>
          </w:tcPr>
          <w:p>
            <w:pPr>
              <w:pStyle w:val="TableContents"/>
              <w:bidi w:val="0"/>
              <w:spacing w:before="0" w:after="283"/>
              <w:jc w:val="left"/>
              <w:rPr/>
            </w:pPr>
            <w:r>
              <w:rPr/>
              <w:t> </w:t>
            </w:r>
          </w:p>
        </w:tc>
      </w:tr>
      <w:tr>
        <w:trPr/>
        <w:tc>
          <w:tcPr>
            <w:tcW w:w="20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and referral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3 - 15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w:t>
            </w:r>
          </w:p>
        </w:tc>
        <w:tc>
          <w:tcPr>
            <w:tcW w:w="67" w:type="dxa"/>
            <w:tcBorders/>
            <w:shd w:fill="CCEEFF" w:val="clear"/>
            <w:vAlign w:val="center"/>
          </w:tcPr>
          <w:p>
            <w:pPr>
              <w:pStyle w:val="TableContents"/>
              <w:bidi w:val="0"/>
              <w:spacing w:before="0" w:after="283"/>
              <w:jc w:val="left"/>
              <w:rPr/>
            </w:pPr>
            <w:r>
              <w:rPr/>
              <w:t> </w:t>
            </w:r>
          </w:p>
        </w:tc>
      </w:tr>
      <w:tr>
        <w:trPr/>
        <w:tc>
          <w:tcPr>
            <w:tcW w:w="20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 and trademarks</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1 - 20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37,466</w:t>
            </w:r>
          </w:p>
        </w:tc>
        <w:tc>
          <w:tcPr>
            <w:tcW w:w="67" w:type="dxa"/>
            <w:tcBorders/>
            <w:shd w:fill="FFFFFF" w:val="clear"/>
            <w:vAlign w:val="center"/>
          </w:tcPr>
          <w:p>
            <w:pPr>
              <w:pStyle w:val="TableContents"/>
              <w:bidi w:val="0"/>
              <w:spacing w:before="0" w:after="283"/>
              <w:jc w:val="left"/>
              <w:rPr/>
            </w:pPr>
            <w:r>
              <w:rPr/>
              <w:t> </w:t>
            </w:r>
          </w:p>
        </w:tc>
      </w:tr>
      <w:tr>
        <w:trPr/>
        <w:tc>
          <w:tcPr>
            <w:tcW w:w="20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3 - 5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67" w:type="dxa"/>
            <w:tcBorders/>
            <w:shd w:fill="CCEEFF" w:val="clear"/>
            <w:vAlign w:val="center"/>
          </w:tcPr>
          <w:p>
            <w:pPr>
              <w:pStyle w:val="TableContents"/>
              <w:bidi w:val="0"/>
              <w:spacing w:before="0" w:after="283"/>
              <w:jc w:val="left"/>
              <w:rPr/>
            </w:pPr>
            <w:r>
              <w:rPr/>
              <w:t> </w:t>
            </w:r>
          </w:p>
        </w:tc>
      </w:tr>
      <w:tr>
        <w:trPr/>
        <w:tc>
          <w:tcPr>
            <w:tcW w:w="20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Licenses</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6 - 10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23,738</w:t>
            </w:r>
          </w:p>
        </w:tc>
        <w:tc>
          <w:tcPr>
            <w:tcW w:w="67" w:type="dxa"/>
            <w:tcBorders/>
            <w:shd w:fill="FFFFFF" w:val="clear"/>
            <w:vAlign w:val="center"/>
          </w:tcPr>
          <w:p>
            <w:pPr>
              <w:pStyle w:val="TableContents"/>
              <w:bidi w:val="0"/>
              <w:spacing w:before="0" w:after="283"/>
              <w:jc w:val="left"/>
              <w:rPr/>
            </w:pPr>
            <w:r>
              <w:rPr/>
              <w:t> </w:t>
            </w:r>
          </w:p>
        </w:tc>
      </w:tr>
      <w:tr>
        <w:trPr/>
        <w:tc>
          <w:tcPr>
            <w:tcW w:w="20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Licenses</w:t>
            </w:r>
          </w:p>
        </w:tc>
        <w:tc>
          <w:tcPr>
            <w:tcW w:w="60"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Indefinite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47,028</w:t>
            </w:r>
          </w:p>
        </w:tc>
        <w:tc>
          <w:tcPr>
            <w:tcW w:w="67" w:type="dxa"/>
            <w:tcBorders/>
            <w:shd w:fill="CCEEFF" w:val="clear"/>
            <w:vAlign w:val="center"/>
          </w:tcPr>
          <w:p>
            <w:pPr>
              <w:pStyle w:val="TableContents"/>
              <w:bidi w:val="0"/>
              <w:spacing w:before="0" w:after="283"/>
              <w:jc w:val="left"/>
              <w:rPr/>
            </w:pPr>
            <w:r>
              <w:rPr/>
              <w:t> </w:t>
            </w:r>
          </w:p>
        </w:tc>
      </w:tr>
      <w:tr>
        <w:trPr/>
        <w:tc>
          <w:tcPr>
            <w:tcW w:w="20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109,643</w:t>
            </w:r>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left"/>
        <w:rPr/>
      </w:pPr>
      <w:r>
        <w:rPr>
          <w:rFonts w:ascii="Times New Roman;Times;serif" w:hAnsi="Times New Roman;Times;serif"/>
          <w:caps w:val="false"/>
          <w:smallCaps w:val="false"/>
          <w:sz w:val="20"/>
          <w:shd w:fill="FFFFFF" w:val="clear"/>
        </w:rPr>
        <w:t xml:space="preserve">In connection with the Helping Hands Acquisition, the Company recognized state licenses of $1.2 million in its personal care segment during the </w:t>
      </w:r>
      <w:r>
        <w:rPr>
          <w:rStyle w:val="Emphasis"/>
          <w:rFonts w:ascii="Times New Roman;Times;serif" w:hAnsi="Times New Roman;Times;serif"/>
          <w:caps w:val="false"/>
          <w:smallCaps w:val="false"/>
          <w:sz w:val="20"/>
          <w:shd w:fill="FFFFFF" w:val="clear"/>
        </w:rPr>
        <w:t>nine</w:t>
      </w:r>
      <w:r>
        <w:rPr>
          <w:rFonts w:ascii="Times New Roman;Times;serif" w:hAnsi="Times New Roman;Times;serif"/>
          <w:caps w:val="false"/>
          <w:smallCaps w:val="false"/>
          <w:sz w:val="20"/>
          <w:shd w:fill="FFFFFF" w:val="clear"/>
        </w:rPr>
        <w:t xml:space="preserve"> months ended </w:t>
      </w:r>
      <w:r>
        <w:rPr>
          <w:rStyle w:val="Emphasis"/>
          <w:rFonts w:ascii="Times New Roman;Times;serif" w:hAnsi="Times New Roman;Times;serif"/>
          <w:caps w:val="false"/>
          <w:smallCaps w:val="false"/>
          <w:sz w:val="20"/>
          <w:shd w:fill="FFFFFF" w:val="clear"/>
        </w:rPr>
        <w:t>September 30, 2025.</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Amortization expense related to the intangible assets was </w:t>
      </w:r>
      <w:r>
        <w:rPr>
          <w:rFonts w:ascii="Times New Roman" w:hAnsi="Times New Roman"/>
          <w:caps w:val="false"/>
          <w:smallCaps w:val="false"/>
          <w:sz w:val="20"/>
          <w:shd w:fill="FFFFFF" w:val="clear"/>
        </w:rPr>
        <w:t>$2.4 million and</w:t>
      </w:r>
      <w:r>
        <w:rPr>
          <w:rFonts w:ascii="Times New Roman" w:hAnsi="Times New Roman"/>
          <w:caps w:val="false"/>
          <w:smallCaps w:val="false"/>
          <w:sz w:val="20"/>
        </w:rPr>
        <w:t xml:space="preserve"> </w:t>
      </w:r>
      <w:r>
        <w:rPr>
          <w:rFonts w:ascii="Times New Roman" w:hAnsi="Times New Roman"/>
          <w:caps w:val="false"/>
          <w:smallCaps w:val="false"/>
          <w:sz w:val="20"/>
          <w:shd w:fill="FFFFFF" w:val="clear"/>
        </w:rPr>
        <w:t>$6.4</w:t>
      </w:r>
      <w:r>
        <w:rPr>
          <w:rFonts w:ascii="Times New Roman" w:hAnsi="Times New Roman"/>
          <w:caps w:val="false"/>
          <w:smallCaps w:val="false"/>
          <w:sz w:val="20"/>
        </w:rPr>
        <w:t xml:space="preserve">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respectively, and </w:t>
      </w:r>
      <w:r>
        <w:rPr>
          <w:rFonts w:ascii="Times New Roman" w:hAnsi="Times New Roman"/>
          <w:caps w:val="false"/>
          <w:smallCaps w:val="false"/>
          <w:sz w:val="20"/>
          <w:shd w:fill="FFFFFF" w:val="clear"/>
        </w:rPr>
        <w:t>$1.8 million</w:t>
      </w:r>
      <w:r>
        <w:rPr>
          <w:rFonts w:ascii="Times New Roman" w:hAnsi="Times New Roman"/>
          <w:caps w:val="false"/>
          <w:smallCaps w:val="false"/>
          <w:sz w:val="20"/>
        </w:rPr>
        <w:t xml:space="preserve"> and $5.4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respectively. The weighted average remaining useful lives of identifiable intangible assets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was </w:t>
      </w:r>
      <w:r>
        <w:rPr>
          <w:rFonts w:ascii="Times New Roman" w:hAnsi="Times New Roman"/>
          <w:caps w:val="false"/>
          <w:smallCaps w:val="false"/>
          <w:sz w:val="20"/>
          <w:shd w:fill="FFFFFF" w:val="clear"/>
        </w:rPr>
        <w:t>9.28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Details of Certain Balance Sheet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903" w:type="dxa"/>
        <w:jc w:val="left"/>
        <w:tblInd w:w="0" w:type="dxa"/>
        <w:tblLayout w:type="fixed"/>
        <w:tblCellMar>
          <w:top w:w="0" w:type="dxa"/>
          <w:left w:w="0" w:type="dxa"/>
          <w:bottom w:w="0" w:type="dxa"/>
          <w:right w:w="0" w:type="dxa"/>
        </w:tblCellMar>
      </w:tblPr>
      <w:tblGrid>
        <w:gridCol w:w="4400"/>
        <w:gridCol w:w="60"/>
        <w:gridCol w:w="288"/>
        <w:gridCol w:w="1366"/>
        <w:gridCol w:w="60"/>
        <w:gridCol w:w="60"/>
        <w:gridCol w:w="280"/>
        <w:gridCol w:w="1329"/>
        <w:gridCol w:w="60"/>
      </w:tblGrid>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payroll</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workers' compensation and liability insurance</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licensing fees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Workers' compensation insurance receivable</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40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(1)</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prepaid expenses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29"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Included $2.3 million and $6.1 million related to the New York Asset Sale deferred payments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Accrued expenses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2600"/>
        <w:gridCol w:w="60"/>
        <w:gridCol w:w="288"/>
        <w:gridCol w:w="1366"/>
        <w:gridCol w:w="60"/>
        <w:gridCol w:w="60"/>
        <w:gridCol w:w="280"/>
        <w:gridCol w:w="1329"/>
        <w:gridCol w:w="6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health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taxes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ARPA Spending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To mitigate the fiscal effects of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public health emergency, the American Rescue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(“ARPA”) provided for a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-percentage point increase in federal matching funds for Medicaid home and community-based services (“HCBS”) from </w:t>
      </w:r>
      <w:r>
        <w:rPr>
          <w:rStyle w:val="Emphasis"/>
          <w:rFonts w:ascii="Times New Roman" w:hAnsi="Times New Roman"/>
          <w:caps w:val="false"/>
          <w:smallCaps w:val="false"/>
          <w:sz w:val="20"/>
        </w:rPr>
        <w:t xml:space="preserve">April 1, 2021,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provided the states satisfied certain conditions. States were generally permitted to use the state funds equivalent to the additional federal funds through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but CMS granted extensions to several states, permitting some state spending plans to continue until as late as mid-</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States must use the monies attributable to this matching fund increase to supplement,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supplant, their level of state spending for the implementation of activities enhanced under the Medicaid HCBS in effect as of </w:t>
      </w:r>
      <w:r>
        <w:rPr>
          <w:rStyle w:val="Emphasis"/>
          <w:rFonts w:ascii="Times New Roman" w:hAnsi="Times New Roman"/>
          <w:caps w:val="false"/>
          <w:smallCaps w:val="false"/>
          <w:sz w:val="20"/>
        </w:rPr>
        <w:t>April 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left"/>
        <w:rPr/>
      </w:pPr>
      <w:r>
        <w:rPr>
          <w:rFonts w:ascii="Times New Roman" w:hAnsi="Times New Roman"/>
          <w:caps w:val="false"/>
          <w:smallCaps w:val="false"/>
          <w:sz w:val="20"/>
        </w:rPr>
        <w:t xml:space="preserve">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recoupment 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expended or if they are expended on non-approved 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did not receive additional state funding provided by the ARPA. Of the total state funding received by the Company pursuant to the ARPA through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utilized </w:t>
      </w:r>
      <w:r>
        <w:rPr>
          <w:rFonts w:ascii="Times New Roman" w:hAnsi="Times New Roman"/>
          <w:caps w:val="false"/>
          <w:smallCaps w:val="false"/>
          <w:sz w:val="20"/>
          <w:shd w:fill="FFFFFF" w:val="clear"/>
        </w:rPr>
        <w:t>$2.2</w:t>
      </w:r>
      <w:r>
        <w:rPr>
          <w:rFonts w:ascii="Times New Roman" w:hAnsi="Times New Roman"/>
          <w:caps w:val="false"/>
          <w:smallCaps w:val="false"/>
          <w:sz w:val="20"/>
        </w:rPr>
        <w:t xml:space="preserve"> million and </w:t>
      </w:r>
      <w:r>
        <w:rPr>
          <w:rFonts w:ascii="Times New Roman" w:hAnsi="Times New Roman"/>
          <w:caps w:val="false"/>
          <w:smallCaps w:val="false"/>
          <w:sz w:val="20"/>
          <w:shd w:fill="FFFFFF" w:val="clear"/>
        </w:rPr>
        <w:t>$5.5</w:t>
      </w:r>
      <w:r>
        <w:rPr>
          <w:rFonts w:ascii="Times New Roman" w:hAnsi="Times New Roman"/>
          <w:caps w:val="false"/>
          <w:smallCaps w:val="false"/>
          <w:sz w:val="20"/>
        </w:rPr>
        <w:t xml:space="preserve">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respectively, primarily for caregivers and adding support to recruiting and retention efforts, included as a reduction of cost of service revenues in the Company’s Unaudited Condensed Consolidated Statements of Income.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deferred portion of ARPA funding of </w:t>
      </w:r>
      <w:r>
        <w:rPr>
          <w:rFonts w:ascii="Times New Roman" w:hAnsi="Times New Roman"/>
          <w:caps w:val="false"/>
          <w:smallCaps w:val="false"/>
          <w:sz w:val="20"/>
          <w:shd w:fill="FFFFFF" w:val="clear"/>
        </w:rPr>
        <w:t>$5.8</w:t>
      </w:r>
      <w:r>
        <w:rPr>
          <w:rFonts w:ascii="Times New Roman" w:hAnsi="Times New Roman"/>
          <w:caps w:val="false"/>
          <w:smallCaps w:val="false"/>
          <w:sz w:val="20"/>
        </w:rPr>
        <w:t xml:space="preserve"> million is included within Government stimulus advances on the Company’s 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Long-term debt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788" w:type="dxa"/>
        <w:jc w:val="left"/>
        <w:tblInd w:w="0" w:type="dxa"/>
        <w:tblLayout w:type="fixed"/>
        <w:tblCellMar>
          <w:top w:w="0" w:type="dxa"/>
          <w:left w:w="0" w:type="dxa"/>
          <w:bottom w:w="0" w:type="dxa"/>
          <w:right w:w="0" w:type="dxa"/>
        </w:tblCellMar>
      </w:tblPr>
      <w:tblGrid>
        <w:gridCol w:w="3245"/>
        <w:gridCol w:w="60"/>
        <w:gridCol w:w="251"/>
        <w:gridCol w:w="1403"/>
        <w:gridCol w:w="80"/>
        <w:gridCol w:w="60"/>
        <w:gridCol w:w="243"/>
        <w:gridCol w:w="1366"/>
        <w:gridCol w:w="80"/>
      </w:tblGrid>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0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loan under the credit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223,000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issuance costs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218,443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Amended and Restated Senior Secured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31, 2018, </w:t>
      </w:r>
      <w:r>
        <w:rPr>
          <w:rFonts w:ascii="Times New Roman" w:hAnsi="Times New Roman"/>
          <w:caps w:val="false"/>
          <w:smallCaps w:val="false"/>
          <w:sz w:val="20"/>
        </w:rPr>
        <w:t xml:space="preserve">the Company entered into the Amended and Restated Credit Agreement, with certain lenders and Capital One, National Association, as a lender and as agent for all lenders, as amended by the First Amendment to Amended and Restated Credit Agreement, dated as of </w:t>
      </w:r>
      <w:r>
        <w:rPr>
          <w:rStyle w:val="Emphasis"/>
          <w:rFonts w:ascii="Times New Roman" w:hAnsi="Times New Roman"/>
          <w:caps w:val="false"/>
          <w:smallCaps w:val="false"/>
          <w:sz w:val="20"/>
        </w:rPr>
        <w:t xml:space="preserve">September 12, 2019, </w:t>
      </w:r>
      <w:r>
        <w:rPr>
          <w:rFonts w:ascii="Times New Roman" w:hAnsi="Times New Roman"/>
          <w:caps w:val="false"/>
          <w:smallCaps w:val="false"/>
          <w:sz w:val="20"/>
        </w:rPr>
        <w:t xml:space="preserve">as further amended by the Second Amendment to Amended and Restated Credit Agreement, dated as of </w:t>
      </w:r>
      <w:r>
        <w:rPr>
          <w:rStyle w:val="Emphasis"/>
          <w:rFonts w:ascii="Times New Roman" w:hAnsi="Times New Roman"/>
          <w:caps w:val="false"/>
          <w:smallCaps w:val="false"/>
          <w:sz w:val="20"/>
        </w:rPr>
        <w:t xml:space="preserve">July 30, 2021, </w:t>
      </w:r>
      <w:r>
        <w:rPr>
          <w:rFonts w:ascii="Times New Roman" w:hAnsi="Times New Roman"/>
          <w:caps w:val="false"/>
          <w:smallCaps w:val="false"/>
          <w:sz w:val="20"/>
        </w:rPr>
        <w:t xml:space="preserve">as further amended by the Third Amendment to Amended and Restated Credit Agreement, dated as of </w:t>
      </w:r>
      <w:r>
        <w:rPr>
          <w:rStyle w:val="Emphasis"/>
          <w:rFonts w:ascii="Times New Roman" w:hAnsi="Times New Roman"/>
          <w:caps w:val="false"/>
          <w:smallCaps w:val="false"/>
          <w:sz w:val="20"/>
        </w:rPr>
        <w:t xml:space="preserve">April 26, 2023, </w:t>
      </w:r>
      <w:r>
        <w:rPr>
          <w:rFonts w:ascii="Times New Roman" w:hAnsi="Times New Roman"/>
          <w:caps w:val="false"/>
          <w:smallCaps w:val="false"/>
          <w:sz w:val="20"/>
        </w:rPr>
        <w:t xml:space="preserve">and as further amended by the Fourth Amendment to Amended and Restated Credit Agreement, dated as of </w:t>
      </w:r>
      <w:r>
        <w:rPr>
          <w:rStyle w:val="Emphasis"/>
          <w:rFonts w:ascii="Times New Roman" w:hAnsi="Times New Roman"/>
          <w:caps w:val="false"/>
          <w:smallCaps w:val="false"/>
          <w:sz w:val="20"/>
        </w:rPr>
        <w:t>October 22, 2024 (</w:t>
      </w:r>
      <w:r>
        <w:rPr>
          <w:rFonts w:ascii="Times New Roman" w:hAnsi="Times New Roman"/>
          <w:caps w:val="false"/>
          <w:smallCaps w:val="false"/>
          <w:sz w:val="20"/>
        </w:rPr>
        <w:t xml:space="preserve">as described below, the “Fourth Amendment”) (as amended, the “Credit Agreement”, as used throughout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“credit facility” shall mean the credit facility evidenced by the Credit Agreement). The credit facility consists of a $650.0 million revolving credit facility and a $150.0 million incremental loan facility, which incremental loan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for term loans or an increase to the revolving loan commitments. The maturity of this credit facility is </w:t>
      </w:r>
      <w:r>
        <w:rPr>
          <w:rStyle w:val="Emphasis"/>
          <w:rFonts w:ascii="Times New Roman" w:hAnsi="Times New Roman"/>
          <w:caps w:val="false"/>
          <w:smallCaps w:val="false"/>
          <w:sz w:val="20"/>
        </w:rPr>
        <w:t>July 30,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22, 2024, </w:t>
      </w:r>
      <w:r>
        <w:rPr>
          <w:rFonts w:ascii="Times New Roman" w:hAnsi="Times New Roman"/>
          <w:caps w:val="false"/>
          <w:smallCaps w:val="false"/>
          <w:sz w:val="20"/>
        </w:rPr>
        <w:t xml:space="preserve">the Company entered into the Fourth Amendment to, among other things, (a) increase the Company’s revolving credit facility to an aggregate amount of </w:t>
      </w:r>
      <w:r>
        <w:rPr>
          <w:rFonts w:ascii="Times New Roman" w:hAnsi="Times New Roman"/>
          <w:caps w:val="false"/>
          <w:smallCaps w:val="false"/>
          <w:sz w:val="20"/>
          <w:shd w:fill="FFFFFF" w:val="clear"/>
        </w:rPr>
        <w:t>$650.0 </w:t>
      </w:r>
      <w:r>
        <w:rPr>
          <w:rFonts w:ascii="Times New Roman" w:hAnsi="Times New Roman"/>
          <w:caps w:val="false"/>
          <w:smallCaps w:val="false"/>
          <w:sz w:val="20"/>
        </w:rPr>
        <w:t xml:space="preserve">million, (b) increase the Company’s incremental loan facility to an aggregate amount of $150.0 million, and (c) extend the maturity date of the credit facility from </w:t>
      </w:r>
      <w:r>
        <w:rPr>
          <w:rStyle w:val="Emphasis"/>
          <w:rFonts w:ascii="Times New Roman" w:hAnsi="Times New Roman"/>
          <w:caps w:val="false"/>
          <w:smallCaps w:val="false"/>
          <w:sz w:val="20"/>
        </w:rPr>
        <w:t xml:space="preserve">July 30, 2026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July 30,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left"/>
        <w:rPr/>
      </w:pPr>
      <w:r>
        <w:rPr>
          <w:rFonts w:ascii="Times New Roman" w:hAnsi="Times New Roman"/>
          <w:caps w:val="false"/>
          <w:smallCaps w:val="false"/>
          <w:sz w:val="20"/>
        </w:rPr>
        <w:t xml:space="preserve">Interest on the credit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payable at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Secured Overnight Financing Rate (“SOFR”) (as published by the CME Group Benchmark Administrative Limited) for an interest period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month for such applicable day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less than 0.00%), plus a margin of 1.00% or (y) the sum of (i) an applicable margin ranging from 1.75% to 2.50% based on the applicable senior net leverage ratio plus (ii) the rate per annum equal to the sum of Term SOFR (as published by the CME Group Benchmark Administrative Limited) for the applicable interest period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less than 0.00%). Swing loans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Addus HealthCare, Inc. (“Addus HealthCare”) is the borrower, and its parent, Holdings, and substantially all of Holdings’ subsidiaries are guarantors under this credit facility, and it is collateralized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exceeding 3.75:1.00. In certain circumstances, in connection with a Material Acquisition (as defined in the Credit Agreement), the Company can elect to increase its Total Net Leverage Ratio compliance covenant to 4.25:1.00 for the then current fiscal quarter and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succeeding fiscal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pays a fee ranging from 0.20% to 0.35% based on the applicable senior net leverage ratio times the unused portion of the revolving loan portion of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and a requirement to stay below a maximum Total Net Leverage Ratio (as defined in the Credit Agreement). The Credit Agreement also contains restrictions on guarantees, indebtedness, liens, investments, and loans, subject to customary carve outs, a restriction on dividends (provided that Addus HealthCare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make distributions to the Company in an amount that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$10.0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w:t>
      </w:r>
      <w:r>
        <w:rPr>
          <w:rFonts w:ascii="Times New Roman" w:hAnsi="Times New Roman"/>
          <w:caps w:val="false"/>
          <w:smallCaps w:val="false"/>
          <w:sz w:val="20"/>
          <w:shd w:fill="FFFFFF" w:val="clear"/>
        </w:rPr>
        <w:t>the Company (i) drew approximately $11.3 million under its credit facility to fund, in part, the Helping Hands Acquisition, and (ii) repaid $80.0 million under the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w:t>
      </w:r>
      <w:r>
        <w:rPr>
          <w:rFonts w:ascii="Times New Roman" w:hAnsi="Times New Roman"/>
          <w:caps w:val="false"/>
          <w:smallCaps w:val="false"/>
          <w:sz w:val="20"/>
          <w:shd w:fill="FFFFFF" w:val="clear"/>
        </w:rPr>
        <w:t xml:space="preserve">the Company had a total of $154.3 million of revolving loans, with an interest rate of 5.92%, outstanding on its credit facility. </w:t>
      </w:r>
      <w:r>
        <w:rPr>
          <w:rFonts w:ascii="Times New Roman" w:hAnsi="Times New Roman"/>
          <w:caps w:val="false"/>
          <w:smallCaps w:val="false"/>
          <w:sz w:val="20"/>
        </w:rPr>
        <w:t xml:space="preserve">After giving effect to the amount drawn on its credit facility, approximately </w:t>
      </w:r>
      <w:r>
        <w:rPr>
          <w:rFonts w:ascii="Times New Roman" w:hAnsi="Times New Roman"/>
          <w:caps w:val="false"/>
          <w:smallCaps w:val="false"/>
          <w:sz w:val="20"/>
          <w:shd w:fill="FFFFFF" w:val="clear"/>
        </w:rPr>
        <w:t>$7.9</w:t>
      </w:r>
      <w:r>
        <w:rPr>
          <w:rFonts w:ascii="Times New Roman" w:hAnsi="Times New Roman"/>
          <w:caps w:val="false"/>
          <w:smallCaps w:val="false"/>
          <w:sz w:val="20"/>
        </w:rPr>
        <w:t> million of outstanding letters of credit and borrowing limits based on an advance multiple of adjusted EBITDA (as defined in the Credit Agreement),</w:t>
      </w:r>
      <w:r>
        <w:rPr>
          <w:rFonts w:ascii="Times New Roman" w:hAnsi="Times New Roman"/>
          <w:caps w:val="false"/>
          <w:smallCaps w:val="false"/>
          <w:sz w:val="20"/>
          <w:shd w:fill="FFFFFF" w:val="clear"/>
        </w:rPr>
        <w:t xml:space="preserve"> the Company had $650.0 million of capacity and $487.7 million available for borrowing under its credit facility.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the Company had a total of $223.0 million of revolving loans, with an interest rate of 6.34%, outstanding on its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Company was in compliance with all financial covenants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effective income tax rates were </w:t>
      </w:r>
      <w:r>
        <w:rPr>
          <w:rFonts w:ascii="Times New Roman" w:hAnsi="Times New Roman"/>
          <w:caps w:val="false"/>
          <w:smallCaps w:val="false"/>
          <w:sz w:val="20"/>
          <w:shd w:fill="FFFFFF" w:val="clear"/>
        </w:rPr>
        <w:t>24.7%</w:t>
      </w:r>
      <w:r>
        <w:rPr>
          <w:rFonts w:ascii="Times New Roman" w:hAnsi="Times New Roman"/>
          <w:caps w:val="false"/>
          <w:smallCaps w:val="false"/>
          <w:sz w:val="20"/>
        </w:rPr>
        <w:t xml:space="preserve"> and 26.1%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 effective income tax rates were </w:t>
      </w:r>
      <w:r>
        <w:rPr>
          <w:rFonts w:ascii="Times New Roman" w:hAnsi="Times New Roman"/>
          <w:caps w:val="false"/>
          <w:smallCaps w:val="false"/>
          <w:sz w:val="20"/>
          <w:shd w:fill="FFFFFF" w:val="clear"/>
        </w:rPr>
        <w:t>24.3%</w:t>
      </w:r>
      <w:r>
        <w:rPr>
          <w:rFonts w:ascii="Times New Roman" w:hAnsi="Times New Roman"/>
          <w:caps w:val="false"/>
          <w:smallCaps w:val="false"/>
          <w:sz w:val="20"/>
        </w:rPr>
        <w:t xml:space="preserve"> and 26.1%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difference between our federal statutory and effective income tax rates was principally due to the inclusion of state taxes, non-deductible compensation, partially offset by the use of federal employment tax credits and an excess tax benefit. For both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effective tax rates were inclusive of an excess tax benefit of </w:t>
      </w:r>
      <w:r>
        <w:rPr>
          <w:rFonts w:ascii="Times New Roman" w:hAnsi="Times New Roman"/>
          <w:caps w:val="false"/>
          <w:smallCaps w:val="false"/>
          <w:sz w:val="20"/>
          <w:shd w:fill="FFFFFF" w:val="clear"/>
        </w:rPr>
        <w:t>3.6% and 0.5%</w:t>
      </w:r>
      <w:r>
        <w:rPr>
          <w:rFonts w:ascii="Times New Roman" w:hAnsi="Times New Roman"/>
          <w:caps w:val="false"/>
          <w:smallCaps w:val="false"/>
          <w:sz w:val="20"/>
        </w:rPr>
        <w:t>, respectively. The excess tax expense and tax benefit are discrete items, related to the vesting of equity shares, which requires the Company to recognize the expense or benefit fully in the period. An excess tax expense results if the Company’s cumulative costs of the award recognized exceed the income tax deduction, whereas an excess tax benefit results if the Company’s cumulative costs of the award recognized are less than the income tax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From time to time, the Company is subject to legal and/or administrative proceedings incidental to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It is the opinion of management that the outcome of pending legal and/or administrative proceedings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the Company’s Unaudited Condensed Consolidated Balance Sheets and Unaudited Condensed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Operating segments are defined as components of a company that engage in business activities from which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earn revenues and incur expenses, and for which separate financial information is available and is regularly reviewed by the Company’s CODM. The Company identifies its Chief Executive Officer and Chief Operating Officer together as CODMs to assess the performance of the individual segments and make decisions about resources to be allocated to the segments. The Company operates as a multi-state provider of three business segments providing in-home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assistance during an illness or after hospitalization and include skilled nursing and physical, occupational, and speech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Company’s method for measuring profitability on each reportable segment basis is the same as those described in the summary of significant accounting policies and its CODMs frequently review the actual result to budget variance to allocate resources to the segment and assess its performance. 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attributable to a particular segment. These costs include accounting, finance, human resources, legal, information technology, corporate office support and facility costs and overall corporate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CODMs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review disaggregated assets by segment. The measure of segment assets is reported on the balance sheet as total consolidated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tables below set forth information about the Company’s reportable segments, along with the items necessary to reconcile the segment information to the totals reported in the accompanying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207" w:type="dxa"/>
        <w:jc w:val="left"/>
        <w:tblInd w:w="0" w:type="dxa"/>
        <w:tblLayout w:type="fixed"/>
        <w:tblCellMar>
          <w:top w:w="0" w:type="dxa"/>
          <w:left w:w="0" w:type="dxa"/>
          <w:bottom w:w="0" w:type="dxa"/>
          <w:right w:w="0" w:type="dxa"/>
        </w:tblCellMar>
      </w:tblPr>
      <w:tblGrid>
        <w:gridCol w:w="4475"/>
        <w:gridCol w:w="60"/>
        <w:gridCol w:w="183"/>
        <w:gridCol w:w="1021"/>
        <w:gridCol w:w="71"/>
        <w:gridCol w:w="71"/>
        <w:gridCol w:w="149"/>
        <w:gridCol w:w="705"/>
        <w:gridCol w:w="71"/>
        <w:gridCol w:w="71"/>
        <w:gridCol w:w="197"/>
        <w:gridCol w:w="932"/>
        <w:gridCol w:w="71"/>
        <w:gridCol w:w="71"/>
        <w:gridCol w:w="149"/>
        <w:gridCol w:w="830"/>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 2025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Personal Care</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Hospice</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Home Health</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275,770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68,891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362,301</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service personnel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199,656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28,287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238,098</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salaries, wages and benefits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18,629</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33,825</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10,131</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17,926</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51,090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18,815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72,452</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reconciliation: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not allocated at segment level:</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35,107</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4,408</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segment items include other costs for direct service personnel, office expense, licenses and taxes, communication, medical director fees, travel, and bad debt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207" w:type="dxa"/>
        <w:jc w:val="left"/>
        <w:tblInd w:w="0" w:type="dxa"/>
        <w:tblLayout w:type="fixed"/>
        <w:tblCellMar>
          <w:top w:w="0" w:type="dxa"/>
          <w:left w:w="0" w:type="dxa"/>
          <w:bottom w:w="0" w:type="dxa"/>
          <w:right w:w="0" w:type="dxa"/>
        </w:tblCellMar>
      </w:tblPr>
      <w:tblGrid>
        <w:gridCol w:w="4475"/>
        <w:gridCol w:w="60"/>
        <w:gridCol w:w="183"/>
        <w:gridCol w:w="1021"/>
        <w:gridCol w:w="71"/>
        <w:gridCol w:w="71"/>
        <w:gridCol w:w="149"/>
        <w:gridCol w:w="705"/>
        <w:gridCol w:w="71"/>
        <w:gridCol w:w="71"/>
        <w:gridCol w:w="197"/>
        <w:gridCol w:w="932"/>
        <w:gridCol w:w="71"/>
        <w:gridCol w:w="71"/>
        <w:gridCol w:w="149"/>
        <w:gridCol w:w="830"/>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 2024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Personal Care</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Hospice</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Home Health</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215,433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57,309</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289,787</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service personnel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156,072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24,791</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10,513</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191,376</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salaries, wages and benefits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11,949</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26,058</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5,741</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16,046</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41,671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56,307</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reconciliation: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not allocated at segment level:</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26,908</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3,446</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segment items include other costs for direct service personnel, office expense, licenses and taxes, communication, medical director fees, travel, and bad debt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9285" w:type="dxa"/>
        <w:jc w:val="left"/>
        <w:tblInd w:w="0" w:type="dxa"/>
        <w:tblLayout w:type="fixed"/>
        <w:tblCellMar>
          <w:top w:w="0" w:type="dxa"/>
          <w:left w:w="0" w:type="dxa"/>
          <w:bottom w:w="0" w:type="dxa"/>
          <w:right w:w="0" w:type="dxa"/>
        </w:tblCellMar>
      </w:tblPr>
      <w:tblGrid>
        <w:gridCol w:w="4475"/>
        <w:gridCol w:w="60"/>
        <w:gridCol w:w="183"/>
        <w:gridCol w:w="1021"/>
        <w:gridCol w:w="65"/>
        <w:gridCol w:w="65"/>
        <w:gridCol w:w="136"/>
        <w:gridCol w:w="756"/>
        <w:gridCol w:w="65"/>
        <w:gridCol w:w="65"/>
        <w:gridCol w:w="197"/>
        <w:gridCol w:w="932"/>
        <w:gridCol w:w="65"/>
        <w:gridCol w:w="65"/>
        <w:gridCol w:w="136"/>
        <w:gridCol w:w="919"/>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 2025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Personal Care</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Hospice</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Home Health</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803,238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192,540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1,049,452</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service personnel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579,174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80,670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689,863</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salaries, wages and benefits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55,276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34,085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99,207</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18,468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29,531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51,865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150,320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208,517</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reconciliation: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not allocated at segment level:</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99,915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12,264</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10,886</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87,297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9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items include other costs for direct service personnel, office expense, licenses and taxes, communication, medical director fees, travel, and bad debt expense</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214" w:type="dxa"/>
        <w:jc w:val="left"/>
        <w:tblInd w:w="0" w:type="dxa"/>
        <w:tblLayout w:type="fixed"/>
        <w:tblCellMar>
          <w:top w:w="0" w:type="dxa"/>
          <w:left w:w="0" w:type="dxa"/>
          <w:bottom w:w="0" w:type="dxa"/>
          <w:right w:w="0" w:type="dxa"/>
        </w:tblCellMar>
      </w:tblPr>
      <w:tblGrid>
        <w:gridCol w:w="4475"/>
        <w:gridCol w:w="60"/>
        <w:gridCol w:w="182"/>
        <w:gridCol w:w="1022"/>
        <w:gridCol w:w="68"/>
        <w:gridCol w:w="68"/>
        <w:gridCol w:w="141"/>
        <w:gridCol w:w="788"/>
        <w:gridCol w:w="68"/>
        <w:gridCol w:w="68"/>
        <w:gridCol w:w="196"/>
        <w:gridCol w:w="933"/>
        <w:gridCol w:w="68"/>
        <w:gridCol w:w="68"/>
        <w:gridCol w:w="141"/>
        <w:gridCol w:w="788"/>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 2024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Personal Care</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Hospice</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Home Health</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636,253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169,202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857,455</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service personnel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460,587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71,580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31,967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564,134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salaries, wages and benefits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30,601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76,543</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27,960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47,568</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124,782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39,061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169,210</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reconciliation: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not allocated at segment level: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83,115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rStyle w:val="Emphasis"/>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rStyle w:val="Emphasis"/>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rStyle w:val="Emphasis"/>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10,316</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rStyle w:val="Emphasis"/>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rStyle w:val="Emphasis"/>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rStyle w:val="Emphasis"/>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5,445</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73,139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9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items include other costs for direct service personnel, office expense, licenses and taxes, communication, medical director fees, travel, and bad debt expense.</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Significant Payors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Company’s revenue by payor type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6"/>
        <w:gridCol w:w="60"/>
        <w:gridCol w:w="147"/>
        <w:gridCol w:w="813"/>
        <w:gridCol w:w="60"/>
        <w:gridCol w:w="60"/>
        <w:gridCol w:w="124"/>
        <w:gridCol w:w="718"/>
        <w:gridCol w:w="187"/>
        <w:gridCol w:w="60"/>
        <w:gridCol w:w="147"/>
        <w:gridCol w:w="813"/>
        <w:gridCol w:w="60"/>
        <w:gridCol w:w="60"/>
        <w:gridCol w:w="124"/>
        <w:gridCol w:w="718"/>
        <w:gridCol w:w="185"/>
        <w:gridCol w:w="60"/>
        <w:gridCol w:w="146"/>
        <w:gridCol w:w="814"/>
        <w:gridCol w:w="60"/>
        <w:gridCol w:w="60"/>
        <w:gridCol w:w="124"/>
        <w:gridCol w:w="718"/>
        <w:gridCol w:w="187"/>
        <w:gridCol w:w="60"/>
        <w:gridCol w:w="146"/>
        <w:gridCol w:w="814"/>
        <w:gridCol w:w="60"/>
        <w:gridCol w:w="60"/>
        <w:gridCol w:w="124"/>
        <w:gridCol w:w="718"/>
        <w:gridCol w:w="212"/>
      </w:tblGrid>
      <w:tr>
        <w:trPr/>
        <w:tc>
          <w:tcPr>
            <w:tcW w:w="1506"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Personal Care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09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212" w:type="dxa"/>
            <w:tcBorders/>
            <w:shd w:fill="FFFFFF" w:val="clear"/>
            <w:vAlign w:val="center"/>
          </w:tcPr>
          <w:p>
            <w:pPr>
              <w:pStyle w:val="TableContents"/>
              <w:bidi w:val="0"/>
              <w:spacing w:before="0" w:after="283"/>
              <w:jc w:val="left"/>
              <w:rPr/>
            </w:pPr>
            <w:r>
              <w:rPr/>
              <w:t> </w:t>
            </w:r>
          </w:p>
        </w:tc>
      </w:tr>
      <w:tr>
        <w:trPr/>
        <w:tc>
          <w:tcPr>
            <w:tcW w:w="1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12" w:type="dxa"/>
            <w:tcBorders/>
            <w:shd w:fill="FFFFFF" w:val="clear"/>
            <w:vAlign w:val="center"/>
          </w:tcPr>
          <w:p>
            <w:pPr>
              <w:pStyle w:val="TableContents"/>
              <w:bidi w:val="0"/>
              <w:spacing w:before="0" w:after="283"/>
              <w:jc w:val="left"/>
              <w:rPr/>
            </w:pPr>
            <w:r>
              <w:rPr/>
              <w:t> </w:t>
            </w:r>
          </w:p>
        </w:tc>
      </w:tr>
      <w:tr>
        <w:trPr/>
        <w:tc>
          <w:tcPr>
            <w:tcW w:w="1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212" w:type="dxa"/>
            <w:tcBorders/>
            <w:shd w:fill="FFFFFF" w:val="clear"/>
            <w:vAlign w:val="center"/>
          </w:tcPr>
          <w:p>
            <w:pPr>
              <w:pStyle w:val="TableContents"/>
              <w:bidi w:val="0"/>
              <w:spacing w:before="0" w:after="283"/>
              <w:jc w:val="left"/>
              <w:rPr/>
            </w:pPr>
            <w:r>
              <w:rPr/>
              <w:t> </w:t>
            </w:r>
          </w:p>
        </w:tc>
      </w:tr>
      <w:tr>
        <w:trPr/>
        <w:tc>
          <w:tcPr>
            <w:tcW w:w="1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212" w:type="dxa"/>
            <w:tcBorders/>
            <w:shd w:fill="FFFFFF" w:val="clear"/>
            <w:vAlign w:val="center"/>
          </w:tcPr>
          <w:p>
            <w:pPr>
              <w:pStyle w:val="TableContents"/>
              <w:bidi w:val="0"/>
              <w:spacing w:before="0" w:after="283"/>
              <w:jc w:val="left"/>
              <w:rPr/>
            </w:pPr>
            <w:r>
              <w:rPr/>
              <w:t> </w:t>
            </w:r>
          </w:p>
        </w:tc>
      </w:tr>
      <w:tr>
        <w:trPr/>
        <w:tc>
          <w:tcPr>
            <w:tcW w:w="1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212" w:type="dxa"/>
            <w:tcBorders/>
            <w:shd w:fill="FFFFFF" w:val="clear"/>
            <w:vAlign w:val="center"/>
          </w:tcPr>
          <w:p>
            <w:pPr>
              <w:pStyle w:val="TableContents"/>
              <w:bidi w:val="0"/>
              <w:spacing w:before="0" w:after="283"/>
              <w:jc w:val="left"/>
              <w:rPr/>
            </w:pPr>
            <w:r>
              <w:rPr/>
              <w:t> </w:t>
            </w:r>
          </w:p>
        </w:tc>
      </w:tr>
      <w:tr>
        <w:trPr/>
        <w:tc>
          <w:tcPr>
            <w:tcW w:w="1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local and other governmental programs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Managed care organizations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212" w:type="dxa"/>
            <w:tcBorders/>
            <w:shd w:fill="FFFFFF" w:val="clear"/>
            <w:vAlign w:val="center"/>
          </w:tcPr>
          <w:p>
            <w:pPr>
              <w:pStyle w:val="TableContents"/>
              <w:bidi w:val="0"/>
              <w:spacing w:before="0" w:after="283"/>
              <w:jc w:val="left"/>
              <w:rPr/>
            </w:pPr>
            <w:r>
              <w:rPr/>
              <w:t> </w:t>
            </w:r>
          </w:p>
        </w:tc>
      </w:tr>
      <w:tr>
        <w:trPr/>
        <w:tc>
          <w:tcPr>
            <w:tcW w:w="1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 pay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12" w:type="dxa"/>
            <w:tcBorders/>
            <w:shd w:fill="CCEEFF" w:val="clear"/>
            <w:vAlign w:val="center"/>
          </w:tcPr>
          <w:p>
            <w:pPr>
              <w:pStyle w:val="TableContents"/>
              <w:bidi w:val="0"/>
              <w:spacing w:before="0" w:after="283"/>
              <w:jc w:val="left"/>
              <w:rPr/>
            </w:pPr>
            <w:r>
              <w:rPr/>
              <w:t> </w:t>
            </w:r>
          </w:p>
        </w:tc>
      </w:tr>
      <w:tr>
        <w:trPr/>
        <w:tc>
          <w:tcPr>
            <w:tcW w:w="1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insurance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12" w:type="dxa"/>
            <w:tcBorders/>
            <w:shd w:fill="FFFFFF" w:val="clear"/>
            <w:vAlign w:val="center"/>
          </w:tcPr>
          <w:p>
            <w:pPr>
              <w:pStyle w:val="TableContents"/>
              <w:bidi w:val="0"/>
              <w:spacing w:before="0" w:after="283"/>
              <w:jc w:val="left"/>
              <w:rPr/>
            </w:pPr>
            <w:r>
              <w:rPr/>
              <w:t> </w:t>
            </w:r>
          </w:p>
        </w:tc>
      </w:tr>
      <w:tr>
        <w:trPr/>
        <w:tc>
          <w:tcPr>
            <w:tcW w:w="1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12" w:type="dxa"/>
            <w:tcBorders/>
            <w:shd w:fill="CCEEFF" w:val="clear"/>
            <w:vAlign w:val="center"/>
          </w:tcPr>
          <w:p>
            <w:pPr>
              <w:pStyle w:val="TableContents"/>
              <w:bidi w:val="0"/>
              <w:spacing w:before="0" w:after="283"/>
              <w:jc w:val="left"/>
              <w:rPr/>
            </w:pPr>
            <w:r>
              <w:rPr/>
              <w:t> </w:t>
            </w:r>
          </w:p>
        </w:tc>
      </w:tr>
      <w:tr>
        <w:trPr/>
        <w:tc>
          <w:tcPr>
            <w:tcW w:w="1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personal care segment 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8"/>
        <w:gridCol w:w="60"/>
        <w:gridCol w:w="167"/>
        <w:gridCol w:w="796"/>
        <w:gridCol w:w="61"/>
        <w:gridCol w:w="61"/>
        <w:gridCol w:w="124"/>
        <w:gridCol w:w="722"/>
        <w:gridCol w:w="190"/>
        <w:gridCol w:w="61"/>
        <w:gridCol w:w="167"/>
        <w:gridCol w:w="796"/>
        <w:gridCol w:w="61"/>
        <w:gridCol w:w="61"/>
        <w:gridCol w:w="124"/>
        <w:gridCol w:w="722"/>
        <w:gridCol w:w="185"/>
        <w:gridCol w:w="60"/>
        <w:gridCol w:w="146"/>
        <w:gridCol w:w="817"/>
        <w:gridCol w:w="60"/>
        <w:gridCol w:w="60"/>
        <w:gridCol w:w="124"/>
        <w:gridCol w:w="722"/>
        <w:gridCol w:w="187"/>
        <w:gridCol w:w="60"/>
        <w:gridCol w:w="146"/>
        <w:gridCol w:w="817"/>
        <w:gridCol w:w="60"/>
        <w:gridCol w:w="60"/>
        <w:gridCol w:w="124"/>
        <w:gridCol w:w="722"/>
        <w:gridCol w:w="214"/>
      </w:tblGrid>
      <w:tr>
        <w:trPr/>
        <w:tc>
          <w:tcPr>
            <w:tcW w:w="1468"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Hospice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11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214" w:type="dxa"/>
            <w:tcBorders/>
            <w:shd w:fill="FFFFFF" w:val="clear"/>
            <w:vAlign w:val="center"/>
          </w:tcPr>
          <w:p>
            <w:pPr>
              <w:pStyle w:val="TableContents"/>
              <w:bidi w:val="0"/>
              <w:spacing w:before="0" w:after="283"/>
              <w:jc w:val="left"/>
              <w:rPr/>
            </w:pPr>
            <w:r>
              <w:rPr/>
              <w:t> </w:t>
            </w:r>
          </w:p>
        </w:tc>
      </w:tr>
      <w:tr>
        <w:trPr/>
        <w:tc>
          <w:tcPr>
            <w:tcW w:w="14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14" w:type="dxa"/>
            <w:tcBorders/>
            <w:shd w:fill="FFFFFF" w:val="clear"/>
            <w:vAlign w:val="center"/>
          </w:tcPr>
          <w:p>
            <w:pPr>
              <w:pStyle w:val="TableContents"/>
              <w:bidi w:val="0"/>
              <w:spacing w:before="0" w:after="283"/>
              <w:jc w:val="left"/>
              <w:rPr/>
            </w:pPr>
            <w:r>
              <w:rPr/>
              <w:t> </w:t>
            </w:r>
          </w:p>
        </w:tc>
      </w:tr>
      <w:tr>
        <w:trPr/>
        <w:tc>
          <w:tcPr>
            <w:tcW w:w="14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214" w:type="dxa"/>
            <w:tcBorders/>
            <w:shd w:fill="FFFFFF" w:val="clear"/>
            <w:vAlign w:val="center"/>
          </w:tcPr>
          <w:p>
            <w:pPr>
              <w:pStyle w:val="TableContents"/>
              <w:bidi w:val="0"/>
              <w:spacing w:before="0" w:after="283"/>
              <w:jc w:val="left"/>
              <w:rPr/>
            </w:pPr>
            <w:r>
              <w:rPr/>
              <w:t> </w:t>
            </w:r>
          </w:p>
        </w:tc>
      </w:tr>
      <w:tr>
        <w:trPr/>
        <w:tc>
          <w:tcPr>
            <w:tcW w:w="14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214" w:type="dxa"/>
            <w:tcBorders/>
            <w:shd w:fill="FFFFFF" w:val="clear"/>
            <w:vAlign w:val="center"/>
          </w:tcPr>
          <w:p>
            <w:pPr>
              <w:pStyle w:val="TableContents"/>
              <w:bidi w:val="0"/>
              <w:spacing w:before="0" w:after="283"/>
              <w:jc w:val="left"/>
              <w:rPr/>
            </w:pPr>
            <w:r>
              <w:rPr/>
              <w:t> </w:t>
            </w:r>
          </w:p>
        </w:tc>
      </w:tr>
      <w:tr>
        <w:trPr/>
        <w:tc>
          <w:tcPr>
            <w:tcW w:w="14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214" w:type="dxa"/>
            <w:tcBorders/>
            <w:shd w:fill="FFFFFF" w:val="clear"/>
            <w:vAlign w:val="center"/>
          </w:tcPr>
          <w:p>
            <w:pPr>
              <w:pStyle w:val="TableContents"/>
              <w:bidi w:val="0"/>
              <w:spacing w:before="0" w:after="283"/>
              <w:jc w:val="left"/>
              <w:rPr/>
            </w:pPr>
            <w:r>
              <w:rPr/>
              <w:t> </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Medicare</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52,413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2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insurance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14" w:type="dxa"/>
            <w:tcBorders/>
            <w:shd w:fill="FFFFFF" w:val="clear"/>
            <w:vAlign w:val="center"/>
          </w:tcPr>
          <w:p>
            <w:pPr>
              <w:pStyle w:val="TableContents"/>
              <w:bidi w:val="0"/>
              <w:spacing w:before="0" w:after="283"/>
              <w:jc w:val="left"/>
              <w:rPr/>
            </w:pPr>
            <w:r>
              <w:rPr/>
              <w:t> </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Managed care organizations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14" w:type="dxa"/>
            <w:tcBorders/>
            <w:shd w:fill="CCEEFF" w:val="clear"/>
            <w:vAlign w:val="center"/>
          </w:tcPr>
          <w:p>
            <w:pPr>
              <w:pStyle w:val="TableContents"/>
              <w:bidi w:val="0"/>
              <w:spacing w:before="0" w:after="283"/>
              <w:jc w:val="left"/>
              <w:rPr/>
            </w:pPr>
            <w:r>
              <w:rPr/>
              <w:t> </w:t>
            </w:r>
          </w:p>
        </w:tc>
      </w:tr>
      <w:tr>
        <w:trPr/>
        <w:tc>
          <w:tcPr>
            <w:tcW w:w="14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14" w:type="dxa"/>
            <w:tcBorders/>
            <w:shd w:fill="FFFFFF" w:val="clear"/>
            <w:vAlign w:val="center"/>
          </w:tcPr>
          <w:p>
            <w:pPr>
              <w:pStyle w:val="TableContents"/>
              <w:bidi w:val="0"/>
              <w:spacing w:before="0" w:after="283"/>
              <w:jc w:val="left"/>
              <w:rPr/>
            </w:pPr>
            <w:r>
              <w:rPr/>
              <w:t> </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hospice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68,891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57,309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563"/>
        <w:gridCol w:w="60"/>
        <w:gridCol w:w="165"/>
        <w:gridCol w:w="785"/>
        <w:gridCol w:w="61"/>
        <w:gridCol w:w="61"/>
        <w:gridCol w:w="124"/>
        <w:gridCol w:w="707"/>
        <w:gridCol w:w="188"/>
        <w:gridCol w:w="61"/>
        <w:gridCol w:w="165"/>
        <w:gridCol w:w="785"/>
        <w:gridCol w:w="81"/>
        <w:gridCol w:w="61"/>
        <w:gridCol w:w="124"/>
        <w:gridCol w:w="707"/>
        <w:gridCol w:w="185"/>
        <w:gridCol w:w="60"/>
        <w:gridCol w:w="165"/>
        <w:gridCol w:w="785"/>
        <w:gridCol w:w="60"/>
        <w:gridCol w:w="60"/>
        <w:gridCol w:w="124"/>
        <w:gridCol w:w="707"/>
        <w:gridCol w:w="188"/>
        <w:gridCol w:w="60"/>
        <w:gridCol w:w="165"/>
        <w:gridCol w:w="785"/>
        <w:gridCol w:w="60"/>
        <w:gridCol w:w="60"/>
        <w:gridCol w:w="124"/>
        <w:gridCol w:w="707"/>
        <w:gridCol w:w="212"/>
      </w:tblGrid>
      <w:tr>
        <w:trPr/>
        <w:tc>
          <w:tcPr>
            <w:tcW w:w="1563"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Home Health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07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212" w:type="dxa"/>
            <w:tcBorders/>
            <w:shd w:fill="FFFFFF" w:val="clear"/>
            <w:vAlign w:val="center"/>
          </w:tcPr>
          <w:p>
            <w:pPr>
              <w:pStyle w:val="TableContents"/>
              <w:bidi w:val="0"/>
              <w:spacing w:before="0" w:after="283"/>
              <w:jc w:val="left"/>
              <w:rPr/>
            </w:pPr>
            <w:r>
              <w:rPr/>
              <w:t> </w:t>
            </w:r>
          </w:p>
        </w:tc>
      </w:tr>
      <w:tr>
        <w:trPr/>
        <w:tc>
          <w:tcPr>
            <w:tcW w:w="1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12" w:type="dxa"/>
            <w:tcBorders/>
            <w:shd w:fill="FFFFFF" w:val="clear"/>
            <w:vAlign w:val="center"/>
          </w:tcPr>
          <w:p>
            <w:pPr>
              <w:pStyle w:val="TableContents"/>
              <w:bidi w:val="0"/>
              <w:spacing w:before="0" w:after="283"/>
              <w:jc w:val="left"/>
              <w:rPr/>
            </w:pPr>
            <w:r>
              <w:rPr/>
              <w:t> </w:t>
            </w:r>
          </w:p>
        </w:tc>
      </w:tr>
      <w:tr>
        <w:trPr/>
        <w:tc>
          <w:tcPr>
            <w:tcW w:w="1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212" w:type="dxa"/>
            <w:tcBorders/>
            <w:shd w:fill="FFFFFF" w:val="clear"/>
            <w:vAlign w:val="center"/>
          </w:tcPr>
          <w:p>
            <w:pPr>
              <w:pStyle w:val="TableContents"/>
              <w:bidi w:val="0"/>
              <w:spacing w:before="0" w:after="283"/>
              <w:jc w:val="left"/>
              <w:rPr/>
            </w:pPr>
            <w:r>
              <w:rPr/>
              <w:t> </w:t>
            </w:r>
          </w:p>
        </w:tc>
      </w:tr>
      <w:tr>
        <w:trPr/>
        <w:tc>
          <w:tcPr>
            <w:tcW w:w="1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212" w:type="dxa"/>
            <w:tcBorders/>
            <w:shd w:fill="FFFFFF" w:val="clear"/>
            <w:vAlign w:val="center"/>
          </w:tcPr>
          <w:p>
            <w:pPr>
              <w:pStyle w:val="TableContents"/>
              <w:bidi w:val="0"/>
              <w:spacing w:before="0" w:after="283"/>
              <w:jc w:val="left"/>
              <w:rPr/>
            </w:pPr>
            <w:r>
              <w:rPr/>
              <w:t> </w:t>
            </w:r>
          </w:p>
        </w:tc>
      </w:tr>
      <w:tr>
        <w:trPr/>
        <w:tc>
          <w:tcPr>
            <w:tcW w:w="1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212" w:type="dxa"/>
            <w:tcBorders/>
            <w:shd w:fill="FFFFFF" w:val="clear"/>
            <w:vAlign w:val="center"/>
          </w:tcPr>
          <w:p>
            <w:pPr>
              <w:pStyle w:val="TableContents"/>
              <w:bidi w:val="0"/>
              <w:spacing w:before="0" w:after="283"/>
              <w:jc w:val="left"/>
              <w:rPr/>
            </w:pPr>
            <w:r>
              <w:rPr/>
              <w:t> </w:t>
            </w:r>
          </w:p>
        </w:tc>
      </w:tr>
      <w:tr>
        <w:trPr/>
        <w:tc>
          <w:tcPr>
            <w:tcW w:w="15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Medicare</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Managed care organizations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1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212" w:type="dxa"/>
            <w:tcBorders/>
            <w:shd w:fill="FFFFFF" w:val="clear"/>
            <w:vAlign w:val="center"/>
          </w:tcPr>
          <w:p>
            <w:pPr>
              <w:pStyle w:val="TableContents"/>
              <w:bidi w:val="0"/>
              <w:spacing w:before="0" w:after="283"/>
              <w:jc w:val="left"/>
              <w:rPr/>
            </w:pPr>
            <w:r>
              <w:rPr/>
              <w:t> </w:t>
            </w:r>
          </w:p>
        </w:tc>
      </w:tr>
      <w:tr>
        <w:trPr/>
        <w:tc>
          <w:tcPr>
            <w:tcW w:w="15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local and other governmental programs (excluding Medicare)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8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pPr>
            <w:r>
              <w:rPr/>
              <w:t>—</w:t>
            </w:r>
          </w:p>
        </w:tc>
        <w:tc>
          <w:tcPr>
            <w:tcW w:w="212" w:type="dxa"/>
            <w:tcBorders/>
            <w:shd w:fill="CCEEFF" w:val="clear"/>
            <w:vAlign w:val="center"/>
          </w:tcPr>
          <w:p>
            <w:pPr>
              <w:pStyle w:val="TableContents"/>
              <w:bidi w:val="0"/>
              <w:spacing w:before="0" w:after="283"/>
              <w:jc w:val="left"/>
              <w:rPr/>
            </w:pPr>
            <w:r>
              <w:rPr/>
              <w:t> </w:t>
            </w:r>
          </w:p>
        </w:tc>
      </w:tr>
      <w:tr>
        <w:trPr/>
        <w:tc>
          <w:tcPr>
            <w:tcW w:w="15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12" w:type="dxa"/>
            <w:tcBorders/>
            <w:shd w:fill="FFFFFF" w:val="clear"/>
            <w:vAlign w:val="center"/>
          </w:tcPr>
          <w:p>
            <w:pPr>
              <w:pStyle w:val="TableContents"/>
              <w:bidi w:val="0"/>
              <w:spacing w:before="0" w:after="283"/>
              <w:jc w:val="left"/>
              <w:rPr/>
            </w:pPr>
            <w:r>
              <w:rPr/>
              <w:t> </w:t>
            </w:r>
          </w:p>
        </w:tc>
      </w:tr>
      <w:tr>
        <w:trPr/>
        <w:tc>
          <w:tcPr>
            <w:tcW w:w="15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home health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The Company derives a significant amount of its revenue from its operations in Illinois, New Mexico, Ohio, Tennessee, and Texas. The percentages of segment revenue for each of these significant states and New York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25"/>
        <w:gridCol w:w="60"/>
        <w:gridCol w:w="148"/>
        <w:gridCol w:w="828"/>
        <w:gridCol w:w="81"/>
        <w:gridCol w:w="61"/>
        <w:gridCol w:w="124"/>
        <w:gridCol w:w="735"/>
        <w:gridCol w:w="188"/>
        <w:gridCol w:w="61"/>
        <w:gridCol w:w="148"/>
        <w:gridCol w:w="828"/>
        <w:gridCol w:w="61"/>
        <w:gridCol w:w="61"/>
        <w:gridCol w:w="124"/>
        <w:gridCol w:w="735"/>
        <w:gridCol w:w="185"/>
        <w:gridCol w:w="60"/>
        <w:gridCol w:w="148"/>
        <w:gridCol w:w="828"/>
        <w:gridCol w:w="81"/>
        <w:gridCol w:w="60"/>
        <w:gridCol w:w="124"/>
        <w:gridCol w:w="735"/>
        <w:gridCol w:w="187"/>
        <w:gridCol w:w="60"/>
        <w:gridCol w:w="148"/>
        <w:gridCol w:w="828"/>
        <w:gridCol w:w="60"/>
        <w:gridCol w:w="60"/>
        <w:gridCol w:w="124"/>
        <w:gridCol w:w="735"/>
        <w:gridCol w:w="214"/>
      </w:tblGrid>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Personal Care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18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7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214" w:type="dxa"/>
            <w:tcBorders/>
            <w:shd w:fill="FFFF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14" w:type="dxa"/>
            <w:tcBorders/>
            <w:shd w:fill="FFFF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214" w:type="dxa"/>
            <w:tcBorders/>
            <w:shd w:fill="FFFF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214" w:type="dxa"/>
            <w:tcBorders/>
            <w:shd w:fill="FFFF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214"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115,989</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111,916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342,629</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2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Mexico</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30,029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87,320</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214"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York(1)</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pPr>
            <w:r>
              <w:rPr/>
              <w:t>—</w:t>
            </w:r>
          </w:p>
        </w:tc>
        <w:tc>
          <w:tcPr>
            <w:tcW w:w="18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21,406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pPr>
            <w:r>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214"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Texas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53,449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155,773</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214"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states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76,621</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18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53,149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217,620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214"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personal care segment 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275,770</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215,433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803,238</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82"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As a result of changes and uncertainty in New York regarding the CDPAP, the Company determined that its New York personal care operations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fit its growth strategy and is divesting these operations.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the Notes to Unaudited Condensed Consolidated Financial Statements, </w:t>
            </w:r>
            <w:r>
              <w:rPr>
                <w:rFonts w:ascii="Times New Roman" w:hAnsi="Times New Roman"/>
                <w:i/>
                <w:caps w:val="false"/>
                <w:smallCaps w:val="false"/>
                <w:sz w:val="20"/>
              </w:rPr>
              <w:t>Divestiture</w:t>
            </w:r>
            <w:r>
              <w:rPr>
                <w:rFonts w:ascii="Times New Roman" w:hAnsi="Times New Roman"/>
                <w:caps w:val="false"/>
                <w:smallCaps w:val="false"/>
                <w:sz w:val="20"/>
              </w:rPr>
              <w:t>, for additional details regarding our divestiture.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297"/>
        <w:gridCol w:w="60"/>
        <w:gridCol w:w="171"/>
        <w:gridCol w:w="814"/>
        <w:gridCol w:w="62"/>
        <w:gridCol w:w="62"/>
        <w:gridCol w:w="124"/>
        <w:gridCol w:w="744"/>
        <w:gridCol w:w="192"/>
        <w:gridCol w:w="62"/>
        <w:gridCol w:w="171"/>
        <w:gridCol w:w="814"/>
        <w:gridCol w:w="62"/>
        <w:gridCol w:w="62"/>
        <w:gridCol w:w="124"/>
        <w:gridCol w:w="744"/>
        <w:gridCol w:w="185"/>
        <w:gridCol w:w="60"/>
        <w:gridCol w:w="149"/>
        <w:gridCol w:w="835"/>
        <w:gridCol w:w="61"/>
        <w:gridCol w:w="61"/>
        <w:gridCol w:w="124"/>
        <w:gridCol w:w="744"/>
        <w:gridCol w:w="188"/>
        <w:gridCol w:w="61"/>
        <w:gridCol w:w="149"/>
        <w:gridCol w:w="835"/>
        <w:gridCol w:w="61"/>
        <w:gridCol w:w="61"/>
        <w:gridCol w:w="124"/>
        <w:gridCol w:w="744"/>
        <w:gridCol w:w="198"/>
      </w:tblGrid>
      <w:tr>
        <w:trPr/>
        <w:tc>
          <w:tcPr>
            <w:tcW w:w="1297"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Hospice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20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9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198" w:type="dxa"/>
            <w:tcBorders/>
            <w:shd w:fill="FFFFFF" w:val="clear"/>
            <w:vAlign w:val="center"/>
          </w:tcPr>
          <w:p>
            <w:pPr>
              <w:pStyle w:val="TableContents"/>
              <w:bidi w:val="0"/>
              <w:spacing w:before="0" w:after="283"/>
              <w:jc w:val="left"/>
              <w:rPr/>
            </w:pPr>
            <w:r>
              <w:rPr/>
              <w:t> </w:t>
            </w:r>
          </w:p>
        </w:tc>
      </w:tr>
      <w:tr>
        <w:trPr/>
        <w:tc>
          <w:tcPr>
            <w:tcW w:w="12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9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98" w:type="dxa"/>
            <w:tcBorders/>
            <w:shd w:fill="FFFFFF" w:val="clear"/>
            <w:vAlign w:val="center"/>
          </w:tcPr>
          <w:p>
            <w:pPr>
              <w:pStyle w:val="TableContents"/>
              <w:bidi w:val="0"/>
              <w:spacing w:before="0" w:after="283"/>
              <w:jc w:val="left"/>
              <w:rPr/>
            </w:pPr>
            <w:r>
              <w:rPr/>
              <w:t> </w:t>
            </w:r>
          </w:p>
        </w:tc>
      </w:tr>
      <w:tr>
        <w:trPr/>
        <w:tc>
          <w:tcPr>
            <w:tcW w:w="12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98" w:type="dxa"/>
            <w:tcBorders/>
            <w:shd w:fill="FFFFFF" w:val="clear"/>
            <w:vAlign w:val="center"/>
          </w:tcPr>
          <w:p>
            <w:pPr>
              <w:pStyle w:val="TableContents"/>
              <w:bidi w:val="0"/>
              <w:spacing w:before="0" w:after="283"/>
              <w:jc w:val="left"/>
              <w:rPr/>
            </w:pPr>
            <w:r>
              <w:rPr/>
              <w:t> </w:t>
            </w:r>
          </w:p>
        </w:tc>
      </w:tr>
      <w:tr>
        <w:trPr/>
        <w:tc>
          <w:tcPr>
            <w:tcW w:w="12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98" w:type="dxa"/>
            <w:tcBorders/>
            <w:shd w:fill="FFFFFF" w:val="clear"/>
            <w:vAlign w:val="center"/>
          </w:tcPr>
          <w:p>
            <w:pPr>
              <w:pStyle w:val="TableContents"/>
              <w:bidi w:val="0"/>
              <w:spacing w:before="0" w:after="283"/>
              <w:jc w:val="left"/>
              <w:rPr/>
            </w:pPr>
            <w:r>
              <w:rPr/>
              <w:t> </w:t>
            </w:r>
          </w:p>
        </w:tc>
      </w:tr>
      <w:tr>
        <w:trPr/>
        <w:tc>
          <w:tcPr>
            <w:tcW w:w="12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98" w:type="dxa"/>
            <w:tcBorders/>
            <w:shd w:fill="FFFFFF" w:val="clear"/>
            <w:vAlign w:val="center"/>
          </w:tcPr>
          <w:p>
            <w:pPr>
              <w:pStyle w:val="TableContents"/>
              <w:bidi w:val="0"/>
              <w:spacing w:before="0" w:after="283"/>
              <w:jc w:val="left"/>
              <w:rPr/>
            </w:pPr>
            <w:r>
              <w:rPr/>
              <w:t> </w:t>
            </w:r>
          </w:p>
        </w:tc>
      </w:tr>
      <w:tr>
        <w:trPr/>
        <w:tc>
          <w:tcPr>
            <w:tcW w:w="12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Ohio</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21,531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73,304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44,516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198" w:type="dxa"/>
            <w:tcBorders/>
            <w:shd w:fill="FFFFFF" w:val="clear"/>
            <w:vAlign w:val="center"/>
          </w:tcPr>
          <w:p>
            <w:pPr>
              <w:pStyle w:val="TableContents"/>
              <w:bidi w:val="0"/>
              <w:spacing w:before="0" w:after="283"/>
              <w:jc w:val="left"/>
              <w:rPr/>
            </w:pPr>
            <w:r>
              <w:rPr/>
              <w:t> </w:t>
            </w:r>
          </w:p>
        </w:tc>
      </w:tr>
      <w:tr>
        <w:trPr/>
        <w:tc>
          <w:tcPr>
            <w:tcW w:w="12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Mexico</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24,865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8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98" w:type="dxa"/>
            <w:tcBorders/>
            <w:shd w:fill="CCEEFF" w:val="clear"/>
            <w:vAlign w:val="center"/>
          </w:tcPr>
          <w:p>
            <w:pPr>
              <w:pStyle w:val="TableContents"/>
              <w:bidi w:val="0"/>
              <w:spacing w:before="0" w:after="283"/>
              <w:jc w:val="left"/>
              <w:rPr/>
            </w:pPr>
            <w:r>
              <w:rPr/>
              <w:t> </w:t>
            </w:r>
          </w:p>
        </w:tc>
      </w:tr>
      <w:tr>
        <w:trPr/>
        <w:tc>
          <w:tcPr>
            <w:tcW w:w="12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states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46,897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198" w:type="dxa"/>
            <w:tcBorders/>
            <w:shd w:fill="FFFFFF" w:val="clear"/>
            <w:vAlign w:val="center"/>
          </w:tcPr>
          <w:p>
            <w:pPr>
              <w:pStyle w:val="TableContents"/>
              <w:bidi w:val="0"/>
              <w:spacing w:before="0" w:after="283"/>
              <w:jc w:val="left"/>
              <w:rPr/>
            </w:pPr>
            <w:r>
              <w:rPr/>
              <w:t> </w:t>
            </w:r>
          </w:p>
        </w:tc>
      </w:tr>
      <w:tr>
        <w:trPr/>
        <w:tc>
          <w:tcPr>
            <w:tcW w:w="12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hospice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68,891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57,309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192,540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169,202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7"/>
        <w:gridCol w:w="60"/>
        <w:gridCol w:w="169"/>
        <w:gridCol w:w="806"/>
        <w:gridCol w:w="62"/>
        <w:gridCol w:w="62"/>
        <w:gridCol w:w="124"/>
        <w:gridCol w:w="734"/>
        <w:gridCol w:w="191"/>
        <w:gridCol w:w="62"/>
        <w:gridCol w:w="169"/>
        <w:gridCol w:w="806"/>
        <w:gridCol w:w="62"/>
        <w:gridCol w:w="62"/>
        <w:gridCol w:w="124"/>
        <w:gridCol w:w="734"/>
        <w:gridCol w:w="185"/>
        <w:gridCol w:w="60"/>
        <w:gridCol w:w="169"/>
        <w:gridCol w:w="806"/>
        <w:gridCol w:w="61"/>
        <w:gridCol w:w="61"/>
        <w:gridCol w:w="124"/>
        <w:gridCol w:w="734"/>
        <w:gridCol w:w="190"/>
        <w:gridCol w:w="61"/>
        <w:gridCol w:w="169"/>
        <w:gridCol w:w="806"/>
        <w:gridCol w:w="61"/>
        <w:gridCol w:w="61"/>
        <w:gridCol w:w="124"/>
        <w:gridCol w:w="734"/>
        <w:gridCol w:w="195"/>
      </w:tblGrid>
      <w:tr>
        <w:trPr/>
        <w:tc>
          <w:tcPr>
            <w:tcW w:w="1377"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Home Health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16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6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195" w:type="dxa"/>
            <w:tcBorders/>
            <w:shd w:fill="FFFFFF" w:val="clear"/>
            <w:vAlign w:val="center"/>
          </w:tcPr>
          <w:p>
            <w:pPr>
              <w:pStyle w:val="TableContents"/>
              <w:bidi w:val="0"/>
              <w:spacing w:before="0" w:after="283"/>
              <w:jc w:val="left"/>
              <w:rPr/>
            </w:pPr>
            <w:r>
              <w:rPr/>
              <w:t> </w:t>
            </w:r>
          </w:p>
        </w:tc>
      </w:tr>
      <w:tr>
        <w:trPr/>
        <w:tc>
          <w:tcPr>
            <w:tcW w:w="13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91"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9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95" w:type="dxa"/>
            <w:tcBorders/>
            <w:shd w:fill="FFFFFF" w:val="clear"/>
            <w:vAlign w:val="center"/>
          </w:tcPr>
          <w:p>
            <w:pPr>
              <w:pStyle w:val="TableContents"/>
              <w:bidi w:val="0"/>
              <w:spacing w:before="0" w:after="283"/>
              <w:jc w:val="left"/>
              <w:rPr/>
            </w:pPr>
            <w:r>
              <w:rPr/>
              <w:t> </w:t>
            </w:r>
          </w:p>
        </w:tc>
      </w:tr>
      <w:tr>
        <w:trPr/>
        <w:tc>
          <w:tcPr>
            <w:tcW w:w="13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91"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Segment</w:t>
            </w:r>
          </w:p>
        </w:tc>
        <w:tc>
          <w:tcPr>
            <w:tcW w:w="195" w:type="dxa"/>
            <w:tcBorders/>
            <w:shd w:fill="FFFFFF" w:val="clear"/>
            <w:vAlign w:val="center"/>
          </w:tcPr>
          <w:p>
            <w:pPr>
              <w:pStyle w:val="TableContents"/>
              <w:bidi w:val="0"/>
              <w:spacing w:before="0" w:after="283"/>
              <w:jc w:val="left"/>
              <w:rPr/>
            </w:pPr>
            <w:r>
              <w:rPr/>
              <w:t> </w:t>
            </w:r>
          </w:p>
        </w:tc>
      </w:tr>
      <w:tr>
        <w:trPr/>
        <w:tc>
          <w:tcPr>
            <w:tcW w:w="13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91"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Service</w:t>
            </w:r>
          </w:p>
        </w:tc>
        <w:tc>
          <w:tcPr>
            <w:tcW w:w="195" w:type="dxa"/>
            <w:tcBorders/>
            <w:shd w:fill="FFFFFF" w:val="clear"/>
            <w:vAlign w:val="center"/>
          </w:tcPr>
          <w:p>
            <w:pPr>
              <w:pStyle w:val="TableContents"/>
              <w:bidi w:val="0"/>
              <w:spacing w:before="0" w:after="283"/>
              <w:jc w:val="left"/>
              <w:rPr/>
            </w:pPr>
            <w:r>
              <w:rPr/>
              <w:t> </w:t>
            </w:r>
          </w:p>
        </w:tc>
      </w:tr>
      <w:tr>
        <w:trPr/>
        <w:tc>
          <w:tcPr>
            <w:tcW w:w="13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91"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195" w:type="dxa"/>
            <w:tcBorders/>
            <w:shd w:fill="FFFFFF" w:val="clear"/>
            <w:vAlign w:val="center"/>
          </w:tcPr>
          <w:p>
            <w:pPr>
              <w:pStyle w:val="TableContents"/>
              <w:bidi w:val="0"/>
              <w:spacing w:before="0" w:after="283"/>
              <w:jc w:val="left"/>
              <w:rPr/>
            </w:pPr>
            <w:r>
              <w:rPr/>
              <w:t> </w:t>
            </w:r>
          </w:p>
        </w:tc>
      </w:tr>
      <w:tr>
        <w:trPr/>
        <w:tc>
          <w:tcPr>
            <w:tcW w:w="13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Mexico</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Tennessee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191"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195" w:type="dxa"/>
            <w:tcBorders/>
            <w:shd w:fill="FFFFFF" w:val="clear"/>
            <w:vAlign w:val="center"/>
          </w:tcPr>
          <w:p>
            <w:pPr>
              <w:pStyle w:val="TableContents"/>
              <w:bidi w:val="0"/>
              <w:spacing w:before="0" w:after="283"/>
              <w:jc w:val="left"/>
              <w:rPr/>
            </w:pPr>
            <w:r>
              <w:rPr/>
              <w:t> </w:t>
            </w:r>
          </w:p>
        </w:tc>
      </w:tr>
      <w:tr>
        <w:trPr/>
        <w:tc>
          <w:tcPr>
            <w:tcW w:w="13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9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195" w:type="dxa"/>
            <w:tcBorders/>
            <w:shd w:fill="CCEEFF" w:val="clear"/>
            <w:vAlign w:val="center"/>
          </w:tcPr>
          <w:p>
            <w:pPr>
              <w:pStyle w:val="TableContents"/>
              <w:bidi w:val="0"/>
              <w:spacing w:before="0" w:after="283"/>
              <w:jc w:val="left"/>
              <w:rPr/>
            </w:pPr>
            <w:r>
              <w:rPr/>
              <w:t> </w:t>
            </w:r>
          </w:p>
        </w:tc>
      </w:tr>
      <w:tr>
        <w:trPr/>
        <w:tc>
          <w:tcPr>
            <w:tcW w:w="137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w:t>
            </w:r>
          </w:p>
        </w:tc>
        <w:tc>
          <w:tcPr>
            <w:tcW w:w="191"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0.7</w:t>
            </w:r>
          </w:p>
        </w:tc>
        <w:tc>
          <w:tcPr>
            <w:tcW w:w="19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95" w:type="dxa"/>
            <w:tcBorders/>
            <w:shd w:fill="FFFFFF" w:val="clear"/>
            <w:vAlign w:val="center"/>
          </w:tcPr>
          <w:p>
            <w:pPr>
              <w:pStyle w:val="TableContents"/>
              <w:bidi w:val="0"/>
              <w:spacing w:before="0" w:after="283"/>
              <w:jc w:val="left"/>
              <w:rPr/>
            </w:pPr>
            <w:r>
              <w:rPr/>
              <w:t> </w:t>
            </w:r>
          </w:p>
        </w:tc>
      </w:tr>
      <w:tr>
        <w:trPr/>
        <w:tc>
          <w:tcPr>
            <w:tcW w:w="13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home health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A substantial portion of the Company’s revenue and accounts receivable are derived from services performed for federal, state, and local governmental agencies. The personal care segment derives a significant amount of its net service revenues in Illinois, which represented 32.0% and 38.6% of our net service revenues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and accounted for 32.6% and 38.5% of our net service revenues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 Illinois Department on Aging, the largest payor program for the Company’s Illinois personal care operations, accounted for </w:t>
      </w:r>
      <w:r>
        <w:rPr>
          <w:rFonts w:ascii="Times New Roman" w:hAnsi="Times New Roman"/>
          <w:caps w:val="false"/>
          <w:smallCaps w:val="false"/>
          <w:sz w:val="20"/>
          <w:shd w:fill="FFFFFF" w:val="clear"/>
        </w:rPr>
        <w:t>18.1%</w:t>
      </w:r>
      <w:r>
        <w:rPr>
          <w:rFonts w:ascii="Times New Roman" w:hAnsi="Times New Roman"/>
          <w:caps w:val="false"/>
          <w:smallCaps w:val="false"/>
          <w:sz w:val="20"/>
        </w:rPr>
        <w:t xml:space="preserve"> and 21.4% of the Company’s net service revenues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and accounted for </w:t>
      </w:r>
      <w:r>
        <w:rPr>
          <w:rFonts w:ascii="Times New Roman" w:hAnsi="Times New Roman"/>
          <w:caps w:val="false"/>
          <w:smallCaps w:val="false"/>
          <w:sz w:val="20"/>
          <w:shd w:fill="FFFFFF" w:val="clear"/>
        </w:rPr>
        <w:t>18.4%</w:t>
      </w:r>
      <w:r>
        <w:rPr>
          <w:rFonts w:ascii="Times New Roman" w:hAnsi="Times New Roman"/>
          <w:caps w:val="false"/>
          <w:smallCaps w:val="false"/>
          <w:sz w:val="20"/>
        </w:rPr>
        <w:t xml:space="preserve"> and 21.1% of the Company’s net service revenues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 xml:space="preserve">The related receivables due from the Illinois Department on Aging represented </w:t>
      </w:r>
      <w:r>
        <w:rPr>
          <w:rFonts w:ascii="Times New Roman" w:hAnsi="Times New Roman"/>
          <w:caps w:val="false"/>
          <w:smallCaps w:val="false"/>
          <w:sz w:val="20"/>
          <w:shd w:fill="FFFFFF" w:val="clear"/>
        </w:rPr>
        <w:t>16.6%</w:t>
      </w:r>
      <w:r>
        <w:rPr>
          <w:rFonts w:ascii="Times New Roman" w:hAnsi="Times New Roman"/>
          <w:caps w:val="false"/>
          <w:smallCaps w:val="false"/>
          <w:sz w:val="20"/>
        </w:rPr>
        <w:t xml:space="preserve"> and 21.7% of the Company’s net accounts receivable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respectively.</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800" w:right="0" w:hanging="800"/>
        <w:jc w:val="left"/>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Subsequent Events</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1, 2025</w:t>
      </w:r>
      <w:r>
        <w:rPr>
          <w:rFonts w:ascii="Times New Roman" w:hAnsi="Times New Roman"/>
          <w:i/>
          <w:caps w:val="false"/>
          <w:smallCaps w:val="false"/>
          <w:sz w:val="20"/>
        </w:rPr>
        <w:t>,</w:t>
      </w:r>
      <w:r>
        <w:rPr>
          <w:rFonts w:ascii="Times New Roman" w:hAnsi="Times New Roman"/>
          <w:caps w:val="false"/>
          <w:smallCaps w:val="false"/>
          <w:sz w:val="20"/>
        </w:rPr>
        <w:t> the Company completed the acquisition of the assets of Gold Horses, LLC for approximately $7.4 million (the “Gold Horses Acquisition”). The purchase was funded through the Company’s available cash. The Gold Horses Acquisition expanded</w:t>
      </w:r>
      <w:r>
        <w:rPr>
          <w:rFonts w:ascii="Times New Roman" w:hAnsi="Times New Roman"/>
          <w:caps w:val="false"/>
          <w:smallCaps w:val="false"/>
          <w:sz w:val="20"/>
          <w:shd w:fill="FFFFFF" w:val="clear"/>
        </w:rPr>
        <w:t> the Company</w:t>
      </w:r>
      <w:r>
        <w:rPr>
          <w:rFonts w:ascii="Times New Roman" w:hAnsi="Times New Roman"/>
          <w:caps w:val="false"/>
          <w:smallCaps w:val="false"/>
          <w:sz w:val="20"/>
        </w:rPr>
        <w:t>’</w:t>
      </w:r>
      <w:r>
        <w:rPr>
          <w:rFonts w:ascii="Times New Roman" w:hAnsi="Times New Roman"/>
          <w:caps w:val="false"/>
          <w:smallCaps w:val="false"/>
          <w:sz w:val="20"/>
          <w:shd w:fill="FFFFFF" w:val="clear"/>
        </w:rPr>
        <w:t>s services within its personal care segment in Texas. </w:t>
      </w:r>
      <w:r>
        <w:rPr>
          <w:rFonts w:ascii="Times New Roman" w:hAnsi="Times New Roman"/>
          <w:caps w:val="false"/>
          <w:smallCaps w:val="false"/>
          <w:sz w:val="20"/>
        </w:rPr>
        <w:t>The initial accounting is </w:t>
      </w:r>
      <w:r>
        <w:rPr>
          <w:rStyle w:val="Emphasis"/>
          <w:rFonts w:ascii="Times New Roman" w:hAnsi="Times New Roman"/>
          <w:caps w:val="false"/>
          <w:smallCaps w:val="false"/>
          <w:sz w:val="20"/>
        </w:rPr>
        <w:t>not</w:t>
      </w:r>
      <w:r>
        <w:rPr>
          <w:rFonts w:ascii="Times New Roman" w:hAnsi="Times New Roman"/>
          <w:caps w:val="false"/>
          <w:smallCaps w:val="false"/>
          <w:sz w:val="20"/>
        </w:rPr>
        <w:t> yet complete, and therefore the related business combination disclosures have </w:t>
      </w:r>
      <w:r>
        <w:rPr>
          <w:rStyle w:val="Emphasis"/>
          <w:rFonts w:ascii="Times New Roman" w:hAnsi="Times New Roman"/>
          <w:caps w:val="false"/>
          <w:smallCaps w:val="false"/>
          <w:sz w:val="20"/>
        </w:rPr>
        <w:t>not</w:t>
      </w:r>
      <w:r>
        <w:rPr>
          <w:rFonts w:ascii="Times New Roman" w:hAnsi="Times New Roman"/>
          <w:caps w:val="false"/>
          <w:smallCaps w:val="false"/>
          <w:sz w:val="20"/>
        </w:rPr>
        <w:t> been presented as the Company is currently in the process of valuing the assets acquired and liabilities assumed in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0" w:name="mda"/>
      <w:bookmarkEnd w:id="10"/>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w:t>
      </w:r>
      <w:r>
        <w:rPr>
          <w:rFonts w:ascii="Times New Roman" w:hAnsi="Times New Roman"/>
          <w:caps w:val="false"/>
          <w:smallCaps w:val="false"/>
          <w:sz w:val="20"/>
        </w:rPr>
        <w:t>“</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belief,</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might,</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xml:space="preserve">” </w:t>
      </w:r>
      <w:r>
        <w:rPr>
          <w:rFonts w:ascii="Times New Roman" w:hAnsi="Times New Roman"/>
          <w:i/>
          <w:caps w:val="false"/>
          <w:smallCaps w:val="false"/>
          <w:sz w:val="20"/>
        </w:rPr>
        <w:t>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impact of macroeconomic conditions, including significant global inflation and interest rates, legislative and political developments, including federal government shutdowns, any lapse in appropriations and any hold on or cancellation of congressionally authorized spending or interruptions in the distribution of government funds, trade policies and tensions, including changes in, or the imposition of, tariffs and/or trade barriers and the economic impacts, volatility and uncertainty resulting therefrom, and the potential adverse effects of current conditions; business disruptions due to inclement weather, natural disasters, acts of terrorism, military conflicts, pandemics, civil insurrection or social unrest; changes in operational and reimbursement processes and payment structures at the state or federal levels; changes in Medicaid, Medicare, other government program and managed care organizations</w:t>
      </w:r>
      <w:r>
        <w:rPr>
          <w:rFonts w:ascii="Times New Roman" w:hAnsi="Times New Roman"/>
          <w:caps w:val="false"/>
          <w:smallCaps w:val="false"/>
          <w:sz w:val="20"/>
        </w:rPr>
        <w:t xml:space="preserve">’ </w:t>
      </w:r>
      <w:r>
        <w:rPr>
          <w:rFonts w:ascii="Times New Roman" w:hAnsi="Times New Roman"/>
          <w:i/>
          <w:caps w:val="false"/>
          <w:smallCaps w:val="false"/>
          <w:sz w:val="20"/>
        </w:rPr>
        <w:t>policies and payment rates, and the timeliness of reimbursements received under government programs; the implementation of new, and possible changes to, existing, federal and state laws or regulations, or our failure to comply with such laws or regulations or comply on a timely basis; the impact of decisions of the U.S. Supreme Court regarding the actions of federal agencies; changes in presidential administrations; changes in the structure and administration of, and funding for, federal and state agencies and programs;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overall economic conditions and deficit reduction measures by federal and state governments, and our expectations regarding these changes; cost containment initiatives undertaken by federal and state governmental and other third-party payors; our ability to access financing through the capital and credit markets; our ability to meet debt service requirements and comply with covenants in debt agreements; our ability to integrate and manage our information systems; any security breaches, cyber-attacks, loss of data, or cybersecurity threats or incidents, and any actual or perceived failures to comply with legal requirements related to the privacy of confidential consumer data and other sensitive information; the size and growth of the markets for our services, including our expectations regarding the markets for our services; eligibility standards and coverage limits imposed through legislation or by governmental agencies or other third-party payors; the potential for litigation, audits, and investigations; discretionary determinations by government officials; our ability to successfully implement our business model to grow our business; our ability to continue identifying, pursuing, consummating, and integrating acquisition opportunities and expanding into new geographic markets; the impact of acquisitions and dispositions on our business, including the potential inability to realize the benefits of potential acquisitions; the effectiveness, quality, and cost of our services; our ability to successfully execute our growth strategy; changes in tax rates;</w:t>
      </w:r>
      <w:r>
        <w:rPr>
          <w:rFonts w:ascii="Times New Roman" w:hAnsi="Times New Roman"/>
          <w:caps w:val="false"/>
          <w:smallCaps w:val="false"/>
          <w:sz w:val="20"/>
        </w:rPr>
        <w:t xml:space="preserve">  </w:t>
      </w:r>
      <w:r>
        <w:rPr>
          <w:rFonts w:ascii="Times New Roman" w:hAnsi="Times New Roman"/>
          <w:i/>
          <w:caps w:val="false"/>
          <w:smallCaps w:val="false"/>
          <w:sz w:val="20"/>
        </w:rPr>
        <w:t>and various other matters, many of which are beyond our control. In addition, these forward-looking statements are subject to the risk factors set forth in Part I, Item 1A of our Annual Report on Form 10-K for the period ended December</w:t>
      </w:r>
      <w:r>
        <w:rPr>
          <w:rFonts w:ascii="Times New Roman" w:hAnsi="Times New Roman"/>
          <w:caps w:val="false"/>
          <w:smallCaps w:val="false"/>
          <w:sz w:val="20"/>
        </w:rPr>
        <w:t> </w:t>
      </w:r>
      <w:r>
        <w:rPr>
          <w:rFonts w:ascii="Times New Roman" w:hAnsi="Times New Roman"/>
          <w:i/>
          <w:caps w:val="false"/>
          <w:smallCaps w:val="false"/>
          <w:sz w:val="20"/>
        </w:rPr>
        <w:t>31, 2024, filed with the SEC on February 25, 2025.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organizations accounted for </w:t>
      </w:r>
      <w:r>
        <w:rPr>
          <w:rFonts w:ascii="Times New Roman" w:hAnsi="Times New Roman"/>
          <w:caps w:val="false"/>
          <w:smallCaps w:val="false"/>
          <w:sz w:val="20"/>
          <w:shd w:fill="FFFFFF" w:val="clear"/>
        </w:rPr>
        <w:t>37.0%</w:t>
      </w:r>
      <w:r>
        <w:rPr>
          <w:rFonts w:ascii="Times New Roman" w:hAnsi="Times New Roman"/>
          <w:caps w:val="false"/>
          <w:smallCaps w:val="false"/>
          <w:sz w:val="20"/>
        </w:rPr>
        <w:t xml:space="preserve"> and 34.3% of our net service revenues during the three months ended September 30, 2025 and 2024, respectively, and </w:t>
      </w:r>
      <w:r>
        <w:rPr>
          <w:rFonts w:ascii="Times New Roman" w:hAnsi="Times New Roman"/>
          <w:caps w:val="false"/>
          <w:smallCaps w:val="false"/>
          <w:sz w:val="20"/>
          <w:shd w:fill="FFFFFF" w:val="clear"/>
        </w:rPr>
        <w:t>36.7%</w:t>
      </w:r>
      <w:r>
        <w:rPr>
          <w:rFonts w:ascii="Times New Roman" w:hAnsi="Times New Roman"/>
          <w:caps w:val="false"/>
          <w:smallCaps w:val="false"/>
          <w:sz w:val="20"/>
        </w:rPr>
        <w:t xml:space="preserve"> and 35.1% of our net service revenues during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summary of certain consolidated financial results is provided in the table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3"/>
        <w:gridCol w:w="60"/>
        <w:gridCol w:w="261"/>
        <w:gridCol w:w="1456"/>
        <w:gridCol w:w="124"/>
        <w:gridCol w:w="124"/>
        <w:gridCol w:w="261"/>
        <w:gridCol w:w="1456"/>
        <w:gridCol w:w="60"/>
        <w:gridCol w:w="60"/>
        <w:gridCol w:w="232"/>
        <w:gridCol w:w="1578"/>
        <w:gridCol w:w="111"/>
        <w:gridCol w:w="111"/>
        <w:gridCol w:w="232"/>
        <w:gridCol w:w="1298"/>
        <w:gridCol w:w="68"/>
      </w:tblGrid>
      <w:tr>
        <w:trPr/>
        <w:tc>
          <w:tcPr>
            <w:tcW w:w="2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 September 30,</w:t>
            </w:r>
          </w:p>
        </w:tc>
        <w:tc>
          <w:tcPr>
            <w:tcW w:w="68" w:type="dxa"/>
            <w:tcBorders/>
            <w:shd w:fill="FFFFFF" w:val="clear"/>
            <w:vAlign w:val="center"/>
          </w:tcPr>
          <w:p>
            <w:pPr>
              <w:pStyle w:val="TableContents"/>
              <w:bidi w:val="0"/>
              <w:spacing w:before="0" w:after="283"/>
              <w:jc w:val="left"/>
              <w:rPr/>
            </w:pPr>
            <w:r>
              <w:rPr/>
              <w:t> </w:t>
            </w:r>
          </w:p>
        </w:tc>
      </w:tr>
      <w:tr>
        <w:trPr/>
        <w:tc>
          <w:tcPr>
            <w:tcW w:w="2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17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5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8" w:type="dxa"/>
            <w:tcBorders/>
            <w:shd w:fill="FFFFFF" w:val="clear"/>
            <w:vAlign w:val="center"/>
          </w:tcPr>
          <w:p>
            <w:pPr>
              <w:pStyle w:val="TableContents"/>
              <w:bidi w:val="0"/>
              <w:spacing w:before="0" w:after="283"/>
              <w:jc w:val="left"/>
              <w:rPr/>
            </w:pPr>
            <w:r>
              <w:rPr/>
              <w:t> </w:t>
            </w:r>
          </w:p>
        </w:tc>
      </w:tr>
      <w:tr>
        <w:trPr/>
        <w:tc>
          <w:tcPr>
            <w:tcW w:w="27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 by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368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6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68" w:type="dxa"/>
            <w:tcBorders/>
            <w:shd w:fill="FFFFFF" w:val="clear"/>
            <w:vAlign w:val="center"/>
          </w:tcPr>
          <w:p>
            <w:pPr>
              <w:pStyle w:val="TableContents"/>
              <w:bidi w:val="0"/>
              <w:spacing w:before="0" w:after="283"/>
              <w:jc w:val="left"/>
              <w:rPr/>
            </w:pPr>
            <w:r>
              <w:rPr/>
              <w:t> </w:t>
            </w:r>
          </w:p>
        </w:tc>
      </w:tr>
      <w:tr>
        <w:trPr/>
        <w:tc>
          <w:tcPr>
            <w:tcW w:w="271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Personal care</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275,770</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803,238</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636,253</w:t>
            </w:r>
          </w:p>
        </w:tc>
        <w:tc>
          <w:tcPr>
            <w:tcW w:w="68" w:type="dxa"/>
            <w:tcBorders/>
            <w:shd w:fill="CCEEFF" w:val="clear"/>
            <w:vAlign w:val="center"/>
          </w:tcPr>
          <w:p>
            <w:pPr>
              <w:pStyle w:val="TableContents"/>
              <w:bidi w:val="0"/>
              <w:spacing w:before="0" w:after="283"/>
              <w:jc w:val="left"/>
              <w:rPr/>
            </w:pPr>
            <w:r>
              <w:rPr/>
              <w:t> </w:t>
            </w:r>
          </w:p>
        </w:tc>
      </w:tr>
      <w:tr>
        <w:trPr/>
        <w:tc>
          <w:tcPr>
            <w:tcW w:w="271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Hospice</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ind w:left="0" w:right="0" w:hanging="0"/>
              <w:jc w:val="left"/>
              <w:rPr/>
            </w:pPr>
            <w:r>
              <w:rPr/>
              <w:t> </w:t>
            </w:r>
          </w:p>
        </w:tc>
        <w:tc>
          <w:tcPr>
            <w:tcW w:w="1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68,891</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ind w:left="0" w:right="0" w:hanging="0"/>
              <w:jc w:val="left"/>
              <w:rPr/>
            </w:pPr>
            <w:r>
              <w:rPr/>
              <w:t> </w:t>
            </w:r>
          </w:p>
        </w:tc>
        <w:tc>
          <w:tcPr>
            <w:tcW w:w="1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5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192,540</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2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169,202</w:t>
            </w:r>
          </w:p>
        </w:tc>
        <w:tc>
          <w:tcPr>
            <w:tcW w:w="68" w:type="dxa"/>
            <w:tcBorders/>
            <w:shd w:fill="FFFFFF" w:val="clear"/>
            <w:vAlign w:val="center"/>
          </w:tcPr>
          <w:p>
            <w:pPr>
              <w:pStyle w:val="TableContents"/>
              <w:bidi w:val="0"/>
              <w:spacing w:before="0" w:after="283"/>
              <w:jc w:val="left"/>
              <w:rPr/>
            </w:pPr>
            <w:r>
              <w:rPr/>
              <w:t> </w:t>
            </w:r>
          </w:p>
        </w:tc>
      </w:tr>
      <w:tr>
        <w:trPr/>
        <w:tc>
          <w:tcPr>
            <w:tcW w:w="271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 health</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17,640</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53,674</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52,000</w:t>
            </w:r>
          </w:p>
        </w:tc>
        <w:tc>
          <w:tcPr>
            <w:tcW w:w="68" w:type="dxa"/>
            <w:tcBorders/>
            <w:shd w:fill="CCEEFF" w:val="clear"/>
            <w:vAlign w:val="center"/>
          </w:tcPr>
          <w:p>
            <w:pPr>
              <w:pStyle w:val="TableContents"/>
              <w:bidi w:val="0"/>
              <w:spacing w:before="0" w:after="283"/>
              <w:jc w:val="left"/>
              <w:rPr/>
            </w:pPr>
            <w:r>
              <w:rPr/>
              <w:t> </w:t>
            </w:r>
          </w:p>
        </w:tc>
      </w:tr>
      <w:tr>
        <w:trPr/>
        <w:tc>
          <w:tcPr>
            <w:tcW w:w="27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service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362,301</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1,049,452</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857,455</w:t>
            </w:r>
          </w:p>
        </w:tc>
        <w:tc>
          <w:tcPr>
            <w:tcW w:w="68" w:type="dxa"/>
            <w:tcBorders/>
            <w:shd w:fill="FFFFFF" w:val="clear"/>
            <w:vAlign w:val="center"/>
          </w:tcPr>
          <w:p>
            <w:pPr>
              <w:pStyle w:val="TableContents"/>
              <w:bidi w:val="0"/>
              <w:spacing w:before="0" w:after="283"/>
              <w:jc w:val="left"/>
              <w:rPr/>
            </w:pPr>
            <w:r>
              <w:rPr/>
              <w:t> </w:t>
            </w:r>
          </w:p>
        </w:tc>
      </w:tr>
      <w:tr>
        <w:trPr/>
        <w:tc>
          <w:tcPr>
            <w:tcW w:w="2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57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r>
      <w:tr>
        <w:trPr/>
        <w:tc>
          <w:tcPr>
            <w:tcW w:w="27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22,848</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2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66,128</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54,072</w:t>
            </w:r>
          </w:p>
        </w:tc>
        <w:tc>
          <w:tcPr>
            <w:tcW w:w="6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As of September 30, 2025, we provided our services in 23 states through </w:t>
      </w:r>
      <w:r>
        <w:rPr>
          <w:rFonts w:ascii="Times New Roman" w:hAnsi="Times New Roman"/>
          <w:caps w:val="false"/>
          <w:smallCaps w:val="false"/>
          <w:sz w:val="20"/>
          <w:shd w:fill="FFFFFF" w:val="clear"/>
        </w:rPr>
        <w:t>265</w:t>
      </w:r>
      <w:r>
        <w:rPr>
          <w:rFonts w:ascii="Times New Roman" w:hAnsi="Times New Roman"/>
          <w:caps w:val="false"/>
          <w:smallCaps w:val="false"/>
          <w:sz w:val="20"/>
        </w:rPr>
        <w:t xml:space="preserve"> offices. We served approximately </w:t>
      </w:r>
      <w:r>
        <w:rPr>
          <w:rFonts w:ascii="Times New Roman" w:hAnsi="Times New Roman"/>
          <w:caps w:val="false"/>
          <w:smallCaps w:val="false"/>
          <w:sz w:val="20"/>
          <w:shd w:fill="FFFFFF" w:val="clear"/>
        </w:rPr>
        <w:t>96,000</w:t>
      </w:r>
      <w:r>
        <w:rPr>
          <w:rFonts w:ascii="Times New Roman" w:hAnsi="Times New Roman"/>
          <w:caps w:val="false"/>
          <w:smallCaps w:val="false"/>
          <w:sz w:val="20"/>
        </w:rPr>
        <w:t xml:space="preserve"> and 80,000 discrete individuals, respectively, during the nine months ended September 30, 2025 and 2024. Our personal care segment also includes staffing services, with clients including assisted living facilities, nursing homes, and hospice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 or that present other strategic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On March 9, 2024, we completed our acquisition of the operations of Upstate Home Care Solutions (“Upstate”) for $0.4 million, with funding provided by available cash. With the purchase of Upstate, the Company expanded its personal care segment in South Carolina.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On December 2, 2024, we completed the acquisition of the personal care business of Curo Health Services, LLC, a Delaware limited liability company that does business as Gentiva, consisting of certain equity interests and assets and liabilities (collectively, the “Gentiva Acquisition”) for approximatel</w:t>
      </w:r>
      <w:r>
        <w:rPr>
          <w:rFonts w:ascii="Times New Roman" w:hAnsi="Times New Roman"/>
          <w:caps w:val="false"/>
          <w:smallCaps w:val="false"/>
          <w:color w:val="000000"/>
          <w:sz w:val="20"/>
        </w:rPr>
        <w:t>y $350.6 milli</w:t>
      </w:r>
      <w:r>
        <w:rPr>
          <w:rFonts w:ascii="Times New Roman" w:hAnsi="Times New Roman"/>
          <w:caps w:val="false"/>
          <w:smallCaps w:val="false"/>
          <w:sz w:val="20"/>
        </w:rPr>
        <w:t>on, with funding primarily provided by drawing on the Company’s revolving credit facility and a portion of the net proceeds of the Company’s public offering of common stock (the “Public Offering”). With the Gentiva Acquisition, the Company expanded its services within its personal care segment in Arizona, Arkansas, California, and North Carolina, and entered the market in Missouri and Texas. The home health segment also was expanded in Tennessee.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On January 1, 2025, the Company completed the Jacksonville Acquisition for approximately $0.8 million, with funding provided by available cash. With the Jacksonville Acquisition, the Company expanded its personal care segment in Florida and recorded goodwill of $0.8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On March 1, 2025, the Company completed the Great Lakes Acquisition for $2.6 million, with funding provided by available cash. With the Great Lakes Acquisition, the Company expanded its personal care segment in Michigan and recognized goodwill in its personal care segment of $2.6 million.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On August 1, 2025, the Company completed the Helping Hands Acquisition, for approximately $21.4 million, with funding through the Company’s revolving credit facility and available cash. With the purchase of Helping Hands, the Company expanded its services within its personal care segment and entered the hospice and home health markets in Pennsylvania and recognized goodwill in its personal care segment of $19.0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New York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Effective May 20, 2024, we entered into the New York Asset Sale. The Company entered into a consulting agreement with the purchaser, as the transfer of clients and caregivers and payment for assets pursuant to the New York Asset Sale is occurring over time as regulatory approvals are received, coordination of the transfer of clients and caregivers occurs, and the change of control takes place. In connection with this transaction, the Company ceased operations in New York. See Note 3 to the Notes to Unaudited Condensed Consolidated Financial Statements, </w:t>
      </w:r>
      <w:r>
        <w:rPr>
          <w:rFonts w:ascii="Times New Roman" w:hAnsi="Times New Roman"/>
          <w:i/>
          <w:caps w:val="false"/>
          <w:smallCaps w:val="false"/>
          <w:sz w:val="20"/>
        </w:rPr>
        <w:t>Divesture</w:t>
      </w:r>
      <w:r>
        <w:rPr>
          <w:rFonts w:ascii="Times New Roman" w:hAnsi="Times New Roman"/>
          <w:caps w:val="false"/>
          <w:smallCaps w:val="false"/>
          <w:sz w:val="20"/>
        </w:rPr>
        <w:t>, for additional details regarding our 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Recruiting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As the labor market continues to be tight and unemployment remains at low levels, the competition for new caregivers, including skilled healthcare staff, and support staff continues to be </w:t>
      </w:r>
      <w:r>
        <w:rPr>
          <w:rFonts w:ascii="Times New Roman" w:hAnsi="Times New Roman"/>
          <w:caps w:val="false"/>
          <w:smallCaps w:val="false"/>
          <w:color w:val="000000"/>
          <w:sz w:val="20"/>
        </w:rPr>
        <w:t>significant</w:t>
      </w:r>
      <w:r>
        <w:rPr>
          <w:rFonts w:ascii="Times New Roman" w:hAnsi="Times New Roman"/>
          <w:caps w:val="false"/>
          <w:smallCaps w:val="false"/>
          <w:sz w:val="20"/>
        </w:rPr>
        <w:t>. In addition, the United States economy continues to experience inflationary pressures. To the extent that we continue to experience a shortage of caregivers, it may hinder our ability to fully meet the continuing demand for both our non-clinical and clinical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by Payor and Significant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revenue by payor and significant states by segment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9"/>
        <w:gridCol w:w="60"/>
        <w:gridCol w:w="146"/>
        <w:gridCol w:w="820"/>
        <w:gridCol w:w="81"/>
        <w:gridCol w:w="60"/>
        <w:gridCol w:w="130"/>
        <w:gridCol w:w="721"/>
        <w:gridCol w:w="187"/>
        <w:gridCol w:w="60"/>
        <w:gridCol w:w="146"/>
        <w:gridCol w:w="820"/>
        <w:gridCol w:w="60"/>
        <w:gridCol w:w="60"/>
        <w:gridCol w:w="130"/>
        <w:gridCol w:w="721"/>
        <w:gridCol w:w="185"/>
        <w:gridCol w:w="60"/>
        <w:gridCol w:w="146"/>
        <w:gridCol w:w="820"/>
        <w:gridCol w:w="80"/>
        <w:gridCol w:w="60"/>
        <w:gridCol w:w="130"/>
        <w:gridCol w:w="721"/>
        <w:gridCol w:w="186"/>
        <w:gridCol w:w="60"/>
        <w:gridCol w:w="146"/>
        <w:gridCol w:w="820"/>
        <w:gridCol w:w="60"/>
        <w:gridCol w:w="60"/>
        <w:gridCol w:w="130"/>
        <w:gridCol w:w="721"/>
        <w:gridCol w:w="199"/>
      </w:tblGrid>
      <w:tr>
        <w:trPr/>
        <w:tc>
          <w:tcPr>
            <w:tcW w:w="1419"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Personal Care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14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 September 30,</w:t>
            </w:r>
          </w:p>
        </w:tc>
        <w:tc>
          <w:tcPr>
            <w:tcW w:w="199" w:type="dxa"/>
            <w:tcBorders/>
            <w:shd w:fill="FFFF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99" w:type="dxa"/>
            <w:tcBorders/>
            <w:shd w:fill="FFFF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99" w:type="dxa"/>
            <w:tcBorders/>
            <w:shd w:fill="FFFF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99" w:type="dxa"/>
            <w:tcBorders/>
            <w:shd w:fill="FFFF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99"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local and other governmental programs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139,383</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Managed care organizations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127,293</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1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199"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 pay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7,064</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99"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insurance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99"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99"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personal care segment 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275,770</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115,989</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Mexico</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30,029</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199"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t>—</w:t>
            </w:r>
          </w:p>
        </w:tc>
        <w:tc>
          <w:tcPr>
            <w:tcW w:w="1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99"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Texas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53,449</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pPr>
            <w:r>
              <w:rPr/>
              <w:t>—</w:t>
            </w:r>
          </w:p>
        </w:tc>
        <w:tc>
          <w:tcPr>
            <w:tcW w:w="199" w:type="dxa"/>
            <w:tcBorders/>
            <w:shd w:fill="FFFFFF" w:val="clear"/>
            <w:vAlign w:val="center"/>
          </w:tcPr>
          <w:p>
            <w:pPr>
              <w:pStyle w:val="TableContents"/>
              <w:bidi w:val="0"/>
              <w:spacing w:before="0" w:after="283"/>
              <w:jc w:val="left"/>
              <w:rPr/>
            </w:pPr>
            <w:r>
              <w:rPr/>
              <w:t> </w:t>
            </w:r>
          </w:p>
        </w:tc>
      </w:tr>
      <w:tr>
        <w:trPr/>
        <w:tc>
          <w:tcPr>
            <w:tcW w:w="14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states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76,621</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1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199" w:type="dxa"/>
            <w:tcBorders/>
            <w:shd w:fill="CCEEFF" w:val="clear"/>
            <w:vAlign w:val="center"/>
          </w:tcPr>
          <w:p>
            <w:pPr>
              <w:pStyle w:val="TableContents"/>
              <w:bidi w:val="0"/>
              <w:spacing w:before="0" w:after="283"/>
              <w:jc w:val="left"/>
              <w:rPr/>
            </w:pPr>
            <w:r>
              <w:rPr/>
              <w:t> </w:t>
            </w:r>
          </w:p>
        </w:tc>
      </w:tr>
      <w:tr>
        <w:trPr/>
        <w:tc>
          <w:tcPr>
            <w:tcW w:w="14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personal care segment 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275,770</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04"/>
        <w:gridCol w:w="60"/>
        <w:gridCol w:w="169"/>
        <w:gridCol w:w="803"/>
        <w:gridCol w:w="61"/>
        <w:gridCol w:w="61"/>
        <w:gridCol w:w="130"/>
        <w:gridCol w:w="727"/>
        <w:gridCol w:w="189"/>
        <w:gridCol w:w="61"/>
        <w:gridCol w:w="169"/>
        <w:gridCol w:w="803"/>
        <w:gridCol w:w="61"/>
        <w:gridCol w:w="61"/>
        <w:gridCol w:w="130"/>
        <w:gridCol w:w="727"/>
        <w:gridCol w:w="185"/>
        <w:gridCol w:w="60"/>
        <w:gridCol w:w="147"/>
        <w:gridCol w:w="824"/>
        <w:gridCol w:w="60"/>
        <w:gridCol w:w="60"/>
        <w:gridCol w:w="130"/>
        <w:gridCol w:w="727"/>
        <w:gridCol w:w="187"/>
        <w:gridCol w:w="60"/>
        <w:gridCol w:w="147"/>
        <w:gridCol w:w="824"/>
        <w:gridCol w:w="60"/>
        <w:gridCol w:w="60"/>
        <w:gridCol w:w="130"/>
        <w:gridCol w:w="727"/>
        <w:gridCol w:w="201"/>
      </w:tblGrid>
      <w:tr>
        <w:trPr/>
        <w:tc>
          <w:tcPr>
            <w:tcW w:w="140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Hospice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15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 September 30,</w:t>
            </w:r>
          </w:p>
        </w:tc>
        <w:tc>
          <w:tcPr>
            <w:tcW w:w="201" w:type="dxa"/>
            <w:tcBorders/>
            <w:shd w:fill="FFFF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9"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01" w:type="dxa"/>
            <w:tcBorders/>
            <w:shd w:fill="FFFF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89"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201" w:type="dxa"/>
            <w:tcBorders/>
            <w:shd w:fill="FFFF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9"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201" w:type="dxa"/>
            <w:tcBorders/>
            <w:shd w:fill="FFFF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9"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201" w:type="dxa"/>
            <w:tcBorders/>
            <w:shd w:fill="FFFFFF" w:val="clear"/>
            <w:vAlign w:val="center"/>
          </w:tcPr>
          <w:p>
            <w:pPr>
              <w:pStyle w:val="TableContents"/>
              <w:bidi w:val="0"/>
              <w:spacing w:before="0" w:after="283"/>
              <w:jc w:val="left"/>
              <w:rPr/>
            </w:pPr>
            <w:r>
              <w:rPr/>
              <w:t> </w:t>
            </w:r>
          </w:p>
        </w:tc>
      </w:tr>
      <w:tr>
        <w:trPr/>
        <w:tc>
          <w:tcPr>
            <w:tcW w:w="14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Medicare</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52,413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insurance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9"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01" w:type="dxa"/>
            <w:tcBorders/>
            <w:shd w:fill="FFFFFF" w:val="clear"/>
            <w:vAlign w:val="center"/>
          </w:tcPr>
          <w:p>
            <w:pPr>
              <w:pStyle w:val="TableContents"/>
              <w:bidi w:val="0"/>
              <w:spacing w:before="0" w:after="283"/>
              <w:jc w:val="left"/>
              <w:rPr/>
            </w:pPr>
            <w:r>
              <w:rPr/>
              <w:t> </w:t>
            </w:r>
          </w:p>
        </w:tc>
      </w:tr>
      <w:tr>
        <w:trPr/>
        <w:tc>
          <w:tcPr>
            <w:tcW w:w="14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Managed care organizations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01" w:type="dxa"/>
            <w:tcBorders/>
            <w:shd w:fill="CCEE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9"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01" w:type="dxa"/>
            <w:tcBorders/>
            <w:shd w:fill="FFFFFF" w:val="clear"/>
            <w:vAlign w:val="center"/>
          </w:tcPr>
          <w:p>
            <w:pPr>
              <w:pStyle w:val="TableContents"/>
              <w:bidi w:val="0"/>
              <w:spacing w:before="0" w:after="283"/>
              <w:jc w:val="left"/>
              <w:rPr/>
            </w:pPr>
            <w:r>
              <w:rPr/>
              <w:t> </w:t>
            </w:r>
          </w:p>
        </w:tc>
      </w:tr>
      <w:tr>
        <w:trPr/>
        <w:tc>
          <w:tcPr>
            <w:tcW w:w="14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hospice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68,891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57,309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Ohio</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21,531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2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201" w:type="dxa"/>
            <w:tcBorders/>
            <w:shd w:fill="CCEE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Mexico</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89"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201" w:type="dxa"/>
            <w:tcBorders/>
            <w:shd w:fill="FFFFFF" w:val="clear"/>
            <w:vAlign w:val="center"/>
          </w:tcPr>
          <w:p>
            <w:pPr>
              <w:pStyle w:val="TableContents"/>
              <w:bidi w:val="0"/>
              <w:spacing w:before="0" w:after="283"/>
              <w:jc w:val="left"/>
              <w:rPr/>
            </w:pPr>
            <w:r>
              <w:rPr/>
              <w:t> </w:t>
            </w:r>
          </w:p>
        </w:tc>
      </w:tr>
      <w:tr>
        <w:trPr/>
        <w:tc>
          <w:tcPr>
            <w:tcW w:w="14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states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8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201" w:type="dxa"/>
            <w:tcBorders/>
            <w:shd w:fill="CCEEFF" w:val="clear"/>
            <w:vAlign w:val="center"/>
          </w:tcPr>
          <w:p>
            <w:pPr>
              <w:pStyle w:val="TableContents"/>
              <w:bidi w:val="0"/>
              <w:spacing w:before="0" w:after="283"/>
              <w:jc w:val="left"/>
              <w:rPr/>
            </w:pPr>
            <w:r>
              <w:rPr/>
              <w:t> </w:t>
            </w:r>
          </w:p>
        </w:tc>
      </w:tr>
      <w:tr>
        <w:trPr/>
        <w:tc>
          <w:tcPr>
            <w:tcW w:w="14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hospice segment 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68,891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57,309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7"/>
        <w:gridCol w:w="60"/>
        <w:gridCol w:w="167"/>
        <w:gridCol w:w="793"/>
        <w:gridCol w:w="61"/>
        <w:gridCol w:w="61"/>
        <w:gridCol w:w="130"/>
        <w:gridCol w:w="714"/>
        <w:gridCol w:w="188"/>
        <w:gridCol w:w="61"/>
        <w:gridCol w:w="167"/>
        <w:gridCol w:w="793"/>
        <w:gridCol w:w="81"/>
        <w:gridCol w:w="61"/>
        <w:gridCol w:w="130"/>
        <w:gridCol w:w="714"/>
        <w:gridCol w:w="185"/>
        <w:gridCol w:w="60"/>
        <w:gridCol w:w="167"/>
        <w:gridCol w:w="793"/>
        <w:gridCol w:w="60"/>
        <w:gridCol w:w="60"/>
        <w:gridCol w:w="130"/>
        <w:gridCol w:w="714"/>
        <w:gridCol w:w="187"/>
        <w:gridCol w:w="60"/>
        <w:gridCol w:w="167"/>
        <w:gridCol w:w="793"/>
        <w:gridCol w:w="60"/>
        <w:gridCol w:w="60"/>
        <w:gridCol w:w="130"/>
        <w:gridCol w:w="714"/>
        <w:gridCol w:w="197"/>
      </w:tblGrid>
      <w:tr>
        <w:trPr/>
        <w:tc>
          <w:tcPr>
            <w:tcW w:w="1487"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Home Health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412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 September 30,</w:t>
            </w:r>
          </w:p>
        </w:tc>
        <w:tc>
          <w:tcPr>
            <w:tcW w:w="197" w:type="dxa"/>
            <w:tcBorders/>
            <w:shd w:fill="FFFFFF" w:val="clear"/>
            <w:vAlign w:val="center"/>
          </w:tcPr>
          <w:p>
            <w:pPr>
              <w:pStyle w:val="TableContents"/>
              <w:bidi w:val="0"/>
              <w:spacing w:before="0" w:after="283"/>
              <w:jc w:val="left"/>
              <w:rPr/>
            </w:pPr>
            <w:r>
              <w:rPr/>
              <w:t> </w:t>
            </w:r>
          </w:p>
        </w:tc>
      </w:tr>
      <w:tr>
        <w:trPr/>
        <w:tc>
          <w:tcPr>
            <w:tcW w:w="1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9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97" w:type="dxa"/>
            <w:tcBorders/>
            <w:shd w:fill="FFFFFF" w:val="clear"/>
            <w:vAlign w:val="center"/>
          </w:tcPr>
          <w:p>
            <w:pPr>
              <w:pStyle w:val="TableContents"/>
              <w:bidi w:val="0"/>
              <w:spacing w:before="0" w:after="283"/>
              <w:jc w:val="left"/>
              <w:rPr/>
            </w:pPr>
            <w:r>
              <w:rPr/>
              <w:t> </w:t>
            </w:r>
          </w:p>
        </w:tc>
      </w:tr>
      <w:tr>
        <w:trPr/>
        <w:tc>
          <w:tcPr>
            <w:tcW w:w="1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Segment</w:t>
            </w:r>
          </w:p>
        </w:tc>
        <w:tc>
          <w:tcPr>
            <w:tcW w:w="197" w:type="dxa"/>
            <w:tcBorders/>
            <w:shd w:fill="FFFFFF" w:val="clear"/>
            <w:vAlign w:val="center"/>
          </w:tcPr>
          <w:p>
            <w:pPr>
              <w:pStyle w:val="TableContents"/>
              <w:bidi w:val="0"/>
              <w:spacing w:before="0" w:after="283"/>
              <w:jc w:val="left"/>
              <w:rPr/>
            </w:pPr>
            <w:r>
              <w:rPr/>
              <w:t> </w:t>
            </w:r>
          </w:p>
        </w:tc>
      </w:tr>
      <w:tr>
        <w:trPr/>
        <w:tc>
          <w:tcPr>
            <w:tcW w:w="1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97" w:type="dxa"/>
            <w:tcBorders/>
            <w:shd w:fill="FFFFFF" w:val="clear"/>
            <w:vAlign w:val="center"/>
          </w:tcPr>
          <w:p>
            <w:pPr>
              <w:pStyle w:val="TableContents"/>
              <w:bidi w:val="0"/>
              <w:spacing w:before="0" w:after="283"/>
              <w:jc w:val="left"/>
              <w:rPr/>
            </w:pPr>
            <w:r>
              <w:rPr/>
              <w:t> </w:t>
            </w:r>
          </w:p>
        </w:tc>
      </w:tr>
      <w:tr>
        <w:trPr/>
        <w:tc>
          <w:tcPr>
            <w:tcW w:w="1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97" w:type="dxa"/>
            <w:tcBorders/>
            <w:shd w:fill="FFFFFF" w:val="clear"/>
            <w:vAlign w:val="center"/>
          </w:tcPr>
          <w:p>
            <w:pPr>
              <w:pStyle w:val="TableContents"/>
              <w:bidi w:val="0"/>
              <w:spacing w:before="0" w:after="283"/>
              <w:jc w:val="left"/>
              <w:rPr/>
            </w:pPr>
            <w:r>
              <w:rPr/>
              <w:t> </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Medicare</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Managed care organizations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197" w:type="dxa"/>
            <w:tcBorders/>
            <w:shd w:fill="FFFFFF" w:val="clear"/>
            <w:vAlign w:val="center"/>
          </w:tcPr>
          <w:p>
            <w:pPr>
              <w:pStyle w:val="TableContents"/>
              <w:bidi w:val="0"/>
              <w:spacing w:before="0" w:after="283"/>
              <w:jc w:val="left"/>
              <w:rPr/>
            </w:pPr>
            <w:r>
              <w:rPr/>
              <w:t> </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local and other governmental programs (excluding Medicare)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8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pPr>
            <w:r>
              <w:rPr/>
              <w:t>—</w:t>
            </w:r>
          </w:p>
        </w:tc>
        <w:tc>
          <w:tcPr>
            <w:tcW w:w="197" w:type="dxa"/>
            <w:tcBorders/>
            <w:shd w:fill="CCEEFF" w:val="clear"/>
            <w:vAlign w:val="center"/>
          </w:tcPr>
          <w:p>
            <w:pPr>
              <w:pStyle w:val="TableContents"/>
              <w:bidi w:val="0"/>
              <w:spacing w:before="0" w:after="283"/>
              <w:jc w:val="left"/>
              <w:rPr/>
            </w:pPr>
            <w:r>
              <w:rPr/>
              <w:t> </w:t>
            </w:r>
          </w:p>
        </w:tc>
      </w:tr>
      <w:tr>
        <w:trPr/>
        <w:tc>
          <w:tcPr>
            <w:tcW w:w="14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97" w:type="dxa"/>
            <w:tcBorders/>
            <w:shd w:fill="FFFFFF" w:val="clear"/>
            <w:vAlign w:val="center"/>
          </w:tcPr>
          <w:p>
            <w:pPr>
              <w:pStyle w:val="TableContents"/>
              <w:bidi w:val="0"/>
              <w:spacing w:before="0" w:after="283"/>
              <w:jc w:val="left"/>
              <w:rPr/>
            </w:pPr>
            <w:r>
              <w:rPr/>
              <w:t> </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home health segment 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Mexico</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8,090</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Tennessee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18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6,542</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197" w:type="dxa"/>
            <w:tcBorders/>
            <w:shd w:fill="CCEEFF" w:val="clear"/>
            <w:vAlign w:val="center"/>
          </w:tcPr>
          <w:p>
            <w:pPr>
              <w:pStyle w:val="TableContents"/>
              <w:bidi w:val="0"/>
              <w:spacing w:before="0" w:after="283"/>
              <w:jc w:val="left"/>
              <w:rPr/>
            </w:pPr>
            <w:r>
              <w:rPr/>
              <w:t> </w:t>
            </w:r>
          </w:p>
        </w:tc>
      </w:tr>
      <w:tr>
        <w:trPr/>
        <w:tc>
          <w:tcPr>
            <w:tcW w:w="14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2,413</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197" w:type="dxa"/>
            <w:tcBorders/>
            <w:shd w:fill="FFFFFF" w:val="clear"/>
            <w:vAlign w:val="center"/>
          </w:tcPr>
          <w:p>
            <w:pPr>
              <w:pStyle w:val="TableContents"/>
              <w:bidi w:val="0"/>
              <w:spacing w:before="0" w:after="283"/>
              <w:jc w:val="left"/>
              <w:rPr/>
            </w:pPr>
            <w:r>
              <w:rPr/>
              <w:t> </w:t>
            </w:r>
          </w:p>
        </w:tc>
      </w:tr>
      <w:tr>
        <w:trPr/>
        <w:tc>
          <w:tcPr>
            <w:tcW w:w="14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w:t>
            </w:r>
          </w:p>
        </w:tc>
        <w:tc>
          <w:tcPr>
            <w:tcW w:w="18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0.7</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97" w:type="dxa"/>
            <w:tcBorders/>
            <w:shd w:fill="CCEEFF" w:val="clear"/>
            <w:vAlign w:val="center"/>
          </w:tcPr>
          <w:p>
            <w:pPr>
              <w:pStyle w:val="TableContents"/>
              <w:bidi w:val="0"/>
              <w:spacing w:before="0" w:after="283"/>
              <w:jc w:val="left"/>
              <w:rPr/>
            </w:pPr>
            <w:r>
              <w:rPr/>
              <w:t> </w:t>
            </w:r>
          </w:p>
        </w:tc>
      </w:tr>
      <w:tr>
        <w:trPr/>
        <w:tc>
          <w:tcPr>
            <w:tcW w:w="14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home health segment 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personal care segment derives a significant amount of its net service revenues in Illinois, which represented 32.0%</w:t>
      </w:r>
      <w:r>
        <w:rPr>
          <w:rFonts w:ascii="Times New Roman" w:hAnsi="Times New Roman"/>
          <w:caps w:val="false"/>
          <w:smallCaps w:val="false"/>
          <w:sz w:val="20"/>
          <w:shd w:fill="FFFFFF" w:val="clear"/>
        </w:rPr>
        <w:t> </w:t>
      </w:r>
      <w:r>
        <w:rPr>
          <w:rFonts w:ascii="Times New Roman" w:hAnsi="Times New Roman"/>
          <w:caps w:val="false"/>
          <w:smallCaps w:val="false"/>
          <w:sz w:val="20"/>
        </w:rPr>
        <w:t>and 38.6% of our net service revenues for the three months ended September 30, 2025 and 2024, respectively, and accounted for 32.6% and 38.5% of our net service revenues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A significant amount of our net service revenues are derived from one payor, the Illinois Department on Aging, the largest payor program for our Illinois personal care operations, which accounted for </w:t>
      </w:r>
      <w:r>
        <w:rPr>
          <w:rFonts w:ascii="Times New Roman" w:hAnsi="Times New Roman"/>
          <w:caps w:val="false"/>
          <w:smallCaps w:val="false"/>
          <w:sz w:val="20"/>
          <w:shd w:fill="FFFFFF" w:val="clear"/>
        </w:rPr>
        <w:t>18.1%</w:t>
      </w:r>
      <w:r>
        <w:rPr>
          <w:rFonts w:ascii="Times New Roman" w:hAnsi="Times New Roman"/>
          <w:caps w:val="false"/>
          <w:smallCaps w:val="false"/>
          <w:sz w:val="20"/>
        </w:rPr>
        <w:t xml:space="preserve"> and 21.4% of our net service revenues for the three months ended September 30, 2025 and 2024, respectively, and accounted for </w:t>
      </w:r>
      <w:r>
        <w:rPr>
          <w:rFonts w:ascii="Times New Roman" w:hAnsi="Times New Roman"/>
          <w:caps w:val="false"/>
          <w:smallCaps w:val="false"/>
          <w:sz w:val="20"/>
          <w:shd w:fill="FFFFFF" w:val="clear"/>
        </w:rPr>
        <w:t>18.4%</w:t>
      </w:r>
      <w:r>
        <w:rPr>
          <w:rFonts w:ascii="Times New Roman" w:hAnsi="Times New Roman"/>
          <w:caps w:val="false"/>
          <w:smallCaps w:val="false"/>
          <w:sz w:val="20"/>
        </w:rPr>
        <w:t xml:space="preserve"> and 21.1% of our net service revenues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Illinois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Illinois Medicaid omnibus legislation passed in June 2023 included an increase in hourly rates for in-home care services to $28.07, which took effect on January 1, 2024 and required a minimum wage rate of $17.00 per hour. CMS approved an amendment to the Illinois HCBS Waiver for Persons Who are Elderly, which included the rate increase for in-home care services to $28.07, effective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Illinois fiscal year 2025 budget included an increase in hourly rates for in-home care services to $29.63, effective January 1, 2025, and required a minimum wage of $18.00 per hour for direct service workers. CMS approved an amendment to Illinois’ Persons Who are Elderly waiver program that included this rate increase, effective January 1, 2025.</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Illinois fiscal year 2026 budget includes an increase in hourly rates for in-home care services to $30.80, to take effect January 1, 2026, subject to federal approval. This rate sustains a minimum wage of $18.75 per hour for direct service workers.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City of Chicago requires the Chicago minimum wage to be adjusted annually based on increases in the Consumer Price Index (“CPI”), subject to a cap and other requirements. Effective July 1, 2025, the rate was adjusted to $16.60 based on the increase in the CPI.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business will benefit from the rate increases noted above as planned for 2025, but there is no assurance that there will be additional rate increases in Illinois for fiscal years beyond fiscal year 2025 to offset increases to minimum wage, and our financial performance will be adversely impacted for any periods in which an additional offsetting reimbursement rate increase is not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i/>
          <w:caps w:val="false"/>
          <w:smallCaps w:val="false"/>
          <w:sz w:val="20"/>
        </w:rPr>
      </w:pPr>
      <w:r>
        <w:rPr>
          <w:rFonts w:ascii="Times New Roman" w:hAnsi="Times New Roman"/>
          <w:b/>
          <w:i/>
          <w:caps w:val="false"/>
          <w:smallCaps w:val="false"/>
          <w:sz w:val="20"/>
        </w:rPr>
        <w:t>Changes in Texas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The Texas fiscal year 2026 budget includes an increase in hourly rates to $17.13 for in-home care services effective September 1, 2025.</w:t>
      </w:r>
    </w:p>
    <w:p>
      <w:pPr>
        <w:pStyle w:val="TextBody"/>
        <w:bidi w:val="0"/>
        <w:spacing w:before="0" w:after="0"/>
        <w:ind w:left="0" w:right="0" w:hanging="18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Impact of Changes in Medicare and Medicaid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Hospice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Hospice services provided to Medicare beneficiaries are paid under the Medicare Hospice Prospective Payment System, under which CMS sets a daily rate for each day a patient is enrolled in the hospice benefit. The daily rate depends on the level of care provided to a patient (routine home care, continuous home care, inpatient respite care, or general inpatient care). Daily rates are adjusted for factors such as area wage levels. CMS updates hospice payment rates each federal fiscal year. Effective October 1, 2025, CMS increased hospice payment rates by 2.6%. This reflects a 3.3% market basket increase and a negative 0.7 percentage point productivity adjustment. Hospices that do not satisfy quality reporting requirements are subject to a 4-percentage point reduction to the market basket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Overall payments made by Medicare to each hospice provider number are subject to an inpatient cap and an aggregate cap. The inpatient cap limits the number of days of inpatient care for which Medicare will pay to no more than 20% of total patient care days. Days in excess of the limitation are paid at the routine home care rate. The aggregate cap limits the total Medicare reimbursement that a hospice may receive in a cap year (typically the federal fiscal year) based on an annual per-beneficiary cap amount, which is set each federal fiscal year, and the number of Medicare patients served. The per-beneficiary cap amount was updated to $35,361.44 for federal fiscal year 2026. If a hospice’s Medicare payments exceed its inpatient or aggregate caps, it must repay Medicare the excess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Home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the discipline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CMS updates the HHPPS payment rates each calendar year. For calendar year 2025, CMS estimates that Medicare payments to home health agencies will increase by 0.5%. This is based on a home health payment update percentage of 2.7%, which reflects a 3.2% market basket update, reduced by a productivity adjustment of 0.5 percentage points, and an estimated 1.8% decrease associated with the transition to the PDGM, among other changes. Home health providers that do not comply with quality data reporting requirements are subject to a 2-percentage point reduction to their market basket update. In addition,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Under the nationwide Home Health Value-Based Purchasing (“HHVBP”) Model, home health agencies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is currently limited to home health agencies in Illinois, Ohio, Oklahoma, North Carolina, Florida, and Texas. Providers in states subject to the Review Choice Demonstration for Home Health Services may initially select either pre-claim review or post-payment review. Home health agencies that maintain high compliance levels are eligible for additional options that may be less burdensome. This program has not had a material impact on our results of operations or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CMS Final Rule: </w:t>
      </w:r>
      <w:r>
        <w:rPr>
          <w:rFonts w:ascii="Times New Roman" w:hAnsi="Times New Roman"/>
          <w:caps w:val="false"/>
          <w:smallCaps w:val="false"/>
          <w:sz w:val="20"/>
        </w:rPr>
        <w:t>“</w:t>
      </w:r>
      <w:r>
        <w:rPr>
          <w:rFonts w:ascii="Times New Roman" w:hAnsi="Times New Roman"/>
          <w:b/>
          <w:i/>
          <w:caps w:val="false"/>
          <w:smallCaps w:val="false"/>
          <w:sz w:val="20"/>
        </w:rPr>
        <w:t>Ensuring Access to Medicaid Services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May 2024, CMS finalized a rule intended to improve access to services and quality of care for Medicaid beneficiaries across fee-for-service and managed care delivery systems. The final rule includes significant provisions related to HCBS, including the “80/20” or “payment adequacy” requirement, which will require states to ensure by mid-2030 that at least 80% of all Medicaid payments a provider receives for homemaker, home health aide, and personal care services, less certain excluded costs, under specified programs are spent on total compensation (including benefits) for direct care workers furnishing these services, rather than administrative overhead or profit, subject to limited exceptions. The final rule includes several other measures intended to promote transparency and enhance quality and access to services, including a variety of reporting requirements for states. Given the long implementation period and the likelihood of further changes as a result of litigation, administration and congressional changes, further rule-making and state changes in response to the final rule, it is premature to predict the ultimate impact of the final rule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Developments in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outcome of the 2024 federal election increased regulatory uncertainty and the potential for significant policy changes. President Trump has issued executive orders that impact or may impact the healthcare industry, including an order establishing a presidential advisory commission, the Department of Government Efficiency (“DOGE”), focused on restructuring and streamlining government agencies and reducing or eliminating regulations and federal government programs and other expenditures. In March 2025, the Department of Health and Human Services (“HHS”) announced a significant restructuring in accordance with the President’s DOGE Workforce Optimization Initiative. The restructuring will reduce the HHS workforce and consolidate divisions of HHS, including integrating some functions of the Administration for Community Living, which administers programs that support older adults, into other HHS agencies. HHS also announced a change in its policy on public participation in rulemaking that may negatively affect the ability of industry participants to receive advance notice of and offer feedback on some policy changes. In addition, recent actions by the presidential administration have resulted in holds on or cancellations of congressionally authorized spending as well as interruptions in the distribution of governmental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Changes resulting from legislation and administrative actions at the federal and state levels, may impact home care and other healthcare providers. Federal and state actions may impact funding for, or the structure of, the Medicaid program, including through changes to Medicaid waiver programs, and may shape provider reimbursement rates, eligibility and coverage policies, and other aspects of state Medicaid programs. For example, the budget reconciliation legislation enacted on July 4, 2025, commonly known as the “One Big Beautiful Bill Act” (“OBBBA”), includes policy changes that are expected to reduce federal healthcare spending, including through changes to the Medicaid program, if the law is implemented as enacted. The OBBBA requires changes to Medicaid financing mechanisms such as provider taxes and state-directed payment arrangements. These changes may prohibit states from establishing new provider taxes or increasing rates of existing provider taxes, and may limit the structure and applicability of such taxes, with greater restrictions in states that have expanded Medicaid. Some of these changes, which will be phased in over time, are intended to reduce the federal matching funds received by state Medicaid programs. In addition, the OBBBA limits Medicaid eligibility and increases administrative and financial obligations for states and enrollees, although most of these reforms are focused on adults in the Medicaid expansion population. Future Medicaid reform initiatives at the federal and state levels may further reduce Medicaid expenditures and involve additional administrative changes. Reduced funding for Medicaid or other changes to Medicaid programs, including Medicaid waiver programs, could put pressure on state budgets and result in reductions to Medicaid payments, scope of coverage and enrollment. Such reductions could, in turn, affect our reimbursements for services rendered. We expect the impact of the OBBBA on home care businesses, including our business, will be less significant than the impact on other healthcare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federal deficit and other federal and state budgetary pressures affect government healthcare program expenditures, and we anticipate that these effects will continue. For example, the OBBBA is expected to decrease federal healthcare spending, particularly with respect to Medicaid, and is generally expected to increase pressures on state budgets, particularly in Medicaid expansion states. The impact on state budgets may result in state-level changes such as reductions to the scope of covered services or tax increases. In addition, the OBBBA increases the federal budget deficit in a manner that triggers a statutorily mandated sequestration under the Pay-As-You-Go Act of 2010. As a result, a Medicare spending reduction of up to 4% is required to take effect in early 2026, absent congressional action. These reductions would be in addition to the payment reductions required by the Budget Control Act of 2011 and subsequent legislation, which are currently set to continue through the first ten months of federal fiscal year 2032. It is possible that future deficit reduction legislation will impose additional spending reductions.</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federal government entered a partial shutdown effective October 1, 2025. Although Medicare and Medicaid reimbursement generally remains available through a shutdown and we are not currently experiencing delays in payment, we may be exposed to indirect effects related to government agencies operating at reduced capacity and lack of congressional action on significant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Components of our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Net Service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Cost of Service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Depreciation and Amortization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Interest expense is reported when incurred and principally consists of interest and unused credit line fees on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All of our income is from domestic sources. We incur state and local taxes in states in which we operate. The effective income tax rates were </w:t>
      </w:r>
      <w:r>
        <w:rPr>
          <w:rFonts w:ascii="Times New Roman" w:hAnsi="Times New Roman"/>
          <w:caps w:val="false"/>
          <w:smallCaps w:val="false"/>
          <w:sz w:val="20"/>
          <w:shd w:fill="FFFFFF" w:val="clear"/>
        </w:rPr>
        <w:t>24.7%</w:t>
      </w:r>
      <w:r>
        <w:rPr>
          <w:rFonts w:ascii="Times New Roman" w:hAnsi="Times New Roman"/>
          <w:caps w:val="false"/>
          <w:smallCaps w:val="false"/>
          <w:sz w:val="20"/>
        </w:rPr>
        <w:t xml:space="preserve"> and 26.1% for the three months ended September 30, 2025 and 2024, respectively. The effective income tax rates were </w:t>
      </w:r>
      <w:r>
        <w:rPr>
          <w:rFonts w:ascii="Times New Roman" w:hAnsi="Times New Roman"/>
          <w:caps w:val="false"/>
          <w:smallCaps w:val="false"/>
          <w:sz w:val="20"/>
          <w:shd w:fill="FFFFFF" w:val="clear"/>
        </w:rPr>
        <w:t>24.3%</w:t>
      </w:r>
      <w:r>
        <w:rPr>
          <w:rFonts w:ascii="Times New Roman" w:hAnsi="Times New Roman"/>
          <w:caps w:val="false"/>
          <w:smallCaps w:val="false"/>
          <w:sz w:val="20"/>
        </w:rPr>
        <w:t xml:space="preserve"> and 26.1% for the nine months ended September 30, 2025 and 2024, respectively, compared to our federal statutory rate of 21%. The difference between our federal statutory and effective income tax rates was principally due to the inclusion of state taxes, non-deductible compensation, excess tax expense or benefit and the use of federal employment tax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Results of Operations </w:t>
      </w:r>
      <w:r>
        <w:rPr>
          <w:rFonts w:ascii="Times New Roman" w:hAnsi="Times New Roman"/>
          <w:caps w:val="false"/>
          <w:smallCaps w:val="false"/>
          <w:sz w:val="20"/>
        </w:rPr>
        <w:t xml:space="preserve">— </w:t>
      </w:r>
      <w:r>
        <w:rPr>
          <w:rFonts w:ascii="Times New Roman" w:hAnsi="Times New Roman"/>
          <w:b/>
          <w:i/>
          <w:caps w:val="false"/>
          <w:smallCaps w:val="false"/>
          <w:sz w:val="20"/>
        </w:rPr>
        <w:t>Consolidated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Three Months Ended September 30, 2025 Compared to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our unaudited condensed consolidated results of operations.</w:t>
      </w:r>
    </w:p>
    <w:p>
      <w:pPr>
        <w:pStyle w:val="TextBody"/>
        <w:bidi w:val="0"/>
        <w:spacing w:before="0" w:after="0"/>
        <w:ind w:left="0" w:right="0" w:firstLine="500"/>
        <w:jc w:val="left"/>
        <w:rPr>
          <w:caps w:val="false"/>
          <w:smallCaps w:val="false"/>
        </w:rPr>
      </w:pPr>
      <w:r>
        <w:rPr>
          <w:caps w:val="false"/>
          <w:smallCaps w:val="false"/>
        </w:rPr>
        <w:t> </w:t>
      </w:r>
    </w:p>
    <w:tbl>
      <w:tblPr>
        <w:tblW w:w="9330" w:type="dxa"/>
        <w:jc w:val="left"/>
        <w:tblInd w:w="0" w:type="dxa"/>
        <w:tblLayout w:type="fixed"/>
        <w:tblCellMar>
          <w:top w:w="0" w:type="dxa"/>
          <w:left w:w="0" w:type="dxa"/>
          <w:bottom w:w="0" w:type="dxa"/>
          <w:right w:w="0" w:type="dxa"/>
        </w:tblCellMar>
      </w:tblPr>
      <w:tblGrid>
        <w:gridCol w:w="2990"/>
        <w:gridCol w:w="60"/>
        <w:gridCol w:w="141"/>
        <w:gridCol w:w="788"/>
        <w:gridCol w:w="90"/>
        <w:gridCol w:w="68"/>
        <w:gridCol w:w="107"/>
        <w:gridCol w:w="872"/>
        <w:gridCol w:w="210"/>
        <w:gridCol w:w="68"/>
        <w:gridCol w:w="141"/>
        <w:gridCol w:w="788"/>
        <w:gridCol w:w="90"/>
        <w:gridCol w:w="68"/>
        <w:gridCol w:w="107"/>
        <w:gridCol w:w="872"/>
        <w:gridCol w:w="185"/>
        <w:gridCol w:w="60"/>
        <w:gridCol w:w="125"/>
        <w:gridCol w:w="590"/>
        <w:gridCol w:w="60"/>
        <w:gridCol w:w="60"/>
        <w:gridCol w:w="60"/>
        <w:gridCol w:w="545"/>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1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0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9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362,301</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289,787</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 revenues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245,586</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197,583</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116,715</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21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92,204</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79,370</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62,805</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4,408</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1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3,446</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83,778</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66,251</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32,937</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21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25,953</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1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483.4</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30,354</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21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27,288</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7,506</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7,125</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22,848</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20,163</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Net service revenues increased by </w:t>
      </w:r>
      <w:r>
        <w:rPr>
          <w:rFonts w:ascii="Times New Roman" w:hAnsi="Times New Roman"/>
          <w:caps w:val="false"/>
          <w:smallCaps w:val="false"/>
          <w:sz w:val="20"/>
        </w:rPr>
        <w:t>25.0%</w:t>
      </w:r>
      <w:r>
        <w:rPr>
          <w:rFonts w:ascii="Times New Roman" w:hAnsi="Times New Roman"/>
          <w:caps w:val="false"/>
          <w:smallCaps w:val="false"/>
          <w:sz w:val="20"/>
          <w:shd w:fill="FFFFFF" w:val="clear"/>
        </w:rPr>
        <w:t> to </w:t>
      </w:r>
      <w:r>
        <w:rPr>
          <w:rFonts w:ascii="Times New Roman" w:hAnsi="Times New Roman"/>
          <w:caps w:val="false"/>
          <w:smallCaps w:val="false"/>
          <w:sz w:val="20"/>
        </w:rPr>
        <w:t>$362.3</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compared to </w:t>
      </w:r>
      <w:r>
        <w:rPr>
          <w:rFonts w:ascii="Times New Roman" w:hAnsi="Times New Roman"/>
          <w:caps w:val="false"/>
          <w:smallCaps w:val="false"/>
          <w:sz w:val="20"/>
        </w:rPr>
        <w:t>$289.8</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 Revenue increased by </w:t>
      </w:r>
      <w:r>
        <w:rPr>
          <w:rFonts w:ascii="Times New Roman" w:hAnsi="Times New Roman"/>
          <w:caps w:val="false"/>
          <w:smallCaps w:val="false"/>
          <w:sz w:val="20"/>
        </w:rPr>
        <w:t>$60.3</w:t>
      </w:r>
      <w:r>
        <w:rPr>
          <w:rFonts w:ascii="Times New Roman" w:hAnsi="Times New Roman"/>
          <w:caps w:val="false"/>
          <w:smallCaps w:val="false"/>
          <w:sz w:val="20"/>
          <w:shd w:fill="FFFFFF" w:val="clear"/>
        </w:rPr>
        <w:t xml:space="preserve"> million in our personal care segment, by </w:t>
      </w:r>
      <w:r>
        <w:rPr>
          <w:rFonts w:ascii="Times New Roman" w:hAnsi="Times New Roman"/>
          <w:caps w:val="false"/>
          <w:smallCaps w:val="false"/>
          <w:sz w:val="20"/>
        </w:rPr>
        <w:t>$11.6</w:t>
      </w:r>
      <w:r>
        <w:rPr>
          <w:rFonts w:ascii="Times New Roman" w:hAnsi="Times New Roman"/>
          <w:caps w:val="false"/>
          <w:smallCaps w:val="false"/>
          <w:sz w:val="20"/>
          <w:shd w:fill="FFFFFF" w:val="clear"/>
        </w:rPr>
        <w:t xml:space="preserve"> million in our hospice segment and by $0.6 million in our home health segment during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compared to the same period in </w:t>
      </w:r>
      <w:r>
        <w:rPr>
          <w:rFonts w:ascii="Times New Roman" w:hAnsi="Times New Roman"/>
          <w:caps w:val="false"/>
          <w:smallCaps w:val="false"/>
          <w:sz w:val="20"/>
        </w:rPr>
        <w:t>2024</w:t>
      </w:r>
      <w:r>
        <w:rPr>
          <w:rFonts w:ascii="Times New Roman" w:hAnsi="Times New Roman"/>
          <w:caps w:val="false"/>
          <w:smallCaps w:val="false"/>
          <w:sz w:val="20"/>
          <w:shd w:fill="FFFFFF" w:val="clear"/>
        </w:rPr>
        <w:t>. The increase in our personal care segment was primarily due to the completion of the Gentiva Acquisition on December 2, 2024 and the Helping Hands Acquisition on August 1, 2025. The increase in our hospice segment revenue was due to organic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Gross profit, expressed as a percentage of net service revenues, increased to </w:t>
      </w:r>
      <w:r>
        <w:rPr>
          <w:rFonts w:ascii="Times New Roman" w:hAnsi="Times New Roman"/>
          <w:caps w:val="false"/>
          <w:smallCaps w:val="false"/>
          <w:sz w:val="20"/>
        </w:rPr>
        <w:t>32.2%</w:t>
      </w:r>
      <w:r>
        <w:rPr>
          <w:rFonts w:ascii="Times New Roman" w:hAnsi="Times New Roman"/>
          <w:caps w:val="false"/>
          <w:smallCaps w:val="false"/>
          <w:sz w:val="20"/>
          <w:shd w:fill="FFFFFF" w:val="clear"/>
        </w:rPr>
        <w:t xml:space="preserve"> for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compared to </w:t>
      </w:r>
      <w:r>
        <w:rPr>
          <w:rFonts w:ascii="Times New Roman" w:hAnsi="Times New Roman"/>
          <w:caps w:val="false"/>
          <w:smallCaps w:val="false"/>
          <w:sz w:val="20"/>
        </w:rPr>
        <w:t>31.8%</w:t>
      </w:r>
      <w:r>
        <w:rPr>
          <w:rFonts w:ascii="Times New Roman" w:hAnsi="Times New Roman"/>
          <w:caps w:val="false"/>
          <w:smallCaps w:val="false"/>
          <w:sz w:val="20"/>
          <w:shd w:fill="FFFFFF" w:val="clear"/>
        </w:rPr>
        <w:t xml:space="preserve"> for the same period in </w:t>
      </w:r>
      <w:r>
        <w:rPr>
          <w:rFonts w:ascii="Times New Roman" w:hAnsi="Times New Roman"/>
          <w:caps w:val="false"/>
          <w:smallCaps w:val="false"/>
          <w:sz w:val="20"/>
        </w:rPr>
        <w:t>2024</w:t>
      </w:r>
      <w:r>
        <w:rPr>
          <w:rFonts w:ascii="Times New Roman" w:hAnsi="Times New Roman"/>
          <w:caps w:val="false"/>
          <w:smallCaps w:val="false"/>
          <w:sz w:val="20"/>
          <w:shd w:fill="FFFFFF" w:val="clear"/>
        </w:rPr>
        <w:t xml:space="preserve"> due to growth in our higher margin hospice segment and the New York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General and administrative expenses increased to </w:t>
      </w:r>
      <w:r>
        <w:rPr>
          <w:rFonts w:ascii="Times New Roman" w:hAnsi="Times New Roman"/>
          <w:caps w:val="false"/>
          <w:smallCaps w:val="false"/>
          <w:sz w:val="20"/>
        </w:rPr>
        <w:t>$79.4</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as compared to </w:t>
      </w:r>
      <w:r>
        <w:rPr>
          <w:rFonts w:ascii="Times New Roman" w:hAnsi="Times New Roman"/>
          <w:caps w:val="false"/>
          <w:smallCaps w:val="false"/>
          <w:sz w:val="20"/>
        </w:rPr>
        <w:t>$62.8</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 xml:space="preserve">. The increase in general and administrative expenses was primarily due to a non-recurring $1.5 million recruitment expense as well as the Gentiva and Helping Hands Acquisitions that resulted in an increase in administrative employee wage, bonus, tax, and benefit costs of $10.3 million. General and administrative expenses, expressed as a percentage of net service revenues, marginally increased to </w:t>
      </w:r>
      <w:r>
        <w:rPr>
          <w:rFonts w:ascii="Times New Roman" w:hAnsi="Times New Roman"/>
          <w:caps w:val="false"/>
          <w:smallCaps w:val="false"/>
          <w:sz w:val="20"/>
        </w:rPr>
        <w:t>21.9%</w:t>
      </w:r>
      <w:r>
        <w:rPr>
          <w:rFonts w:ascii="Times New Roman" w:hAnsi="Times New Roman"/>
          <w:caps w:val="false"/>
          <w:smallCaps w:val="false"/>
          <w:sz w:val="20"/>
          <w:shd w:fill="FFFFFF" w:val="clear"/>
        </w:rPr>
        <w:t xml:space="preserve"> for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from 21.7% for the three months ended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Interest expense increased to </w:t>
      </w:r>
      <w:r>
        <w:rPr>
          <w:rFonts w:ascii="Times New Roman" w:hAnsi="Times New Roman"/>
          <w:caps w:val="false"/>
          <w:smallCaps w:val="false"/>
          <w:sz w:val="20"/>
        </w:rPr>
        <w:t>$3.3</w:t>
      </w:r>
      <w:r>
        <w:rPr>
          <w:rFonts w:ascii="Times New Roman" w:hAnsi="Times New Roman"/>
          <w:caps w:val="false"/>
          <w:smallCaps w:val="false"/>
          <w:sz w:val="20"/>
          <w:shd w:fill="FFFFFF" w:val="clear"/>
        </w:rPr>
        <w:t> million for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from </w:t>
      </w:r>
      <w:r>
        <w:rPr>
          <w:rFonts w:ascii="Times New Roman" w:hAnsi="Times New Roman"/>
          <w:caps w:val="false"/>
          <w:smallCaps w:val="false"/>
          <w:sz w:val="20"/>
        </w:rPr>
        <w:t>$0.6</w:t>
      </w:r>
      <w:r>
        <w:rPr>
          <w:rFonts w:ascii="Times New Roman" w:hAnsi="Times New Roman"/>
          <w:caps w:val="false"/>
          <w:smallCaps w:val="false"/>
          <w:sz w:val="20"/>
          <w:shd w:fill="FFFFFF" w:val="clear"/>
        </w:rPr>
        <w:t xml:space="preserve"> million for the three months ended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 The increase in interest expense was primarily due to higher average outstanding borrowings held under our credit facility for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,compared to the three months ended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All of our income is from domestic sources. We incur state and local taxes in states in which we operate. The effective income tax rate was 24.7% and 26.1% for the three months ended </w:t>
      </w:r>
      <w:r>
        <w:rPr>
          <w:rFonts w:ascii="Times New Roman" w:hAnsi="Times New Roman"/>
          <w:caps w:val="false"/>
          <w:smallCaps w:val="false"/>
          <w:sz w:val="20"/>
        </w:rPr>
        <w:t>September 30, 2025 and 2024</w:t>
      </w:r>
      <w:r>
        <w:rPr>
          <w:rFonts w:ascii="Times New Roman" w:hAnsi="Times New Roman"/>
          <w:caps w:val="false"/>
          <w:smallCaps w:val="false"/>
          <w:sz w:val="20"/>
          <w:shd w:fill="FFFFFF" w:val="clear"/>
        </w:rPr>
        <w:t>, respectively. Our lower effective income tax rate for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was principally due to a higher excess tax benefit with a higher benefit from the use of federal employment tax credits. For the three months ended </w:t>
      </w:r>
      <w:r>
        <w:rPr>
          <w:rFonts w:ascii="Times New Roman" w:hAnsi="Times New Roman"/>
          <w:caps w:val="false"/>
          <w:smallCaps w:val="false"/>
          <w:sz w:val="20"/>
        </w:rPr>
        <w:t>September 30, 2025 and 2024</w:t>
      </w:r>
      <w:r>
        <w:rPr>
          <w:rFonts w:ascii="Times New Roman" w:hAnsi="Times New Roman"/>
          <w:caps w:val="false"/>
          <w:smallCaps w:val="false"/>
          <w:sz w:val="20"/>
          <w:shd w:fill="FFFFFF" w:val="clear"/>
        </w:rPr>
        <w:t>, the excess tax benefit and federal employment tax credits were 6.5% and 3.1%, respectively.</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Nine Months Ended September 30, 2025 Compared to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our unaudited condensed consolidated results of operations.</w:t>
      </w:r>
    </w:p>
    <w:p>
      <w:pPr>
        <w:pStyle w:val="TextBody"/>
        <w:bidi w:val="0"/>
        <w:spacing w:before="0" w:after="0"/>
        <w:ind w:left="0" w:right="0" w:firstLine="500"/>
        <w:jc w:val="left"/>
        <w:rPr>
          <w:caps w:val="false"/>
          <w:smallCaps w:val="false"/>
        </w:rPr>
      </w:pPr>
      <w:r>
        <w:rPr>
          <w:caps w:val="false"/>
          <w:smallCaps w:val="false"/>
        </w:rPr>
        <w:t> </w:t>
      </w:r>
    </w:p>
    <w:tbl>
      <w:tblPr>
        <w:tblW w:w="9347" w:type="dxa"/>
        <w:jc w:val="left"/>
        <w:tblInd w:w="0" w:type="dxa"/>
        <w:tblLayout w:type="fixed"/>
        <w:tblCellMar>
          <w:top w:w="0" w:type="dxa"/>
          <w:left w:w="0" w:type="dxa"/>
          <w:bottom w:w="0" w:type="dxa"/>
          <w:right w:w="0" w:type="dxa"/>
        </w:tblCellMar>
      </w:tblPr>
      <w:tblGrid>
        <w:gridCol w:w="2990"/>
        <w:gridCol w:w="60"/>
        <w:gridCol w:w="131"/>
        <w:gridCol w:w="887"/>
        <w:gridCol w:w="83"/>
        <w:gridCol w:w="62"/>
        <w:gridCol w:w="107"/>
        <w:gridCol w:w="872"/>
        <w:gridCol w:w="194"/>
        <w:gridCol w:w="62"/>
        <w:gridCol w:w="131"/>
        <w:gridCol w:w="729"/>
        <w:gridCol w:w="83"/>
        <w:gridCol w:w="62"/>
        <w:gridCol w:w="107"/>
        <w:gridCol w:w="872"/>
        <w:gridCol w:w="185"/>
        <w:gridCol w:w="60"/>
        <w:gridCol w:w="125"/>
        <w:gridCol w:w="695"/>
        <w:gridCol w:w="60"/>
        <w:gridCol w:w="60"/>
        <w:gridCol w:w="60"/>
        <w:gridCol w:w="485"/>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8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9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9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9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Service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9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12"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service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1,049,452</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857,455</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 revenues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711,183</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19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583,916</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338,269</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19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273,539</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229,667</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19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187,444</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9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10,316</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241,931</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19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197,760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96,338</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9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75,779</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10,886</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9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5,445</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9,041</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9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242.5</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87,297</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9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73,139</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21,169</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9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19,067</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66,128</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54,072</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Net service revenues increased by </w:t>
      </w:r>
      <w:r>
        <w:rPr>
          <w:rFonts w:ascii="Times New Roman" w:hAnsi="Times New Roman"/>
          <w:caps w:val="false"/>
          <w:smallCaps w:val="false"/>
          <w:sz w:val="20"/>
        </w:rPr>
        <w:t>22.4%</w:t>
      </w:r>
      <w:r>
        <w:rPr>
          <w:rFonts w:ascii="Times New Roman" w:hAnsi="Times New Roman"/>
          <w:caps w:val="false"/>
          <w:smallCaps w:val="false"/>
          <w:sz w:val="20"/>
          <w:shd w:fill="FFFFFF" w:val="clear"/>
        </w:rPr>
        <w:t> to </w:t>
      </w:r>
      <w:r>
        <w:rPr>
          <w:rFonts w:ascii="Times New Roman" w:hAnsi="Times New Roman"/>
          <w:caps w:val="false"/>
          <w:smallCaps w:val="false"/>
          <w:sz w:val="20"/>
        </w:rPr>
        <w:t>$1,049.5</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xml:space="preserve"> compared to </w:t>
      </w:r>
      <w:r>
        <w:rPr>
          <w:rFonts w:ascii="Times New Roman" w:hAnsi="Times New Roman"/>
          <w:caps w:val="false"/>
          <w:smallCaps w:val="false"/>
          <w:sz w:val="20"/>
        </w:rPr>
        <w:t>$857.5</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nine months ended September 30, 2024</w:t>
      </w:r>
      <w:r>
        <w:rPr>
          <w:rFonts w:ascii="Times New Roman" w:hAnsi="Times New Roman"/>
          <w:caps w:val="false"/>
          <w:smallCaps w:val="false"/>
          <w:sz w:val="20"/>
          <w:shd w:fill="FFFFFF" w:val="clear"/>
        </w:rPr>
        <w:t>. Revenue increased by </w:t>
      </w:r>
      <w:r>
        <w:rPr>
          <w:rFonts w:ascii="Times New Roman" w:hAnsi="Times New Roman"/>
          <w:caps w:val="false"/>
          <w:smallCaps w:val="false"/>
          <w:sz w:val="20"/>
        </w:rPr>
        <w:t>$167.0</w:t>
      </w:r>
      <w:r>
        <w:rPr>
          <w:rFonts w:ascii="Times New Roman" w:hAnsi="Times New Roman"/>
          <w:caps w:val="false"/>
          <w:smallCaps w:val="false"/>
          <w:sz w:val="20"/>
          <w:shd w:fill="FFFFFF" w:val="clear"/>
        </w:rPr>
        <w:t xml:space="preserve"> million in our personal care segment, by </w:t>
      </w:r>
      <w:r>
        <w:rPr>
          <w:rFonts w:ascii="Times New Roman" w:hAnsi="Times New Roman"/>
          <w:caps w:val="false"/>
          <w:smallCaps w:val="false"/>
          <w:sz w:val="20"/>
        </w:rPr>
        <w:t>$23.3</w:t>
      </w:r>
      <w:r>
        <w:rPr>
          <w:rFonts w:ascii="Times New Roman" w:hAnsi="Times New Roman"/>
          <w:caps w:val="false"/>
          <w:smallCaps w:val="false"/>
          <w:sz w:val="20"/>
          <w:shd w:fill="FFFFFF" w:val="clear"/>
        </w:rPr>
        <w:t xml:space="preserve"> million in our hospice segment and by </w:t>
      </w:r>
      <w:r>
        <w:rPr>
          <w:rFonts w:ascii="Times New Roman" w:hAnsi="Times New Roman"/>
          <w:caps w:val="false"/>
          <w:smallCaps w:val="false"/>
          <w:sz w:val="20"/>
        </w:rPr>
        <w:t>$1.7</w:t>
      </w:r>
      <w:r>
        <w:rPr>
          <w:rFonts w:ascii="Times New Roman" w:hAnsi="Times New Roman"/>
          <w:caps w:val="false"/>
          <w:smallCaps w:val="false"/>
          <w:sz w:val="20"/>
          <w:shd w:fill="FFFFFF" w:val="clear"/>
        </w:rPr>
        <w:t xml:space="preserve"> million in our home health segment during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xml:space="preserve">, compared to the same period in </w:t>
      </w:r>
      <w:r>
        <w:rPr>
          <w:rFonts w:ascii="Times New Roman" w:hAnsi="Times New Roman"/>
          <w:caps w:val="false"/>
          <w:smallCaps w:val="false"/>
          <w:sz w:val="20"/>
        </w:rPr>
        <w:t>2024</w:t>
      </w:r>
      <w:r>
        <w:rPr>
          <w:rFonts w:ascii="Times New Roman" w:hAnsi="Times New Roman"/>
          <w:caps w:val="false"/>
          <w:smallCaps w:val="false"/>
          <w:sz w:val="20"/>
          <w:shd w:fill="FFFFFF" w:val="clear"/>
        </w:rPr>
        <w:t>. The increase in our personal care and home health segments was primarily due to the completion of the Gentiva Acquisition on December 2, 2024. The increase in our hospice segment revenue was due to organic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Gross profit, expressed as a percentage of net service revenues, increased to </w:t>
      </w:r>
      <w:r>
        <w:rPr>
          <w:rFonts w:ascii="Times New Roman" w:hAnsi="Times New Roman"/>
          <w:caps w:val="false"/>
          <w:smallCaps w:val="false"/>
          <w:sz w:val="20"/>
        </w:rPr>
        <w:t>32.2%</w:t>
      </w:r>
      <w:r>
        <w:rPr>
          <w:rFonts w:ascii="Times New Roman" w:hAnsi="Times New Roman"/>
          <w:caps w:val="false"/>
          <w:smallCaps w:val="false"/>
          <w:sz w:val="20"/>
          <w:shd w:fill="FFFFFF" w:val="clear"/>
        </w:rPr>
        <w:t xml:space="preserve"> for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compared to </w:t>
      </w:r>
      <w:r>
        <w:rPr>
          <w:rFonts w:ascii="Times New Roman" w:hAnsi="Times New Roman"/>
          <w:caps w:val="false"/>
          <w:smallCaps w:val="false"/>
          <w:sz w:val="20"/>
        </w:rPr>
        <w:t>31.9%</w:t>
      </w:r>
      <w:r>
        <w:rPr>
          <w:rFonts w:ascii="Times New Roman" w:hAnsi="Times New Roman"/>
          <w:caps w:val="false"/>
          <w:smallCaps w:val="false"/>
          <w:sz w:val="20"/>
          <w:shd w:fill="FFFFFF" w:val="clear"/>
        </w:rPr>
        <w:t xml:space="preserve"> for the same period in </w:t>
      </w:r>
      <w:r>
        <w:rPr>
          <w:rFonts w:ascii="Times New Roman" w:hAnsi="Times New Roman"/>
          <w:caps w:val="false"/>
          <w:smallCaps w:val="false"/>
          <w:sz w:val="20"/>
        </w:rPr>
        <w:t>2024</w:t>
      </w:r>
      <w:r>
        <w:rPr>
          <w:rFonts w:ascii="Times New Roman" w:hAnsi="Times New Roman"/>
          <w:caps w:val="false"/>
          <w:smallCaps w:val="false"/>
          <w:sz w:val="20"/>
          <w:shd w:fill="FFFFFF" w:val="clear"/>
        </w:rPr>
        <w:t xml:space="preserve"> due to growth in our higher margin hospice segment and the New York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General and administrative expenses increased to </w:t>
      </w:r>
      <w:r>
        <w:rPr>
          <w:rFonts w:ascii="Times New Roman" w:hAnsi="Times New Roman"/>
          <w:caps w:val="false"/>
          <w:smallCaps w:val="false"/>
          <w:sz w:val="20"/>
        </w:rPr>
        <w:t>$229.7</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compared to </w:t>
      </w:r>
      <w:r>
        <w:rPr>
          <w:rFonts w:ascii="Times New Roman" w:hAnsi="Times New Roman"/>
          <w:caps w:val="false"/>
          <w:smallCaps w:val="false"/>
          <w:sz w:val="20"/>
        </w:rPr>
        <w:t>$187.4</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nine months ended September 30, 2024</w:t>
      </w:r>
      <w:r>
        <w:rPr>
          <w:rFonts w:ascii="Times New Roman" w:hAnsi="Times New Roman"/>
          <w:caps w:val="false"/>
          <w:smallCaps w:val="false"/>
          <w:sz w:val="20"/>
          <w:shd w:fill="FFFFFF" w:val="clear"/>
        </w:rPr>
        <w:t>. The increase in general and administrative expenses was primarily due to a $1.5 million non-recurring recruitment expense as well as the Gentiva and Helping Hands Acquisitions that resulted in an increase in administrative employee wage, bonus, tax, and benefit costs of $29.8 million. General and administrative expenses, expressed as a percentage of net service revenues, was consistent at </w:t>
      </w:r>
      <w:r>
        <w:rPr>
          <w:rFonts w:ascii="Times New Roman" w:hAnsi="Times New Roman"/>
          <w:caps w:val="false"/>
          <w:smallCaps w:val="false"/>
          <w:sz w:val="20"/>
        </w:rPr>
        <w:t>21.9%</w:t>
      </w:r>
      <w:r>
        <w:rPr>
          <w:rFonts w:ascii="Times New Roman" w:hAnsi="Times New Roman"/>
          <w:caps w:val="false"/>
          <w:smallCaps w:val="false"/>
          <w:sz w:val="20"/>
          <w:shd w:fill="FFFFFF" w:val="clear"/>
        </w:rPr>
        <w:t xml:space="preserve"> for both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and the </w:t>
      </w:r>
      <w:r>
        <w:rPr>
          <w:rFonts w:ascii="Times New Roman" w:hAnsi="Times New Roman"/>
          <w:caps w:val="false"/>
          <w:smallCaps w:val="false"/>
          <w:sz w:val="20"/>
        </w:rPr>
        <w:t>nine months ended September 30, 2024</w:t>
      </w:r>
      <w:r>
        <w:rPr>
          <w:rFonts w:ascii="Times New Roman" w:hAnsi="Times New Roman"/>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Interest expense increased to </w:t>
      </w:r>
      <w:r>
        <w:rPr>
          <w:rFonts w:ascii="Times New Roman" w:hAnsi="Times New Roman"/>
          <w:caps w:val="false"/>
          <w:smallCaps w:val="false"/>
          <w:sz w:val="20"/>
        </w:rPr>
        <w:t>$10.9</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xml:space="preserve"> from </w:t>
      </w:r>
      <w:r>
        <w:rPr>
          <w:rFonts w:ascii="Times New Roman" w:hAnsi="Times New Roman"/>
          <w:caps w:val="false"/>
          <w:smallCaps w:val="false"/>
          <w:sz w:val="20"/>
        </w:rPr>
        <w:t>$5.4</w:t>
      </w:r>
      <w:r>
        <w:rPr>
          <w:rFonts w:ascii="Times New Roman" w:hAnsi="Times New Roman"/>
          <w:caps w:val="false"/>
          <w:smallCaps w:val="false"/>
          <w:sz w:val="20"/>
          <w:shd w:fill="FFFFFF" w:val="clear"/>
        </w:rPr>
        <w:t xml:space="preserve"> million for the </w:t>
      </w:r>
      <w:r>
        <w:rPr>
          <w:rFonts w:ascii="Times New Roman" w:hAnsi="Times New Roman"/>
          <w:caps w:val="false"/>
          <w:smallCaps w:val="false"/>
          <w:sz w:val="20"/>
        </w:rPr>
        <w:t>nine months ended September 30, 2024</w:t>
      </w:r>
      <w:r>
        <w:rPr>
          <w:rFonts w:ascii="Times New Roman" w:hAnsi="Times New Roman"/>
          <w:caps w:val="false"/>
          <w:smallCaps w:val="false"/>
          <w:sz w:val="20"/>
          <w:shd w:fill="FFFFFF" w:val="clear"/>
        </w:rPr>
        <w:t>. The increase in interest expense was primarily due to higher average outstanding borrowings held under our credit facility for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compared to</w:t>
      </w:r>
      <w:r>
        <w:rPr>
          <w:rFonts w:ascii="Times New Roman" w:hAnsi="Times New Roman"/>
          <w:caps w:val="false"/>
          <w:smallCaps w:val="false"/>
          <w:sz w:val="20"/>
        </w:rPr>
        <w:t xml:space="preserve"> the nine months ended September 30, 2024</w:t>
      </w:r>
      <w:r>
        <w:rPr>
          <w:rFonts w:ascii="Times New Roman" w:hAnsi="Times New Roman"/>
          <w:caps w:val="false"/>
          <w:smallCaps w:val="false"/>
          <w:sz w:val="20"/>
          <w:shd w:fill="FFFFFF" w:val="clear"/>
        </w:rPr>
        <w:t>.</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All of our income is from domestic sources. We incur state and local taxes in states in which we operate. The effective income tax rate was 24.3% and 26.1% for the </w:t>
      </w:r>
      <w:r>
        <w:rPr>
          <w:rFonts w:ascii="Times New Roman" w:hAnsi="Times New Roman"/>
          <w:caps w:val="false"/>
          <w:smallCaps w:val="false"/>
          <w:sz w:val="20"/>
        </w:rPr>
        <w:t>nine months ended September 30, 2025 and 2024</w:t>
      </w:r>
      <w:r>
        <w:rPr>
          <w:rFonts w:ascii="Times New Roman" w:hAnsi="Times New Roman"/>
          <w:caps w:val="false"/>
          <w:smallCaps w:val="false"/>
          <w:sz w:val="20"/>
          <w:shd w:fill="FFFFFF" w:val="clear"/>
        </w:rPr>
        <w:t>, respectively. Our lower effective income tax rate for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xml:space="preserve">, was principally due to a higher excess tax benefit with a lower benefit from the use of federal employment tax credits. For the </w:t>
      </w:r>
      <w:r>
        <w:rPr>
          <w:rFonts w:ascii="Times New Roman" w:hAnsi="Times New Roman"/>
          <w:caps w:val="false"/>
          <w:smallCaps w:val="false"/>
          <w:sz w:val="20"/>
        </w:rPr>
        <w:t>nine months ended September 30, 2025 and 2024</w:t>
      </w:r>
      <w:r>
        <w:rPr>
          <w:rFonts w:ascii="Times New Roman" w:hAnsi="Times New Roman"/>
          <w:caps w:val="false"/>
          <w:smallCaps w:val="false"/>
          <w:sz w:val="20"/>
          <w:shd w:fill="FFFFFF" w:val="clear"/>
        </w:rPr>
        <w:t>, the excess tax benefit and federal employment tax credits were 5.4% and 3.1%,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Results of Operations </w:t>
      </w:r>
      <w:r>
        <w:rPr>
          <w:rFonts w:ascii="Times New Roman" w:hAnsi="Times New Roman"/>
          <w:caps w:val="false"/>
          <w:smallCaps w:val="false"/>
          <w:sz w:val="20"/>
        </w:rPr>
        <w:t xml:space="preserve">– </w:t>
      </w:r>
      <w:r>
        <w:rPr>
          <w:rFonts w:ascii="Times New Roman" w:hAnsi="Times New Roman"/>
          <w:b/>
          <w:i/>
          <w:caps w:val="false"/>
          <w:smallCaps w:val="false"/>
          <w:sz w:val="20"/>
        </w:rPr>
        <w:t>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tables and related analysis summarize our operating results and business metrics by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b/>
          <w:i/>
          <w:caps w:val="false"/>
          <w:smallCaps w:val="false"/>
          <w:sz w:val="20"/>
        </w:rPr>
      </w:pPr>
      <w:r>
        <w:rPr>
          <w:rFonts w:ascii="Times New Roman" w:hAnsi="Times New Roman"/>
          <w:b/>
          <w:i/>
          <w:caps w:val="false"/>
          <w:smallCaps w:val="false"/>
          <w:sz w:val="20"/>
        </w:rPr>
        <w:t>Personal Care Segment</w:t>
      </w:r>
    </w:p>
    <w:p>
      <w:pPr>
        <w:pStyle w:val="TextBody"/>
        <w:bidi w:val="0"/>
        <w:spacing w:before="0" w:after="0"/>
        <w:ind w:left="260" w:right="0" w:hanging="0"/>
        <w:jc w:val="left"/>
        <w:rPr>
          <w:caps w:val="false"/>
          <w:smallCaps w:val="false"/>
        </w:rPr>
      </w:pPr>
      <w:r>
        <w:rPr>
          <w:caps w:val="false"/>
          <w:smallCaps w:val="false"/>
        </w:rPr>
        <w:t> </w:t>
      </w:r>
    </w:p>
    <w:tbl>
      <w:tblPr>
        <w:tblW w:w="11255" w:type="dxa"/>
        <w:jc w:val="left"/>
        <w:tblInd w:w="0" w:type="dxa"/>
        <w:tblLayout w:type="fixed"/>
        <w:tblCellMar>
          <w:top w:w="0" w:type="dxa"/>
          <w:left w:w="0" w:type="dxa"/>
          <w:bottom w:w="0" w:type="dxa"/>
          <w:right w:w="0" w:type="dxa"/>
        </w:tblCellMar>
      </w:tblPr>
      <w:tblGrid>
        <w:gridCol w:w="995"/>
        <w:gridCol w:w="60"/>
        <w:gridCol w:w="110"/>
        <w:gridCol w:w="605"/>
        <w:gridCol w:w="155"/>
        <w:gridCol w:w="60"/>
        <w:gridCol w:w="103"/>
        <w:gridCol w:w="592"/>
        <w:gridCol w:w="155"/>
        <w:gridCol w:w="60"/>
        <w:gridCol w:w="110"/>
        <w:gridCol w:w="605"/>
        <w:gridCol w:w="155"/>
        <w:gridCol w:w="60"/>
        <w:gridCol w:w="103"/>
        <w:gridCol w:w="592"/>
        <w:gridCol w:w="155"/>
        <w:gridCol w:w="60"/>
        <w:gridCol w:w="110"/>
        <w:gridCol w:w="515"/>
        <w:gridCol w:w="80"/>
        <w:gridCol w:w="60"/>
        <w:gridCol w:w="60"/>
        <w:gridCol w:w="335"/>
        <w:gridCol w:w="155"/>
        <w:gridCol w:w="60"/>
        <w:gridCol w:w="110"/>
        <w:gridCol w:w="605"/>
        <w:gridCol w:w="155"/>
        <w:gridCol w:w="60"/>
        <w:gridCol w:w="103"/>
        <w:gridCol w:w="592"/>
        <w:gridCol w:w="155"/>
        <w:gridCol w:w="60"/>
        <w:gridCol w:w="110"/>
        <w:gridCol w:w="605"/>
        <w:gridCol w:w="155"/>
        <w:gridCol w:w="60"/>
        <w:gridCol w:w="103"/>
        <w:gridCol w:w="592"/>
        <w:gridCol w:w="155"/>
        <w:gridCol w:w="60"/>
        <w:gridCol w:w="110"/>
        <w:gridCol w:w="605"/>
        <w:gridCol w:w="80"/>
        <w:gridCol w:w="60"/>
        <w:gridCol w:w="60"/>
        <w:gridCol w:w="395"/>
        <w:gridCol w:w="155"/>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Three Months Ended September 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Nine Months Ended September 30,</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9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Operating Results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275,770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215,433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803,238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636,253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166,985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Cost of services revenues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200,108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156,273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580,452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461,564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75,662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59,160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222,786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174,689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24,572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72,466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45.2</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Segment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51,090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41,671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150,320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124,782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Business Metrics (Actual Numbers, Except Billable Hours in Thousands)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Locations at period end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Average billable census * (1)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50,480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37,701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50,708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37,803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Billable hours * (2)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10,855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7,776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31,615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23,098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36.9</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Average billable hours per census per month * (2)</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Billable hours per business day * (2)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164,474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117,822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162,128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117,849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37.6</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Revenues per billable hour * (2)</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Same store growth revenue % * (3)</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Average billable census is the number of unique clients receiving a billable service during the year and is the total census divided by months in operation during the period. Average billable census did not include New York operations for the three and nine months ended September 30, 2025, and included 1,133 and 1,285 for the three and nine months ended September 30, 2024, respectively (See Note 3 to the Notes to Unaudited Condensed Consolidated Financial Statements, </w:t>
            </w:r>
            <w:r>
              <w:rPr>
                <w:rFonts w:ascii="Times New Roman;Times;serif" w:hAnsi="Times New Roman;Times;serif"/>
                <w:i/>
                <w:caps w:val="false"/>
                <w:smallCaps w:val="false"/>
                <w:sz w:val="20"/>
              </w:rPr>
              <w:t>Divesture).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bonus hours, divided by billable hours.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ARPA associated revenue from this calculation.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personal care segment derives a significant amount of its net service revenues from operations in Illinois, which represented 32.0% and 38.6% of our net service revenues for the three months ended September 30, 2025 and 2024, respectively, and accounted for 32.6%</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and 38.5% of our net service revenues for the nine months ended September 30, 2025 and 2024, respectively. One payor, the Illinois Department on Aging, accounted for </w:t>
      </w:r>
      <w:r>
        <w:rPr>
          <w:rFonts w:ascii="Times New Roman" w:hAnsi="Times New Roman"/>
          <w:caps w:val="false"/>
          <w:smallCaps w:val="false"/>
          <w:sz w:val="20"/>
          <w:shd w:fill="FFFFFF" w:val="clear"/>
        </w:rPr>
        <w:t>18.1%</w:t>
      </w:r>
      <w:r>
        <w:rPr>
          <w:rFonts w:ascii="Times New Roman" w:hAnsi="Times New Roman"/>
          <w:caps w:val="false"/>
          <w:smallCaps w:val="false"/>
          <w:sz w:val="20"/>
        </w:rPr>
        <w:t xml:space="preserve"> and 21.4% of net service revenues for the three months ended September 30, 2025 and 2024, respectively, and accounted for </w:t>
      </w:r>
      <w:r>
        <w:rPr>
          <w:rFonts w:ascii="Times New Roman" w:hAnsi="Times New Roman"/>
          <w:caps w:val="false"/>
          <w:smallCaps w:val="false"/>
          <w:sz w:val="20"/>
          <w:shd w:fill="FFFFFF" w:val="clear"/>
        </w:rPr>
        <w:t>18.4%</w:t>
      </w:r>
      <w:r>
        <w:rPr>
          <w:rFonts w:ascii="Times New Roman" w:hAnsi="Times New Roman"/>
          <w:caps w:val="false"/>
          <w:smallCaps w:val="false"/>
          <w:sz w:val="20"/>
        </w:rPr>
        <w:t xml:space="preserve"> and 21.1% of net service revenues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Net service revenues from state, local, and other governmental programs accounted for 50.5% and 54.2% of net service revenues for the three months ended September 30, 2025 and 2024, respectively. Managed care organizations accounted for 46.2% and 43.3% of net service revenues for the three months ended September 30, 2025 and 2024, respectively, with commercial insurance, private pay, and other payors accounting for the remainder of net service revenues. Net service revenues from state, local, and other governmental programs accounted for 51.1% and 53.0% of net service revenues for the nine months ended September 30, 2025 and 2024, respectively. Managed care organizations accounted for 45.6%</w:t>
      </w:r>
      <w:r>
        <w:rPr>
          <w:rFonts w:ascii="Times New Roman" w:hAnsi="Times New Roman"/>
          <w:caps w:val="false"/>
          <w:smallCaps w:val="false"/>
          <w:sz w:val="20"/>
          <w:shd w:fill="FFFFFF" w:val="clear"/>
        </w:rPr>
        <w:t> </w:t>
      </w:r>
      <w:r>
        <w:rPr>
          <w:rFonts w:ascii="Times New Roman" w:hAnsi="Times New Roman"/>
          <w:caps w:val="false"/>
          <w:smallCaps w:val="false"/>
          <w:sz w:val="20"/>
        </w:rPr>
        <w:t>and 44.3% of net service revenues for the nine months ended September 30, 2025 and 2024, respectively, with commercial insurance, private pay, and other payors accounting for the remainder of net service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Net service revenues increased by 28.0% for the three months ended September 30, 2025 compared to the three months ended September 30, 2024. Net service revenues included a 8.2%</w:t>
      </w:r>
      <w:r>
        <w:rPr>
          <w:rFonts w:ascii="Times New Roman" w:hAnsi="Times New Roman"/>
          <w:caps w:val="false"/>
          <w:smallCaps w:val="false"/>
          <w:sz w:val="20"/>
          <w:shd w:fill="FFFFFF" w:val="clear"/>
        </w:rPr>
        <w:t> decrease in revenues per billable hour</w:t>
      </w:r>
      <w:r>
        <w:rPr>
          <w:rFonts w:ascii="Times New Roman" w:hAnsi="Times New Roman"/>
          <w:caps w:val="false"/>
          <w:smallCaps w:val="false"/>
          <w:sz w:val="20"/>
        </w:rPr>
        <w:t xml:space="preserve"> for the three months ended September 30, 2025, </w:t>
      </w:r>
      <w:r>
        <w:rPr>
          <w:rFonts w:ascii="Times New Roman" w:hAnsi="Times New Roman"/>
          <w:caps w:val="false"/>
          <w:smallCaps w:val="false"/>
          <w:sz w:val="20"/>
          <w:shd w:fill="FFFFFF" w:val="clear"/>
        </w:rPr>
        <w:t xml:space="preserve">due to lower reimbursement rates attributable to the Gentiva and Helping Hands Acquisitions, as well as the New York Asset Sale, </w:t>
      </w:r>
      <w:r>
        <w:rPr>
          <w:rFonts w:ascii="Times New Roman" w:hAnsi="Times New Roman"/>
          <w:caps w:val="false"/>
          <w:smallCaps w:val="false"/>
          <w:sz w:val="20"/>
        </w:rPr>
        <w:t>compared to the three months ended September 30, 2024.</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Gross profit, expressed as a percentage of net service revenues, </w:t>
      </w:r>
      <w:r>
        <w:rPr>
          <w:rFonts w:ascii="Times New Roman" w:hAnsi="Times New Roman"/>
          <w:caps w:val="false"/>
          <w:smallCaps w:val="false"/>
          <w:sz w:val="20"/>
          <w:shd w:fill="FFFFFF" w:val="clear"/>
        </w:rPr>
        <w:t xml:space="preserve">increased to </w:t>
      </w:r>
      <w:r>
        <w:rPr>
          <w:rFonts w:ascii="Times New Roman" w:hAnsi="Times New Roman"/>
          <w:caps w:val="false"/>
          <w:smallCaps w:val="false"/>
          <w:sz w:val="20"/>
        </w:rPr>
        <w:t xml:space="preserve">27.7% for the nine months ended September 30, 2025 from 27.5% for the nine months ended September 30, 2024. </w:t>
      </w:r>
      <w:r>
        <w:rPr>
          <w:rFonts w:ascii="Times New Roman" w:hAnsi="Times New Roman"/>
          <w:caps w:val="false"/>
          <w:smallCaps w:val="false"/>
          <w:sz w:val="20"/>
          <w:shd w:fill="FFFFFF" w:val="clear"/>
        </w:rPr>
        <w:t>This increase was due to decreases in direct payroll and benefits expenses as a percentage of revenue for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xml:space="preserve"> primarily related to the New York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personal care segment’s general and administrative expenses primarily consist of administrative employee wages, taxes, and benefit costs, rent, information technology, and office expenses. General and administrative expenses, expressed as a percentage of net service revenues, was 9.0% and 7.8%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Hospice Segment</w:t>
      </w:r>
    </w:p>
    <w:p>
      <w:pPr>
        <w:pStyle w:val="TextBody"/>
        <w:bidi w:val="0"/>
        <w:spacing w:before="0" w:after="0"/>
        <w:ind w:left="0" w:right="0" w:hanging="0"/>
        <w:jc w:val="left"/>
        <w:rPr>
          <w:caps w:val="false"/>
          <w:smallCaps w:val="false"/>
        </w:rPr>
      </w:pPr>
      <w:r>
        <w:rPr>
          <w:caps w:val="false"/>
          <w:smallCaps w:val="false"/>
        </w:rPr>
        <w:t> </w:t>
      </w:r>
    </w:p>
    <w:tbl>
      <w:tblPr>
        <w:tblW w:w="11420" w:type="dxa"/>
        <w:jc w:val="left"/>
        <w:tblInd w:w="0" w:type="dxa"/>
        <w:tblLayout w:type="fixed"/>
        <w:tblCellMar>
          <w:top w:w="0" w:type="dxa"/>
          <w:left w:w="0" w:type="dxa"/>
          <w:bottom w:w="0" w:type="dxa"/>
          <w:right w:w="0" w:type="dxa"/>
        </w:tblCellMar>
      </w:tblPr>
      <w:tblGrid>
        <w:gridCol w:w="995"/>
        <w:gridCol w:w="60"/>
        <w:gridCol w:w="110"/>
        <w:gridCol w:w="605"/>
        <w:gridCol w:w="155"/>
        <w:gridCol w:w="60"/>
        <w:gridCol w:w="103"/>
        <w:gridCol w:w="592"/>
        <w:gridCol w:w="155"/>
        <w:gridCol w:w="60"/>
        <w:gridCol w:w="110"/>
        <w:gridCol w:w="605"/>
        <w:gridCol w:w="155"/>
        <w:gridCol w:w="60"/>
        <w:gridCol w:w="103"/>
        <w:gridCol w:w="592"/>
        <w:gridCol w:w="155"/>
        <w:gridCol w:w="60"/>
        <w:gridCol w:w="110"/>
        <w:gridCol w:w="515"/>
        <w:gridCol w:w="80"/>
        <w:gridCol w:w="60"/>
        <w:gridCol w:w="60"/>
        <w:gridCol w:w="425"/>
        <w:gridCol w:w="155"/>
        <w:gridCol w:w="60"/>
        <w:gridCol w:w="110"/>
        <w:gridCol w:w="740"/>
        <w:gridCol w:w="155"/>
        <w:gridCol w:w="60"/>
        <w:gridCol w:w="103"/>
        <w:gridCol w:w="592"/>
        <w:gridCol w:w="155"/>
        <w:gridCol w:w="60"/>
        <w:gridCol w:w="110"/>
        <w:gridCol w:w="605"/>
        <w:gridCol w:w="155"/>
        <w:gridCol w:w="60"/>
        <w:gridCol w:w="103"/>
        <w:gridCol w:w="592"/>
        <w:gridCol w:w="155"/>
        <w:gridCol w:w="60"/>
        <w:gridCol w:w="110"/>
        <w:gridCol w:w="515"/>
        <w:gridCol w:w="80"/>
        <w:gridCol w:w="60"/>
        <w:gridCol w:w="60"/>
        <w:gridCol w:w="425"/>
        <w:gridCol w:w="155"/>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3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Three Months Ended September 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6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Nine Months Ended September 30,</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3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6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Operating Results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68,891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57,309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192,540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169,202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Cost of services revenues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30,469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99,549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89,166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34,026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26,840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92,991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80,036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44,737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Segment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18,815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12,770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48,254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39,061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Business Metrics (Actual Numbers)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Locations at period end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Admissions * (1)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Average daily census * (2)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3,889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3,720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Average discharge length of stay * (3)</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Patient days * (4)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357,221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325,160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32,061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1,012,045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947,241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64,804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Revenue per patient day * (5)</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Organic growth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 Revenue * (6)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w:t>
            </w:r>
          </w:p>
        </w:tc>
        <w:tc>
          <w:tcPr>
            <w:tcW w:w="15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 Average daily census * (6)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787.5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245"/>
        <w:gridCol w:w="594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referral process and new patients on service during the period.</w:t>
            </w:r>
          </w:p>
        </w:tc>
      </w:tr>
    </w:tbl>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245"/>
        <w:gridCol w:w="702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7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daily census is total patient days divided by the number of days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length of stay is the average number of days a patient is on service, calculated upon discharge, and is total patient days divided by total discharges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45"/>
        <w:gridCol w:w="477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4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Patient days is days of service for all patients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45"/>
        <w:gridCol w:w="780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7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per patient day is hospice revenue divided by the number of patient days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hospice segment generates revenue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Net service revenues from Medicare accounted for 93.1% and 91.5% for the three months ended September 30, 2025 and 2024, respectively, and 92.9% and 91.1% for the nine months ended September 30, 2025 and 2024, respectively. Net service revenues from managed care organizations accounted for 3.2% for both the three months ended September 30, 2025 and 2024, and 3.2% and 3.3%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Net service revenues increased by $11.6</w:t>
      </w:r>
      <w:r>
        <w:rPr>
          <w:rFonts w:ascii="Times New Roman" w:hAnsi="Times New Roman"/>
          <w:caps w:val="false"/>
          <w:smallCaps w:val="false"/>
          <w:sz w:val="20"/>
          <w:shd w:fill="FFFFFF" w:val="clear"/>
        </w:rPr>
        <w:t> million</w:t>
      </w:r>
      <w:r>
        <w:rPr>
          <w:rFonts w:ascii="Times New Roman" w:hAnsi="Times New Roman"/>
          <w:caps w:val="false"/>
          <w:smallCaps w:val="false"/>
          <w:sz w:val="20"/>
        </w:rPr>
        <w:t> and $23.3 million for the three and nine months ended September 30, 2025 compared to the three and nine months ended September 30, 2024, primarily attributed to organic growth in average daily census.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Gross profit, expressed as a percentage of net service revenues, was 49.4% and 46.8% for the three months ended September 30, 2025 and 2024, respectively, and 48.3% and 47.3% for the nine months ended September 30, 2025 and 2024, respectively. For the three and nine months ended September 30, 2025, the increase was mainly attributed to organic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hospice segment’s general and administrative expenses primarily consist of administrative employee wage, tax, and benefit costs, rent, information technology, and office expenses. General and administrative expenses, expressed as a percentage of net service revenues, was 22.1% and 24.6% for the three months ended September 30, 2025 and 2024, respectively, and 23.2% and 24.2% for the nine months ended September 30, 2025 and 2024,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Home Health Segment</w:t>
      </w:r>
    </w:p>
    <w:p>
      <w:pPr>
        <w:pStyle w:val="TextBody"/>
        <w:bidi w:val="0"/>
        <w:spacing w:before="0" w:after="0"/>
        <w:ind w:left="0" w:right="0" w:hanging="0"/>
        <w:jc w:val="left"/>
        <w:rPr>
          <w:caps w:val="false"/>
          <w:smallCaps w:val="false"/>
        </w:rPr>
      </w:pPr>
      <w:r>
        <w:rPr>
          <w:caps w:val="false"/>
          <w:smallCaps w:val="false"/>
        </w:rPr>
        <w:t> </w:t>
      </w:r>
    </w:p>
    <w:tbl>
      <w:tblPr>
        <w:tblW w:w="11510" w:type="dxa"/>
        <w:jc w:val="left"/>
        <w:tblInd w:w="0" w:type="dxa"/>
        <w:tblLayout w:type="fixed"/>
        <w:tblCellMar>
          <w:top w:w="0" w:type="dxa"/>
          <w:left w:w="0" w:type="dxa"/>
          <w:bottom w:w="0" w:type="dxa"/>
          <w:right w:w="0" w:type="dxa"/>
        </w:tblCellMar>
      </w:tblPr>
      <w:tblGrid>
        <w:gridCol w:w="1085"/>
        <w:gridCol w:w="60"/>
        <w:gridCol w:w="110"/>
        <w:gridCol w:w="515"/>
        <w:gridCol w:w="155"/>
        <w:gridCol w:w="60"/>
        <w:gridCol w:w="103"/>
        <w:gridCol w:w="592"/>
        <w:gridCol w:w="155"/>
        <w:gridCol w:w="60"/>
        <w:gridCol w:w="110"/>
        <w:gridCol w:w="605"/>
        <w:gridCol w:w="155"/>
        <w:gridCol w:w="60"/>
        <w:gridCol w:w="103"/>
        <w:gridCol w:w="592"/>
        <w:gridCol w:w="155"/>
        <w:gridCol w:w="60"/>
        <w:gridCol w:w="110"/>
        <w:gridCol w:w="575"/>
        <w:gridCol w:w="80"/>
        <w:gridCol w:w="60"/>
        <w:gridCol w:w="60"/>
        <w:gridCol w:w="395"/>
        <w:gridCol w:w="155"/>
        <w:gridCol w:w="60"/>
        <w:gridCol w:w="110"/>
        <w:gridCol w:w="605"/>
        <w:gridCol w:w="155"/>
        <w:gridCol w:w="60"/>
        <w:gridCol w:w="103"/>
        <w:gridCol w:w="592"/>
        <w:gridCol w:w="155"/>
        <w:gridCol w:w="60"/>
        <w:gridCol w:w="110"/>
        <w:gridCol w:w="605"/>
        <w:gridCol w:w="155"/>
        <w:gridCol w:w="60"/>
        <w:gridCol w:w="103"/>
        <w:gridCol w:w="592"/>
        <w:gridCol w:w="155"/>
        <w:gridCol w:w="60"/>
        <w:gridCol w:w="110"/>
        <w:gridCol w:w="620"/>
        <w:gridCol w:w="80"/>
        <w:gridCol w:w="60"/>
        <w:gridCol w:w="60"/>
        <w:gridCol w:w="515"/>
        <w:gridCol w:w="155"/>
      </w:tblGrid>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Three Months Ended September 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2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For the Nine Months Ended September 30,</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Segment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Service</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Revenues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2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(Amounts in Thousands, Except Percentages)</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Operating Results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service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17,640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17,045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53,674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Cost of services revenues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33,186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Gross profit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7,027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22,492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18,814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Segment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9,943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5,367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Business Metrics (Actual Numbers)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Locations at period end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New admissions * (1)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Recertifications * (2)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8,442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9,798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volume * (3)</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(586.0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24,055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Visits * (4)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90,639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104,730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(14,091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279,924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322,713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(42,789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Organic growth</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 Revenue * (5)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8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 Admissions * (5)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(0.3</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1200.0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45"/>
        <w:gridCol w:w="347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new patients during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45"/>
        <w:gridCol w:w="581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5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volume is total admissions and total recertifications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45"/>
        <w:gridCol w:w="44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4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number of services to patients in the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organic growth and admissions organic growth reflect the change in year-over-year revenue and admissions for the same store base. We define the same store base to include those stores open for at least 52 full weeks. These measures highlight the performance of existing stores, while excluding the impact of acquisitions, new store openings, and 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home health segment generates net service revenues by providing home health services on a short-term, intermittent or episodic basis to individuals, generally to treat an illness or injury. Net service revenues from Medicare accounted for 65.9% and 70.6%, managed care organizations accounted for 25.5% and 24.7%, and state, local, and other governmental programs accounted for 5.6% and 0.0% for the three months ended September 30, 2025 and 2024, respectively. Net service revenues from Medicare accounted for 68.4% and 69.6%, managed care organizations accounted for 23.4% and 25.6%, and state, local, and other governmental programs accounted for 5.3% and 0.0% for the nine months ended September 30, 2025 and 2024,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Net service revenues remained constant for the three months ended September 30, 2025, compared to the three months ended September 30, 2024, and increased by $1.7</w:t>
      </w:r>
      <w:r>
        <w:rPr>
          <w:rFonts w:ascii="Times New Roman" w:hAnsi="Times New Roman"/>
          <w:caps w:val="false"/>
          <w:smallCaps w:val="false"/>
          <w:sz w:val="20"/>
          <w:shd w:fill="FFFFFF" w:val="clear"/>
        </w:rPr>
        <w:t> million</w:t>
      </w:r>
      <w:r>
        <w:rPr>
          <w:rFonts w:ascii="Times New Roman" w:hAnsi="Times New Roman"/>
          <w:caps w:val="false"/>
          <w:smallCaps w:val="false"/>
          <w:sz w:val="20"/>
        </w:rPr>
        <w:t> for the nine months ended September 30, 2025, compared to the nine months ended September 30, 2024, </w:t>
      </w:r>
      <w:r>
        <w:rPr>
          <w:rFonts w:ascii="Times New Roman" w:hAnsi="Times New Roman"/>
          <w:caps w:val="false"/>
          <w:smallCaps w:val="false"/>
          <w:sz w:val="20"/>
          <w:shd w:fill="FFFFFF" w:val="clear"/>
        </w:rPr>
        <w:t>primarily due to the Gentiva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Gross profit, expressed as a percentage of net service revenues, was 39.8% and 36.4% for the three months ended September 30, 2025 and 2024, respectively, and 41.9% and 36.2% for the nine months ended September 30, 2025 and 2024, respectively. For the three and nine months ended September 30, 2025, </w:t>
      </w:r>
      <w:r>
        <w:rPr>
          <w:rFonts w:ascii="Times New Roman" w:hAnsi="Times New Roman"/>
          <w:caps w:val="false"/>
          <w:smallCaps w:val="false"/>
          <w:sz w:val="20"/>
          <w:shd w:fill="FFFFFF" w:val="clear"/>
        </w:rPr>
        <w:t xml:space="preserve">the increase was mainly attributed to a decrease in direct care wages, taxes and benefit costs as a percentage of net service revenues, compared to the </w:t>
      </w:r>
      <w:r>
        <w:rPr>
          <w:rFonts w:ascii="Times New Roman" w:hAnsi="Times New Roman"/>
          <w:caps w:val="false"/>
          <w:smallCaps w:val="false"/>
          <w:sz w:val="20"/>
        </w:rPr>
        <w:t>three and nine months ended September 30, 2024</w:t>
      </w:r>
      <w:r>
        <w:rPr>
          <w:rFonts w:ascii="Times New Roman" w:hAnsi="Times New Roman"/>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home health segment’s general and administrative expenses primarily consist of administrative employee wage, tax and benefit costs, rent, information technology, and office expenses. General and administrative expenses, expressed as a percentage of net service revenues, was 25.4% and 25.5% for the three months ended September 30, 2025 and 2024, respectively, and 23.4% and 25.9% for the nine months ended September 30, 2025 and 2024,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b/>
          <w:i/>
          <w:caps w:val="false"/>
          <w:smallCaps w:val="false"/>
          <w:sz w:val="20"/>
        </w:rPr>
      </w:pPr>
      <w:r>
        <w:rPr>
          <w:rFonts w:ascii="Times New Roman" w:hAnsi="Times New Roman"/>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Our primary sources of liquidity are cash on hand and cash from operations and borrowings under our credit facility. At September 30, 2025 and December 31, 2024, we had cash balances of $101.9 million and $98.9 million, respectively. At September 30, 2025, we had a </w:t>
      </w:r>
      <w:r>
        <w:rPr>
          <w:rFonts w:ascii="Times New Roman" w:hAnsi="Times New Roman"/>
          <w:caps w:val="false"/>
          <w:smallCaps w:val="false"/>
          <w:sz w:val="20"/>
          <w:shd w:fill="FFFFFF" w:val="clear"/>
        </w:rPr>
        <w:t>$650.0</w:t>
      </w:r>
      <w:r>
        <w:rPr>
          <w:rFonts w:ascii="Times New Roman" w:hAnsi="Times New Roman"/>
          <w:caps w:val="false"/>
          <w:smallCaps w:val="false"/>
          <w:sz w:val="20"/>
        </w:rPr>
        <w:t xml:space="preserve"> million revolving credit facility and a $150.0 million incremental loan facility, which may be for term loans or an increase to the revolving loan commitments. The maturity of this credit facility was extended to July 30,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During the nine months ended September 30, 2025, we used $3.4 million in cash to fund the Jacksonville Acquisition and the Great Lakes Acquisition, drew $11.3 million on the revolver portion of our credit facility to fund, in part, the purchase price paid in connection with the Helping Hands Acquisition, and repaid $80.0 million under our revolving credit facility. As of September 30, 2025, we had a total of $154.3 million in revolving loans, with an interest rate of </w:t>
      </w:r>
      <w:r>
        <w:rPr>
          <w:rFonts w:ascii="Times New Roman" w:hAnsi="Times New Roman"/>
          <w:caps w:val="false"/>
          <w:smallCaps w:val="false"/>
          <w:sz w:val="20"/>
          <w:shd w:fill="FFFFFF" w:val="clear"/>
        </w:rPr>
        <w:t>5.92%</w:t>
      </w:r>
      <w:r>
        <w:rPr>
          <w:rFonts w:ascii="Times New Roman" w:hAnsi="Times New Roman"/>
          <w:caps w:val="false"/>
          <w:smallCaps w:val="false"/>
          <w:sz w:val="20"/>
        </w:rPr>
        <w:t xml:space="preserve"> outstanding on our credit facility and after giving effect to the amount drawn on our credit facility, approximately </w:t>
      </w:r>
      <w:r>
        <w:rPr>
          <w:rFonts w:ascii="Times New Roman" w:hAnsi="Times New Roman"/>
          <w:caps w:val="false"/>
          <w:smallCaps w:val="false"/>
          <w:sz w:val="20"/>
          <w:shd w:fill="FFFFFF" w:val="clear"/>
        </w:rPr>
        <w:t>$7.9</w:t>
      </w:r>
      <w:r>
        <w:rPr>
          <w:rFonts w:ascii="Times New Roman" w:hAnsi="Times New Roman"/>
          <w:caps w:val="false"/>
          <w:smallCaps w:val="false"/>
          <w:sz w:val="20"/>
        </w:rPr>
        <w:t xml:space="preserve"> million of outstanding letters of credit and borrowing limits based on an advance multiple of adjusted EBITDA (as defined in the Credit Agreement), we had $650.0 million of capacity and $487.7 million available for borrowing under our credit facility. At December 31, 2024, we had a total of $223.0 million revolving credit loans, with an interest rate of 6.34%, outstanding on our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credit facility requires us to maintain a total net leverage ratio not exceeding 3.75:1.00. At September 30, 2025,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See Note 9 to the Notes to Unaudited Condensed Consolidated Financial Statements, </w:t>
      </w:r>
      <w:r>
        <w:rPr>
          <w:rFonts w:ascii="Times New Roman" w:hAnsi="Times New Roman"/>
          <w:i/>
          <w:caps w:val="false"/>
          <w:smallCaps w:val="false"/>
          <w:sz w:val="20"/>
        </w:rPr>
        <w:t>Long-Term Debt</w:t>
      </w:r>
      <w:r>
        <w:rPr>
          <w:rFonts w:ascii="Times New Roman" w:hAnsi="Times New Roman"/>
          <w:caps w:val="false"/>
          <w:smallCaps w:val="false"/>
          <w:sz w:val="20"/>
        </w:rPr>
        <w:t>, for additional details of our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Current Macroeconomic Conditions and American Rescue Plan Act of 2021 Relief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Economic conditions in the United States continue to be challenging in various respects. For example, the United States economy continues to experience inflationary pressures, elevated interest rates, challenging labor market conditions and uncertainty regarding the impact of increased tariffs and trade disruptions. Any economic downturn would pose a risk to states’ revenues, which in turn could affect our reimbursements and collections received for services rendered. Depending on the severity and length of any potential economic downturn as well as the extent of any federal support, states could face significant fiscal challenges and revise their revenue forecasts and adjust their budgets, and sales tax collections and income tax withholdings could be depressed.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20"/>
        <w:jc w:val="left"/>
        <w:rPr>
          <w:rFonts w:ascii="Times New Roman" w:hAnsi="Times New Roman"/>
          <w:i/>
          <w:caps w:val="false"/>
          <w:smallCaps w:val="false"/>
          <w:sz w:val="20"/>
        </w:rPr>
      </w:pPr>
      <w:r>
        <w:rPr>
          <w:rFonts w:ascii="Times New Roman" w:hAnsi="Times New Roman"/>
          <w:i/>
          <w:caps w:val="false"/>
          <w:smallCaps w:val="false"/>
          <w:sz w:val="20"/>
        </w:rPr>
        <w:t>ARPA Spending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To mitigate the fiscal effects of the COVID-19 public health emergency, the ARPA provided for a 10 percentage point increase in federal matching funds for Medicaid HCBS from April 1, 2021, through March 31, 2022, provided the state satisfied certain conditions. States were generally permitted to use the state funds equivalent to the additional federal funds through March 31, 2025, but CMS granted extensions to several states, permitting some state spending plans to continue until as late as mid-2026. States must use the monies attributable to this matching fund increase to supplement, not supplant, their level of state spending for the implementation of activities enhanced under the Medicaid HCBS in effect as of April 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three and nine months ended September 30, 2025, the Company did not receive additional state funding provided by the ARPA. Of the total state funding received by the Company pursuant to the ARPA through September 30, 2025, the Company utilized $2.2 million and $5.5 million during the three and nine months ended September 30, 2025, respectively, primarily for caregivers and adding support to recruiting and retention efforts, included as a reduction of cost of service revenues in the Company’s Unaudited Condensed Consolidated Statements of Income. As of September 30, 2025, the deferred portion of ARPA funding of $5.8 million is included within Government stimulus advances on the Company’s 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summarizes changes in our cash flows:</w:t>
      </w:r>
    </w:p>
    <w:p>
      <w:pPr>
        <w:pStyle w:val="TextBody"/>
        <w:bidi w:val="0"/>
        <w:spacing w:before="0" w:after="0"/>
        <w:ind w:left="0" w:right="0" w:hanging="0"/>
        <w:jc w:val="left"/>
        <w:rPr>
          <w:caps w:val="false"/>
          <w:smallCaps w:val="false"/>
        </w:rPr>
      </w:pPr>
      <w:r>
        <w:rPr>
          <w:caps w:val="false"/>
          <w:smallCaps w:val="false"/>
        </w:rPr>
        <w:t> </w:t>
      </w:r>
    </w:p>
    <w:tbl>
      <w:tblPr>
        <w:tblW w:w="7827" w:type="dxa"/>
        <w:jc w:val="left"/>
        <w:tblInd w:w="0" w:type="dxa"/>
        <w:tblLayout w:type="fixed"/>
        <w:tblCellMar>
          <w:top w:w="0" w:type="dxa"/>
          <w:left w:w="0" w:type="dxa"/>
          <w:bottom w:w="0" w:type="dxa"/>
          <w:right w:w="0" w:type="dxa"/>
        </w:tblCellMar>
      </w:tblPr>
      <w:tblGrid>
        <w:gridCol w:w="4115"/>
        <w:gridCol w:w="60"/>
        <w:gridCol w:w="257"/>
        <w:gridCol w:w="1339"/>
        <w:gridCol w:w="164"/>
        <w:gridCol w:w="123"/>
        <w:gridCol w:w="257"/>
        <w:gridCol w:w="1432"/>
        <w:gridCol w:w="80"/>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6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92,744</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106,016</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3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(22,444</w:t>
            </w:r>
          </w:p>
        </w:tc>
        <w:tc>
          <w:tcPr>
            <w:tcW w:w="1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4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3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(67,293</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4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52,169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i/>
          <w:caps w:val="false"/>
          <w:smallCaps w:val="false"/>
          <w:sz w:val="20"/>
        </w:rPr>
      </w:pPr>
      <w:r>
        <w:rPr>
          <w:rFonts w:ascii="Times New Roman" w:hAnsi="Times New Roman"/>
          <w:i/>
          <w:caps w:val="false"/>
          <w:smallCaps w:val="false"/>
          <w:sz w:val="20"/>
        </w:rPr>
        <w:t>Nine Months Ended September 30, 2025 Compared to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Cash flows from operating activities represent the inflow of cash from our payors and the outflow of cash for payroll and payroll taxes, operating expenses, interest, and taxes. Net cash provided by operating activities was $92.7 million for the nine months ended September 30, 2025, compared to net cash provided by operating activities of $106.0 million for the same period in 2024. </w:t>
      </w:r>
      <w:r>
        <w:rPr>
          <w:rFonts w:ascii="Times New Roman" w:hAnsi="Times New Roman"/>
          <w:caps w:val="false"/>
          <w:smallCaps w:val="false"/>
          <w:sz w:val="20"/>
          <w:shd w:fill="FFFFFF" w:val="clear"/>
        </w:rPr>
        <w:t>The decrease in cash provided by operations was primarily due to the timing of receipts on accounts receivable and the timing of receipt and utilization of government stimulus funds. The changes in accounts receivable were primarily related to the growth in revenue and a decrease in days sales outstanding (“DSO”) during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xml:space="preserve"> as compared to the </w:t>
      </w:r>
      <w:r>
        <w:rPr>
          <w:rFonts w:ascii="Times New Roman" w:hAnsi="Times New Roman"/>
          <w:caps w:val="false"/>
          <w:smallCaps w:val="false"/>
          <w:sz w:val="20"/>
        </w:rPr>
        <w:t>nine months ended September 30, 2024</w:t>
      </w:r>
      <w:r>
        <w:rPr>
          <w:rFonts w:ascii="Times New Roman" w:hAnsi="Times New Roman"/>
          <w:caps w:val="false"/>
          <w:smallCaps w:val="false"/>
          <w:sz w:val="20"/>
          <w:shd w:fill="FFFFFF" w:val="clear"/>
        </w:rPr>
        <w:t>. The related receivables due from the Illinois Department on Aging represented 16.6% and 21.7% of the Company’s net accounts receivable at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and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for the nine months ended September 30, 2025, primarily consisted of $24.2 million of net cash used for the Helping Hands Acquisition, the Jacksonville Acquisition and the Great Lakes Acquisition, $5.1 million of cash used for property and equipment purchases, primarily related to our ongoing investments in technology infrastructure fixed assets, offset by $3.8 million in proceeds received relating to the New York Asset Sale and $2.9 million in proceeds received relating to the Gentiva Acquisition. Net cash used in investing activities for the nine months ended September 30, 2024 primarily consisted of $0.4 million of net cash used for the Upstate acquisition and $4.4 million of cash used for property and equipment purchases, offset by $4.6 million in proceeds received relating to the New York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 for the nine months ended September 30, 2025, primarily consisted of an</w:t>
      </w:r>
      <w:r>
        <w:rPr>
          <w:rFonts w:ascii="Times New Roman" w:hAnsi="Times New Roman"/>
          <w:caps w:val="false"/>
          <w:smallCaps w:val="false"/>
          <w:sz w:val="20"/>
          <w:shd w:fill="FFFFFF" w:val="clear"/>
        </w:rPr>
        <w:t xml:space="preserve"> $80.0 </w:t>
      </w:r>
      <w:r>
        <w:rPr>
          <w:rFonts w:ascii="Times New Roman" w:hAnsi="Times New Roman"/>
          <w:caps w:val="false"/>
          <w:smallCaps w:val="false"/>
          <w:sz w:val="20"/>
        </w:rPr>
        <w:t>million payment on our revolving credit facility, offset by borrowings of $11.3 million on the revolver portion of our credit facility to fund, in part, the Helping Hands Acquisition and cash received from the exercise of stock options of</w:t>
      </w:r>
      <w:r>
        <w:rPr>
          <w:rFonts w:ascii="Times New Roman" w:hAnsi="Times New Roman"/>
          <w:caps w:val="false"/>
          <w:smallCaps w:val="false"/>
          <w:sz w:val="20"/>
          <w:shd w:fill="FFFFFF" w:val="clear"/>
        </w:rPr>
        <w:t xml:space="preserve"> $1.5 </w:t>
      </w:r>
      <w:r>
        <w:rPr>
          <w:rFonts w:ascii="Times New Roman" w:hAnsi="Times New Roman"/>
          <w:caps w:val="false"/>
          <w:smallCaps w:val="false"/>
          <w:sz w:val="20"/>
        </w:rPr>
        <w:t>million. Net cash provided by financing activities for the nine months ended September 30, 2024 primarily consisted of $126.4 million payment on our revolving credit facility, offset by $175.6 million in net proceeds received from the Public Offering, and also included cash received from the exercise of stock options of $3.0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b/>
          <w:i/>
          <w:caps w:val="false"/>
          <w:smallCaps w:val="false"/>
          <w:sz w:val="20"/>
        </w:rPr>
      </w:pPr>
      <w:r>
        <w:rPr>
          <w:rFonts w:ascii="Times New Roman" w:hAnsi="Times New Roman"/>
          <w:b/>
          <w:i/>
          <w:caps w:val="false"/>
          <w:smallCaps w:val="false"/>
          <w:sz w:val="20"/>
        </w:rPr>
        <w:t>Outstanding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Gross accounts receivable as of September 30, 2025 and December 31, 2024 were approximately </w:t>
      </w:r>
      <w:r>
        <w:rPr>
          <w:rFonts w:ascii="Times New Roman" w:hAnsi="Times New Roman"/>
          <w:caps w:val="false"/>
          <w:smallCaps w:val="false"/>
          <w:sz w:val="20"/>
          <w:shd w:fill="FFFFFF" w:val="clear"/>
        </w:rPr>
        <w:t>$136.9 million</w:t>
      </w:r>
      <w:r>
        <w:rPr>
          <w:rFonts w:ascii="Times New Roman" w:hAnsi="Times New Roman"/>
          <w:caps w:val="false"/>
          <w:smallCaps w:val="false"/>
          <w:sz w:val="20"/>
        </w:rPr>
        <w:t xml:space="preserve"> and $126.4 million, respectively. Outstanding accounts receivable, net of allowance for credit losses, </w:t>
      </w:r>
      <w:r>
        <w:rPr>
          <w:rFonts w:ascii="Times New Roman" w:hAnsi="Times New Roman"/>
          <w:caps w:val="false"/>
          <w:smallCaps w:val="false"/>
          <w:sz w:val="20"/>
          <w:shd w:fill="FFFFFF" w:val="clear"/>
        </w:rPr>
        <w:t>increased by $11.2 million</w:t>
      </w:r>
      <w:r>
        <w:rPr>
          <w:rFonts w:ascii="Times New Roman" w:hAnsi="Times New Roman"/>
          <w:caps w:val="false"/>
          <w:smallCaps w:val="false"/>
          <w:sz w:val="20"/>
        </w:rPr>
        <w:t xml:space="preserve"> as of September 30, 2025 as compared to December 31, 2024. Accounts receivable for the Illinois Department on Aging decreased approximately</w:t>
      </w:r>
      <w:r>
        <w:rPr>
          <w:rFonts w:ascii="Times New Roman" w:hAnsi="Times New Roman"/>
          <w:caps w:val="false"/>
          <w:smallCaps w:val="false"/>
          <w:sz w:val="20"/>
          <w:shd w:fill="FFFFFF" w:val="clear"/>
        </w:rPr>
        <w:t xml:space="preserve"> $3.6</w:t>
      </w:r>
      <w:r>
        <w:rPr>
          <w:rFonts w:ascii="Times New Roman" w:hAnsi="Times New Roman"/>
          <w:caps w:val="false"/>
          <w:smallCaps w:val="false"/>
          <w:sz w:val="20"/>
        </w:rPr>
        <w:t xml:space="preserve"> million during the nine months ended September 30, 2025.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We calculate our DSO by taking the trade accounts receivable outstanding, net of allowance for credit losses for doubtful accounts, divided by the net service revenues for the last quarter, multiplied by the number of days in that quarter. Our DSOs were </w:t>
      </w:r>
      <w:r>
        <w:rPr>
          <w:rFonts w:ascii="Times New Roman" w:hAnsi="Times New Roman"/>
          <w:caps w:val="false"/>
          <w:smallCaps w:val="false"/>
          <w:sz w:val="20"/>
          <w:shd w:fill="FFFFFF" w:val="clear"/>
        </w:rPr>
        <w:t xml:space="preserve">35 days </w:t>
      </w:r>
      <w:r>
        <w:rPr>
          <w:rFonts w:ascii="Times New Roman" w:hAnsi="Times New Roman"/>
          <w:caps w:val="false"/>
          <w:smallCaps w:val="false"/>
          <w:sz w:val="20"/>
        </w:rPr>
        <w:t xml:space="preserve">and 39 days at September 30, 2025 and December 31, 2024, respectively. The DSOs for our largest payor, the Illinois Department on Aging, were </w:t>
      </w:r>
      <w:r>
        <w:rPr>
          <w:rFonts w:ascii="Times New Roman" w:hAnsi="Times New Roman"/>
          <w:caps w:val="false"/>
          <w:smallCaps w:val="false"/>
          <w:sz w:val="20"/>
          <w:shd w:fill="FFFFFF" w:val="clear"/>
        </w:rPr>
        <w:t>33 days</w:t>
      </w:r>
      <w:r>
        <w:rPr>
          <w:rFonts w:ascii="Times New Roman" w:hAnsi="Times New Roman"/>
          <w:caps w:val="false"/>
          <w:smallCaps w:val="false"/>
          <w:sz w:val="20"/>
        </w:rPr>
        <w:t xml:space="preserve"> and 40 days at September 30, 2025 and December 31,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of September 30, 2025, we did not have any off-balance sheet guarantees or arrangements with unconsolidated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policies and estimates previously disclosed under the caption “Management’s Discussion and Analysis of Financial Condition and Results of Operations — Critical Accounting Policies and Estimates” set forth in Part II, Item 7 of our Annual Report on Form 10-K for the period ended December 31, 2024, filed on February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Refer to Note 2 to the Notes to Unaudited Condensed Consolidated Financial Statements for further discussion.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800" w:right="0" w:hanging="800"/>
        <w:jc w:val="left"/>
        <w:rPr>
          <w:rFonts w:ascii="Times New Roman" w:hAnsi="Times New Roman"/>
          <w:caps w:val="false"/>
          <w:smallCaps w:val="false"/>
          <w:sz w:val="20"/>
        </w:rPr>
      </w:pPr>
      <w:bookmarkStart w:id="11" w:name="quant"/>
      <w:bookmarkEnd w:id="11"/>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are exposed to market risk associated with changes in interest rates on our variable rate long-term debt. As of September 30, 2025, we had outstanding borrowings of approximately $154.3 </w:t>
      </w:r>
      <w:r>
        <w:rPr>
          <w:rFonts w:ascii="Times New Roman" w:hAnsi="Times New Roman"/>
          <w:caps w:val="false"/>
          <w:smallCaps w:val="false"/>
          <w:sz w:val="20"/>
          <w:shd w:fill="FFFFFF" w:val="clear"/>
        </w:rPr>
        <w:t>million</w:t>
      </w:r>
      <w:r>
        <w:rPr>
          <w:rFonts w:ascii="Times New Roman" w:hAnsi="Times New Roman"/>
          <w:caps w:val="false"/>
          <w:smallCaps w:val="false"/>
          <w:sz w:val="20"/>
        </w:rPr>
        <w:t xml:space="preserve"> on our credit facility, all of such borrowings were subject to variable interest rates. If the variable rates on this debt were 100 basis points higher than the rate applicable to the borrowing during the nine month period ended September 30, 2025, our net income would have decreased by </w:t>
      </w:r>
      <w:r>
        <w:rPr>
          <w:rFonts w:ascii="Times New Roman" w:hAnsi="Times New Roman"/>
          <w:caps w:val="false"/>
          <w:smallCaps w:val="false"/>
          <w:sz w:val="20"/>
          <w:shd w:fill="FFFFFF" w:val="clear"/>
        </w:rPr>
        <w:t>$1.1 million, or $0.06</w:t>
      </w:r>
      <w:r>
        <w:rPr>
          <w:rFonts w:ascii="Times New Roman" w:hAnsi="Times New Roman"/>
          <w:caps w:val="false"/>
          <w:smallCaps w:val="false"/>
          <w:sz w:val="20"/>
        </w:rPr>
        <w:t xml:space="preserve"> per diluted share. We do not currently have any derivative or hedging arrangements, or other known exposures, to changes in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caps w:val="false"/>
          <w:smallCaps w:val="false"/>
          <w:sz w:val="20"/>
        </w:rPr>
      </w:pPr>
      <w:bookmarkStart w:id="12" w:name="controls"/>
      <w:bookmarkEnd w:id="12"/>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our Chief Financial Officer, evaluated the effectiveness of our disclosure controls and procedures as of September 30, 2025.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Based on the evaluation of our disclosure controls and procedures, our Chief Executive Officer and Chief Financial Officer concluded that our disclosure controls and procedures were effective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identified in connection with the evaluation required by Rule 13a-15(d) and 15d-15(d) of the Exchange Act that occurred during the fiscal quarter ended September 30, 2025 that have materially affected, or are reasonably likely to materially affect, our internal control over financial reporting.</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3" w:name="part2"/>
      <w:bookmarkEnd w:id="13"/>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caps w:val="false"/>
          <w:smallCaps w:val="false"/>
          <w:sz w:val="20"/>
        </w:rPr>
      </w:pPr>
      <w:bookmarkStart w:id="14" w:name="legal"/>
      <w:bookmarkEnd w:id="14"/>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b/>
          <w:caps w:val="false"/>
          <w:smallCaps w:val="false"/>
          <w:sz w:val="20"/>
        </w:rPr>
      </w:pPr>
      <w:bookmarkStart w:id="15" w:name="risk"/>
      <w:bookmarkEnd w:id="15"/>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Investing in our common stock involves a high degree of risk. You should carefully consider the risk factors discussed under the caption “Risk Factors” set forth in Part I, Item 1A, of our Annual Report on Form 10-K for the year ended December 31, 2024, filed on February 25, 2025.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caps w:val="false"/>
          <w:smallCaps w:val="false"/>
          <w:sz w:val="20"/>
        </w:rPr>
      </w:pPr>
      <w:bookmarkStart w:id="16" w:name="unregistered"/>
      <w:bookmarkEnd w:id="16"/>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caps w:val="false"/>
          <w:smallCaps w:val="false"/>
          <w:sz w:val="20"/>
        </w:rPr>
      </w:pPr>
      <w:bookmarkStart w:id="17" w:name="defaults"/>
      <w:bookmarkEnd w:id="17"/>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800"/>
        <w:jc w:val="left"/>
        <w:rPr>
          <w:rFonts w:ascii="Times New Roman" w:hAnsi="Times New Roman"/>
          <w:caps w:val="false"/>
          <w:smallCaps w:val="false"/>
          <w:sz w:val="20"/>
        </w:rPr>
      </w:pPr>
      <w:bookmarkStart w:id="18" w:name="mine"/>
      <w:bookmarkEnd w:id="18"/>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800" w:right="0" w:hanging="800"/>
        <w:jc w:val="left"/>
        <w:rPr/>
      </w:pPr>
      <w:bookmarkStart w:id="19" w:name="otherinfo"/>
      <w:bookmarkEnd w:id="1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each of the following directors and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officers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 to sell common shares:</w:t>
      </w:r>
    </w:p>
    <w:p>
      <w:pPr>
        <w:pStyle w:val="TextBody"/>
        <w:bidi w:val="0"/>
        <w:spacing w:before="0" w:after="0"/>
        <w:ind w:left="16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4"/>
        <w:gridCol w:w="1806"/>
        <w:gridCol w:w="990"/>
        <w:gridCol w:w="1258"/>
        <w:gridCol w:w="1290"/>
        <w:gridCol w:w="60"/>
        <w:gridCol w:w="230"/>
        <w:gridCol w:w="1546"/>
        <w:gridCol w:w="60"/>
        <w:gridCol w:w="60"/>
        <w:gridCol w:w="554"/>
        <w:gridCol w:w="1114"/>
        <w:gridCol w:w="63"/>
      </w:tblGrid>
      <w:tr>
        <w:trPr/>
        <w:tc>
          <w:tcPr>
            <w:tcW w:w="1174" w:type="dxa"/>
            <w:tcBorders/>
            <w:vAlign w:val="center"/>
          </w:tcPr>
          <w:p>
            <w:pPr>
              <w:pStyle w:val="TableContents"/>
              <w:bidi w:val="0"/>
              <w:spacing w:before="0" w:after="283"/>
              <w:jc w:val="left"/>
              <w:rPr/>
            </w:pPr>
            <w:r>
              <w:rPr/>
              <w:t> </w:t>
            </w:r>
          </w:p>
        </w:tc>
        <w:tc>
          <w:tcPr>
            <w:tcW w:w="1806"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Vesting and Subject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Shares Being Sold</w:t>
            </w:r>
          </w:p>
        </w:tc>
        <w:tc>
          <w:tcPr>
            <w:tcW w:w="63" w:type="dxa"/>
            <w:tcBorders/>
            <w:vAlign w:val="center"/>
          </w:tcPr>
          <w:p>
            <w:pPr>
              <w:pStyle w:val="TableContents"/>
              <w:bidi w:val="0"/>
              <w:spacing w:before="0" w:after="283"/>
              <w:jc w:val="left"/>
              <w:rPr/>
            </w:pPr>
            <w:r>
              <w:rPr/>
              <w:t> </w:t>
            </w:r>
          </w:p>
        </w:tc>
      </w:tr>
      <w:tr>
        <w:trPr/>
        <w:tc>
          <w:tcPr>
            <w:tcW w:w="11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18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Adoption Date</w:t>
            </w:r>
          </w:p>
        </w:tc>
        <w:tc>
          <w:tcPr>
            <w:tcW w:w="1258" w:type="dxa"/>
            <w:tcBorders>
              <w:bottom w:val="single" w:sz="2" w:space="0" w:color="000000"/>
            </w:tcBorders>
            <w:tcMar>
              <w:bottom w:w="28" w:type="dxa"/>
            </w:tcMar>
            <w:vAlign w:val="center"/>
          </w:tcPr>
          <w:p>
            <w:pPr>
              <w:pStyle w:val="TableContents"/>
              <w:bidi w:val="0"/>
              <w:spacing w:before="0" w:after="0"/>
              <w:ind w:left="0" w:right="0" w:hanging="0"/>
              <w:jc w:val="center"/>
              <w:rPr/>
            </w:pPr>
            <w:r>
              <w:rPr>
                <w:rFonts w:ascii="Times New Roman;Times;serif" w:hAnsi="Times New Roman;Times;serif"/>
                <w:b/>
                <w:caps w:val="false"/>
                <w:smallCaps w:val="false"/>
                <w:sz w:val="20"/>
              </w:rPr>
              <w:t>Expiration Date (</w:t>
            </w:r>
            <w:r>
              <w:rPr>
                <w:rStyle w:val="Emphasis"/>
                <w:rFonts w:ascii="Times New Roman;Times;serif" w:hAnsi="Times New Roman;Times;serif"/>
                <w:b/>
                <w:caps w:val="false"/>
                <w:smallCaps w:val="false"/>
                <w:sz w:val="20"/>
              </w:rPr>
              <w:t>1</w:t>
            </w:r>
            <w:r>
              <w:rPr>
                <w:rFonts w:ascii="Times New Roman;Times;serif" w:hAnsi="Times New Roman;Times;serif"/>
                <w:b/>
                <w:caps w:val="false"/>
                <w:smallCaps w:val="false"/>
                <w:sz w:val="20"/>
              </w:rPr>
              <w:t>)</w:t>
            </w:r>
          </w:p>
        </w:tc>
        <w:tc>
          <w:tcPr>
            <w:tcW w:w="12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 Date</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Fonts w:ascii="Times New Roman;Times;serif" w:hAnsi="Times New Roman;Times;serif"/>
                <w:b/>
                <w:caps w:val="false"/>
                <w:smallCaps w:val="false"/>
                <w:sz w:val="20"/>
              </w:rPr>
              <w:t>Sell-To-Cover (</w:t>
            </w:r>
            <w:r>
              <w:rPr>
                <w:rStyle w:val="Emphasis"/>
                <w:rFonts w:ascii="Times New Roman;Times;serif" w:hAnsi="Times New Roman;Times;serif"/>
                <w:b/>
                <w:caps w:val="false"/>
                <w:smallCaps w:val="false"/>
                <w:sz w:val="20"/>
              </w:rPr>
              <w:t>2</w:t>
            </w:r>
            <w:r>
              <w:rPr>
                <w:rFonts w:ascii="Times New Roman;Times;serif" w:hAnsi="Times New Roman;Times;serif"/>
                <w:b/>
                <w:caps w:val="false"/>
                <w:smallCaps w:val="false"/>
                <w:sz w:val="20"/>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6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(Subject to Certain Conditions)</w:t>
            </w:r>
          </w:p>
        </w:tc>
        <w:tc>
          <w:tcPr>
            <w:tcW w:w="63" w:type="dxa"/>
            <w:tcBorders/>
            <w:vAlign w:val="center"/>
          </w:tcPr>
          <w:p>
            <w:pPr>
              <w:pStyle w:val="TableContents"/>
              <w:bidi w:val="0"/>
              <w:spacing w:before="0" w:after="283"/>
              <w:jc w:val="left"/>
              <w:rPr/>
            </w:pPr>
            <w:r>
              <w:rPr/>
              <w:t> </w:t>
            </w:r>
          </w:p>
        </w:tc>
      </w:tr>
      <w:tr>
        <w:trPr/>
        <w:tc>
          <w:tcPr>
            <w:tcW w:w="11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 Bradley Bickham</w:t>
            </w:r>
          </w:p>
        </w:tc>
        <w:tc>
          <w:tcPr>
            <w:tcW w:w="1806"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Operating Officer</w:t>
            </w:r>
          </w:p>
        </w:tc>
        <w:tc>
          <w:tcPr>
            <w:tcW w:w="99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5, 2025</w:t>
            </w:r>
          </w:p>
        </w:tc>
        <w:tc>
          <w:tcPr>
            <w:tcW w:w="1258"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February 24, 2026</w:t>
            </w:r>
          </w:p>
        </w:tc>
        <w:tc>
          <w:tcPr>
            <w:tcW w:w="129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August 13, 2025</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1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ind w:left="0" w:right="0" w:hanging="0"/>
              <w:jc w:val="left"/>
              <w:rPr/>
            </w:pPr>
            <w:r>
              <w:rPr/>
              <w:t> </w:t>
            </w:r>
          </w:p>
        </w:tc>
        <w:tc>
          <w:tcPr>
            <w:tcW w:w="11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Each plan would have expired on the date represented in the table or upon the earlier completion of all transactions contemplated by the arrangement.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This column indicates the total number of shares vesting in connection with equity awards,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number of shares to be sold. The actual number of shares to be sold would have been a smaller number based on whatever was required to satisfy payment of applicable withholding taxes under sell-to-cover arrangements.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160" w:right="0" w:firstLine="360"/>
        <w:jc w:val="left"/>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each of the following directors and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officers adopted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 to sell common shares:</w:t>
      </w:r>
    </w:p>
    <w:p>
      <w:pPr>
        <w:pStyle w:val="TextBody"/>
        <w:bidi w:val="0"/>
        <w:spacing w:before="0" w:after="0"/>
        <w:ind w:left="800" w:right="0" w:hanging="8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7"/>
        <w:gridCol w:w="2138"/>
        <w:gridCol w:w="1261"/>
        <w:gridCol w:w="1362"/>
        <w:gridCol w:w="60"/>
        <w:gridCol w:w="230"/>
        <w:gridCol w:w="1736"/>
        <w:gridCol w:w="60"/>
        <w:gridCol w:w="60"/>
        <w:gridCol w:w="576"/>
        <w:gridCol w:w="1342"/>
        <w:gridCol w:w="63"/>
      </w:tblGrid>
      <w:tr>
        <w:trPr/>
        <w:tc>
          <w:tcPr>
            <w:tcW w:w="1317" w:type="dxa"/>
            <w:tcBorders/>
            <w:shd w:fill="FFFFFF" w:val="clear"/>
            <w:vAlign w:val="center"/>
          </w:tcPr>
          <w:p>
            <w:pPr>
              <w:pStyle w:val="TableContents"/>
              <w:bidi w:val="0"/>
              <w:spacing w:before="0" w:after="283"/>
              <w:jc w:val="left"/>
              <w:rPr/>
            </w:pPr>
            <w:r>
              <w:rPr/>
              <w:t> </w:t>
            </w:r>
          </w:p>
        </w:tc>
        <w:tc>
          <w:tcPr>
            <w:tcW w:w="2138"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Vesting and Subject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Shares Being Sold</w:t>
            </w:r>
          </w:p>
        </w:tc>
        <w:tc>
          <w:tcPr>
            <w:tcW w:w="63" w:type="dxa"/>
            <w:tcBorders/>
            <w:shd w:fill="FFFFFF" w:val="clear"/>
            <w:vAlign w:val="center"/>
          </w:tcPr>
          <w:p>
            <w:pPr>
              <w:pStyle w:val="TableContents"/>
              <w:bidi w:val="0"/>
              <w:spacing w:before="0" w:after="283"/>
              <w:jc w:val="left"/>
              <w:rPr/>
            </w:pPr>
            <w:r>
              <w:rPr/>
              <w:t> </w:t>
            </w:r>
          </w:p>
        </w:tc>
      </w:tr>
      <w:tr>
        <w:trPr/>
        <w:tc>
          <w:tcPr>
            <w:tcW w:w="13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213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c>
          <w:tcPr>
            <w:tcW w:w="126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Adoption Date</w:t>
            </w:r>
          </w:p>
        </w:tc>
        <w:tc>
          <w:tcPr>
            <w:tcW w:w="136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Fonts w:ascii="Times New Roman;Times;serif" w:hAnsi="Times New Roman;Times;serif"/>
                <w:b/>
                <w:caps w:val="false"/>
                <w:smallCaps w:val="false"/>
                <w:sz w:val="20"/>
              </w:rPr>
              <w:t>Expiration Date (</w:t>
            </w:r>
            <w:r>
              <w:rPr>
                <w:rStyle w:val="Emphasis"/>
                <w:rFonts w:ascii="Times New Roman;Times;serif" w:hAnsi="Times New Roman;Times;serif"/>
                <w:b/>
                <w:caps w:val="false"/>
                <w:smallCaps w:val="false"/>
                <w:sz w:val="20"/>
              </w:rPr>
              <w:t>1</w:t>
            </w: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Fonts w:ascii="Times New Roman;Times;serif" w:hAnsi="Times New Roman;Times;serif"/>
                <w:b/>
                <w:caps w:val="false"/>
                <w:smallCaps w:val="false"/>
                <w:sz w:val="20"/>
              </w:rPr>
              <w:t>Sell-To-Cover (</w:t>
            </w:r>
            <w:r>
              <w:rPr>
                <w:rStyle w:val="Emphasis"/>
                <w:rFonts w:ascii="Times New Roman;Times;serif" w:hAnsi="Times New Roman;Times;serif"/>
                <w:b/>
                <w:caps w:val="false"/>
                <w:smallCaps w:val="false"/>
                <w:sz w:val="20"/>
              </w:rPr>
              <w:t>2</w:t>
            </w: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(Subject to Certain Conditions)</w:t>
            </w:r>
          </w:p>
        </w:tc>
        <w:tc>
          <w:tcPr>
            <w:tcW w:w="63" w:type="dxa"/>
            <w:tcBorders/>
            <w:shd w:fill="FFFFFF" w:val="clear"/>
            <w:vAlign w:val="center"/>
          </w:tcPr>
          <w:p>
            <w:pPr>
              <w:pStyle w:val="TableContents"/>
              <w:bidi w:val="0"/>
              <w:spacing w:before="0" w:after="283"/>
              <w:jc w:val="left"/>
              <w:rPr/>
            </w:pPr>
            <w:r>
              <w:rPr/>
              <w:t> </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 Bradley Bickham</w:t>
            </w:r>
          </w:p>
        </w:tc>
        <w:tc>
          <w:tcPr>
            <w:tcW w:w="2138"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Operating Officer</w:t>
            </w:r>
          </w:p>
        </w:tc>
        <w:tc>
          <w:tcPr>
            <w:tcW w:w="1261"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August 13, 2025</w:t>
            </w:r>
          </w:p>
        </w:tc>
        <w:tc>
          <w:tcPr>
            <w:tcW w:w="1362"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10, 2026</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1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ind w:left="0" w:right="0" w:hanging="0"/>
              <w:jc w:val="left"/>
              <w:rPr/>
            </w:pPr>
            <w:r>
              <w:rPr/>
              <w:t> </w:t>
            </w:r>
          </w:p>
        </w:tc>
        <w:tc>
          <w:tcPr>
            <w:tcW w:w="13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63" w:type="dxa"/>
            <w:tcBorders/>
            <w:shd w:fill="CCEEFF" w:val="clear"/>
            <w:vAlign w:val="center"/>
          </w:tcPr>
          <w:p>
            <w:pPr>
              <w:pStyle w:val="TableContents"/>
              <w:bidi w:val="0"/>
              <w:spacing w:before="0" w:after="283"/>
              <w:jc w:val="left"/>
              <w:rPr/>
            </w:pPr>
            <w:r>
              <w:rPr/>
              <w:t> </w:t>
            </w:r>
          </w:p>
        </w:tc>
      </w:tr>
      <w:tr>
        <w:trPr/>
        <w:tc>
          <w:tcPr>
            <w:tcW w:w="131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 Bradley Bickham</w:t>
            </w:r>
          </w:p>
        </w:tc>
        <w:tc>
          <w:tcPr>
            <w:tcW w:w="2138"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and Chief Operating Officer</w:t>
            </w:r>
          </w:p>
        </w:tc>
        <w:tc>
          <w:tcPr>
            <w:tcW w:w="1261"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September 5, 2025</w:t>
            </w:r>
          </w:p>
        </w:tc>
        <w:tc>
          <w:tcPr>
            <w:tcW w:w="1362"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March 26, 2026</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Each plan will expire on the date represented in the table or upon the earlier completion of all transactions contemplated by the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This column indicates the total number of shares vesting in connection with equity awards,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number of shares to be sold. The actual number of shares to be sold will be a smaller number based on whatever is required to satisfy payment of applicable withholding taxes under sell-to-cover arrangements.</w:t>
      </w:r>
    </w:p>
    <w:p>
      <w:pPr>
        <w:pStyle w:val="TextBody"/>
        <w:bidi w:val="0"/>
        <w:spacing w:before="0" w:after="0"/>
        <w:ind w:left="800" w:right="0" w:hanging="8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20" w:name="exhibits"/>
      <w:bookmarkEnd w:id="20"/>
      <w:r>
        <w:rPr>
          <w:rFonts w:ascii="Times New Roman;Times;serif" w:hAnsi="Times New Roman;Times;serif"/>
          <w:b/>
          <w:sz w:val="20"/>
        </w:rPr>
        <w:t>Item 6.</w:t>
      </w:r>
      <w:r>
        <w:rPr>
          <w:rFonts w:ascii="Times New Roman;Times;serif" w:hAnsi="Times New Roman;Times;serif"/>
          <w:sz w:val="20"/>
        </w:rPr>
        <w:t>         </w:t>
      </w:r>
      <w:r>
        <w:rPr>
          <w:rFonts w:ascii="Times New Roman;Times;serif" w:hAnsi="Times New Roman;Times;serif"/>
          <w:b/>
          <w:sz w:val="20"/>
        </w:rPr>
        <w:t xml:space="preserve">Exhibits </w:t>
      </w:r>
    </w:p>
    <w:p>
      <w:pPr>
        <w:pStyle w:val="TextBody"/>
        <w:bidi w:val="0"/>
        <w:spacing w:before="0" w:after="0"/>
        <w:ind w:left="800" w:right="0" w:hanging="80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
        <w:gridCol w:w="120"/>
        <w:gridCol w:w="6366"/>
        <w:gridCol w:w="60"/>
        <w:gridCol w:w="500"/>
        <w:gridCol w:w="60"/>
        <w:gridCol w:w="798"/>
        <w:gridCol w:w="60"/>
        <w:gridCol w:w="738"/>
        <w:gridCol w:w="60"/>
        <w:gridCol w:w="712"/>
      </w:tblGrid>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120" w:type="dxa"/>
            <w:tcBorders>
              <w:bottom w:val="single" w:sz="2" w:space="0" w:color="000000"/>
            </w:tcBorders>
            <w:tcMar>
              <w:bottom w:w="28" w:type="dxa"/>
            </w:tcMar>
            <w:vAlign w:val="center"/>
          </w:tcPr>
          <w:p>
            <w:pPr>
              <w:pStyle w:val="TableContents"/>
              <w:bidi w:val="0"/>
              <w:spacing w:before="0" w:after="283"/>
              <w:jc w:val="left"/>
              <w:rPr/>
            </w:pPr>
            <w:r>
              <w:rPr/>
              <w:t> </w:t>
            </w:r>
          </w:p>
        </w:tc>
        <w:tc>
          <w:tcPr>
            <w:tcW w:w="6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No.</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Filing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pPr>
            <w:hyperlink r:id="rId2">
              <w:r>
                <w:rPr>
                  <w:rStyle w:val="InternetLink"/>
                  <w:rFonts w:ascii="Times New Roman" w:hAnsi="Times New Roman"/>
                  <w:caps w:val="false"/>
                  <w:smallCaps w:val="false"/>
                  <w:sz w:val="20"/>
                  <w:u w:val="single"/>
                </w:rPr>
                <w:t>3.1</w:t>
              </w:r>
            </w:hyperlink>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Amended and Restated Certificate of Incorporation of the Company dated as of October 27, 2009.</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11/20/2009</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pPr>
            <w:hyperlink r:id="rId4">
              <w:r>
                <w:rPr>
                  <w:rStyle w:val="InternetLink"/>
                  <w:rFonts w:ascii="Times New Roman" w:hAnsi="Times New Roman"/>
                  <w:caps w:val="false"/>
                  <w:smallCaps w:val="false"/>
                  <w:sz w:val="20"/>
                  <w:u w:val="single"/>
                </w:rPr>
                <w:t>3.2</w:t>
              </w:r>
            </w:hyperlink>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Amended and Restated Bylaws of the Company, as amended by the First Amendment to the Amended and Restated Bylaws.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05/09/2013</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pPr>
            <w:hyperlink r:id="rId6">
              <w:r>
                <w:rPr>
                  <w:rStyle w:val="InternetLink"/>
                  <w:rFonts w:ascii="Times New Roman" w:hAnsi="Times New Roman"/>
                  <w:caps w:val="false"/>
                  <w:smallCaps w:val="false"/>
                  <w:sz w:val="20"/>
                  <w:u w:val="single"/>
                </w:rPr>
                <w:t>4.1</w:t>
              </w:r>
            </w:hyperlink>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Form of Common Stock Certificate.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333-160634</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10/02/2009</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center"/>
              <w:rPr/>
            </w:pPr>
            <w:hyperlink r:id="rId8">
              <w:r>
                <w:rPr>
                  <w:rStyle w:val="InternetLink"/>
                </w:rPr>
                <w:t>10.1</w:t>
              </w:r>
            </w:hyperlink>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hyperlink r:id="rId9">
              <w:r>
                <w:rPr>
                  <w:rStyle w:val="InternetLink"/>
                </w:rPr>
                <w:t>Employment and Non-Competition Agreement, dated August 4, 2025, by and between Addus Healthcare, Inc. and Heather Dixon.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center"/>
              <w:rPr/>
            </w:pPr>
            <w:r>
              <w:rPr/>
              <w:t>001-34504</w:t>
            </w:r>
          </w:p>
        </w:tc>
        <w:tc>
          <w:tcPr>
            <w:tcW w:w="60"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08/07/2025</w:t>
            </w:r>
          </w:p>
        </w:tc>
        <w:tc>
          <w:tcPr>
            <w:tcW w:w="60" w:type="dxa"/>
            <w:tcBorders/>
            <w:vAlign w:val="center"/>
          </w:tcPr>
          <w:p>
            <w:pPr>
              <w:pStyle w:val="TableContents"/>
              <w:bidi w:val="0"/>
              <w:spacing w:before="0" w:after="283"/>
              <w:jc w:val="center"/>
              <w:rPr/>
            </w:pPr>
            <w:r>
              <w:rPr/>
              <w:t> </w:t>
            </w:r>
          </w:p>
        </w:tc>
        <w:tc>
          <w:tcPr>
            <w:tcW w:w="712" w:type="dxa"/>
            <w:tcBorders/>
            <w:vAlign w:val="center"/>
          </w:tcPr>
          <w:p>
            <w:pPr>
              <w:pStyle w:val="TableContents"/>
              <w:bidi w:val="0"/>
              <w:spacing w:before="0" w:after="283"/>
              <w:jc w:val="center"/>
              <w:rPr/>
            </w:pPr>
            <w:r>
              <w:rPr/>
              <w:t>10.1</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pPr>
            <w:hyperlink r:id="rId10">
              <w:r>
                <w:rPr>
                  <w:rStyle w:val="InternetLink"/>
                  <w:rFonts w:ascii="Times New Roman" w:hAnsi="Times New Roman"/>
                  <w:sz w:val="20"/>
                </w:rPr>
                <w:t>10.2</w:t>
              </w:r>
            </w:hyperlink>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hyperlink r:id="rId11">
              <w:r>
                <w:rPr>
                  <w:rStyle w:val="InternetLink"/>
                </w:rPr>
                <w:t>Amended and Restated Retention and Transition Agreement, dated August 4, 2025, by and between Addus Healthcare, Inc. and W. Bradley Bickham.</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center"/>
              <w:rPr/>
            </w:pPr>
            <w:r>
              <w:rPr/>
              <w:t>001-34504</w:t>
            </w:r>
          </w:p>
        </w:tc>
        <w:tc>
          <w:tcPr>
            <w:tcW w:w="60"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08/07/2025</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center"/>
              <w:rPr/>
            </w:pPr>
            <w:r>
              <w:rPr/>
              <w:t>10.2</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pPr>
            <w:hyperlink w:anchor="ex_854177.htm">
              <w:r>
                <w:rPr>
                  <w:rStyle w:val="InternetLink"/>
                  <w:rFonts w:ascii="Times New Roman" w:hAnsi="Times New Roman"/>
                  <w:caps w:val="false"/>
                  <w:smallCaps w:val="false"/>
                  <w:sz w:val="20"/>
                </w:rPr>
                <w:t>31.1</w:t>
              </w:r>
            </w:hyperlink>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0"/>
              <w:ind w:left="0" w:right="0" w:hanging="0"/>
              <w:jc w:val="left"/>
              <w:rPr/>
            </w:pPr>
            <w:hyperlink w:anchor="ex_854177.htm">
              <w:r>
                <w:rPr>
                  <w:rStyle w:val="InternetLink"/>
                  <w:rFonts w:ascii="Times New Roman" w:hAnsi="Times New Roman"/>
                  <w:caps w:val="false"/>
                  <w:smallCaps w:val="false"/>
                  <w:sz w:val="20"/>
                </w:rPr>
                <w:t>Certification of Chief Executive Officer Pursuant to Rule 13a-14(a) of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pPr>
            <w:hyperlink w:anchor="ex_854178.htm">
              <w:r>
                <w:rPr>
                  <w:rStyle w:val="InternetLink"/>
                  <w:rFonts w:ascii="Times New Roman" w:hAnsi="Times New Roman"/>
                  <w:caps w:val="false"/>
                  <w:smallCaps w:val="false"/>
                  <w:sz w:val="20"/>
                </w:rPr>
                <w:t>31.2</w:t>
              </w:r>
            </w:hyperlink>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0"/>
              <w:ind w:left="0" w:right="0" w:hanging="0"/>
              <w:jc w:val="left"/>
              <w:rPr/>
            </w:pPr>
            <w:hyperlink w:anchor="ex_854178.htm">
              <w:r>
                <w:rPr>
                  <w:rStyle w:val="InternetLink"/>
                  <w:rFonts w:ascii="Times New Roman" w:hAnsi="Times New Roman"/>
                  <w:caps w:val="false"/>
                  <w:smallCaps w:val="false"/>
                  <w:sz w:val="20"/>
                </w:rPr>
                <w:t>Certification of Chief Financial Officer Pursuant to Rule 13a-14(a) of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pPr>
            <w:hyperlink w:anchor="ex_854179.htm">
              <w:r>
                <w:rPr>
                  <w:rStyle w:val="InternetLink"/>
                  <w:rFonts w:ascii="Times New Roman" w:hAnsi="Times New Roman"/>
                  <w:caps w:val="false"/>
                  <w:smallCaps w:val="false"/>
                  <w:sz w:val="20"/>
                </w:rPr>
                <w:t>32.1</w:t>
              </w:r>
            </w:hyperlink>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0"/>
              <w:ind w:left="0" w:right="0" w:hanging="0"/>
              <w:jc w:val="left"/>
              <w:rPr/>
            </w:pPr>
            <w:hyperlink w:anchor="ex_854179.htm">
              <w:r>
                <w:rPr>
                  <w:rStyle w:val="InternetLink"/>
                  <w:rFonts w:ascii="Times New Roman" w:hAnsi="Times New Roman"/>
                  <w:caps w:val="false"/>
                  <w:smallCaps w:val="false"/>
                  <w:sz w:val="20"/>
                </w:rPr>
                <w:t>Certification of Chief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pPr>
            <w:hyperlink w:anchor="ex_854180.htm">
              <w:r>
                <w:rPr>
                  <w:rStyle w:val="InternetLink"/>
                  <w:rFonts w:ascii="Times New Roman" w:hAnsi="Times New Roman"/>
                  <w:caps w:val="false"/>
                  <w:smallCaps w:val="false"/>
                  <w:sz w:val="20"/>
                </w:rPr>
                <w:t>32.2</w:t>
              </w:r>
            </w:hyperlink>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0"/>
              <w:ind w:left="0" w:right="0" w:hanging="0"/>
              <w:jc w:val="left"/>
              <w:rPr/>
            </w:pPr>
            <w:hyperlink w:anchor="ex_854180.htm">
              <w:r>
                <w:rPr>
                  <w:rStyle w:val="InternetLink"/>
                  <w:rFonts w:ascii="Times New Roman" w:hAnsi="Times New Roman"/>
                  <w:caps w:val="false"/>
                  <w:smallCaps w:val="false"/>
                  <w:sz w:val="20"/>
                </w:rPr>
                <w:t>Certification of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Calculation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Label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Presentation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r>
        <w:trPr/>
        <w:tc>
          <w:tcPr>
            <w:tcW w:w="73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2000"/>
        <w:gridCol w:w="320"/>
        <w:gridCol w:w="3275"/>
      </w:tblGrid>
      <w:tr>
        <w:trPr/>
        <w:tc>
          <w:tcPr>
            <w:tcW w:w="200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ADDUS HOMECARE CORPORATION</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4,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 DIRK ALLISON</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 Dirk Allison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Chairman and Chief Executive Officer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Principal Executive Officer)</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4,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BRIAN POFF</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Brian Poff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47 </w:t>
      </w:r>
    </w:p>
    <w:p>
      <w:pPr>
        <w:pStyle w:val="TextBody"/>
        <w:bidi w:val="0"/>
        <w:spacing w:before="0" w:after="0"/>
        <w:ind w:left="0" w:right="0" w:hanging="0"/>
        <w:jc w:val="right"/>
        <w:rPr>
          <w:rFonts w:ascii="Times New Roman" w:hAnsi="Times New Roman"/>
          <w:b/>
          <w:caps w:val="false"/>
          <w:smallCaps w:val="false"/>
          <w:sz w:val="20"/>
        </w:rPr>
      </w:pPr>
      <w:bookmarkStart w:id="21" w:name="ex_854177.htm"/>
      <w:bookmarkStart w:id="22" w:name="ksex_854177"/>
      <w:bookmarkEnd w:id="21"/>
      <w:bookmarkEnd w:id="22"/>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 OF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 Dirk Allison, certify that:</w:t>
      </w:r>
    </w:p>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170"/>
        <w:gridCol w:w="68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Addus HomeCare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2000"/>
        <w:gridCol w:w="320"/>
        <w:gridCol w:w="312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3" w:name="led705994F20254131747155126414"/>
            <w:bookmarkEnd w:id="23"/>
            <w:r>
              <w:rPr>
                <w:rFonts w:ascii="Times New Roman" w:hAnsi="Times New Roman"/>
                <w:caps w:val="false"/>
                <w:smallCaps w:val="false"/>
                <w:sz w:val="20"/>
              </w:rPr>
              <w:t>November 4,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 Dirk Allison</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 Dirk Allison</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4" w:name="ex_854178.htm"/>
      <w:bookmarkStart w:id="25" w:name="ksex_854178"/>
      <w:bookmarkEnd w:id="24"/>
      <w:bookmarkEnd w:id="2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 OF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Brian Poff, certify that:</w:t>
      </w:r>
    </w:p>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170"/>
        <w:gridCol w:w="68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Addus HomeCare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2000"/>
        <w:gridCol w:w="320"/>
        <w:gridCol w:w="1880"/>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6" w:name="led705994F20254131747155171798"/>
            <w:bookmarkEnd w:id="26"/>
            <w:r>
              <w:rPr>
                <w:rFonts w:ascii="Times New Roman" w:hAnsi="Times New Roman"/>
                <w:caps w:val="false"/>
                <w:smallCaps w:val="false"/>
                <w:sz w:val="20"/>
              </w:rPr>
              <w:t>November 4,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Brian Poff</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Brian Poff</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854179.htm"/>
      <w:bookmarkStart w:id="28" w:name="ksex_854179"/>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for the fiscal quarter ended </w:t>
      </w:r>
      <w:bookmarkStart w:id="29" w:name="led705994F20254131747155264645"/>
      <w:bookmarkEnd w:id="29"/>
      <w:r>
        <w:rPr>
          <w:rFonts w:ascii="Times New Roman" w:hAnsi="Times New Roman"/>
          <w:caps w:val="false"/>
          <w:smallCaps w:val="false"/>
          <w:sz w:val="20"/>
        </w:rPr>
        <w:t>September 30, 2025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2000"/>
        <w:gridCol w:w="320"/>
        <w:gridCol w:w="312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0" w:name="led705994F20254131747155237326"/>
            <w:bookmarkEnd w:id="30"/>
            <w:r>
              <w:rPr>
                <w:rFonts w:ascii="Times New Roman" w:hAnsi="Times New Roman"/>
                <w:caps w:val="false"/>
                <w:smallCaps w:val="false"/>
                <w:sz w:val="20"/>
              </w:rPr>
              <w:t>November 4,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 Dirk Allison</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 Dirk Allison</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1" w:name="ex_854180.htm"/>
      <w:bookmarkStart w:id="32" w:name="ksex_854180"/>
      <w:bookmarkEnd w:id="31"/>
      <w:bookmarkEnd w:id="32"/>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for the fiscal quarter ended </w:t>
      </w:r>
      <w:bookmarkStart w:id="33" w:name="led705994F20254131747155323766"/>
      <w:bookmarkEnd w:id="33"/>
      <w:r>
        <w:rPr>
          <w:rFonts w:ascii="Times New Roman" w:hAnsi="Times New Roman"/>
          <w:caps w:val="false"/>
          <w:smallCaps w:val="false"/>
          <w:sz w:val="20"/>
        </w:rPr>
        <w:t>September 30, 2025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2000"/>
        <w:gridCol w:w="320"/>
        <w:gridCol w:w="1880"/>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4" w:name="led705994F20254131747155337749"/>
            <w:bookmarkEnd w:id="34"/>
            <w:r>
              <w:rPr>
                <w:rFonts w:ascii="Times New Roman" w:hAnsi="Times New Roman"/>
                <w:caps w:val="false"/>
                <w:smallCaps w:val="false"/>
                <w:sz w:val="20"/>
              </w:rPr>
              <w:t>November 4,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Brian Poff</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Brian Poff</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68328/000119312509238641/dex31.htm" TargetMode="External"/><Relationship Id="rId3" Type="http://schemas.openxmlformats.org/officeDocument/2006/relationships/hyperlink" Target="http://www.sec.gov/Archives/edgar/data/1468328/000119312509238641/dex31.htm" TargetMode="External"/><Relationship Id="rId4" Type="http://schemas.openxmlformats.org/officeDocument/2006/relationships/hyperlink" Target="http://www.sec.gov/Archives/edgar/data/1468328/000119312513211165/d535575dex32.htm" TargetMode="External"/><Relationship Id="rId5" Type="http://schemas.openxmlformats.org/officeDocument/2006/relationships/hyperlink" Target="http://www.sec.gov/Archives/edgar/data/1468328/000119312513211165/d535575dex32.htm" TargetMode="External"/><Relationship Id="rId6" Type="http://schemas.openxmlformats.org/officeDocument/2006/relationships/hyperlink" Target="http://www.sec.gov/Archives/edgar/data/1468328/000119312509202215/dex41.htm" TargetMode="External"/><Relationship Id="rId7" Type="http://schemas.openxmlformats.org/officeDocument/2006/relationships/hyperlink" Target="http://www.sec.gov/Archives/edgar/data/1468328/000119312509202215/dex41.htm" TargetMode="External"/><Relationship Id="rId8" Type="http://schemas.openxmlformats.org/officeDocument/2006/relationships/hyperlink" Target="http://www.sec.gov/Archives/edgar/data/1468328/000143774925025425/ex_848024.htm" TargetMode="External"/><Relationship Id="rId9" Type="http://schemas.openxmlformats.org/officeDocument/2006/relationships/hyperlink" Target="http://www.sec.gov/Archives/edgar/data/1468328/000143774925025425/ex_848024.htm" TargetMode="External"/><Relationship Id="rId10" Type="http://schemas.openxmlformats.org/officeDocument/2006/relationships/hyperlink" Target="http://www.sec.gov/Archives/edgar/data/1468328/000143774925025425/ex_848025.htm" TargetMode="External"/><Relationship Id="rId11" Type="http://schemas.openxmlformats.org/officeDocument/2006/relationships/hyperlink" Target="http://www.sec.gov/Archives/edgar/data/1468328/000143774925025425/ex_848025.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22061</Words>
  <Characters>120295</Characters>
  <CharactersWithSpaces>147399</CharactersWithSpaces>
  <Paragraphs>12520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