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55880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75565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71"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98" w:lineRule="exact"/>
        <w:rPr>
          <w:rFonts w:ascii="MS PGothic" w:cs="MS PGothic" w:eastAsia="MS PGothic" w:hAnsi="MS PGothic"/>
          <w:sz w:val="20"/>
          <w:szCs w:val="20"/>
          <w:color w:val="auto"/>
        </w:rPr>
      </w:pPr>
    </w:p>
    <w:p>
      <w:pPr>
        <w:ind w:left="390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March 31, 2019</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8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001-34504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ADDUS HOMECARE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-294640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2" w:lineRule="exact"/>
        <w:rPr>
          <w:sz w:val="24"/>
          <w:szCs w:val="24"/>
          <w:color w:val="auto"/>
        </w:rPr>
      </w:pPr>
    </w:p>
    <w:tbl>
      <w:tblPr>
        <w:tblLayout w:type="fixed"/>
        <w:tblInd w:w="1400" w:type="dxa"/>
        <w:tblCellMar>
          <w:top w:w="0" w:type="dxa"/>
          <w:left w:w="0" w:type="dxa"/>
          <w:bottom w:w="0" w:type="dxa"/>
          <w:right w:w="0" w:type="dxa"/>
        </w:tblCellMar>
      </w:tblPr>
      <w:tr>
        <w:trPr>
          <w:trHeight w:val="225"/>
        </w:trPr>
        <w:tc>
          <w:tcPr>
            <w:tcW w:w="3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Delaware</w:t>
            </w:r>
          </w:p>
        </w:tc>
        <w:tc>
          <w:tcPr>
            <w:tcW w:w="2100" w:type="dxa"/>
            <w:vAlign w:val="bottom"/>
            <w:tcBorders>
              <w:top w:val="single" w:sz="8" w:color="auto"/>
            </w:tcBorders>
          </w:tcPr>
          <w:p>
            <w:pPr>
              <w:spacing w:after="0"/>
              <w:rPr>
                <w:sz w:val="19"/>
                <w:szCs w:val="19"/>
                <w:color w:val="auto"/>
              </w:rPr>
            </w:pPr>
          </w:p>
        </w:tc>
        <w:tc>
          <w:tcPr>
            <w:tcW w:w="2600" w:type="dxa"/>
            <w:vAlign w:val="bottom"/>
          </w:tcPr>
          <w:p>
            <w:pPr>
              <w:jc w:val="right"/>
              <w:ind w:right="170"/>
              <w:spacing w:after="0"/>
              <w:rPr>
                <w:sz w:val="20"/>
                <w:szCs w:val="20"/>
                <w:color w:val="auto"/>
              </w:rPr>
            </w:pPr>
            <w:r>
              <w:rPr>
                <w:rFonts w:ascii="Arial" w:cs="Arial" w:eastAsia="Arial" w:hAnsi="Arial"/>
                <w:sz w:val="18"/>
                <w:szCs w:val="18"/>
                <w:b w:val="1"/>
                <w:bCs w:val="1"/>
                <w:color w:val="auto"/>
              </w:rPr>
              <w:t>20-5340172</w:t>
            </w:r>
          </w:p>
        </w:tc>
        <w:tc>
          <w:tcPr>
            <w:tcW w:w="0" w:type="dxa"/>
            <w:vAlign w:val="bottom"/>
          </w:tcPr>
          <w:p>
            <w:pPr>
              <w:spacing w:after="0"/>
              <w:rPr>
                <w:sz w:val="1"/>
                <w:szCs w:val="1"/>
                <w:color w:val="auto"/>
              </w:rPr>
            </w:pPr>
          </w:p>
        </w:tc>
      </w:tr>
      <w:tr>
        <w:trPr>
          <w:trHeight w:val="216"/>
        </w:trPr>
        <w:tc>
          <w:tcPr>
            <w:tcW w:w="3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(State or other jurisdiction of</w:t>
            </w:r>
          </w:p>
        </w:tc>
        <w:tc>
          <w:tcPr>
            <w:tcW w:w="2100" w:type="dxa"/>
            <w:vAlign w:val="bottom"/>
          </w:tcPr>
          <w:p>
            <w:pPr>
              <w:spacing w:after="0"/>
              <w:rPr>
                <w:sz w:val="18"/>
                <w:szCs w:val="18"/>
                <w:color w:val="auto"/>
              </w:rPr>
            </w:pPr>
          </w:p>
        </w:tc>
        <w:tc>
          <w:tcPr>
            <w:tcW w:w="2600" w:type="dxa"/>
            <w:vAlign w:val="bottom"/>
          </w:tcPr>
          <w:p>
            <w:pPr>
              <w:jc w:val="center"/>
              <w:ind w:left="1130"/>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3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incorporation or organization)</w:t>
            </w:r>
          </w:p>
        </w:tc>
        <w:tc>
          <w:tcPr>
            <w:tcW w:w="2100" w:type="dxa"/>
            <w:vAlign w:val="bottom"/>
          </w:tcPr>
          <w:p>
            <w:pPr>
              <w:spacing w:after="0"/>
              <w:rPr>
                <w:sz w:val="20"/>
                <w:szCs w:val="20"/>
                <w:color w:val="auto"/>
              </w:rPr>
            </w:pPr>
          </w:p>
        </w:tc>
        <w:tc>
          <w:tcPr>
            <w:tcW w:w="2600" w:type="dxa"/>
            <w:vAlign w:val="bottom"/>
          </w:tcPr>
          <w:p>
            <w:pPr>
              <w:jc w:val="center"/>
              <w:ind w:left="1110"/>
              <w:spacing w:after="0"/>
              <w:rPr>
                <w:sz w:val="20"/>
                <w:szCs w:val="20"/>
                <w:color w:val="auto"/>
              </w:rPr>
            </w:pPr>
            <w:r>
              <w:rPr>
                <w:rFonts w:ascii="Arial" w:cs="Arial" w:eastAsia="Arial" w:hAnsi="Arial"/>
                <w:sz w:val="18"/>
                <w:szCs w:val="18"/>
                <w:b w:val="1"/>
                <w:bCs w:val="1"/>
                <w:color w:val="auto"/>
                <w:w w:val="92"/>
              </w:rPr>
              <w:t>Identification No.)</w:t>
            </w:r>
          </w:p>
        </w:tc>
        <w:tc>
          <w:tcPr>
            <w:tcW w:w="0" w:type="dxa"/>
            <w:vAlign w:val="bottom"/>
          </w:tcPr>
          <w:p>
            <w:pPr>
              <w:spacing w:after="0"/>
              <w:rPr>
                <w:sz w:val="1"/>
                <w:szCs w:val="1"/>
                <w:color w:val="auto"/>
              </w:rPr>
            </w:pPr>
          </w:p>
        </w:tc>
      </w:tr>
      <w:tr>
        <w:trPr>
          <w:trHeight w:val="387"/>
        </w:trPr>
        <w:tc>
          <w:tcPr>
            <w:tcW w:w="3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6801 Gaylord Parkway, Suite 110</w:t>
            </w:r>
          </w:p>
        </w:tc>
        <w:tc>
          <w:tcPr>
            <w:tcW w:w="2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Frisco, TX</w:t>
            </w:r>
          </w:p>
        </w:tc>
        <w:tc>
          <w:tcPr>
            <w:tcW w:w="47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75034</w:t>
            </w:r>
          </w:p>
        </w:tc>
        <w:tc>
          <w:tcPr>
            <w:tcW w:w="0" w:type="dxa"/>
            <w:vAlign w:val="bottom"/>
          </w:tcPr>
          <w:p>
            <w:pPr>
              <w:spacing w:after="0"/>
              <w:rPr>
                <w:sz w:val="1"/>
                <w:szCs w:val="1"/>
                <w:color w:val="auto"/>
              </w:rPr>
            </w:pPr>
          </w:p>
        </w:tc>
      </w:tr>
      <w:tr>
        <w:trPr>
          <w:trHeight w:val="234"/>
        </w:trPr>
        <w:tc>
          <w:tcPr>
            <w:tcW w:w="326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1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(469) 535-8200</w:t>
            </w:r>
          </w:p>
        </w:tc>
        <w:tc>
          <w:tcPr>
            <w:tcW w:w="2600" w:type="dxa"/>
            <w:vAlign w:val="bottom"/>
          </w:tcPr>
          <w:p>
            <w:pPr>
              <w:jc w:val="center"/>
              <w:ind w:left="1130"/>
              <w:spacing w:after="0"/>
              <w:rPr>
                <w:sz w:val="20"/>
                <w:szCs w:val="20"/>
                <w:color w:val="auto"/>
              </w:rPr>
            </w:pPr>
            <w:r>
              <w:rPr>
                <w:rFonts w:ascii="Arial" w:cs="Arial" w:eastAsia="Arial" w:hAnsi="Arial"/>
                <w:sz w:val="18"/>
                <w:szCs w:val="18"/>
                <w:b w:val="1"/>
                <w:bCs w:val="1"/>
                <w:color w:val="auto"/>
                <w:w w:val="90"/>
              </w:rPr>
              <w:t>(Zip code)</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jc w:val="both"/>
        <w:ind w:right="140" w:firstLine="484"/>
        <w:spacing w:after="0" w:line="229" w:lineRule="exact"/>
        <w:rPr>
          <w:sz w:val="20"/>
          <w:szCs w:val="20"/>
          <w:color w:val="auto"/>
        </w:rPr>
      </w:pPr>
      <w:r>
        <w:rPr>
          <w:rFonts w:ascii="Arial" w:cs="Arial" w:eastAsia="Arial" w:hAnsi="Arial"/>
          <w:sz w:val="18"/>
          <w:szCs w:val="18"/>
          <w:b w:val="1"/>
          <w:bCs w:val="1"/>
          <w:color w:val="auto"/>
        </w:rPr>
        <w:t>(Registrant’s telephone number, including area code)</w:t>
      </w:r>
      <w:r>
        <w:rPr>
          <w:rFonts w:ascii="Arial" w:cs="Arial" w:eastAsia="Arial" w:hAnsi="Arial"/>
          <w:sz w:val="18"/>
          <w:szCs w:val="18"/>
          <w:color w:val="auto"/>
        </w:rPr>
        <w:t>Indicate by check mark whether the registrant: (1) has filed all reports required to be filed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5" w:lineRule="exact"/>
        <w:rPr>
          <w:sz w:val="24"/>
          <w:szCs w:val="24"/>
          <w:color w:val="auto"/>
        </w:rPr>
      </w:pPr>
    </w:p>
    <w:p>
      <w:pPr>
        <w:ind w:right="60" w:firstLine="484"/>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2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8" w:lineRule="exact"/>
        <w:rPr>
          <w:sz w:val="24"/>
          <w:szCs w:val="24"/>
          <w:color w:val="auto"/>
        </w:rPr>
      </w:pPr>
    </w:p>
    <w:p>
      <w:pPr>
        <w:jc w:val="both"/>
        <w:ind w:firstLine="48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4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2"/>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4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82" w:lineRule="exact"/>
        <w:rPr>
          <w:sz w:val="24"/>
          <w:szCs w:val="24"/>
          <w:color w:val="auto"/>
        </w:rPr>
      </w:pPr>
    </w:p>
    <w:p>
      <w:pPr>
        <w:ind w:right="200" w:firstLine="48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00"/>
        <w:spacing w:after="0" w:line="207" w:lineRule="exact"/>
        <w:tabs>
          <w:tab w:leader="none" w:pos="882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50"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Symbol(s)</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7"/>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860" w:type="dxa"/>
            <w:vAlign w:val="bottom"/>
            <w:tcBorders>
              <w:bottom w:val="single" w:sz="8" w:color="auto"/>
              <w:right w:val="single" w:sz="8" w:color="auto"/>
            </w:tcBorders>
          </w:tcPr>
          <w:p>
            <w:pPr>
              <w:spacing w:after="0"/>
              <w:rPr>
                <w:sz w:val="3"/>
                <w:szCs w:val="3"/>
                <w:color w:val="auto"/>
              </w:rPr>
            </w:pPr>
          </w:p>
        </w:tc>
      </w:tr>
      <w:tr>
        <w:trPr>
          <w:trHeight w:val="200"/>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ADUS</w:t>
            </w: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The Nasdaq Global Market</w:t>
            </w:r>
          </w:p>
        </w:tc>
      </w:tr>
      <w:tr>
        <w:trPr>
          <w:trHeight w:val="104"/>
        </w:trPr>
        <w:tc>
          <w:tcPr>
            <w:tcW w:w="3800" w:type="dxa"/>
            <w:vAlign w:val="bottom"/>
            <w:tcBorders>
              <w:left w:val="single" w:sz="8" w:color="auto"/>
              <w:bottom w:val="single" w:sz="8" w:color="auto"/>
              <w:right w:val="single" w:sz="8" w:color="auto"/>
            </w:tcBorders>
          </w:tcPr>
          <w:p>
            <w:pPr>
              <w:spacing w:after="0"/>
              <w:rPr>
                <w:sz w:val="9"/>
                <w:szCs w:val="9"/>
                <w:color w:val="auto"/>
              </w:rPr>
            </w:pPr>
          </w:p>
        </w:tc>
        <w:tc>
          <w:tcPr>
            <w:tcW w:w="3760" w:type="dxa"/>
            <w:vAlign w:val="bottom"/>
            <w:tcBorders>
              <w:bottom w:val="single" w:sz="8" w:color="auto"/>
              <w:right w:val="single" w:sz="8" w:color="auto"/>
            </w:tcBorders>
          </w:tcPr>
          <w:p>
            <w:pPr>
              <w:spacing w:after="0"/>
              <w:rPr>
                <w:sz w:val="9"/>
                <w:szCs w:val="9"/>
                <w:color w:val="auto"/>
              </w:rPr>
            </w:pPr>
          </w:p>
        </w:tc>
        <w:tc>
          <w:tcPr>
            <w:tcW w:w="3860" w:type="dxa"/>
            <w:vAlign w:val="bottom"/>
            <w:tcBorders>
              <w:bottom w:val="single" w:sz="8" w:color="auto"/>
              <w:right w:val="single" w:sz="8" w:color="auto"/>
            </w:tcBorders>
          </w:tcPr>
          <w:p>
            <w:pPr>
              <w:spacing w:after="0"/>
              <w:rPr>
                <w:sz w:val="9"/>
                <w:szCs w:val="9"/>
                <w:color w:val="auto"/>
              </w:rPr>
            </w:pPr>
          </w:p>
        </w:tc>
      </w:tr>
    </w:tbl>
    <w:p>
      <w:pPr>
        <w:spacing w:after="0" w:line="10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April 30, 2019, Addus HomeCare Corporation had 13,182,598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490855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60" w:type="dxa"/>
            <w:vAlign w:val="bottom"/>
            <w:gridSpan w:val="2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80" w:type="dxa"/>
            <w:vAlign w:val="bottom"/>
          </w:tcPr>
          <w:p>
            <w:pPr>
              <w:spacing w:after="0"/>
              <w:rPr>
                <w:sz w:val="17"/>
                <w:szCs w:val="17"/>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8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w w:val="99"/>
              </w:rPr>
              <w:t>ADDUS HOMECARE CORPORATION</w:t>
            </w:r>
          </w:p>
        </w:tc>
        <w:tc>
          <w:tcPr>
            <w:tcW w:w="78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8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w w:val="99"/>
              </w:rPr>
              <w:t>FORM 10-Q</w:t>
            </w:r>
          </w:p>
        </w:tc>
        <w:tc>
          <w:tcPr>
            <w:tcW w:w="78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7"/>
          </w:tcPr>
          <w:p>
            <w:pPr>
              <w:jc w:val="center"/>
              <w:ind w:right="4660"/>
              <w:spacing w:after="0"/>
              <w:rPr>
                <w:sz w:val="20"/>
                <w:szCs w:val="20"/>
                <w:color w:val="auto"/>
              </w:rPr>
            </w:pPr>
            <w:r>
              <w:rPr>
                <w:rFonts w:ascii="Arial" w:cs="Arial" w:eastAsia="Arial" w:hAnsi="Arial"/>
                <w:sz w:val="18"/>
                <w:szCs w:val="18"/>
                <w:b w:val="1"/>
                <w:bCs w:val="1"/>
                <w:color w:val="auto"/>
              </w:rPr>
              <w:t>INDEX</w:t>
            </w:r>
          </w:p>
        </w:tc>
        <w:tc>
          <w:tcPr>
            <w:tcW w:w="78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104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54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62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as of March 31, 2019 (Unaudited) and December 31, 2018</w:t>
              </w:r>
            </w:hyperlink>
          </w:p>
        </w:tc>
        <w:tc>
          <w:tcPr>
            <w:tcW w:w="264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For the Three Months Ended March 31, 2019 and 2018</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40" w:type="dxa"/>
            <w:vAlign w:val="bottom"/>
            <w:gridSpan w:val="19"/>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 of Stockholders’ Equity (Unaudited) For the Three Months Ended March 31, 2019 and 2018</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 For the Three Months Ended March 31, 2019 and 2018</w:t>
              </w:r>
            </w:hyperlink>
          </w:p>
        </w:tc>
        <w:tc>
          <w:tcPr>
            <w:tcW w:w="60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4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6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1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Item 4. Controls and Procedures</w:t>
              </w:r>
            </w:hyperlink>
          </w:p>
        </w:tc>
        <w:tc>
          <w:tcPr>
            <w:tcW w:w="784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80" w:type="dxa"/>
            <w:vAlign w:val="bottom"/>
          </w:tcPr>
          <w:p>
            <w:pPr>
              <w:spacing w:after="0"/>
              <w:rPr>
                <w:sz w:val="24"/>
                <w:szCs w:val="24"/>
                <w:color w:val="auto"/>
              </w:rPr>
            </w:pPr>
          </w:p>
        </w:tc>
        <w:tc>
          <w:tcPr>
            <w:tcW w:w="25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PART II. OTHER INFORMATION</w:t>
              </w:r>
            </w:hyperlink>
          </w:p>
        </w:tc>
        <w:tc>
          <w:tcPr>
            <w:tcW w:w="79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6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 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Borders>
              <w:top w:val="single" w:sz="8" w:color="0000EE"/>
            </w:tcBorders>
            <w:gridSpan w:val="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1A. Risk Factors</w:t>
              </w:r>
            </w:hyperlink>
          </w:p>
        </w:tc>
        <w:tc>
          <w:tcPr>
            <w:tcW w:w="828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2. Unregistered Sales of Equity Securities and Use of Proceeds</w:t>
              </w:r>
            </w:hyperlink>
          </w:p>
        </w:tc>
        <w:tc>
          <w:tcPr>
            <w:tcW w:w="526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3. Defaults Upon Senior Securities</w:t>
              </w:r>
            </w:hyperlink>
          </w:p>
        </w:tc>
        <w:tc>
          <w:tcPr>
            <w:tcW w:w="728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4. Mine Safety Disclosures</w:t>
              </w:r>
            </w:hyperlink>
          </w:p>
        </w:tc>
        <w:tc>
          <w:tcPr>
            <w:tcW w:w="784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6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5. 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Borders>
              <w:top w:val="single" w:sz="8" w:color="0000EE"/>
            </w:tcBorders>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6. Exhibits</w:t>
              </w:r>
            </w:hyperlink>
          </w:p>
        </w:tc>
        <w:tc>
          <w:tcPr>
            <w:tcW w:w="830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601"/>
        </w:trPr>
        <w:tc>
          <w:tcPr>
            <w:tcW w:w="520" w:type="dxa"/>
            <w:vAlign w:val="bottom"/>
            <w:gridSpan w:val="3"/>
          </w:tcPr>
          <w:p>
            <w:pPr>
              <w:spacing w:after="0"/>
              <w:rPr>
                <w:sz w:val="24"/>
                <w:szCs w:val="24"/>
                <w:color w:val="auto"/>
              </w:rPr>
            </w:pPr>
          </w:p>
        </w:tc>
        <w:tc>
          <w:tcPr>
            <w:tcW w:w="1120" w:type="dxa"/>
            <w:vAlign w:val="bottom"/>
            <w:tcBorders>
              <w:top w:val="single" w:sz="8" w:color="0000EE"/>
            </w:tcBorders>
            <w:gridSpan w:val="3"/>
          </w:tcPr>
          <w:p>
            <w:pPr>
              <w:spacing w:after="0"/>
              <w:rPr>
                <w:sz w:val="24"/>
                <w:szCs w:val="24"/>
                <w:color w:val="auto"/>
              </w:rPr>
            </w:pPr>
          </w:p>
        </w:tc>
        <w:tc>
          <w:tcPr>
            <w:tcW w:w="5860" w:type="dxa"/>
            <w:vAlign w:val="bottom"/>
            <w:gridSpan w:val="12"/>
          </w:tcPr>
          <w:p>
            <w:pPr>
              <w:jc w:val="center"/>
              <w:ind w:left="2190"/>
              <w:spacing w:after="0"/>
              <w:rPr>
                <w:sz w:val="20"/>
                <w:szCs w:val="20"/>
                <w:color w:val="auto"/>
              </w:rPr>
            </w:pPr>
            <w:r>
              <w:rPr>
                <w:rFonts w:ascii="Arial" w:cs="Arial" w:eastAsia="Arial" w:hAnsi="Arial"/>
                <w:sz w:val="18"/>
                <w:szCs w:val="18"/>
                <w:color w:val="auto"/>
                <w:w w:val="99"/>
              </w:rPr>
              <w:t>2</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171"/>
              <w:spacing w:after="0"/>
              <w:rPr>
                <w:sz w:val="20"/>
                <w:szCs w:val="20"/>
                <w:color w:val="auto"/>
              </w:rPr>
            </w:pPr>
            <w:r>
              <w:rPr>
                <w:rFonts w:ascii="Arial" w:cs="Arial" w:eastAsia="Arial" w:hAnsi="Arial"/>
                <w:sz w:val="16"/>
                <w:szCs w:val="16"/>
                <w:b w:val="1"/>
                <w:bCs w:val="1"/>
                <w:color w:val="auto"/>
                <w:w w:val="94"/>
              </w:rPr>
              <w:t>(Unaudited)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(Audited)</w:t>
            </w:r>
          </w:p>
        </w:tc>
        <w:tc>
          <w:tcPr>
            <w:tcW w:w="0" w:type="dxa"/>
            <w:vAlign w:val="bottom"/>
          </w:tcPr>
          <w:p>
            <w:pPr>
              <w:spacing w:after="0"/>
              <w:rPr>
                <w:sz w:val="1"/>
                <w:szCs w:val="1"/>
                <w:color w:val="auto"/>
              </w:rPr>
            </w:pPr>
          </w:p>
        </w:tc>
      </w:tr>
      <w:tr>
        <w:trPr>
          <w:trHeight w:val="199"/>
        </w:trPr>
        <w:tc>
          <w:tcPr>
            <w:tcW w:w="7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94"/>
              </w:rPr>
              <w:t>March 31,</w:t>
            </w: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89"/>
              </w:rPr>
              <w:t>2019</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1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66,170</w:t>
            </w:r>
          </w:p>
        </w:tc>
        <w:tc>
          <w:tcPr>
            <w:tcW w:w="4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Accounts receivable, net of allowances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120,143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7,146</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assets</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193,459</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135,399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Intangibles, net of accumulated amortization</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assets, net</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assets</w:t>
            </w:r>
          </w:p>
        </w:tc>
        <w:tc>
          <w:tcPr>
            <w:tcW w:w="7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174,621</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378,923</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355,388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11,506</w:t>
            </w:r>
          </w:p>
        </w:tc>
        <w:tc>
          <w:tcPr>
            <w:tcW w:w="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12,238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17,202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workers' compensation insurance</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14,537</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liabilities</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67,384</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Long-term debt, less current portion, net of debt issuance costs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17,375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operating lease liabilities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Deferred tax liabilities, net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97,295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stock—$.001 par value; 40,000 authorized and 13,178 and 13,126 shares</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and outstanding as of March 31, 2019 and December 31, 2018, respectively</w:t>
            </w:r>
          </w:p>
        </w:tc>
        <w:tc>
          <w:tcPr>
            <w:tcW w:w="1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178,916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102,699</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281,628</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378,923</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355,388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80" w:type="dxa"/>
            <w:vAlign w:val="bottom"/>
            <w:gridSpan w:val="4"/>
          </w:tcPr>
          <w:p>
            <w:pPr>
              <w:jc w:val="right"/>
              <w:ind w:right="265"/>
              <w:spacing w:after="0"/>
              <w:rPr>
                <w:sz w:val="20"/>
                <w:szCs w:val="20"/>
                <w:color w:val="auto"/>
              </w:rPr>
            </w:pPr>
            <w:r>
              <w:rPr>
                <w:rFonts w:ascii="Arial" w:cs="Arial" w:eastAsia="Arial" w:hAnsi="Arial"/>
                <w:sz w:val="16"/>
                <w:szCs w:val="16"/>
                <w:b w:val="1"/>
                <w:bCs w:val="1"/>
                <w:color w:val="auto"/>
                <w:w w:val="92"/>
              </w:rPr>
              <w:t>For the Three Months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6"/>
                <w:szCs w:val="16"/>
                <w:b w:val="1"/>
                <w:bCs w:val="1"/>
                <w:color w:val="auto"/>
              </w:rPr>
              <w:t>Ended March 31,</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4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139,254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109,476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4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101,680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 expense (income), net</w:t>
            </w:r>
          </w:p>
        </w:tc>
        <w:tc>
          <w:tcPr>
            <w:tcW w:w="14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14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1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2400" w:type="dxa"/>
            <w:vAlign w:val="bottom"/>
            <w:gridSpan w:val="2"/>
            <w:shd w:val="clear" w:color="auto" w:fill="CFF0FC"/>
          </w:tcPr>
          <w:p>
            <w:pPr>
              <w:jc w:val="right"/>
              <w:ind w:right="753"/>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Diluted income per share</w:t>
            </w:r>
          </w:p>
        </w:tc>
        <w:tc>
          <w:tcPr>
            <w:tcW w:w="2400" w:type="dxa"/>
            <w:vAlign w:val="bottom"/>
            <w:gridSpan w:val="2"/>
          </w:tcPr>
          <w:p>
            <w:pPr>
              <w:jc w:val="right"/>
              <w:ind w:right="75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19"/>
                <w:szCs w:val="19"/>
                <w:color w:val="auto"/>
              </w:rPr>
            </w:pP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and potential common</w:t>
            </w:r>
          </w:p>
        </w:tc>
        <w:tc>
          <w:tcPr>
            <w:tcW w:w="1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w:t>
            </w:r>
          </w:p>
        </w:tc>
        <w:tc>
          <w:tcPr>
            <w:tcW w:w="14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Basic</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60" w:type="dxa"/>
            <w:vAlign w:val="bottom"/>
            <w:gridSpan w:val="4"/>
          </w:tcPr>
          <w:p>
            <w:pPr>
              <w:jc w:val="right"/>
              <w:ind w:right="323"/>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1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177,683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97,837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80" w:type="dxa"/>
            <w:vAlign w:val="bottom"/>
            <w:gridSpan w:val="2"/>
          </w:tcPr>
          <w:p>
            <w:pPr>
              <w:spacing w:after="0"/>
              <w:rPr>
                <w:sz w:val="20"/>
                <w:szCs w:val="20"/>
                <w:color w:val="auto"/>
              </w:rPr>
            </w:pPr>
            <w:r>
              <w:rPr>
                <w:rFonts w:ascii="Arial" w:cs="Arial" w:eastAsia="Arial" w:hAnsi="Arial"/>
                <w:sz w:val="18"/>
                <w:szCs w:val="18"/>
                <w:color w:val="auto"/>
              </w:rPr>
              <w:t>Issuance of shares of common stock under</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restricted stock award agreements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March 31,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281,628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11,632</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43"/>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80,334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80" w:type="dxa"/>
            <w:vAlign w:val="bottom"/>
            <w:gridSpan w:val="2"/>
          </w:tcPr>
          <w:p>
            <w:pPr>
              <w:spacing w:after="0"/>
              <w:rPr>
                <w:sz w:val="20"/>
                <w:szCs w:val="20"/>
                <w:color w:val="auto"/>
              </w:rPr>
            </w:pPr>
            <w:r>
              <w:rPr>
                <w:rFonts w:ascii="Arial" w:cs="Arial" w:eastAsia="Arial" w:hAnsi="Arial"/>
                <w:sz w:val="18"/>
                <w:szCs w:val="18"/>
                <w:color w:val="auto"/>
              </w:rPr>
              <w:t>Issuance of shares of common stock under</w:t>
            </w: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restricted stock award agreements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stock award agreements</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March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6"/>
                <w:szCs w:val="16"/>
                <w:b w:val="1"/>
                <w:bCs w:val="1"/>
                <w:color w:val="auto"/>
                <w:w w:val="91"/>
              </w:rPr>
              <w:t>For the Three Months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6"/>
                <w:szCs w:val="16"/>
                <w:b w:val="1"/>
                <w:bCs w:val="1"/>
                <w:color w:val="auto"/>
              </w:rPr>
              <w:t>Ended March 31,</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w w:val="84"/>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220" w:type="dxa"/>
            <w:vAlign w:val="bottom"/>
            <w:gridSpan w:val="2"/>
          </w:tcPr>
          <w:p>
            <w:pPr>
              <w:jc w:val="right"/>
              <w:ind w:right="774"/>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4,862</w:t>
            </w:r>
          </w:p>
        </w:tc>
        <w:tc>
          <w:tcPr>
            <w:tcW w:w="160" w:type="dxa"/>
            <w:vAlign w:val="bottom"/>
          </w:tcPr>
          <w:p>
            <w:pPr>
              <w:spacing w:after="0"/>
              <w:rPr>
                <w:sz w:val="19"/>
                <w:szCs w:val="19"/>
                <w:color w:val="auto"/>
              </w:rPr>
            </w:pPr>
          </w:p>
        </w:tc>
        <w:tc>
          <w:tcPr>
            <w:tcW w:w="74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1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 net of acquisitions:</w:t>
            </w:r>
          </w:p>
        </w:tc>
        <w:tc>
          <w:tcPr>
            <w:tcW w:w="1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 under the credit facility</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 net of acquisitions: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(12,989)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long-term liabilities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operating activities</w:t>
            </w:r>
          </w:p>
        </w:tc>
        <w:tc>
          <w:tcPr>
            <w:tcW w:w="12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Payments on term loan- credit facility</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for debt issuance costs under the credit facility</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Payments on financing lease obligations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received from exercise of stock options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1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12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66,170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2220" w:type="dxa"/>
            <w:vAlign w:val="bottom"/>
            <w:gridSpan w:val="2"/>
            <w:shd w:val="clear" w:color="auto" w:fill="CFF0FC"/>
          </w:tcPr>
          <w:p>
            <w:pPr>
              <w:jc w:val="right"/>
              <w:ind w:right="774"/>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Contingent and deferred consideration accrued for acquisition</w:t>
            </w:r>
          </w:p>
        </w:tc>
        <w:tc>
          <w:tcPr>
            <w:tcW w:w="2220" w:type="dxa"/>
            <w:vAlign w:val="bottom"/>
            <w:gridSpan w:val="2"/>
          </w:tcPr>
          <w:p>
            <w:pPr>
              <w:jc w:val="right"/>
              <w:ind w:right="77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Consolidation, and Presentation of Financial Statements</w:t>
      </w:r>
    </w:p>
    <w:p>
      <w:pPr>
        <w:spacing w:after="0" w:line="94" w:lineRule="exact"/>
        <w:rPr>
          <w:sz w:val="20"/>
          <w:szCs w:val="20"/>
          <w:color w:val="auto"/>
        </w:rPr>
      </w:pPr>
    </w:p>
    <w:p>
      <w:pPr>
        <w:ind w:right="20" w:firstLine="484"/>
        <w:spacing w:after="0" w:line="293" w:lineRule="auto"/>
        <w:rPr>
          <w:sz w:val="20"/>
          <w:szCs w:val="20"/>
          <w:color w:val="auto"/>
        </w:rPr>
      </w:pPr>
      <w:r>
        <w:rPr>
          <w:rFonts w:ascii="Arial" w:cs="Arial" w:eastAsia="Arial" w:hAnsi="Arial"/>
          <w:sz w:val="16"/>
          <w:szCs w:val="16"/>
          <w:color w:val="auto"/>
        </w:rPr>
        <w:t>Addus HomeCare Corporation (“Holdings”) and its subsidiaries (together with Holdings, the “Company”, “we”, “us” or “our”) operate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20" w:firstLine="484"/>
        <w:spacing w:after="0" w:line="276" w:lineRule="auto"/>
        <w:rPr>
          <w:sz w:val="20"/>
          <w:szCs w:val="20"/>
          <w:color w:val="auto"/>
        </w:rPr>
      </w:pPr>
      <w:r>
        <w:rPr>
          <w:rFonts w:ascii="Arial" w:cs="Arial" w:eastAsia="Arial" w:hAnsi="Arial"/>
          <w:sz w:val="17"/>
          <w:szCs w:val="17"/>
          <w:color w:val="auto"/>
        </w:rPr>
        <w:t>The accompanying Unaudited Condensed Consolidated Financial Statements and related notes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2018 included in our Annual Report on Form 10-K, which includes information and disclosures not included herein.</w:t>
      </w:r>
    </w:p>
    <w:p>
      <w:pPr>
        <w:spacing w:after="0" w:line="119" w:lineRule="exact"/>
        <w:rPr>
          <w:sz w:val="20"/>
          <w:szCs w:val="20"/>
          <w:color w:val="auto"/>
        </w:rPr>
      </w:pPr>
    </w:p>
    <w:p>
      <w:pPr>
        <w:ind w:right="60" w:firstLine="484"/>
        <w:spacing w:after="0" w:line="286" w:lineRule="auto"/>
        <w:rPr>
          <w:sz w:val="20"/>
          <w:szCs w:val="20"/>
          <w:color w:val="auto"/>
        </w:rPr>
      </w:pPr>
      <w:r>
        <w:rPr>
          <w:rFonts w:ascii="Arial" w:cs="Arial" w:eastAsia="Arial" w:hAnsi="Arial"/>
          <w:sz w:val="17"/>
          <w:szCs w:val="17"/>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 and have not been audited by our independent auditors.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77" w:lineRule="exact"/>
        <w:rPr>
          <w:sz w:val="20"/>
          <w:szCs w:val="20"/>
          <w:color w:val="auto"/>
        </w:rPr>
      </w:pPr>
    </w:p>
    <w:p>
      <w:pPr>
        <w:ind w:right="560" w:firstLine="484"/>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Addus HomeCare Corporation, and its subsidiaries. All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Prior Period Balances</w:t>
      </w:r>
    </w:p>
    <w:p>
      <w:pPr>
        <w:spacing w:after="0" w:line="90" w:lineRule="exact"/>
        <w:rPr>
          <w:sz w:val="20"/>
          <w:szCs w:val="20"/>
          <w:color w:val="auto"/>
        </w:rPr>
      </w:pPr>
    </w:p>
    <w:p>
      <w:pPr>
        <w:ind w:right="80" w:firstLine="484"/>
        <w:spacing w:after="0" w:line="277" w:lineRule="auto"/>
        <w:rPr>
          <w:sz w:val="20"/>
          <w:szCs w:val="20"/>
          <w:color w:val="auto"/>
        </w:rPr>
      </w:pPr>
      <w:r>
        <w:rPr>
          <w:rFonts w:ascii="Arial" w:cs="Arial" w:eastAsia="Arial" w:hAnsi="Arial"/>
          <w:sz w:val="18"/>
          <w:szCs w:val="18"/>
          <w:color w:val="auto"/>
        </w:rPr>
        <w:t>Certain reclassifications have been made to prior period amounts to conform to the current-year presentation. These reclassifications have no effect on the reported net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77" w:lineRule="exact"/>
        <w:rPr>
          <w:sz w:val="20"/>
          <w:szCs w:val="20"/>
          <w:color w:val="auto"/>
        </w:rPr>
      </w:pPr>
    </w:p>
    <w:p>
      <w:pPr>
        <w:ind w:firstLine="484"/>
        <w:spacing w:after="0" w:line="288"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requires lessees to recognize a lease liability and a right-of-use (“ROU”) asset for all leases, including operating leases, with a term greater than twelve months in their balance sheets. For income statement recognition purposes, leases will be classified as either a finance or an operating lease.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provided entities with additional and optional transition method. We elected to adopt the standard effective January 1, 2019 using the modified retrospective transition method. We elected the package of practical expedients available for expired or existing contracts, which allowed us to carryforward our historical assessments of (1) whether contracts are, or contain, leases, (2) lease classification and (3) initial direct costs. The Company secured new software to account for the change in accounting for leases. In addition, the Company is designing and implementing new processes and controls. The most significant changes relate to the recognition of right-of-use assets and significant lease liabilities on our consolidated balance sheet as a result of our operating lease obligations, as well as the impact of new disclosure requirements. Adoption of the new standard did not have a significant impact to our results of operations or liquidity.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7" w:lineRule="exact"/>
        <w:rPr>
          <w:sz w:val="20"/>
          <w:szCs w:val="20"/>
          <w:color w:val="auto"/>
        </w:rPr>
      </w:pPr>
    </w:p>
    <w:p>
      <w:pPr>
        <w:ind w:right="120" w:firstLine="484"/>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changes the impairment model for most financial assets and certain other instruments. Under the new standard, entities holding</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The Company is currently evaluating the impact of adopting this standard.</w:t>
      </w:r>
    </w:p>
    <w:p>
      <w:pPr>
        <w:spacing w:after="0" w:line="124" w:lineRule="exact"/>
        <w:rPr>
          <w:sz w:val="20"/>
          <w:szCs w:val="20"/>
          <w:color w:val="auto"/>
        </w:rPr>
      </w:pPr>
    </w:p>
    <w:p>
      <w:pPr>
        <w:ind w:right="220" w:firstLine="484"/>
        <w:spacing w:after="0" w:line="276"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Adoption of the new standard is not expected to have an impact to our results of operations or liquidity.</w:t>
      </w:r>
    </w:p>
    <w:p>
      <w:pPr>
        <w:sectPr>
          <w:pgSz w:w="11900" w:h="16838" w:orient="portrait"/>
          <w:cols w:equalWidth="0" w:num="1">
            <w:col w:w="11400"/>
          </w:cols>
          <w:pgMar w:left="240" w:top="121" w:right="259"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firstLine="484"/>
        <w:spacing w:after="0" w:line="297"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w:t>
      </w:r>
      <w:r>
        <w:rPr>
          <w:rFonts w:ascii="Arial" w:cs="Arial" w:eastAsia="Arial" w:hAnsi="Arial"/>
          <w:sz w:val="16"/>
          <w:szCs w:val="16"/>
          <w:color w:val="auto"/>
        </w:rPr>
        <w:t>’</w:t>
      </w:r>
      <w:r>
        <w:rPr>
          <w:rFonts w:ascii="Arial" w:cs="Arial" w:eastAsia="Arial" w:hAnsi="Arial"/>
          <w:sz w:val="16"/>
          <w:szCs w:val="16"/>
          <w:i w:val="1"/>
          <w:iCs w:val="1"/>
          <w:color w:val="auto"/>
        </w:rPr>
        <w:t>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Implementation Costs Incurred in a Cloud Computing Arrangement That is a Service Contract</w:t>
      </w:r>
      <w:r>
        <w:rPr>
          <w:rFonts w:ascii="Arial" w:cs="Arial" w:eastAsia="Arial" w:hAnsi="Arial"/>
          <w:sz w:val="16"/>
          <w:szCs w:val="16"/>
          <w:color w:val="auto"/>
        </w:rPr>
        <w:t>. ASU 2018-15 requires customers in a hosting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a service contract to follow the internal-use software guidance in Accounting Standards Codification (“ASC”) 350-40 to determine which implementation costs to capitalize as assets or expense as incurred. The ASU is effective for annual periods, including interim periods within those annual periods, beginning after December 15, 2019. Early adoption is permitted. The Company is currently assessing the impact of adopting this standard.</w:t>
      </w:r>
    </w:p>
    <w:p>
      <w:pPr>
        <w:spacing w:after="0" w:line="168" w:lineRule="exact"/>
        <w:rPr>
          <w:sz w:val="20"/>
          <w:szCs w:val="20"/>
          <w:color w:val="auto"/>
        </w:rPr>
      </w:pPr>
    </w:p>
    <w:p>
      <w:pPr>
        <w:ind w:right="7860" w:firstLine="8"/>
        <w:spacing w:after="0" w:line="33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Revenue Recognition</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Personal Care Revenue</w:t>
      </w:r>
    </w:p>
    <w:p>
      <w:pPr>
        <w:spacing w:after="0" w:line="77" w:lineRule="exact"/>
        <w:rPr>
          <w:sz w:val="20"/>
          <w:szCs w:val="20"/>
          <w:color w:val="auto"/>
        </w:rPr>
      </w:pPr>
    </w:p>
    <w:p>
      <w:pPr>
        <w:ind w:right="20" w:firstLine="484"/>
        <w:spacing w:after="0" w:line="289" w:lineRule="auto"/>
        <w:rPr>
          <w:sz w:val="20"/>
          <w:szCs w:val="20"/>
          <w:color w:val="auto"/>
        </w:rPr>
      </w:pPr>
      <w:r>
        <w:rPr>
          <w:rFonts w:ascii="Arial" w:cs="Arial" w:eastAsia="Arial" w:hAnsi="Arial"/>
          <w:sz w:val="16"/>
          <w:szCs w:val="16"/>
          <w:color w:val="auto"/>
        </w:rPr>
        <w:t>The majority of the Company’s net service revenues are generated from providing personal care services directly to consumers under contracts with state, local and other governmental agencies, managed care organizations, commercial insurers and private consumers. Generally, these contracts, which are negotiated based on current contracting practices as appropriate for the payor, establish the terms of a customer relationship and set the broad range of terms for services to be performed at a stated rate. However, the contracts do not give rise to rights and obligations until an order is placed with the Company. When an order is placed, it creates the performance obligation to provide a defined quantity of service hours, or authorized hours, per consumer. The Company satisfies its performance obligations over time, given that consumers simultaneously receive and consume the benefits provided by the Company as the services are performed. As the Company has a right to consideration from customers commensurate with the value provided to customers from the performance completed over a given invoice period, the Company has elected to use the practical expedient for measuring progress toward satisfaction of performance obligations and recognizes patient service revenue in the amount to which the Company has a right to invoice.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Hospice Revenue</w:t>
      </w:r>
    </w:p>
    <w:p>
      <w:pPr>
        <w:spacing w:after="0" w:line="77" w:lineRule="exact"/>
        <w:rPr>
          <w:sz w:val="20"/>
          <w:szCs w:val="20"/>
          <w:color w:val="auto"/>
        </w:rPr>
      </w:pPr>
    </w:p>
    <w:p>
      <w:pPr>
        <w:ind w:right="60" w:firstLine="484"/>
        <w:spacing w:after="0" w:line="293" w:lineRule="auto"/>
        <w:rPr>
          <w:sz w:val="20"/>
          <w:szCs w:val="20"/>
          <w:color w:val="auto"/>
        </w:rPr>
      </w:pPr>
      <w:r>
        <w:rPr>
          <w:rFonts w:ascii="Arial" w:cs="Arial" w:eastAsia="Arial" w:hAnsi="Arial"/>
          <w:sz w:val="16"/>
          <w:szCs w:val="16"/>
          <w:color w:val="auto"/>
        </w:rPr>
        <w:t>The Company generates net service revenues from providing hospice services to terminally ill consumers and their families. Net service revenues are recognized as services are provided and costs for delivery of such services are incurred. The estimated payment rates are daily rates for each of the levels of care the Company delivers. Hospice companies are subject to two specific payment limit caps under the Medicare program each federal fiscal year, the inpatient cap and the aggregate cap. The inpatient cap limits the number of inpatient care days provided to no more than 20% of the total days of hospice care provided to Medicare patients for the year. The aggregate cap limits the amount of Medicare reimbursement a hospice may receive, based on the number of Medicare patients served. For the three months ended March 31, 2019, the Company was below the payment limits and did not record a cap liability.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Home Health Revenue</w:t>
      </w:r>
    </w:p>
    <w:p>
      <w:pPr>
        <w:spacing w:after="0" w:line="90" w:lineRule="exact"/>
        <w:rPr>
          <w:sz w:val="20"/>
          <w:szCs w:val="20"/>
          <w:color w:val="auto"/>
        </w:rPr>
      </w:pPr>
    </w:p>
    <w:p>
      <w:pPr>
        <w:ind w:right="120" w:firstLine="484"/>
        <w:spacing w:after="0" w:line="286" w:lineRule="auto"/>
        <w:rPr>
          <w:sz w:val="20"/>
          <w:szCs w:val="20"/>
          <w:color w:val="auto"/>
        </w:rPr>
      </w:pPr>
      <w:r>
        <w:rPr>
          <w:rFonts w:ascii="Arial" w:cs="Arial" w:eastAsia="Arial" w:hAnsi="Arial"/>
          <w:sz w:val="16"/>
          <w:szCs w:val="16"/>
          <w:color w:val="auto"/>
        </w:rPr>
        <w:t>The Company also generates net service revenues from providing home healthcare services directly to consumers mainly under contracts with Medicare and managed care organizations. Generally, these contracts, which are negotiated based on current contracting practices as appropriate for the payor, establish the terms of a relationship and set the broad range of terms for services to be performed on an episodic basis at a stated rate. Home health Medicare services are paid under the Medicare Home Health Prospective Payment System (“HHPPS”), which is based on a 60-day episode of care. The HHPPS permits multiple, continuous episodes per patient. Medicare payment rates for episodes under HHPPS vary based on the severity of the patient’s condition as determined by assessment of a patient’s Home Health Resource Group score. The Company elects to use the same 60-day length of episode that Medicare recognizes as standard but accelerates revenue upon discharge to align with a patient’s episode length if less than the expected 60 days, which depicts the transfer of services and related benefits received by the patient over the term of the contract necessary to satisfy the obligations. The Company recognizes revenue based on the number of days elapsed during an episode of care within the reporting period. The Company satisfies its performance obligations as consumers receive and consume the benefits provided by the Company as the services are performed. As the Company has a right to reimbursement from Medicare commensurate with the services provided to customers from the performance completed over a given episodic period, the Company has elected to use the practical expedient for measuring progress toward satisfaction of performance obligations. Under this method recognizing revenue ratably over the episode based on beginning and ending dates is a reasonable proxy for the transfer of benefit of the service.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Implicit Price Concessions</w:t>
      </w:r>
    </w:p>
    <w:p>
      <w:pPr>
        <w:spacing w:after="0" w:line="77" w:lineRule="exact"/>
        <w:rPr>
          <w:sz w:val="20"/>
          <w:szCs w:val="20"/>
          <w:color w:val="auto"/>
        </w:rPr>
      </w:pPr>
    </w:p>
    <w:p>
      <w:pPr>
        <w:ind w:right="100" w:firstLine="484"/>
        <w:spacing w:after="0" w:line="257" w:lineRule="auto"/>
        <w:rPr>
          <w:sz w:val="20"/>
          <w:szCs w:val="20"/>
          <w:color w:val="auto"/>
        </w:rPr>
      </w:pPr>
      <w:r>
        <w:rPr>
          <w:rFonts w:ascii="Arial" w:cs="Arial" w:eastAsia="Arial" w:hAnsi="Arial"/>
          <w:sz w:val="18"/>
          <w:szCs w:val="18"/>
          <w:color w:val="auto"/>
        </w:rPr>
        <w:t>We record estimated implicit price concessions (based primarily on historical collection experience) related to uninsured accounts to record self-pay revenues at the estimated amounts we expect to collect. The estimates for implicit price concessions are based upon management’s assessment of historical write offs and expected net collections, business and economic conditions, trends in federal, state and private employer health care coverage and other collection indicators. The Company recorded $2.2 million and $2.0 million for the three months ended March 31, 2019 and 2018, respectively, as a reduction to revenue.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120" w:firstLine="484"/>
        <w:spacing w:after="0" w:line="257" w:lineRule="auto"/>
        <w:rPr>
          <w:sz w:val="20"/>
          <w:szCs w:val="20"/>
          <w:color w:val="auto"/>
        </w:rPr>
      </w:pPr>
      <w:r>
        <w:rPr>
          <w:rFonts w:ascii="Arial" w:cs="Arial" w:eastAsia="Arial" w:hAnsi="Arial"/>
          <w:sz w:val="18"/>
          <w:szCs w:val="18"/>
          <w:color w:val="auto"/>
        </w:rPr>
        <w:t>We are paid for our services primarily by federal, state and local agencies under Medicaid and Medicare programs, managed care organizations, commercial insurance companies and private consumers. While our accounts receivable are uncollateralized, our credit risk is somewhat limited due to the significance of governmental payors to our financial results of operations. Laws and regulations governing the governmental programs in which we participate are complex and subject to interpretation and change. Subsequent adjustments that are determined to be the result of an adverse change in the payor’s ability to pay are recognized as allowance for doubtful accounts. As of March 31, 2019 and December 31, 2018, the allowance for doubtful accounts balance was $0.8 million and $0.7 million, which is included in the account receivable, net of allowances on the Company’s Unaudited Condensed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Property and equipment are recorded at cost and depreciated over the estimated useful lives of the related assets by use of the straight-line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charged to expense as incurred. The estimated useful lives of the property and equipment are as follows:</w:t>
      </w:r>
    </w:p>
    <w:p>
      <w:pPr>
        <w:spacing w:after="0" w:line="212" w:lineRule="exact"/>
        <w:rPr>
          <w:sz w:val="20"/>
          <w:szCs w:val="20"/>
          <w:color w:val="auto"/>
        </w:rPr>
      </w:pPr>
    </w:p>
    <w:tbl>
      <w:tblPr>
        <w:tblLayout w:type="fixed"/>
        <w:tblInd w:w="2080" w:type="dxa"/>
        <w:tblCellMar>
          <w:top w:w="0" w:type="dxa"/>
          <w:left w:w="0" w:type="dxa"/>
          <w:bottom w:w="0" w:type="dxa"/>
          <w:right w:w="0" w:type="dxa"/>
        </w:tblCellMar>
      </w:tblP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 – 5 years</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3960" w:type="dxa"/>
            <w:vAlign w:val="bottom"/>
          </w:tcPr>
          <w:p>
            <w:pPr>
              <w:jc w:val="right"/>
              <w:ind w:right="30"/>
              <w:spacing w:after="0"/>
              <w:rPr>
                <w:sz w:val="20"/>
                <w:szCs w:val="20"/>
                <w:color w:val="auto"/>
              </w:rPr>
            </w:pPr>
            <w:r>
              <w:rPr>
                <w:rFonts w:ascii="Arial" w:cs="Arial" w:eastAsia="Arial" w:hAnsi="Arial"/>
                <w:sz w:val="18"/>
                <w:szCs w:val="18"/>
                <w:color w:val="auto"/>
              </w:rPr>
              <w:t>5 – 7 years</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3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 years</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Computer software</w:t>
            </w:r>
          </w:p>
        </w:tc>
        <w:tc>
          <w:tcPr>
            <w:tcW w:w="3960" w:type="dxa"/>
            <w:vAlign w:val="bottom"/>
          </w:tcPr>
          <w:p>
            <w:pPr>
              <w:jc w:val="right"/>
              <w:ind w:right="30"/>
              <w:spacing w:after="0"/>
              <w:rPr>
                <w:sz w:val="20"/>
                <w:szCs w:val="20"/>
                <w:color w:val="auto"/>
              </w:rPr>
            </w:pPr>
            <w:r>
              <w:rPr>
                <w:rFonts w:ascii="Arial" w:cs="Arial" w:eastAsia="Arial" w:hAnsi="Arial"/>
                <w:sz w:val="18"/>
                <w:szCs w:val="18"/>
                <w:color w:val="auto"/>
              </w:rPr>
              <w:t>3 –10 years</w:t>
            </w:r>
          </w:p>
        </w:tc>
      </w:tr>
      <w:tr>
        <w:trPr>
          <w:trHeight w:val="24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Lesser of useful life or lease term</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firstLine="484"/>
        <w:spacing w:after="0" w:line="270" w:lineRule="auto"/>
        <w:rPr>
          <w:sz w:val="20"/>
          <w:szCs w:val="20"/>
          <w:color w:val="auto"/>
        </w:rPr>
      </w:pPr>
      <w:r>
        <w:rPr>
          <w:rFonts w:ascii="Arial" w:cs="Arial" w:eastAsia="Arial" w:hAnsi="Arial"/>
          <w:sz w:val="17"/>
          <w:szCs w:val="17"/>
          <w:color w:val="auto"/>
        </w:rPr>
        <w:t xml:space="preserve">The Company’s carrying value of goodwill is the excess of the purchase price over the fair value of the net assets acquired from various acquisitions. In accordance with ASC Topic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goodwill and intangible assets with indefinite useful lives are not amortized. The Company tests goodwill for impairment at the reporting unit level on an annual basis, as of October 1, or whenever potential impairment triggers occur, such as a significant change in business climate or regulatory changes that would indicate that an impairment may have occurred. The Company may use a qualitative test, known as “Step 0,” or a two-step quantitative method to determine whether impairment has occurred. In Step 0, the Company can elect to perform an optional qualitative analysis and based on the results can skip the two-step analysis. Additionally, it is the Company’s policy to update the fair value calculation of our reporting units and perform the quantitative goodwill impairment test on a periodic basis. In 2018, the Company performed the quantitative analysis to evaluate whether an impairment occurred. The Company concluded that there were no impairments for the year ended December 31, 2018. No impairment charges were recorded for the three months ended March 31, 2019 or 2018. As of March 31, 2019 and December 31, 2018, goodwill was $135.4 million, included in the Company’s Unaudited Condensed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180" w:firstLine="484"/>
        <w:spacing w:after="0" w:line="272" w:lineRule="auto"/>
        <w:rPr>
          <w:sz w:val="20"/>
          <w:szCs w:val="20"/>
          <w:color w:val="auto"/>
        </w:rPr>
      </w:pPr>
      <w:r>
        <w:rPr>
          <w:rFonts w:ascii="Arial" w:cs="Arial" w:eastAsia="Arial" w:hAnsi="Arial"/>
          <w:sz w:val="17"/>
          <w:szCs w:val="17"/>
          <w:color w:val="auto"/>
        </w:rPr>
        <w:t xml:space="preserve">The Company’s identifiable intangible assets consist of customer and referral relationships, trade names, trademarks, state licenses and non-compete agreements. The Company uses various valuation techniques to determine initial fair value of its intangible assets, including relief-from-royalty, income approach methods, and discounted cash flow analysis, which use significant unobservable inputs, or Level 3 inputs, as defined by the fair value hierarchy in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Under these valuation approaches, we are required to make estimates and assumptions about future market growth and trends, forecasted revenue and costs, expected periods over which the assets will be utilized, appropriate discount rates and other variables. The Company bases its fair value estimates on assumptions the Company believes to be reasonable but which are unpredictable and inherently uncertain. Actual future results may differ from those estimates.</w:t>
      </w:r>
    </w:p>
    <w:p>
      <w:pPr>
        <w:spacing w:after="0" w:line="124" w:lineRule="exact"/>
        <w:rPr>
          <w:sz w:val="20"/>
          <w:szCs w:val="20"/>
          <w:color w:val="auto"/>
        </w:rPr>
      </w:pPr>
    </w:p>
    <w:p>
      <w:pPr>
        <w:ind w:right="80" w:firstLine="484"/>
        <w:spacing w:after="0" w:line="270" w:lineRule="auto"/>
        <w:rPr>
          <w:sz w:val="20"/>
          <w:szCs w:val="20"/>
          <w:color w:val="auto"/>
        </w:rPr>
      </w:pPr>
      <w:r>
        <w:rPr>
          <w:rFonts w:ascii="Arial" w:cs="Arial" w:eastAsia="Arial" w:hAnsi="Arial"/>
          <w:sz w:val="17"/>
          <w:szCs w:val="17"/>
          <w:color w:val="auto"/>
        </w:rPr>
        <w:t xml:space="preserve">Amortization is computed using straight-line and accelerated methods based upon the estimated useful lives of the respective assets, which range from three to twenty-five years and assessed for impairment whenever events or changes in circumstances indicate that the carrying amount may not be recoverable. The Company would recognize an impairment loss when the estimated future non-discounted cash flows associated with the intangible asset are less than the carrying value. An impairment charge would then be recorded for the excess of the carrying value over the fair value. The Company estimates the fair value of these intangible assets using the income approach. In accordance with ASC Topic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intangible assets with indefinite useful lives are not amortized.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No impairment charge was recorded for the three months ended March 31, 2019 and 2018. As of March 31, 2019 and December 31, 2018, intangibles, net of accumulated depreciation and amortization was $22.5 million and $23.8 million, respectively, included in the Company’s Unaudited Condensed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7" w:lineRule="exact"/>
        <w:rPr>
          <w:sz w:val="20"/>
          <w:szCs w:val="20"/>
          <w:color w:val="auto"/>
        </w:rPr>
      </w:pPr>
    </w:p>
    <w:p>
      <w:pPr>
        <w:ind w:right="20" w:firstLine="484"/>
        <w:spacing w:after="0" w:line="264" w:lineRule="auto"/>
        <w:rPr>
          <w:sz w:val="20"/>
          <w:szCs w:val="20"/>
          <w:color w:val="auto"/>
        </w:rPr>
      </w:pPr>
      <w:r>
        <w:rPr>
          <w:rFonts w:ascii="Arial" w:cs="Arial" w:eastAsia="Arial" w:hAnsi="Arial"/>
          <w:sz w:val="18"/>
          <w:szCs w:val="18"/>
          <w:color w:val="auto"/>
        </w:rPr>
        <w:t>The Company amortizes debt issuance costs on a straight-line method over the term of the related debt. This method approximates the effective interest method. Debt issuance costs are classified as a current portion of long-term debt or long-term debt, less current portion as of March 31, 2019 and December 31, 2018.</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90" w:lineRule="exact"/>
        <w:rPr>
          <w:sz w:val="20"/>
          <w:szCs w:val="20"/>
          <w:color w:val="auto"/>
        </w:rPr>
      </w:pPr>
    </w:p>
    <w:p>
      <w:pPr>
        <w:ind w:right="20" w:firstLine="484"/>
        <w:spacing w:after="0" w:line="285" w:lineRule="auto"/>
        <w:rPr>
          <w:sz w:val="20"/>
          <w:szCs w:val="20"/>
          <w:color w:val="auto"/>
        </w:rPr>
      </w:pPr>
      <w:r>
        <w:rPr>
          <w:rFonts w:ascii="Arial" w:cs="Arial" w:eastAsia="Arial" w:hAnsi="Arial"/>
          <w:sz w:val="16"/>
          <w:szCs w:val="16"/>
          <w:color w:val="auto"/>
        </w:rPr>
        <w:t>The Company’s workers’ compensation insurance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The Company monitors its claims quarterly and adjusts its reserves accordingly. These costs are recorded primarily as the cost of services on the Company’s Unaudited Condensed Consolidated Statements of Income. As of March 31, 2019 and December 31, 2018, the Company recorded $14.5 million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$15.2 million, respectively, in workers’ compensation insurance. As of March 31, 2019 and December 31, 2018, the Company recorded $1.6 million and</w:t>
      </w:r>
    </w:p>
    <w:p>
      <w:pPr>
        <w:spacing w:after="0" w:line="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$1.7 million, respectively, in workers’ compensation insurance recovery receivables. The workers’ compensation insurance recovery receivable is included in prepaid expenses and other current assets on the Company’s Unaudited Condensed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77" w:lineRule="exact"/>
        <w:rPr>
          <w:sz w:val="20"/>
          <w:szCs w:val="20"/>
          <w:color w:val="auto"/>
        </w:rPr>
      </w:pPr>
    </w:p>
    <w:p>
      <w:pPr>
        <w:ind w:firstLine="484"/>
        <w:spacing w:after="0" w:line="259" w:lineRule="auto"/>
        <w:rPr>
          <w:sz w:val="20"/>
          <w:szCs w:val="20"/>
          <w:color w:val="auto"/>
        </w:rPr>
      </w:pPr>
      <w:r>
        <w:rPr>
          <w:rFonts w:ascii="Arial" w:cs="Arial" w:eastAsia="Arial" w:hAnsi="Arial"/>
          <w:sz w:val="18"/>
          <w:szCs w:val="18"/>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three months ended March 31, 2019, the Company received $0.1 million in prompt payment interest. For the three months ended March 31, 2018, the Company received $2.3 million in prompt payment interest.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7" w:lineRule="exact"/>
        <w:rPr>
          <w:sz w:val="20"/>
          <w:szCs w:val="20"/>
          <w:color w:val="auto"/>
        </w:rPr>
      </w:pPr>
    </w:p>
    <w:p>
      <w:pPr>
        <w:ind w:right="80" w:firstLine="484"/>
        <w:spacing w:after="0" w:line="277" w:lineRule="auto"/>
        <w:rPr>
          <w:sz w:val="20"/>
          <w:szCs w:val="20"/>
          <w:color w:val="auto"/>
        </w:rPr>
      </w:pPr>
      <w:r>
        <w:rPr>
          <w:rFonts w:ascii="Arial" w:cs="Arial" w:eastAsia="Arial" w:hAnsi="Arial"/>
          <w:sz w:val="18"/>
          <w:szCs w:val="18"/>
          <w:color w:val="auto"/>
        </w:rPr>
        <w:t>The Company’s interest expense consists of interest and unused credit line fees on its credit facilities, its Terminated Senior Credit Facility (as defined herein), and interest on its financing lease obligations, which is reported in the statement of income when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100" w:firstLine="484"/>
        <w:spacing w:after="0" w:line="254" w:lineRule="auto"/>
        <w:rPr>
          <w:sz w:val="20"/>
          <w:szCs w:val="20"/>
          <w:color w:val="auto"/>
        </w:rPr>
      </w:pPr>
      <w:r>
        <w:rPr>
          <w:rFonts w:ascii="Arial" w:cs="Arial" w:eastAsia="Arial" w:hAnsi="Arial"/>
          <w:sz w:val="18"/>
          <w:szCs w:val="18"/>
          <w:color w:val="auto"/>
        </w:rPr>
        <w:t xml:space="preserve">The Company accounts for income taxes under the provisions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objective of accounting for income taxes is to recognize the amount of taxes payable or refundable for the current year and deferred tax liabilities and assets for the future tax consequences of events that have been recognized in its financial statements or tax returns. Deferred taxes, resulting from differences between the financial and tax basis of the Company’s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20" w:firstLine="484"/>
        <w:spacing w:after="0" w:line="271" w:lineRule="auto"/>
        <w:rPr>
          <w:sz w:val="20"/>
          <w:szCs w:val="20"/>
          <w:color w:val="auto"/>
        </w:rPr>
      </w:pPr>
      <w:r>
        <w:rPr>
          <w:rFonts w:ascii="Arial" w:cs="Arial" w:eastAsia="Arial" w:hAnsi="Arial"/>
          <w:sz w:val="17"/>
          <w:szCs w:val="17"/>
          <w:color w:val="auto"/>
        </w:rPr>
        <w:t xml:space="preserve">The Company currently has one stock incentive plan, the 2017 Omnibus Incentive Plan (the “2017 Plan”), under which new grants of stock-based employee compensation may be made. In addition, the Company has outstanding awards under its 2009 Stock Incentive Plan, as amended and restated. The Company accounts for stock-based compensation in accordance with ASC Topic 718, </w:t>
      </w:r>
      <w:r>
        <w:rPr>
          <w:rFonts w:ascii="Arial" w:cs="Arial" w:eastAsia="Arial" w:hAnsi="Arial"/>
          <w:sz w:val="17"/>
          <w:szCs w:val="17"/>
          <w:i w:val="1"/>
          <w:iCs w:val="1"/>
          <w:color w:val="auto"/>
        </w:rPr>
        <w:t>Stock Compensation</w:t>
      </w:r>
      <w:r>
        <w:rPr>
          <w:rFonts w:ascii="Arial" w:cs="Arial" w:eastAsia="Arial" w:hAnsi="Arial"/>
          <w:sz w:val="17"/>
          <w:szCs w:val="17"/>
          <w:color w:val="auto"/>
        </w:rPr>
        <w:t>. Under the 2017 Plan, compensation expense is recognized on a straight-line basis over the vesting period of the equity awards based on the grant date fair value of the options and restricted stock awards. The Company uses the Black-Scholes Option Pricing Model to value the Company’s options. The determination of the fair value of stock-based payments utilizing the Black-Scholes Model is affected by the Company’s stock price and a number of assumptions, including expected volatility, risk-free interest rate, expected term, and expected dividends yield. Stock-based compensation expense was $1.2 million and $0.9 million for the three months ended March 31, 2019 and 2018,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77" w:lineRule="exact"/>
        <w:rPr>
          <w:sz w:val="20"/>
          <w:szCs w:val="20"/>
          <w:color w:val="auto"/>
        </w:rPr>
      </w:pPr>
    </w:p>
    <w:p>
      <w:pPr>
        <w:ind w:right="60" w:firstLine="484"/>
        <w:spacing w:after="0" w:line="34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70" w:lineRule="exact"/>
        <w:rPr>
          <w:sz w:val="20"/>
          <w:szCs w:val="20"/>
          <w:color w:val="auto"/>
        </w:rPr>
      </w:pPr>
    </w:p>
    <w:p>
      <w:pPr>
        <w:ind w:right="340" w:firstLine="484"/>
        <w:spacing w:after="0" w:line="264" w:lineRule="auto"/>
        <w:rPr>
          <w:sz w:val="20"/>
          <w:szCs w:val="20"/>
          <w:color w:val="auto"/>
        </w:rPr>
      </w:pPr>
      <w:r>
        <w:rPr>
          <w:rFonts w:ascii="Arial" w:cs="Arial" w:eastAsia="Arial" w:hAnsi="Arial"/>
          <w:sz w:val="18"/>
          <w:szCs w:val="18"/>
          <w:color w:val="auto"/>
        </w:rPr>
        <w:t>Included in the Company’s calculation of diluted earnings per share for the three months ended March 31, 2019 were approximately 685,000 stock options outstanding, of which approximately 303,000 were dilutive. In addition, there were approximately 153,000 restricted stock awards outstanding, 83,000 of which were dilutive for the three months ended March 31, 2019.</w:t>
      </w:r>
    </w:p>
    <w:p>
      <w:pPr>
        <w:spacing w:after="0" w:line="127" w:lineRule="exact"/>
        <w:rPr>
          <w:sz w:val="20"/>
          <w:szCs w:val="20"/>
          <w:color w:val="auto"/>
        </w:rPr>
      </w:pPr>
    </w:p>
    <w:p>
      <w:pPr>
        <w:ind w:right="340" w:firstLine="484"/>
        <w:spacing w:after="0" w:line="264" w:lineRule="auto"/>
        <w:rPr>
          <w:sz w:val="20"/>
          <w:szCs w:val="20"/>
          <w:color w:val="auto"/>
        </w:rPr>
      </w:pPr>
      <w:r>
        <w:rPr>
          <w:rFonts w:ascii="Arial" w:cs="Arial" w:eastAsia="Arial" w:hAnsi="Arial"/>
          <w:sz w:val="18"/>
          <w:szCs w:val="18"/>
          <w:color w:val="auto"/>
        </w:rPr>
        <w:t>Included in the Company’s calculation of diluted earnings per share for the three months ended March 31, 2018 were approximately 746,000 stock options outstanding, of which approximately 129,000 were dilutive. In addition, there were approximately 166,000 restricted stock awards outstanding, 65,000 of which were dilutive for the three months ended March 31,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90" w:lineRule="exact"/>
        <w:rPr>
          <w:sz w:val="20"/>
          <w:szCs w:val="20"/>
          <w:color w:val="auto"/>
        </w:rPr>
      </w:pPr>
    </w:p>
    <w:p>
      <w:pPr>
        <w:ind w:right="140" w:firstLine="484"/>
        <w:spacing w:after="0" w:line="302" w:lineRule="auto"/>
        <w:rPr>
          <w:sz w:val="20"/>
          <w:szCs w:val="20"/>
          <w:color w:val="auto"/>
        </w:rPr>
      </w:pPr>
      <w:r>
        <w:rPr>
          <w:rFonts w:ascii="Arial" w:cs="Arial" w:eastAsia="Arial" w:hAnsi="Arial"/>
          <w:sz w:val="16"/>
          <w:szCs w:val="16"/>
          <w:color w:val="auto"/>
        </w:rPr>
        <w:t>The financial statements are prepared by management in conformity with GAAP and include estimated amounts and certain disclosures based on assumptions about future events. The Company’s critical accounting estimates include the following areas: implicit price concessions, the allowance for doubtful accounts, reserve for self-insurance claims, accounting for stock-based compensation, accounting for lease incremental borrowing rates, accounting for income taxes, business combinations and when required, the quantitative assessment of goodwill. Actual results could differ from those estimates.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77" w:lineRule="exact"/>
        <w:rPr>
          <w:sz w:val="20"/>
          <w:szCs w:val="20"/>
          <w:color w:val="auto"/>
        </w:rPr>
      </w:pPr>
    </w:p>
    <w:p>
      <w:pPr>
        <w:ind w:right="160" w:firstLine="484"/>
        <w:spacing w:after="0" w:line="279" w:lineRule="auto"/>
        <w:rPr>
          <w:sz w:val="20"/>
          <w:szCs w:val="20"/>
          <w:color w:val="auto"/>
        </w:rPr>
      </w:pPr>
      <w:r>
        <w:rPr>
          <w:rFonts w:ascii="Arial" w:cs="Arial" w:eastAsia="Arial" w:hAnsi="Arial"/>
          <w:sz w:val="17"/>
          <w:szCs w:val="17"/>
          <w:color w:val="auto"/>
        </w:rPr>
        <w:t xml:space="preserve">The Company’s financial instruments consist of cash, accounts receivable, payables and debt. The carrying amounts reported on the Company’s Unaudited Condensed Consolidated Balance Sheets for cash, accounts receivable, accounts payable and accrued expenses approximate fair value because of the short-term nature of these instruments. The carrying value of the Company’s long-term debt with variable interest rates approximates fair value based on instruments with similar terms using level 2 inputs as defined under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77" w:lineRule="exact"/>
        <w:rPr>
          <w:sz w:val="20"/>
          <w:szCs w:val="20"/>
          <w:color w:val="auto"/>
        </w:rPr>
      </w:pPr>
    </w:p>
    <w:p>
      <w:pPr>
        <w:ind w:right="40" w:firstLine="484"/>
        <w:spacing w:after="0" w:line="279" w:lineRule="auto"/>
        <w:rPr>
          <w:sz w:val="20"/>
          <w:szCs w:val="20"/>
          <w:color w:val="auto"/>
        </w:rPr>
      </w:pPr>
      <w:r>
        <w:rPr>
          <w:rFonts w:ascii="Arial" w:cs="Arial" w:eastAsia="Arial" w:hAnsi="Arial"/>
          <w:sz w:val="17"/>
          <w:szCs w:val="17"/>
          <w:color w:val="auto"/>
        </w:rPr>
        <w:t>In connection with the preparation of the financial statements for the three months ended March 31, 2019 and 2018,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The evaluation concluded that there did not appear to be evidence of substantial doubt of the entity’s ability to continue as a going concern.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94" w:lineRule="exact"/>
        <w:rPr>
          <w:sz w:val="20"/>
          <w:szCs w:val="20"/>
          <w:color w:val="auto"/>
        </w:rPr>
      </w:pPr>
    </w:p>
    <w:p>
      <w:pPr>
        <w:ind w:right="20" w:firstLine="484"/>
        <w:spacing w:after="0" w:line="272" w:lineRule="auto"/>
        <w:rPr>
          <w:sz w:val="20"/>
          <w:szCs w:val="20"/>
          <w:color w:val="auto"/>
        </w:rPr>
      </w:pPr>
      <w:r>
        <w:rPr>
          <w:rFonts w:ascii="Arial" w:cs="Arial" w:eastAsia="Arial" w:hAnsi="Arial"/>
          <w:sz w:val="17"/>
          <w:szCs w:val="17"/>
          <w:color w:val="auto"/>
        </w:rPr>
        <w:t xml:space="preserve">During the quarter ended March 31, 2019, we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leases with durations greater than twelve months to be recognized on the balance sheet. We adopted the standard using the modified retrospective approach with an effective date as of the beginning of our fiscal year, January 1, 2019. Prior year financial statements were not recast under the new standard and, therefore, those amounts are not presented below. We elected the package of practical expedients available for expired or existing contracts, which allowed us to carryforward our historical assessments of (1) whether contracts are or contain leases, (2) lease classification and (3) initial direct costs. We also elected the practical expedients available for the consistent treatment of short-term leases for month-to-month leases and leases with a remaining term of less than one year and for all classes of assets we elected the practical expedient to aggregate lease and non-lease components.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historically had operating leases for local branches, our corporate headquarters and certain equipment, with lease expiration dates through</w:t>
      </w:r>
    </w:p>
    <w:p>
      <w:pPr>
        <w:spacing w:after="0" w:line="4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2029. Certain of our arrangements have free rent periods or escalating rent payment provisions. We recognize rent expense on a straight-line basis over the lease term. Our leases generally contain renewal options for periods ranging from one to five years. Because we are not reasonably certain to exercise these renewal options, the options generally are not considered in determining the lease term, and payments associated with the option years are excluded from lease payments.</w:t>
      </w:r>
    </w:p>
    <w:p>
      <w:pPr>
        <w:spacing w:after="0" w:line="136" w:lineRule="exact"/>
        <w:rPr>
          <w:sz w:val="20"/>
          <w:szCs w:val="20"/>
          <w:color w:val="auto"/>
        </w:rPr>
      </w:pPr>
    </w:p>
    <w:p>
      <w:pPr>
        <w:ind w:right="60" w:firstLine="484"/>
        <w:spacing w:after="0" w:line="264" w:lineRule="auto"/>
        <w:rPr>
          <w:sz w:val="20"/>
          <w:szCs w:val="20"/>
          <w:color w:val="auto"/>
        </w:rPr>
      </w:pPr>
      <w:r>
        <w:rPr>
          <w:rFonts w:ascii="Arial" w:cs="Arial" w:eastAsia="Arial" w:hAnsi="Arial"/>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27" w:lineRule="exact"/>
        <w:rPr>
          <w:sz w:val="20"/>
          <w:szCs w:val="20"/>
          <w:color w:val="auto"/>
        </w:rPr>
      </w:pPr>
    </w:p>
    <w:p>
      <w:pPr>
        <w:ind w:right="640" w:firstLine="484"/>
        <w:spacing w:after="0" w:line="277" w:lineRule="auto"/>
        <w:rPr>
          <w:sz w:val="20"/>
          <w:szCs w:val="20"/>
          <w:color w:val="auto"/>
        </w:rPr>
      </w:pPr>
      <w:r>
        <w:rPr>
          <w:rFonts w:ascii="Arial" w:cs="Arial" w:eastAsia="Arial" w:hAnsi="Arial"/>
          <w:sz w:val="18"/>
          <w:szCs w:val="18"/>
          <w:color w:val="auto"/>
        </w:rPr>
        <w:t>Amounts reported in the Company’s Unaudited Condensed Consolidated Balance Sheets as of March 31, 2019 for our operating leases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The Three Months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(Amounts 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60" w:type="dxa"/>
            <w:vAlign w:val="bottom"/>
            <w:tcBorders>
              <w:bottom w:val="single" w:sz="8" w:color="CFF0FC"/>
            </w:tcBorders>
          </w:tcPr>
          <w:p>
            <w:pPr>
              <w:spacing w:after="0"/>
              <w:rPr>
                <w:sz w:val="13"/>
                <w:szCs w:val="13"/>
                <w:color w:val="auto"/>
              </w:rPr>
            </w:pPr>
          </w:p>
        </w:tc>
        <w:tc>
          <w:tcPr>
            <w:tcW w:w="44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center"/>
              <w:ind w:right="180"/>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 of use assets, net</w:t>
            </w:r>
          </w:p>
        </w:tc>
        <w:tc>
          <w:tcPr>
            <w:tcW w:w="44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Short-term operating lease liabilities (in Accrued expenses)</w:t>
            </w:r>
          </w:p>
        </w:tc>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4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44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4440" w:type="dxa"/>
            <w:vAlign w:val="bottom"/>
            <w:vMerge w:val="restart"/>
          </w:tcPr>
          <w:p>
            <w:pPr>
              <w:jc w:val="right"/>
              <w:ind w:right="351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96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 Costs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Components of lease cost were reported in general and administrative expenses in the Company’s Unaudited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(Amounts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lease costs</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Lease Term and Discount Rate</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3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320" w:type="dxa"/>
            <w:vAlign w:val="bottom"/>
          </w:tcPr>
          <w:p>
            <w:pPr>
              <w:ind w:left="480"/>
              <w:spacing w:after="0"/>
              <w:rPr>
                <w:sz w:val="20"/>
                <w:szCs w:val="20"/>
                <w:color w:val="auto"/>
              </w:rPr>
            </w:pPr>
            <w:r>
              <w:rPr>
                <w:rFonts w:ascii="Arial" w:cs="Arial" w:eastAsia="Arial" w:hAnsi="Arial"/>
                <w:sz w:val="18"/>
                <w:szCs w:val="18"/>
                <w:color w:val="auto"/>
              </w:rPr>
              <w:t>Weighted average remaining lease terms and discount rates were as follows: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20" w:type="dxa"/>
            <w:vAlign w:val="bottom"/>
            <w:tcBorders>
              <w:bottom w:val="single" w:sz="8" w:color="CFF0FC"/>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ind w:left="1380"/>
              <w:spacing w:after="0"/>
              <w:rPr>
                <w:sz w:val="20"/>
                <w:szCs w:val="20"/>
                <w:color w:val="auto"/>
              </w:rPr>
            </w:pPr>
            <w:r>
              <w:rPr>
                <w:rFonts w:ascii="Arial" w:cs="Arial" w:eastAsia="Arial" w:hAnsi="Arial"/>
                <w:sz w:val="18"/>
                <w:szCs w:val="18"/>
                <w:color w:val="auto"/>
                <w:w w:val="85"/>
              </w:rPr>
              <w:t>4.02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80" w:type="dxa"/>
            <w:vAlign w:val="bottom"/>
            <w:gridSpan w:val="3"/>
            <w:shd w:val="clear" w:color="auto" w:fill="CFF0FC"/>
          </w:tcPr>
          <w:p>
            <w:pPr>
              <w:ind w:left="1380"/>
              <w:spacing w:after="0"/>
              <w:rPr>
                <w:sz w:val="20"/>
                <w:szCs w:val="20"/>
                <w:color w:val="auto"/>
              </w:rPr>
            </w:pPr>
            <w:r>
              <w:rPr>
                <w:rFonts w:ascii="Arial" w:cs="Arial" w:eastAsia="Arial" w:hAnsi="Arial"/>
                <w:sz w:val="18"/>
                <w:szCs w:val="18"/>
                <w:color w:val="auto"/>
                <w:w w:val="93"/>
              </w:rPr>
              <w:t>5.75%</w:t>
            </w:r>
          </w:p>
        </w:tc>
        <w:tc>
          <w:tcPr>
            <w:tcW w:w="0" w:type="dxa"/>
            <w:vAlign w:val="bottom"/>
          </w:tcPr>
          <w:p>
            <w:pPr>
              <w:spacing w:after="0"/>
              <w:rPr>
                <w:sz w:val="1"/>
                <w:szCs w:val="1"/>
                <w:color w:val="auto"/>
              </w:rPr>
            </w:pPr>
          </w:p>
        </w:tc>
      </w:tr>
      <w:tr>
        <w:trPr>
          <w:trHeight w:val="500"/>
        </w:trPr>
        <w:tc>
          <w:tcPr>
            <w:tcW w:w="9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Maturity of Lease Liabilities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320" w:type="dxa"/>
            <w:vAlign w:val="bottom"/>
          </w:tcPr>
          <w:p>
            <w:pPr>
              <w:ind w:left="480"/>
              <w:spacing w:after="0"/>
              <w:rPr>
                <w:sz w:val="20"/>
                <w:szCs w:val="20"/>
                <w:color w:val="auto"/>
              </w:rPr>
            </w:pPr>
            <w:r>
              <w:rPr>
                <w:rFonts w:ascii="Arial" w:cs="Arial" w:eastAsia="Arial" w:hAnsi="Arial"/>
                <w:sz w:val="18"/>
                <w:szCs w:val="18"/>
                <w:color w:val="auto"/>
              </w:rPr>
              <w:t>A summary of our remaining operating lease payments as of March 31, 2019 were as follows: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Operating Leases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(Amounts 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12 month period ended March 31,</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rPr>
              <w:t>2020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Thereafter</w:t>
            </w: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340" w:type="dxa"/>
            <w:vAlign w:val="bottom"/>
            <w:gridSpan w:val="2"/>
          </w:tcPr>
          <w:p>
            <w:pPr>
              <w:spacing w:after="0"/>
              <w:rPr>
                <w:sz w:val="20"/>
                <w:szCs w:val="20"/>
                <w:color w:val="auto"/>
              </w:rPr>
            </w:pPr>
            <w:r>
              <w:rPr>
                <w:rFonts w:ascii="Arial" w:cs="Arial" w:eastAsia="Arial" w:hAnsi="Arial"/>
                <w:sz w:val="18"/>
                <w:szCs w:val="18"/>
                <w:color w:val="auto"/>
              </w:rPr>
              <w:t>Total future minimum rental commitments</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Less: Imputed interest</w:t>
            </w: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Supplemental cash flow information</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3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For the 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(Amounts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17,660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Leases</w:t>
      </w:r>
    </w:p>
    <w:p>
      <w:pPr>
        <w:spacing w:after="0" w:line="77" w:lineRule="exact"/>
        <w:rPr>
          <w:sz w:val="20"/>
          <w:szCs w:val="20"/>
          <w:color w:val="auto"/>
        </w:rPr>
      </w:pPr>
    </w:p>
    <w:p>
      <w:pPr>
        <w:ind w:right="260" w:firstLine="484"/>
        <w:spacing w:after="0" w:line="277" w:lineRule="auto"/>
        <w:rPr>
          <w:sz w:val="20"/>
          <w:szCs w:val="20"/>
          <w:color w:val="auto"/>
        </w:rPr>
      </w:pPr>
      <w:r>
        <w:rPr>
          <w:rFonts w:ascii="Arial" w:cs="Arial" w:eastAsia="Arial" w:hAnsi="Arial"/>
          <w:sz w:val="18"/>
          <w:szCs w:val="18"/>
          <w:color w:val="auto"/>
        </w:rPr>
        <w:t>Some of our financing leases include provisions to purchase the asset at the conclusion of the lease. The treatment of these leases remains consistent and the transition does not have an impact on the accounting for these leases.</w:t>
      </w:r>
    </w:p>
    <w:p>
      <w:pPr>
        <w:spacing w:after="0" w:line="116" w:lineRule="exact"/>
        <w:rPr>
          <w:sz w:val="20"/>
          <w:szCs w:val="20"/>
          <w:color w:val="auto"/>
        </w:rPr>
      </w:pPr>
    </w:p>
    <w:p>
      <w:pPr>
        <w:ind w:right="740" w:firstLine="484"/>
        <w:spacing w:after="0" w:line="342" w:lineRule="auto"/>
        <w:rPr>
          <w:sz w:val="20"/>
          <w:szCs w:val="20"/>
          <w:color w:val="auto"/>
        </w:rPr>
      </w:pPr>
      <w:r>
        <w:rPr>
          <w:rFonts w:ascii="Arial" w:cs="Arial" w:eastAsia="Arial" w:hAnsi="Arial"/>
          <w:sz w:val="16"/>
          <w:szCs w:val="16"/>
          <w:color w:val="auto"/>
        </w:rPr>
        <w:t>As of March 31, 2019 and December 31, 2018 the Company has various financing leases (the underlying assets are included in “Property and equipment net of accumulated depreciation and amortization” in the accompanying the Company’s Unaudited Condensed Consolidated</w:t>
      </w:r>
    </w:p>
    <w:p>
      <w:pPr>
        <w:sectPr>
          <w:pgSz w:w="11900" w:h="16838" w:orient="portrait"/>
          <w:cols w:equalWidth="0" w:num="1">
            <w:col w:w="11420"/>
          </w:cols>
          <w:pgMar w:left="240" w:top="121"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Balance Sheets). The financing lease obligations totaled $48,000 and $0.1 million at March 31, 2019 and December 31, 2018, respectively, the current portion is recorded in accrued expense and the long-term portion is recorded in long-term debt, less current portion, net of debt issuance cost in the Company’s Unaudited Condensed Consolidated Balance Sheets. These require monthly payments through August 2020 and have implicit interest rates that range from 3.64% to 7.72%. At the end of the term, the Company has the option to purchase the assets for $1 per lease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94" w:lineRule="exact"/>
        <w:rPr>
          <w:sz w:val="20"/>
          <w:szCs w:val="20"/>
          <w:color w:val="auto"/>
        </w:rPr>
      </w:pPr>
    </w:p>
    <w:p>
      <w:pPr>
        <w:ind w:right="20" w:firstLine="484"/>
        <w:spacing w:after="0" w:line="255" w:lineRule="auto"/>
        <w:rPr>
          <w:sz w:val="20"/>
          <w:szCs w:val="20"/>
          <w:color w:val="auto"/>
        </w:rPr>
      </w:pPr>
      <w:r>
        <w:rPr>
          <w:rFonts w:ascii="Arial" w:cs="Arial" w:eastAsia="Arial" w:hAnsi="Arial"/>
          <w:sz w:val="18"/>
          <w:szCs w:val="18"/>
          <w:color w:val="auto"/>
        </w:rPr>
        <w:t>On May 1, 2018, the Company completed its acquisition of all the outstanding securities of Ambercare Corporation (“Ambercare”). The purchase price was approximately $39.6 million plus the amount of excess cash held by Ambercare at closing (approximately $12.0 million). The purchase of Ambercare was funded by a delayed draw term loan under the Company’s credit facility. With the purchase of Ambercare, the Company expanded its New Mexico personal care operations and acquired its hospice and home health segments in the state of New Mexico. The related integration costs of $0.1 million for the three months ended March 31, 2019, were included in general and administrative expenses on the Company’s Unaudited Condensed Consolidated Statements of Income, and were expensed as incurred. The results of Ambercare are included on the Company’s Unaudited Condensed Consolidated Statements of Income from the date of the acquisition.</w:t>
      </w:r>
    </w:p>
    <w:p>
      <w:pPr>
        <w:spacing w:after="0" w:line="135" w:lineRule="exact"/>
        <w:rPr>
          <w:sz w:val="20"/>
          <w:szCs w:val="20"/>
          <w:color w:val="auto"/>
        </w:rPr>
      </w:pPr>
    </w:p>
    <w:p>
      <w:pPr>
        <w:ind w:right="140" w:firstLine="484"/>
        <w:spacing w:after="0" w:line="276" w:lineRule="auto"/>
        <w:rPr>
          <w:sz w:val="20"/>
          <w:szCs w:val="20"/>
          <w:color w:val="auto"/>
        </w:rPr>
      </w:pPr>
      <w:r>
        <w:rPr>
          <w:rFonts w:ascii="Arial" w:cs="Arial" w:eastAsia="Arial" w:hAnsi="Arial"/>
          <w:sz w:val="17"/>
          <w:szCs w:val="17"/>
          <w:color w:val="auto"/>
        </w:rPr>
        <w:t xml:space="preserve">The Company’s acquisition of Ambercare has been accounted for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the resulting goodwill and other intangible assets was accounted for under ASC Topic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The acquisition was recorded at its fair value as of May 1, 2018. Under business combination accounting, the Ambercare purchase price was $51.6 million and was allocated to Ambercare’s net tangible and identifiable intangible assets based on their estimated fair values. Based upon management’s valuation, which is preliminary and subject to completion of working capital adjustments, the total purchase price has been allocated as follows:</w:t>
      </w:r>
    </w:p>
    <w:p>
      <w:pPr>
        <w:spacing w:after="0" w:line="15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6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Cash</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12,028</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9,944</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6,512</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(4,073)</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(2,138)</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23"/>
        </w:trPr>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 allocation</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firstLine="484"/>
        <w:spacing w:after="0" w:line="277" w:lineRule="auto"/>
        <w:rPr>
          <w:sz w:val="20"/>
          <w:szCs w:val="20"/>
          <w:color w:val="auto"/>
        </w:rPr>
      </w:pPr>
      <w:r>
        <w:rPr>
          <w:rFonts w:ascii="Arial" w:cs="Arial" w:eastAsia="Arial" w:hAnsi="Arial"/>
          <w:sz w:val="18"/>
          <w:szCs w:val="18"/>
          <w:color w:val="auto"/>
        </w:rPr>
        <w:t>Management’s assessment of qualitative factors affecting goodwill for Ambercare includes estimates of market share at the date of purchase, ability to grow in the market, synergy with existing Company operations, and the payor profile in the market.</w:t>
      </w:r>
    </w:p>
    <w:p>
      <w:pPr>
        <w:spacing w:after="0" w:line="116" w:lineRule="exact"/>
        <w:rPr>
          <w:sz w:val="20"/>
          <w:szCs w:val="20"/>
          <w:color w:val="auto"/>
        </w:rPr>
      </w:pPr>
    </w:p>
    <w:p>
      <w:pPr>
        <w:ind w:right="120" w:firstLine="484"/>
        <w:spacing w:after="0" w:line="259" w:lineRule="auto"/>
        <w:rPr>
          <w:sz w:val="20"/>
          <w:szCs w:val="20"/>
          <w:color w:val="auto"/>
        </w:rPr>
      </w:pPr>
      <w:r>
        <w:rPr>
          <w:rFonts w:ascii="Arial" w:cs="Arial" w:eastAsia="Arial" w:hAnsi="Arial"/>
          <w:sz w:val="18"/>
          <w:szCs w:val="18"/>
          <w:color w:val="auto"/>
        </w:rPr>
        <w:t>The Company acquired all of the outstanding stock of Ambercare. Identifiable intangible assets acquired consist of trade names and customer relationships, with estimated useful lives ranging from three to fifteen years, as well as indefinite lived state licenses. The preliminary estimated fair value of identifiable intangible assets was determined, using Level 3 inputs as defined under ASC Topic 820, with the assistance of a valuation specialist. The goodwill and intangible assets acquired are non-deductible for tax purposes.</w:t>
      </w:r>
    </w:p>
    <w:p>
      <w:pPr>
        <w:spacing w:after="0" w:line="133" w:lineRule="exact"/>
        <w:rPr>
          <w:sz w:val="20"/>
          <w:szCs w:val="20"/>
          <w:color w:val="auto"/>
        </w:rPr>
      </w:pPr>
    </w:p>
    <w:p>
      <w:pPr>
        <w:ind w:right="380" w:firstLine="484"/>
        <w:spacing w:after="0" w:line="277" w:lineRule="auto"/>
        <w:rPr>
          <w:sz w:val="20"/>
          <w:szCs w:val="20"/>
          <w:color w:val="auto"/>
        </w:rPr>
      </w:pPr>
      <w:r>
        <w:rPr>
          <w:rFonts w:ascii="Arial" w:cs="Arial" w:eastAsia="Arial" w:hAnsi="Arial"/>
          <w:sz w:val="18"/>
          <w:szCs w:val="18"/>
          <w:color w:val="auto"/>
        </w:rPr>
        <w:t>The Ambercare acquisition accounted for $14.8 million of net service revenues and $3.4 million of net income prior to corporate allocation for the three months ended March 31, 2019.</w:t>
      </w:r>
    </w:p>
    <w:p>
      <w:pPr>
        <w:spacing w:after="0" w:line="116" w:lineRule="exact"/>
        <w:rPr>
          <w:sz w:val="20"/>
          <w:szCs w:val="20"/>
          <w:color w:val="auto"/>
        </w:rPr>
      </w:pPr>
    </w:p>
    <w:p>
      <w:pPr>
        <w:ind w:right="180" w:firstLine="484"/>
        <w:spacing w:after="0" w:line="276" w:lineRule="auto"/>
        <w:rPr>
          <w:sz w:val="20"/>
          <w:szCs w:val="20"/>
          <w:color w:val="auto"/>
        </w:rPr>
      </w:pPr>
      <w:r>
        <w:rPr>
          <w:rFonts w:ascii="Arial" w:cs="Arial" w:eastAsia="Arial" w:hAnsi="Arial"/>
          <w:sz w:val="17"/>
          <w:szCs w:val="17"/>
          <w:color w:val="auto"/>
        </w:rPr>
        <w:t>On April 1, 2018, the Company acquired certain assets of Arcadia Home Care &amp; Staffing (“Arcadia”), expanding its personal care services. The total consideration for the transaction was $18.9 million and was funded by a delayed draw term loan under the Company’s credit facility. The related integration costs of $0.1 million for the three months ended March 31, 2019, were included in general and administrative expenses on the Company’s Unaudited Condensed Consolidated Statements of Income, and were expensed as incurred. The results of operations from this acquired entity are included in the Company’s Unaudited Condensed Consolidated Statements of Income from the date of the acquisition.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20" w:firstLine="484"/>
        <w:spacing w:after="0" w:line="259" w:lineRule="auto"/>
        <w:rPr>
          <w:sz w:val="20"/>
          <w:szCs w:val="20"/>
          <w:color w:val="auto"/>
        </w:rPr>
      </w:pPr>
      <w:r>
        <w:rPr>
          <w:rFonts w:ascii="Arial" w:cs="Arial" w:eastAsia="Arial" w:hAnsi="Arial"/>
          <w:sz w:val="18"/>
          <w:szCs w:val="18"/>
          <w:color w:val="auto"/>
        </w:rPr>
        <w:t>The Company’s acquisition of Arcadia has been accounted for in accordance with ASC Topic 805 and the resulting goodwill and other intangible assets was accounted for under ASC Topic 350. The acquisition was recorded at its fair value as of April 1, 2018. Under business combination accounting, the Arcadia purchase price was $18.9 million and was allocated to Arcadia’s net tangible and identifiable intangible assets based on their estimated fair values. Based upon management’s valuation, the total purchase price has been allocated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6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5,317</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(1,540)</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(508)</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purchase price allocation</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18,852</w:t>
            </w: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40" w:firstLine="484"/>
        <w:spacing w:after="0" w:line="277" w:lineRule="auto"/>
        <w:rPr>
          <w:sz w:val="20"/>
          <w:szCs w:val="20"/>
          <w:color w:val="auto"/>
        </w:rPr>
      </w:pPr>
      <w:r>
        <w:rPr>
          <w:rFonts w:ascii="Arial" w:cs="Arial" w:eastAsia="Arial" w:hAnsi="Arial"/>
          <w:sz w:val="18"/>
          <w:szCs w:val="18"/>
          <w:color w:val="auto"/>
        </w:rPr>
        <w:t>Management’s assessment of qualitative factors affecting goodwill for Arcadia includes estimates of market share at the date of purchase, ability to grow in the market, synergy with existing Company operations, and the payor profile in the market.</w:t>
      </w:r>
    </w:p>
    <w:p>
      <w:pPr>
        <w:spacing w:after="0" w:line="116" w:lineRule="exact"/>
        <w:rPr>
          <w:sz w:val="20"/>
          <w:szCs w:val="20"/>
          <w:color w:val="auto"/>
        </w:rPr>
      </w:pPr>
    </w:p>
    <w:p>
      <w:pPr>
        <w:jc w:val="both"/>
        <w:ind w:right="140" w:firstLine="484"/>
        <w:spacing w:after="0" w:line="286" w:lineRule="auto"/>
        <w:rPr>
          <w:sz w:val="20"/>
          <w:szCs w:val="20"/>
          <w:color w:val="auto"/>
        </w:rPr>
      </w:pPr>
      <w:r>
        <w:rPr>
          <w:rFonts w:ascii="Arial" w:cs="Arial" w:eastAsia="Arial" w:hAnsi="Arial"/>
          <w:sz w:val="17"/>
          <w:szCs w:val="17"/>
          <w:color w:val="auto"/>
        </w:rPr>
        <w:t>Identifiable intangible assets acquired consist of trade name, customer relationships and state licenses, with estimated useful lives ranging from seven to fifteen years. The preliminary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11" w:lineRule="exact"/>
        <w:rPr>
          <w:sz w:val="20"/>
          <w:szCs w:val="20"/>
          <w:color w:val="auto"/>
        </w:rPr>
      </w:pPr>
    </w:p>
    <w:p>
      <w:pPr>
        <w:ind w:right="200" w:firstLine="484"/>
        <w:spacing w:after="0" w:line="277" w:lineRule="auto"/>
        <w:rPr>
          <w:sz w:val="20"/>
          <w:szCs w:val="20"/>
          <w:color w:val="auto"/>
        </w:rPr>
      </w:pPr>
      <w:r>
        <w:rPr>
          <w:rFonts w:ascii="Arial" w:cs="Arial" w:eastAsia="Arial" w:hAnsi="Arial"/>
          <w:sz w:val="18"/>
          <w:szCs w:val="18"/>
          <w:color w:val="auto"/>
        </w:rPr>
        <w:t>The Arcadia acquisition accounted for $10.3 million of net service revenues and $1.3 million of net income prior to corporate allocation for the three months ended March 31, 2019.</w:t>
      </w:r>
    </w:p>
    <w:p>
      <w:pPr>
        <w:spacing w:after="0" w:line="116" w:lineRule="exact"/>
        <w:rPr>
          <w:sz w:val="20"/>
          <w:szCs w:val="20"/>
          <w:color w:val="auto"/>
        </w:rPr>
      </w:pPr>
    </w:p>
    <w:p>
      <w:pPr>
        <w:ind w:right="100" w:firstLine="484"/>
        <w:spacing w:after="0" w:line="257" w:lineRule="auto"/>
        <w:rPr>
          <w:sz w:val="20"/>
          <w:szCs w:val="20"/>
          <w:color w:val="auto"/>
        </w:rPr>
      </w:pPr>
      <w:r>
        <w:rPr>
          <w:rFonts w:ascii="Arial" w:cs="Arial" w:eastAsia="Arial" w:hAnsi="Arial"/>
          <w:sz w:val="18"/>
          <w:szCs w:val="18"/>
          <w:color w:val="auto"/>
        </w:rPr>
        <w:t>During the fourth quarter of 2018, the Company acquired certain assets of affiliate branches of Arcadia for $0.6 million using cash on hand, the Company recorded goodwill of $0.6 million on the Company’s Unaudited Condensed Consolidated Balance Sheets. Goodwill generated from the acquisition is primarily attributable to expected synergies with existing Company operations and the goodwill acquired is deductible for tax purposes. Pro forma results of the operations related to the acquisition are not included in the pro forma presentation as they are not material to the Company’s Unaudited Condensed Consolidated Statements of Income.</w:t>
      </w:r>
    </w:p>
    <w:p>
      <w:pPr>
        <w:spacing w:after="0" w:line="134" w:lineRule="exact"/>
        <w:rPr>
          <w:sz w:val="20"/>
          <w:szCs w:val="20"/>
          <w:color w:val="auto"/>
        </w:rPr>
      </w:pPr>
    </w:p>
    <w:p>
      <w:pPr>
        <w:ind w:firstLine="484"/>
        <w:spacing w:after="0" w:line="255" w:lineRule="auto"/>
        <w:rPr>
          <w:sz w:val="20"/>
          <w:szCs w:val="20"/>
          <w:color w:val="auto"/>
        </w:rPr>
      </w:pPr>
      <w:r>
        <w:rPr>
          <w:rFonts w:ascii="Arial" w:cs="Arial" w:eastAsia="Arial" w:hAnsi="Arial"/>
          <w:sz w:val="18"/>
          <w:szCs w:val="18"/>
          <w:color w:val="auto"/>
        </w:rPr>
        <w:t>Effective January 1, 2018, the Company acquired certain assets of LifeStyle Options, Inc. (“LifeStyle”) in order to expand private pay services in Illinois. The total consideration for the transaction was $4.1 million, comprised of $3.3 million in cash and $0.8 million, representing the preliminary estimated fair value of contingent consideration, subject to the achievement of certain performance targets set forth in an earn-out agreement. As of December 31, 2018, the performance targets were not met and the Company remeasured the earn-out to fair value. The related acquisition costs of $48,000 for the three months ended March 31, 2018 were included in general and administrative expenses on the Company’s Unaudited Condensed Consolidated Statements of Income, and were expensed as incurred. The results of operations from this acquired entity are included in the Company’s Unaudited Condensed Consolidated Statements of Income from the date of the acquisition.</w:t>
      </w:r>
    </w:p>
    <w:p>
      <w:pPr>
        <w:spacing w:after="0" w:line="135" w:lineRule="exact"/>
        <w:rPr>
          <w:sz w:val="20"/>
          <w:szCs w:val="20"/>
          <w:color w:val="auto"/>
        </w:rPr>
      </w:pPr>
    </w:p>
    <w:p>
      <w:pPr>
        <w:ind w:right="100" w:firstLine="484"/>
        <w:spacing w:after="0" w:line="279" w:lineRule="auto"/>
        <w:rPr>
          <w:sz w:val="20"/>
          <w:szCs w:val="20"/>
          <w:color w:val="auto"/>
        </w:rPr>
      </w:pPr>
      <w:r>
        <w:rPr>
          <w:rFonts w:ascii="Arial" w:cs="Arial" w:eastAsia="Arial" w:hAnsi="Arial"/>
          <w:sz w:val="17"/>
          <w:szCs w:val="17"/>
          <w:color w:val="auto"/>
        </w:rPr>
        <w:t>The Company’s acquisition of LifeStyle has been accounted for in accordance with ASC Topic 805 and the resulting goodwill and other intangible assets was accounted for under ASC Topic 350. The acquisition was recorded at its fair value as of January 1, 2018. Under business combination accounting, the LifeStyle purchase price was $4.1 million and was allocated to LifeStyle’s net tangible and identifiable intangible assets based on their estimated fair values. Based upon management’s valuation, the total purchase price is final and has been allocated as follows:</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6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purchase price allocation</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4,130</w:t>
            </w: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firstLine="484"/>
        <w:spacing w:after="0" w:line="277" w:lineRule="auto"/>
        <w:rPr>
          <w:sz w:val="20"/>
          <w:szCs w:val="20"/>
          <w:color w:val="auto"/>
        </w:rPr>
      </w:pPr>
      <w:r>
        <w:rPr>
          <w:rFonts w:ascii="Arial" w:cs="Arial" w:eastAsia="Arial" w:hAnsi="Arial"/>
          <w:sz w:val="18"/>
          <w:szCs w:val="18"/>
          <w:color w:val="auto"/>
        </w:rPr>
        <w:t>Management’s assessment of qualitative factors affecting goodwill for LifeStyle includes estimates of market share at the date of purchase, ability to grow in the market, synergy with existing Company operations, and the payor profile in the market.</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220" w:firstLine="484"/>
        <w:spacing w:after="0" w:line="264" w:lineRule="auto"/>
        <w:rPr>
          <w:sz w:val="20"/>
          <w:szCs w:val="20"/>
          <w:color w:val="auto"/>
        </w:rPr>
      </w:pPr>
      <w:r>
        <w:rPr>
          <w:rFonts w:ascii="Arial" w:cs="Arial" w:eastAsia="Arial" w:hAnsi="Arial"/>
          <w:sz w:val="18"/>
          <w:szCs w:val="18"/>
          <w:color w:val="auto"/>
        </w:rPr>
        <w:t>Identifiable intangible assets acquired consist of trade name and customer relationships, with estimated useful lives ranging from ten to fifteen years. The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27" w:lineRule="exact"/>
        <w:rPr>
          <w:sz w:val="20"/>
          <w:szCs w:val="20"/>
          <w:color w:val="auto"/>
        </w:rPr>
      </w:pPr>
    </w:p>
    <w:p>
      <w:pPr>
        <w:ind w:right="200" w:firstLine="484"/>
        <w:spacing w:after="0" w:line="277" w:lineRule="auto"/>
        <w:rPr>
          <w:sz w:val="20"/>
          <w:szCs w:val="20"/>
          <w:color w:val="auto"/>
        </w:rPr>
      </w:pPr>
      <w:r>
        <w:rPr>
          <w:rFonts w:ascii="Arial" w:cs="Arial" w:eastAsia="Arial" w:hAnsi="Arial"/>
          <w:sz w:val="18"/>
          <w:szCs w:val="18"/>
          <w:color w:val="auto"/>
        </w:rPr>
        <w:t>The LifeStyle acquisition accounted for $1.2 million of net service revenues and $0.0 million of net income prior to corporate allocation for the three months ended March 31, 2019.</w:t>
      </w:r>
    </w:p>
    <w:p>
      <w:pPr>
        <w:spacing w:after="0" w:line="116" w:lineRule="exact"/>
        <w:rPr>
          <w:sz w:val="20"/>
          <w:szCs w:val="20"/>
          <w:color w:val="auto"/>
        </w:rPr>
      </w:pPr>
    </w:p>
    <w:p>
      <w:pPr>
        <w:ind w:right="520" w:firstLine="484"/>
        <w:spacing w:after="0" w:line="277" w:lineRule="auto"/>
        <w:rPr>
          <w:sz w:val="20"/>
          <w:szCs w:val="20"/>
          <w:color w:val="auto"/>
        </w:rPr>
      </w:pPr>
      <w:r>
        <w:rPr>
          <w:rFonts w:ascii="Arial" w:cs="Arial" w:eastAsia="Arial" w:hAnsi="Arial"/>
          <w:sz w:val="18"/>
          <w:szCs w:val="18"/>
          <w:color w:val="auto"/>
        </w:rPr>
        <w:t>The following table contains unaudited pro forma condensed consolidated income statement information of the Company had the acquisitions of Ambercare and Arcadia closed on January 1, 2018.</w:t>
      </w:r>
    </w:p>
    <w:p>
      <w:pPr>
        <w:spacing w:after="0" w:line="162"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For the Three Months Ended</w:t>
      </w:r>
    </w:p>
    <w:p>
      <w:pPr>
        <w:jc w:val="center"/>
        <w:ind w:left="4800"/>
        <w:spacing w:after="0" w:line="226" w:lineRule="auto"/>
        <w:rPr>
          <w:sz w:val="20"/>
          <w:szCs w:val="20"/>
          <w:color w:val="auto"/>
        </w:rPr>
      </w:pPr>
      <w:r>
        <w:rPr>
          <w:rFonts w:ascii="Arial" w:cs="Arial" w:eastAsia="Arial" w:hAnsi="Arial"/>
          <w:sz w:val="14"/>
          <w:szCs w:val="14"/>
          <w:b w:val="1"/>
          <w:bCs w:val="1"/>
          <w:color w:val="auto"/>
        </w:rPr>
        <w:t>March 31,</w:t>
      </w:r>
    </w:p>
    <w:p>
      <w:pPr>
        <w:jc w:val="center"/>
        <w:ind w:left="4800"/>
        <w:spacing w:after="0" w:line="232" w:lineRule="auto"/>
        <w:rPr>
          <w:sz w:val="20"/>
          <w:szCs w:val="20"/>
          <w:color w:val="auto"/>
        </w:rPr>
      </w:pPr>
      <w:r>
        <w:rPr>
          <w:rFonts w:ascii="Arial" w:cs="Arial" w:eastAsia="Arial" w:hAnsi="Arial"/>
          <w:sz w:val="14"/>
          <w:szCs w:val="14"/>
          <w:b w:val="1"/>
          <w:bCs w:val="1"/>
          <w:color w:val="auto"/>
        </w:rPr>
        <w:t>(Amounts in Thousands)</w:t>
      </w: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54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6"/>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5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6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income</w:t>
            </w:r>
          </w:p>
        </w:tc>
        <w:tc>
          <w:tcPr>
            <w:tcW w:w="13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 income per share</w:t>
            </w:r>
          </w:p>
        </w:tc>
        <w:tc>
          <w:tcPr>
            <w:tcW w:w="2560" w:type="dxa"/>
            <w:vAlign w:val="bottom"/>
            <w:gridSpan w:val="2"/>
            <w:shd w:val="clear" w:color="auto" w:fill="CFF0FC"/>
          </w:tcPr>
          <w:p>
            <w:pPr>
              <w:jc w:val="right"/>
              <w:ind w:right="106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Diluted income per share</w:t>
            </w:r>
          </w:p>
        </w:tc>
        <w:tc>
          <w:tcPr>
            <w:tcW w:w="13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Borders>
              <w:bottom w:val="single" w:sz="8" w:color="auto"/>
            </w:tcBorders>
          </w:tcPr>
          <w:p>
            <w:pPr>
              <w:jc w:val="right"/>
              <w:ind w:right="106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84"/>
        <w:spacing w:after="0" w:line="297" w:lineRule="auto"/>
        <w:rPr>
          <w:sz w:val="20"/>
          <w:szCs w:val="20"/>
          <w:color w:val="auto"/>
        </w:rPr>
      </w:pPr>
      <w:r>
        <w:rPr>
          <w:rFonts w:ascii="Arial" w:cs="Arial" w:eastAsia="Arial" w:hAnsi="Arial"/>
          <w:sz w:val="16"/>
          <w:szCs w:val="16"/>
          <w:color w:val="auto"/>
        </w:rPr>
        <w:t>The pro forma disclosures in the table above include adjustments for amortization of intangible assets, tax expense and acquisition costs to reflect results that are more representative of the combined results of the transactions as if Ambercare and Arcadia had been acquired effective January 1, 2018.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goodwill activity for the three months ended March 31, 2019 is provided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Goodwill</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Personal</w:t>
            </w:r>
          </w:p>
        </w:tc>
        <w:tc>
          <w:tcPr>
            <w:tcW w:w="22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Hospice</w:t>
            </w:r>
          </w:p>
        </w:tc>
        <w:tc>
          <w:tcPr>
            <w:tcW w:w="8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Home</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Care</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Health</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Goodwill as of December 31, 2018</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112,377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22,200</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865</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Adjustments to previously recorded goodwill</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as of March 31, 2019</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865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100" w:firstLine="484"/>
        <w:spacing w:after="0" w:line="286" w:lineRule="auto"/>
        <w:rPr>
          <w:sz w:val="20"/>
          <w:szCs w:val="20"/>
          <w:color w:val="auto"/>
        </w:rPr>
      </w:pPr>
      <w:r>
        <w:rPr>
          <w:rFonts w:ascii="Arial" w:cs="Arial" w:eastAsia="Arial" w:hAnsi="Arial"/>
          <w:sz w:val="17"/>
          <w:szCs w:val="17"/>
          <w:color w:val="auto"/>
        </w:rPr>
        <w:t>The Company’s identifiable intangible assets consist of customer and referral relationships, trade names, trademarks and non-competition agreements. Amortization is computed using straight-line and accelerated methods based upon the estimated useful lives of the respective assets, which range from three to twenty-five years. Goodwill and certain state licenses are not amortized pursuant to ASC Topic 350.</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carrying amount and accumulated amortization of each identifiable intangible asset category consisted of the following as of March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Customer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7"/>
              <w:spacing w:after="0"/>
              <w:rPr>
                <w:sz w:val="20"/>
                <w:szCs w:val="20"/>
                <w:color w:val="auto"/>
              </w:rPr>
            </w:pPr>
            <w:r>
              <w:rPr>
                <w:rFonts w:ascii="Arial" w:cs="Arial" w:eastAsia="Arial" w:hAnsi="Arial"/>
                <w:sz w:val="14"/>
                <w:szCs w:val="14"/>
                <w:b w:val="1"/>
                <w:bCs w:val="1"/>
                <w:color w:val="auto"/>
                <w:w w:val="99"/>
              </w:rPr>
              <w:t>Trade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State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 referral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names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competition</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relationships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trademarks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agreements</w:t>
            </w:r>
          </w:p>
        </w:tc>
        <w:tc>
          <w:tcPr>
            <w:tcW w:w="18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Licenses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5"/>
          </w:tcPr>
          <w:p>
            <w:pPr>
              <w:jc w:val="center"/>
              <w:ind w:right="5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indefinite lives: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(33,436)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(46,643)</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book value, intangible assets subject to amortization</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intangible assets at March 31,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Amortization expense related to the identifiable intangible assets amounted to $1.3 million for the three months ended March 31, 2019 and 2018.</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remaining lives of identifiable intangible assets as of March 31, 2019 is 8.7 years.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future intangible amortization expense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9200" w:type="dxa"/>
            <w:vAlign w:val="bottom"/>
            <w:vMerge w:val="restart"/>
          </w:tcPr>
          <w:p>
            <w:pPr>
              <w:spacing w:after="0"/>
              <w:rPr>
                <w:sz w:val="20"/>
                <w:szCs w:val="20"/>
                <w:color w:val="auto"/>
              </w:rPr>
            </w:pPr>
            <w:r>
              <w:rPr>
                <w:rFonts w:ascii="Arial" w:cs="Arial" w:eastAsia="Arial" w:hAnsi="Arial"/>
                <w:sz w:val="14"/>
                <w:szCs w:val="14"/>
                <w:b w:val="1"/>
                <w:bCs w:val="1"/>
                <w:color w:val="auto"/>
              </w:rPr>
              <w:t>For the Three Months Ended March 31, 2019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(Amounts in</w:t>
            </w:r>
          </w:p>
        </w:tc>
        <w:tc>
          <w:tcPr>
            <w:tcW w:w="0" w:type="dxa"/>
            <w:vAlign w:val="bottom"/>
          </w:tcPr>
          <w:p>
            <w:pPr>
              <w:spacing w:after="0"/>
              <w:rPr>
                <w:sz w:val="1"/>
                <w:szCs w:val="1"/>
                <w:color w:val="auto"/>
              </w:rPr>
            </w:pPr>
          </w:p>
        </w:tc>
      </w:tr>
      <w:tr>
        <w:trPr>
          <w:trHeight w:val="171"/>
        </w:trPr>
        <w:tc>
          <w:tcPr>
            <w:tcW w:w="9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9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 subject to amortization</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Details of Certain Balance Sheet Accounts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36"/>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gridSpan w:val="5"/>
          </w:tcPr>
          <w:p>
            <w:pPr>
              <w:jc w:val="right"/>
              <w:ind w:right="575"/>
              <w:spacing w:after="0" w:line="155" w:lineRule="exact"/>
              <w:rPr>
                <w:sz w:val="20"/>
                <w:szCs w:val="20"/>
                <w:color w:val="auto"/>
              </w:rPr>
            </w:pPr>
            <w:r>
              <w:rPr>
                <w:rFonts w:ascii="Arial" w:cs="Arial" w:eastAsia="Arial" w:hAnsi="Arial"/>
                <w:sz w:val="14"/>
                <w:szCs w:val="14"/>
                <w:b w:val="1"/>
                <w:bCs w:val="1"/>
                <w:color w:val="auto"/>
              </w:rPr>
              <w:t>(Amounts 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Workers’ compensation insurance receivable</w:t>
            </w:r>
          </w:p>
        </w:tc>
        <w:tc>
          <w:tcPr>
            <w:tcW w:w="1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Health insurance receivable</w:t>
            </w: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0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7,146</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Accrued expenses consisted of the following:</w:t>
            </w: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7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136"/>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gridSpan w:val="5"/>
          </w:tcPr>
          <w:p>
            <w:pPr>
              <w:jc w:val="right"/>
              <w:ind w:right="575"/>
              <w:spacing w:after="0" w:line="155" w:lineRule="exact"/>
              <w:rPr>
                <w:sz w:val="20"/>
                <w:szCs w:val="20"/>
                <w:color w:val="auto"/>
              </w:rPr>
            </w:pPr>
            <w:r>
              <w:rPr>
                <w:rFonts w:ascii="Arial" w:cs="Arial" w:eastAsia="Arial" w:hAnsi="Arial"/>
                <w:sz w:val="14"/>
                <w:szCs w:val="14"/>
                <w:b w:val="1"/>
                <w:bCs w:val="1"/>
                <w:color w:val="auto"/>
              </w:rPr>
              <w:t>(Amounts 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5,154</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Accrued health insurance (1)</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Accrued payroll taxes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17,202</w:t>
            </w:r>
          </w:p>
        </w:tc>
        <w:tc>
          <w:tcPr>
            <w:tcW w:w="22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60" w:right="60" w:hanging="352"/>
        <w:spacing w:after="0" w:line="324" w:lineRule="auto"/>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provides health insurance coverage to qualified union employees providing personal care services in Illinois through a Taft-Hartley multi-employer health and welfare plan under Section 302(c)(5) of the Labor Management Relations Act of 1947. The Company’s insurance contributions equal the amount reimbursed by the state of Illinois. Contributions are due within five business days from the date the funds are received from the state. Amounts due of $0.7 million and $0.6 million for health insurance reimbursements and contributions were reflected in prepaid insurance and accrued insurance as of March 31, 2019 and December 31, 2018,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80" w:type="dxa"/>
            <w:vAlign w:val="bottom"/>
            <w:gridSpan w:val="6"/>
          </w:tcPr>
          <w:p>
            <w:pPr>
              <w:jc w:val="right"/>
              <w:ind w:right="780"/>
              <w:spacing w:after="0" w:line="155" w:lineRule="exact"/>
              <w:rPr>
                <w:sz w:val="20"/>
                <w:szCs w:val="20"/>
                <w:color w:val="auto"/>
              </w:rPr>
            </w:pPr>
            <w:r>
              <w:rPr>
                <w:rFonts w:ascii="Arial" w:cs="Arial" w:eastAsia="Arial" w:hAnsi="Arial"/>
                <w:sz w:val="14"/>
                <w:szCs w:val="14"/>
                <w:b w:val="1"/>
                <w:bCs w:val="1"/>
                <w:color w:val="auto"/>
              </w:rPr>
              <w:t>(Amounts in Thousands)</w:t>
            </w: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Revolving loan under the credit facility</w:t>
            </w:r>
          </w:p>
        </w:tc>
        <w:tc>
          <w:tcPr>
            <w:tcW w:w="19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Financing leases</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issuance costs</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(2,636)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(2,797)</w:t>
            </w: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7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77" w:lineRule="exact"/>
        <w:rPr>
          <w:sz w:val="20"/>
          <w:szCs w:val="20"/>
          <w:color w:val="auto"/>
        </w:rPr>
      </w:pPr>
    </w:p>
    <w:p>
      <w:pPr>
        <w:ind w:right="40" w:firstLine="484"/>
        <w:spacing w:after="0" w:line="259" w:lineRule="auto"/>
        <w:rPr>
          <w:sz w:val="20"/>
          <w:szCs w:val="20"/>
          <w:color w:val="auto"/>
        </w:rPr>
      </w:pPr>
      <w:r>
        <w:rPr>
          <w:rFonts w:ascii="Arial" w:cs="Arial" w:eastAsia="Arial" w:hAnsi="Arial"/>
          <w:sz w:val="18"/>
          <w:szCs w:val="18"/>
          <w:color w:val="auto"/>
        </w:rPr>
        <w:t>On October 31, 2018, the Company amended and restated its Existing Credit Agreement, as hereinafter defined (the “Credit Agreement,” and together with the Existing Credit Agreement, our “amended and restated credit facility” or “credit facility”) with certain lenders and Capital One, National Association as a lender and swing line lender and as agent for all lenders. This amended and restated credit facility totals $269.6 million, inclusive of a $250.0 million revolving loan and a $19.6 million delayed draw term loan, and is evidenced by the Credit</w:t>
      </w:r>
    </w:p>
    <w:p>
      <w:pPr>
        <w:sectPr>
          <w:pgSz w:w="11900" w:h="16838" w:orient="portrait"/>
          <w:cols w:equalWidth="0" w:num="1">
            <w:col w:w="11420"/>
          </w:cols>
          <w:pgMar w:left="240" w:top="12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Agreement. This amended and restated credit facility amended and restated the Company’s existing senior secured credit facility totaling $250.0 million. The maturity of this amended and restated credit facility is May 8, 2023, with borrowing under the delayed draw term loan available until June 30, 2019, as extended pursuant to the consent letter, dated January 30, 2019, executed by the Required Lenders (as defined in the Credit Agreement). Interest on the Company’s amended and restated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amended and restated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 In connection with this amended and restated credit facility, the Company incurred approximately $0.9 million of debt issuance costs.</w:t>
      </w:r>
    </w:p>
    <w:p>
      <w:pPr>
        <w:spacing w:after="0" w:line="131" w:lineRule="exact"/>
        <w:rPr>
          <w:sz w:val="20"/>
          <w:szCs w:val="20"/>
          <w:color w:val="auto"/>
        </w:rPr>
      </w:pPr>
    </w:p>
    <w:p>
      <w:pPr>
        <w:ind w:right="60" w:firstLine="484"/>
        <w:spacing w:after="0" w:line="257"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amended and restated credit facility, and it is secured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w:t>
      </w:r>
    </w:p>
    <w:p>
      <w:pPr>
        <w:spacing w:after="0" w:line="134" w:lineRule="exact"/>
        <w:rPr>
          <w:sz w:val="20"/>
          <w:szCs w:val="20"/>
          <w:color w:val="auto"/>
        </w:rPr>
      </w:pPr>
    </w:p>
    <w:p>
      <w:pPr>
        <w:ind w:right="420" w:firstLine="484"/>
        <w:spacing w:after="0" w:line="277" w:lineRule="auto"/>
        <w:rPr>
          <w:sz w:val="20"/>
          <w:szCs w:val="20"/>
          <w:color w:val="auto"/>
        </w:rPr>
      </w:pPr>
      <w:r>
        <w:rPr>
          <w:rFonts w:ascii="Arial" w:cs="Arial" w:eastAsia="Arial" w:hAnsi="Arial"/>
          <w:sz w:val="18"/>
          <w:szCs w:val="18"/>
          <w:color w:val="auto"/>
        </w:rPr>
        <w:t>The Company pays a fee ranging from 0.20% to 0.35% based on the applicable senior net leverage ratio times the unused portion of the revolving portion of the amended and restated credit facility.</w:t>
      </w:r>
    </w:p>
    <w:p>
      <w:pPr>
        <w:spacing w:after="0" w:line="116" w:lineRule="exact"/>
        <w:rPr>
          <w:sz w:val="20"/>
          <w:szCs w:val="20"/>
          <w:color w:val="auto"/>
        </w:rPr>
      </w:pPr>
    </w:p>
    <w:p>
      <w:pPr>
        <w:ind w:right="240" w:firstLine="484"/>
        <w:spacing w:after="0" w:line="284"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the Company in an amount that does not exceed</w:t>
      </w:r>
    </w:p>
    <w:p>
      <w:pPr>
        <w:spacing w:after="0" w:line="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$7.5 million in any year absent of an event of default, plus limited exceptions for tax and administrative distributions), a restriction on the ability to consummate acquisitions (without the consent of the lenders) under our credit facility subject to compliance with the Total Net Leverage Ratio (as defined in the Credit Agreement), restrictions on mergers, dispositions of assets, and affiliate transactions, and restrictions on fundamental changes and lines of business. As of March 31, 2019, the Company was in compliance with all its Credit Agreement covenants.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months ended March 31, 2019, the Company had no draws under its credit facility.</w:t>
      </w:r>
    </w:p>
    <w:p>
      <w:pPr>
        <w:spacing w:after="0" w:line="171" w:lineRule="exact"/>
        <w:rPr>
          <w:sz w:val="20"/>
          <w:szCs w:val="20"/>
          <w:color w:val="auto"/>
        </w:rPr>
      </w:pPr>
    </w:p>
    <w:p>
      <w:pPr>
        <w:ind w:right="40" w:firstLine="484"/>
        <w:spacing w:after="0" w:line="277" w:lineRule="auto"/>
        <w:rPr>
          <w:sz w:val="20"/>
          <w:szCs w:val="20"/>
          <w:color w:val="auto"/>
        </w:rPr>
      </w:pPr>
      <w:r>
        <w:rPr>
          <w:rFonts w:ascii="Arial" w:cs="Arial" w:eastAsia="Arial" w:hAnsi="Arial"/>
          <w:sz w:val="18"/>
          <w:szCs w:val="18"/>
          <w:color w:val="auto"/>
        </w:rPr>
        <w:t>As of March 31, 2019, the Company had a total of $20.0 million of revolving loans outstanding with an interest rate of 4.49% on our credit facility and the total availability under the revolving credit loan facility was $141.2 million.</w:t>
      </w:r>
    </w:p>
    <w:p>
      <w:pPr>
        <w:spacing w:after="0" w:line="116" w:lineRule="exact"/>
        <w:rPr>
          <w:sz w:val="20"/>
          <w:szCs w:val="20"/>
          <w:color w:val="auto"/>
        </w:rPr>
      </w:pPr>
    </w:p>
    <w:p>
      <w:pPr>
        <w:ind w:right="80" w:firstLine="484"/>
        <w:spacing w:after="0" w:line="277" w:lineRule="auto"/>
        <w:rPr>
          <w:sz w:val="20"/>
          <w:szCs w:val="20"/>
          <w:color w:val="auto"/>
        </w:rPr>
      </w:pPr>
      <w:r>
        <w:rPr>
          <w:rFonts w:ascii="Arial" w:cs="Arial" w:eastAsia="Arial" w:hAnsi="Arial"/>
          <w:sz w:val="18"/>
          <w:szCs w:val="18"/>
          <w:color w:val="auto"/>
        </w:rPr>
        <w:t>As of December 31, 2018, the Company had a total of $20.0 million of revolving loans outstanding with an interest rate of 4.35% on our credit facility and the total availability under the revolving credit loan facility was $142.9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40" w:firstLine="484"/>
        <w:spacing w:after="0" w:line="273" w:lineRule="auto"/>
        <w:rPr>
          <w:sz w:val="20"/>
          <w:szCs w:val="20"/>
          <w:color w:val="auto"/>
        </w:rPr>
      </w:pPr>
      <w:r>
        <w:rPr>
          <w:rFonts w:ascii="Arial" w:cs="Arial" w:eastAsia="Arial" w:hAnsi="Arial"/>
          <w:sz w:val="17"/>
          <w:szCs w:val="17"/>
          <w:color w:val="auto"/>
        </w:rPr>
        <w:t>Prior to October 31, 2018, we were a party to a credit agreement (the “Existing Credit Agreement”) with certain lenders and Capital One, National Association, as a lender and swing lender and as agent for all lenders. This credit facility totaled $250.0 million, replaced our previous senior secured credit facility totaling $125.0 million (“Terminated Senior Secured Credit Facility”), and terminated the Second Amended and Restated Credit and Guaranty Agreement, dated as of November 10, 2015, as modified by the May 24, 2016 amendment (as amended, the “Terminated Senior Secured Credit Agreement”), between us, certain lenders and Fifth Third Bank, as agent, which evidenced the Terminated Senior Secured Credit Facility. The credit facility included a $125.0 million revolving loan, a $45.0 million term loan and an $80.0 million delayed draw term loan.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statutory federal tax rate of 21.0% for the three months ended March 31, 2019 and 2018 is summarized as follows:</w:t>
      </w:r>
    </w:p>
    <w:p>
      <w:pPr>
        <w:spacing w:after="0" w:line="298"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0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500" w:type="dxa"/>
            <w:vAlign w:val="bottom"/>
            <w:tcBorders>
              <w:top w:val="single" w:sz="8" w:color="auto"/>
              <w:bottom w:val="single" w:sz="8" w:color="CFF0FC"/>
            </w:tcBorders>
          </w:tcPr>
          <w:p>
            <w:pPr>
              <w:spacing w:after="0"/>
              <w:rPr>
                <w:sz w:val="13"/>
                <w:szCs w:val="13"/>
                <w:color w:val="auto"/>
              </w:rPr>
            </w:pPr>
          </w:p>
        </w:tc>
        <w:tc>
          <w:tcPr>
            <w:tcW w:w="2200" w:type="dxa"/>
            <w:vAlign w:val="bottom"/>
            <w:tcBorders>
              <w:top w:val="single" w:sz="8" w:color="auto"/>
              <w:bottom w:val="single" w:sz="8" w:color="auto"/>
            </w:tcBorders>
          </w:tcPr>
          <w:p>
            <w:pPr>
              <w:jc w:val="right"/>
              <w:ind w:right="8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at statutory rate</w:t>
            </w:r>
          </w:p>
        </w:tc>
        <w:tc>
          <w:tcPr>
            <w:tcW w:w="15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State and local taxes, net of federal benefit</w:t>
            </w: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Jobs tax credits, net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50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FF0FC"/>
          </w:tcPr>
          <w:p>
            <w:pPr>
              <w:spacing w:after="0"/>
              <w:rPr>
                <w:sz w:val="19"/>
                <w:szCs w:val="19"/>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162(m) disallowance for executive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Nondeductible permanent items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Excess tax benefit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500" w:type="dxa"/>
            <w:vAlign w:val="bottom"/>
          </w:tcPr>
          <w:p>
            <w:pPr>
              <w:spacing w:after="0"/>
              <w:rPr>
                <w:sz w:val="19"/>
                <w:szCs w:val="19"/>
                <w:color w:val="auto"/>
              </w:rPr>
            </w:pPr>
          </w:p>
        </w:tc>
        <w:tc>
          <w:tcPr>
            <w:tcW w:w="23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r>
      <w:tr>
        <w:trPr>
          <w:trHeight w:val="223"/>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5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CFF0FC"/>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r>
      <w:tr>
        <w:trPr>
          <w:trHeight w:val="20"/>
        </w:trPr>
        <w:tc>
          <w:tcPr>
            <w:tcW w:w="60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firstLine="484"/>
        <w:spacing w:after="0" w:line="257" w:lineRule="auto"/>
        <w:rPr>
          <w:sz w:val="20"/>
          <w:szCs w:val="20"/>
          <w:color w:val="auto"/>
        </w:rPr>
      </w:pPr>
      <w:r>
        <w:rPr>
          <w:rFonts w:ascii="Arial" w:cs="Arial" w:eastAsia="Arial" w:hAnsi="Arial"/>
          <w:sz w:val="18"/>
          <w:szCs w:val="18"/>
          <w:color w:val="auto"/>
        </w:rPr>
        <w:t>On December 22, 2017, the President of the United States signed into law the Tax Cuts and Jobs Act (“Tax Reform Act”). The legislation significantly changed U.S. tax law by, among other things, lowering corporate income tax rates. The Tax Reform Act permanently reduced the U.S. corporate income tax rate from a maximum of 35.0% to a flat 21.0% rate, effective January 1, 2018. The effective income tax rate was 16.7% and 18.7% for the three months ended March 31, 2019 and 2018, respectively. The difference between our federal statutory and effective income tax rates are principally due to the inclusion of state taxes and the use of federal employment tax credits.</w:t>
      </w:r>
    </w:p>
    <w:p>
      <w:pPr>
        <w:spacing w:after="0" w:line="198" w:lineRule="exact"/>
        <w:rPr>
          <w:sz w:val="20"/>
          <w:szCs w:val="20"/>
          <w:color w:val="auto"/>
        </w:rPr>
      </w:pPr>
    </w:p>
    <w:p>
      <w:pPr>
        <w:ind w:right="8680" w:firstLine="8"/>
        <w:spacing w:after="0" w:line="358" w:lineRule="auto"/>
        <w:tabs>
          <w:tab w:leader="none" w:pos="1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Legal Proceedings</w:t>
      </w:r>
    </w:p>
    <w:p>
      <w:pPr>
        <w:spacing w:after="0" w:line="2" w:lineRule="exact"/>
        <w:rPr>
          <w:sz w:val="20"/>
          <w:szCs w:val="20"/>
          <w:color w:val="auto"/>
        </w:rPr>
      </w:pPr>
    </w:p>
    <w:p>
      <w:pPr>
        <w:ind w:firstLine="484"/>
        <w:spacing w:after="0" w:line="264" w:lineRule="auto"/>
        <w:rPr>
          <w:sz w:val="20"/>
          <w:szCs w:val="20"/>
          <w:color w:val="auto"/>
        </w:rPr>
      </w:pPr>
      <w:r>
        <w:rPr>
          <w:rFonts w:ascii="Arial" w:cs="Arial" w:eastAsia="Arial" w:hAnsi="Arial"/>
          <w:sz w:val="18"/>
          <w:szCs w:val="18"/>
          <w:color w:val="auto"/>
        </w:rPr>
        <w:t>From time to time, the Company is subject to legal and/or administrative proceedings incidental to its business. 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127" w:lineRule="exact"/>
        <w:rPr>
          <w:sz w:val="20"/>
          <w:szCs w:val="20"/>
          <w:color w:val="auto"/>
        </w:rPr>
      </w:pPr>
    </w:p>
    <w:p>
      <w:pPr>
        <w:ind w:firstLine="484"/>
        <w:spacing w:after="0" w:line="283" w:lineRule="auto"/>
        <w:rPr>
          <w:sz w:val="20"/>
          <w:szCs w:val="20"/>
          <w:color w:val="auto"/>
        </w:rPr>
      </w:pPr>
      <w:r>
        <w:rPr>
          <w:rFonts w:ascii="Arial" w:cs="Arial" w:eastAsia="Arial" w:hAnsi="Arial"/>
          <w:sz w:val="16"/>
          <w:szCs w:val="16"/>
          <w:color w:val="auto"/>
        </w:rPr>
        <w:t>On January 20, 2016, the Company was served with a lawsuit filed in the United States District Court for the Northern District of Illinois against the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the Company’s home care division to the Company’s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The Company and Cigna Corporation filed a motion to dismiss the amended complaint on June 6, 2016. On February 3, 2017, the Court granted Cigna Corporation’s motion to dismiss in full, and granted the Company’s motion to dismiss in part allowing Plaintiff another chance to amend its complaint. Plaintiff timely filed a second amended complaint on</w:t>
      </w:r>
    </w:p>
    <w:p>
      <w:pPr>
        <w:spacing w:after="0" w:line="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March 10, 2017, withdrawing its conspiracy claim under the Federal False Claims Act and adding an explicit claim under the Illinois False Claims Act for the same underlying kickback allegations. On April 7, 2017, the Company filed a partial motion to dismiss the Second Amended Complaint. On May 24, 2017, the State of Illinois filed notice that it was declining to intervene in the plaintiff’s claim under the Illinois False Claims Act. On March 21, 2018, the Court granted the Company’s motion to dismiss the Second Amended Complaint in part and narrowed the lawsuit to whether the federal False Claims Act was violated with respect to home health services provided at three senior living facilities in Illinois. The Company intends to defend the litigation vigorously and believes the case will not have a material adverse effect on its business, financial condition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77" w:lineRule="exact"/>
        <w:rPr>
          <w:sz w:val="20"/>
          <w:szCs w:val="20"/>
          <w:color w:val="auto"/>
        </w:rPr>
      </w:pPr>
    </w:p>
    <w:p>
      <w:pPr>
        <w:ind w:right="40" w:firstLine="484"/>
        <w:spacing w:after="0" w:line="287" w:lineRule="auto"/>
        <w:rPr>
          <w:sz w:val="20"/>
          <w:szCs w:val="20"/>
          <w:color w:val="auto"/>
        </w:rPr>
      </w:pPr>
      <w:r>
        <w:rPr>
          <w:rFonts w:ascii="Arial" w:cs="Arial" w:eastAsia="Arial" w:hAnsi="Arial"/>
          <w:sz w:val="16"/>
          <w:szCs w:val="16"/>
          <w:color w:val="auto"/>
        </w:rPr>
        <w:t>During 2017, the Company entered into employment agreements with certain members of senior management. The terms of these agreements are up to four years with the potential to auto-renew and include non-compete, non-solicitation and nondisclosure provisions, as well as provide for defined severance payments in the event of termination. On November 5, 2018 we amended and restated the employment agreements of each of our named executive officers in order to: (i) increase the amount of severance that would be payable on certain terminations of employment in connection with a change in control (as defined in the employment agreements), from two times annual compensation to three times annual compensation (as defined in the employment agreements) in the case of our chief executive officer, and from one times annual compensation to two times annual compensation (as defined in the employment agreements) in the case of our other named executive officers; (ii) provide that the enhanced severance for terminations of employment in connection with a change in control would be payable if the named executive officers self-terminated for good reason (as defined in the employment agreements); (iii) stipulate that severance for terminations of employment in connection with a change in control would include any unpaid bonus for a performance period completed prior to termination (the chief executive officer already had this right); and (iv) adjust the duration of non-competition and non-solicitation periods to match the number of years of annual compensation that the named executive officer would receive in severance.</w:t>
      </w:r>
    </w:p>
    <w:p>
      <w:pPr>
        <w:spacing w:after="0" w:line="119" w:lineRule="exact"/>
        <w:rPr>
          <w:sz w:val="20"/>
          <w:szCs w:val="20"/>
          <w:color w:val="auto"/>
        </w:rPr>
      </w:pPr>
    </w:p>
    <w:p>
      <w:pPr>
        <w:ind w:right="160" w:firstLine="484"/>
        <w:spacing w:after="0" w:line="259" w:lineRule="auto"/>
        <w:rPr>
          <w:sz w:val="20"/>
          <w:szCs w:val="20"/>
          <w:color w:val="auto"/>
        </w:rPr>
      </w:pPr>
      <w:r>
        <w:rPr>
          <w:rFonts w:ascii="Arial" w:cs="Arial" w:eastAsia="Arial" w:hAnsi="Arial"/>
          <w:sz w:val="18"/>
          <w:szCs w:val="18"/>
          <w:color w:val="auto"/>
        </w:rPr>
        <w:t>A substantial percentage of the Company’s workforce is represented by the Service Employees International Union (“SEIU”) through local collective bargaining agreements. These agreements are re-negotiated at various intervals. These negotiations are often initiated when the Company receives increases in hourly reimbursement rates from various state agencies. Upon expiration of these collective bargaining agreements, the Company may not be able to negotiate labor agreements on satisfactory terms with these labor unions.</w:t>
      </w:r>
    </w:p>
    <w:p>
      <w:pPr>
        <w:sectPr>
          <w:pgSz w:w="11900" w:h="16838" w:orient="portrait"/>
          <w:cols w:equalWidth="0" w:num="1">
            <w:col w:w="11420"/>
          </w:cols>
          <w:pgMar w:left="240" w:top="12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Severance and Restructuring</w:t>
      </w:r>
    </w:p>
    <w:p>
      <w:pPr>
        <w:spacing w:after="0" w:line="94" w:lineRule="exact"/>
        <w:rPr>
          <w:sz w:val="20"/>
          <w:szCs w:val="20"/>
          <w:color w:val="auto"/>
        </w:rPr>
      </w:pPr>
    </w:p>
    <w:p>
      <w:pPr>
        <w:ind w:right="180" w:firstLine="484"/>
        <w:spacing w:after="0" w:line="257" w:lineRule="auto"/>
        <w:rPr>
          <w:sz w:val="20"/>
          <w:szCs w:val="20"/>
          <w:color w:val="auto"/>
        </w:rPr>
      </w:pPr>
      <w:r>
        <w:rPr>
          <w:rFonts w:ascii="Arial" w:cs="Arial" w:eastAsia="Arial" w:hAnsi="Arial"/>
          <w:sz w:val="18"/>
          <w:szCs w:val="18"/>
          <w:color w:val="auto"/>
        </w:rPr>
        <w:t>In 2016, the Company initiated steps to streamline its operations. The Company incurred total expenses related to these initiatives of approximately $0.4 million and $0.5 million for the three months ended March 31, 2019 and 2018, respectively. These costs are included in general and administrative expenses on the Company’s Unaudited Condensed Consolidated Statements of Income. The expenses recorded for the three months ended March 31, 2019 and 2018 included costs related to terminated employees and other professional fees. The Company expects some additional restructuring and other costs to occur, however, the amount and timing cannot be determined at this time.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provides the components of and changes in our severance and restructuring accruals: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40" w:type="dxa"/>
            <w:vAlign w:val="bottom"/>
          </w:tcPr>
          <w:p>
            <w:pPr>
              <w:jc w:val="center"/>
              <w:ind w:left="604"/>
              <w:spacing w:after="0"/>
              <w:rPr>
                <w:sz w:val="20"/>
                <w:szCs w:val="20"/>
                <w:color w:val="auto"/>
              </w:rPr>
            </w:pPr>
            <w:r>
              <w:rPr>
                <w:rFonts w:ascii="Arial" w:cs="Arial" w:eastAsia="Arial" w:hAnsi="Arial"/>
                <w:sz w:val="14"/>
                <w:szCs w:val="14"/>
                <w:b w:val="1"/>
                <w:bCs w:val="1"/>
                <w:color w:val="auto"/>
                <w:w w:val="90"/>
              </w:rPr>
              <w:t>Employee</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Restructuring</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40" w:type="dxa"/>
            <w:vAlign w:val="bottom"/>
          </w:tcPr>
          <w:p>
            <w:pPr>
              <w:jc w:val="center"/>
              <w:ind w:left="604"/>
              <w:spacing w:after="0" w:line="149" w:lineRule="exact"/>
              <w:rPr>
                <w:sz w:val="20"/>
                <w:szCs w:val="20"/>
                <w:color w:val="auto"/>
              </w:rPr>
            </w:pPr>
            <w:r>
              <w:rPr>
                <w:rFonts w:ascii="Arial" w:cs="Arial" w:eastAsia="Arial" w:hAnsi="Arial"/>
                <w:sz w:val="14"/>
                <w:szCs w:val="14"/>
                <w:b w:val="1"/>
                <w:bCs w:val="1"/>
                <w:color w:val="auto"/>
                <w:w w:val="94"/>
              </w:rPr>
              <w:t>Termination</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40" w:type="dxa"/>
            <w:vAlign w:val="bottom"/>
          </w:tcPr>
          <w:p>
            <w:pPr>
              <w:jc w:val="center"/>
              <w:ind w:left="584"/>
              <w:spacing w:after="0"/>
              <w:rPr>
                <w:sz w:val="20"/>
                <w:szCs w:val="20"/>
                <w:color w:val="auto"/>
              </w:rPr>
            </w:pPr>
            <w:r>
              <w:rPr>
                <w:rFonts w:ascii="Arial" w:cs="Arial" w:eastAsia="Arial" w:hAnsi="Arial"/>
                <w:sz w:val="14"/>
                <w:szCs w:val="14"/>
                <w:b w:val="1"/>
                <w:bCs w:val="1"/>
                <w:color w:val="auto"/>
                <w:w w:val="87"/>
              </w:rPr>
              <w:t>Costs</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4"/>
          </w:tcPr>
          <w:p>
            <w:pPr>
              <w:jc w:val="right"/>
              <w:ind w:right="5"/>
              <w:spacing w:after="0" w:line="155" w:lineRule="exact"/>
              <w:rPr>
                <w:sz w:val="20"/>
                <w:szCs w:val="20"/>
                <w:color w:val="auto"/>
              </w:rPr>
            </w:pPr>
            <w:r>
              <w:rPr>
                <w:rFonts w:ascii="Arial" w:cs="Arial" w:eastAsia="Arial" w:hAnsi="Arial"/>
                <w:sz w:val="14"/>
                <w:szCs w:val="14"/>
                <w:b w:val="1"/>
                <w:bCs w:val="1"/>
                <w:color w:val="auto"/>
                <w:w w:val="97"/>
              </w:rPr>
              <w:t>(Amounts in Thousands)</w:t>
            </w: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3680" w:type="dxa"/>
            <w:vAlign w:val="bottom"/>
            <w:gridSpan w:val="2"/>
            <w:shd w:val="clear" w:color="auto" w:fill="CFF0FC"/>
          </w:tcPr>
          <w:p>
            <w:pPr>
              <w:jc w:val="right"/>
              <w:ind w:right="1464"/>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85"/>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Provision</w:t>
            </w:r>
          </w:p>
        </w:tc>
        <w:tc>
          <w:tcPr>
            <w:tcW w:w="2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Utilization</w:t>
            </w:r>
          </w:p>
        </w:tc>
        <w:tc>
          <w:tcPr>
            <w:tcW w:w="20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204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ind w:right="1464"/>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484"/>
        <w:spacing w:after="0" w:line="279" w:lineRule="auto"/>
        <w:rPr>
          <w:sz w:val="20"/>
          <w:szCs w:val="20"/>
          <w:color w:val="auto"/>
        </w:rPr>
      </w:pPr>
      <w:r>
        <w:rPr>
          <w:rFonts w:ascii="Arial" w:cs="Arial" w:eastAsia="Arial" w:hAnsi="Arial"/>
          <w:sz w:val="17"/>
          <w:szCs w:val="17"/>
          <w:color w:val="auto"/>
        </w:rPr>
        <w:t>Employee termination costs represent accrued severance payable to terminated employees with employment and/or separation agreements with the Company. Restructuring and other costs consist of the accrual related to lease commitments and write-offs of leasehold improvements and unused office space and property and equipment resulting from the closure of three adult day services centers in Illinois. These costs are included in accrued expenses on the Unaudited Condensed Consolidated Balance Sheets at March 31, 2019 and December 31,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81" w:lineRule="exact"/>
        <w:rPr>
          <w:sz w:val="20"/>
          <w:szCs w:val="20"/>
          <w:color w:val="auto"/>
        </w:rPr>
      </w:pPr>
    </w:p>
    <w:p>
      <w:pPr>
        <w:ind w:right="60" w:firstLine="484"/>
        <w:spacing w:after="0" w:line="257"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our chief operating decision makers, to assess the performance of the individual segments and make decisions about resources to be allocated to the segments. The Company operates as a multi-state provider of three distinct but related business segments providing in-home services. As a result of the acquisition of Ambercare on May 1, 2018, we began reporting the hospice and home health segments.</w:t>
      </w:r>
    </w:p>
    <w:p>
      <w:pPr>
        <w:spacing w:after="0" w:line="134" w:lineRule="exact"/>
        <w:rPr>
          <w:sz w:val="20"/>
          <w:szCs w:val="20"/>
          <w:color w:val="auto"/>
        </w:rPr>
      </w:pPr>
    </w:p>
    <w:p>
      <w:pPr>
        <w:ind w:right="120" w:firstLine="484"/>
        <w:spacing w:after="0" w:line="257" w:lineRule="auto"/>
        <w:rPr>
          <w:sz w:val="20"/>
          <w:szCs w:val="20"/>
          <w:color w:val="auto"/>
        </w:rPr>
      </w:pPr>
      <w:r>
        <w:rPr>
          <w:rFonts w:ascii="Arial" w:cs="Arial" w:eastAsia="Arial" w:hAnsi="Arial"/>
          <w:sz w:val="18"/>
          <w:szCs w:val="18"/>
          <w:color w:val="auto"/>
        </w:rPr>
        <w:t>In its personal care segment, the Company provides non-medical assistance with activities of daily living, primarily to persons who are at increased risk of hospitalization or institutionalization, such as the elderly, chronically ill and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34" w:lineRule="exact"/>
        <w:rPr>
          <w:sz w:val="20"/>
          <w:szCs w:val="20"/>
          <w:color w:val="auto"/>
        </w:rPr>
      </w:pPr>
    </w:p>
    <w:p>
      <w:pPr>
        <w:ind w:right="80" w:firstLine="484"/>
        <w:spacing w:after="0" w:line="264" w:lineRule="auto"/>
        <w:rPr>
          <w:sz w:val="20"/>
          <w:szCs w:val="20"/>
          <w:color w:val="auto"/>
        </w:rPr>
      </w:pPr>
      <w:r>
        <w:rPr>
          <w:rFonts w:ascii="Arial" w:cs="Arial" w:eastAsia="Arial" w:hAnsi="Arial"/>
          <w:sz w:val="18"/>
          <w:szCs w:val="18"/>
          <w:color w:val="auto"/>
        </w:rPr>
        <w:t>The tables below set forth information about our reportable segments for the three months ended March 31, 2019 and 2018 along with the items necessary to reconcile the segment information to the totals reported in the accompanying consolidated financial statements. Segment assets are not reviewed by the company’s chief decision makers and therefore are not disclosed below.</w:t>
      </w:r>
    </w:p>
    <w:p>
      <w:pPr>
        <w:spacing w:after="0" w:line="127" w:lineRule="exact"/>
        <w:rPr>
          <w:sz w:val="20"/>
          <w:szCs w:val="20"/>
          <w:color w:val="auto"/>
        </w:rPr>
      </w:pPr>
    </w:p>
    <w:p>
      <w:pPr>
        <w:ind w:right="240" w:firstLine="484"/>
        <w:spacing w:after="0" w:line="259" w:lineRule="auto"/>
        <w:rPr>
          <w:sz w:val="20"/>
          <w:szCs w:val="20"/>
          <w:color w:val="auto"/>
        </w:rPr>
      </w:pPr>
      <w:r>
        <w:rPr>
          <w:rFonts w:ascii="Arial" w:cs="Arial" w:eastAsia="Arial" w:hAnsi="Arial"/>
          <w:sz w:val="18"/>
          <w:szCs w:val="18"/>
          <w:color w:val="auto"/>
        </w:rPr>
        <w:t>Segment operating income consists of the net service revenues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jc w:val="center"/>
              <w:ind w:left="8"/>
              <w:spacing w:after="0"/>
              <w:rPr>
                <w:sz w:val="20"/>
                <w:szCs w:val="20"/>
                <w:color w:val="auto"/>
              </w:rPr>
            </w:pPr>
            <w:r>
              <w:rPr>
                <w:rFonts w:ascii="Arial" w:cs="Arial" w:eastAsia="Arial" w:hAnsi="Arial"/>
                <w:sz w:val="14"/>
                <w:szCs w:val="14"/>
                <w:b w:val="1"/>
                <w:bCs w:val="1"/>
                <w:color w:val="auto"/>
                <w:w w:val="94"/>
              </w:rPr>
              <w:t>For the Three Months Ended March 31, 2019</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5"/>
          </w:tcPr>
          <w:p>
            <w:pPr>
              <w:jc w:val="center"/>
              <w:ind w:right="40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93"/>
              <w:spacing w:after="0" w:line="155" w:lineRule="exact"/>
              <w:rPr>
                <w:sz w:val="20"/>
                <w:szCs w:val="20"/>
                <w:color w:val="auto"/>
              </w:rPr>
            </w:pPr>
            <w:r>
              <w:rPr>
                <w:rFonts w:ascii="Arial" w:cs="Arial" w:eastAsia="Arial" w:hAnsi="Arial"/>
                <w:sz w:val="14"/>
                <w:szCs w:val="14"/>
                <w:b w:val="1"/>
                <w:bCs w:val="1"/>
                <w:color w:val="auto"/>
                <w:w w:val="89"/>
              </w:rPr>
              <w:t>Personal Care</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Hospice</w:t>
            </w:r>
          </w:p>
        </w:tc>
        <w:tc>
          <w:tcPr>
            <w:tcW w:w="140" w:type="dxa"/>
            <w:vAlign w:val="bottom"/>
          </w:tcPr>
          <w:p>
            <w:pPr>
              <w:spacing w:after="0"/>
              <w:rPr>
                <w:sz w:val="13"/>
                <w:szCs w:val="13"/>
                <w:color w:val="auto"/>
              </w:rPr>
            </w:pPr>
          </w:p>
        </w:tc>
        <w:tc>
          <w:tcPr>
            <w:tcW w:w="12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8"/>
              </w:rPr>
              <w:t>Home Health</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128,641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95,995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101,680</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32,646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14,815</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20,107</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center"/>
              <w:ind w:left="8"/>
              <w:spacing w:after="0"/>
              <w:rPr>
                <w:sz w:val="20"/>
                <w:szCs w:val="20"/>
                <w:color w:val="auto"/>
              </w:rPr>
            </w:pPr>
            <w:r>
              <w:rPr>
                <w:rFonts w:ascii="Arial" w:cs="Arial" w:eastAsia="Arial" w:hAnsi="Arial"/>
                <w:sz w:val="14"/>
                <w:szCs w:val="14"/>
                <w:b w:val="1"/>
                <w:bCs w:val="1"/>
                <w:color w:val="auto"/>
                <w:w w:val="94"/>
              </w:rPr>
              <w:t>For the Three Months Ended March 31, 2018</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5"/>
          </w:tcPr>
          <w:p>
            <w:pPr>
              <w:jc w:val="center"/>
              <w:ind w:right="40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3"/>
              </w:rPr>
              <w:t>Personal Care</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Hospice</w:t>
            </w:r>
          </w:p>
        </w:tc>
        <w:tc>
          <w:tcPr>
            <w:tcW w:w="140" w:type="dxa"/>
            <w:vAlign w:val="bottom"/>
          </w:tcPr>
          <w:p>
            <w:pPr>
              <w:spacing w:after="0"/>
              <w:rPr>
                <w:sz w:val="13"/>
                <w:szCs w:val="13"/>
                <w:color w:val="auto"/>
              </w:rPr>
            </w:pPr>
          </w:p>
        </w:tc>
        <w:tc>
          <w:tcPr>
            <w:tcW w:w="12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Home Health</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109,476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81,543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81,543</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9,637</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4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4"/>
                <w:szCs w:val="14"/>
                <w:b w:val="1"/>
                <w:bCs w:val="1"/>
                <w:color w:val="auto"/>
              </w:rPr>
              <w:t>For the Three Months Ended March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4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tcBorders>
              <w:bottom w:val="single" w:sz="8" w:color="CFF0FC"/>
            </w:tcBorders>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930"/>
              <w:spacing w:after="0" w:line="155" w:lineRule="exact"/>
              <w:rPr>
                <w:sz w:val="20"/>
                <w:szCs w:val="20"/>
                <w:color w:val="auto"/>
              </w:rPr>
            </w:pPr>
            <w:r>
              <w:rPr>
                <w:rFonts w:ascii="Arial" w:cs="Arial" w:eastAsia="Arial" w:hAnsi="Arial"/>
                <w:sz w:val="14"/>
                <w:szCs w:val="14"/>
                <w:b w:val="1"/>
                <w:bCs w:val="1"/>
                <w:color w:val="auto"/>
              </w:rPr>
              <w:t>(Amounts in Thousands)</w:t>
            </w: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16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3160" w:type="dxa"/>
            <w:vAlign w:val="bottom"/>
            <w:gridSpan w:val="2"/>
          </w:tcPr>
          <w:p>
            <w:pPr>
              <w:jc w:val="right"/>
              <w:ind w:right="136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22,759</w:t>
            </w:r>
          </w:p>
        </w:tc>
        <w:tc>
          <w:tcPr>
            <w:tcW w:w="220" w:type="dxa"/>
            <w:vAlign w:val="bottom"/>
          </w:tcPr>
          <w:p>
            <w:pPr>
              <w:spacing w:after="0"/>
              <w:rPr>
                <w:sz w:val="19"/>
                <w:szCs w:val="19"/>
                <w:color w:val="auto"/>
              </w:rPr>
            </w:pPr>
          </w:p>
        </w:tc>
        <w:tc>
          <w:tcPr>
            <w:tcW w:w="1700" w:type="dxa"/>
            <w:vAlign w:val="bottom"/>
            <w:gridSpan w:val="2"/>
          </w:tcPr>
          <w:p>
            <w:pPr>
              <w:jc w:val="right"/>
              <w:ind w:right="13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16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62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62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36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3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Significant Payors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three months ended March 31, 2019 and 2018, the Company’s revenue by payor type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left="599"/>
              <w:spacing w:after="0"/>
              <w:rPr>
                <w:sz w:val="20"/>
                <w:szCs w:val="20"/>
                <w:color w:val="auto"/>
              </w:rPr>
            </w:pPr>
            <w:r>
              <w:rPr>
                <w:rFonts w:ascii="Arial" w:cs="Arial" w:eastAsia="Arial" w:hAnsi="Arial"/>
                <w:sz w:val="14"/>
                <w:szCs w:val="14"/>
                <w:b w:val="1"/>
                <w:bCs w:val="1"/>
                <w:color w:val="auto"/>
                <w:w w:val="93"/>
              </w:rPr>
              <w:t>Personal Care</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9"/>
          </w:tcPr>
          <w:p>
            <w:pPr>
              <w:jc w:val="center"/>
              <w:ind w:right="300"/>
              <w:spacing w:after="0" w:line="155" w:lineRule="exact"/>
              <w:rPr>
                <w:sz w:val="20"/>
                <w:szCs w:val="20"/>
                <w:color w:val="auto"/>
              </w:rPr>
            </w:pPr>
            <w:r>
              <w:rPr>
                <w:rFonts w:ascii="Arial" w:cs="Arial" w:eastAsia="Arial" w:hAnsi="Arial"/>
                <w:sz w:val="14"/>
                <w:szCs w:val="14"/>
                <w:b w:val="1"/>
                <w:bCs w:val="1"/>
                <w:color w:val="auto"/>
                <w:w w:val="95"/>
              </w:rPr>
              <w:t>For the Three Months Ended March 31,</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6"/>
          </w:tcPr>
          <w:p>
            <w:pPr>
              <w:jc w:val="right"/>
              <w:ind w:right="50"/>
              <w:spacing w:after="0" w:line="155" w:lineRule="exact"/>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 governmental programs</w:t>
            </w:r>
          </w:p>
        </w:tc>
        <w:tc>
          <w:tcPr>
            <w:tcW w:w="7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72,059</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6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67,328</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48,005</w:t>
            </w: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37,830</w:t>
            </w:r>
          </w:p>
        </w:tc>
        <w:tc>
          <w:tcPr>
            <w:tcW w:w="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3,755</w:t>
            </w:r>
          </w:p>
        </w:tc>
        <w:tc>
          <w:tcPr>
            <w:tcW w:w="4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Commercial insurance</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1,867</w:t>
            </w: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563</w:t>
            </w:r>
          </w:p>
        </w:tc>
        <w:tc>
          <w:tcPr>
            <w:tcW w:w="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personal care segment net service revenues</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128,641</w:t>
            </w:r>
          </w:p>
        </w:tc>
        <w:tc>
          <w:tcPr>
            <w:tcW w:w="26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109,476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center"/>
              <w:ind w:left="237"/>
              <w:spacing w:after="0"/>
              <w:rPr>
                <w:sz w:val="20"/>
                <w:szCs w:val="20"/>
                <w:color w:val="auto"/>
              </w:rPr>
            </w:pPr>
            <w:r>
              <w:rPr>
                <w:rFonts w:ascii="Arial" w:cs="Arial" w:eastAsia="Arial" w:hAnsi="Arial"/>
                <w:sz w:val="14"/>
                <w:szCs w:val="14"/>
                <w:b w:val="1"/>
                <w:bCs w:val="1"/>
                <w:color w:val="auto"/>
                <w:w w:val="88"/>
              </w:rPr>
              <w:t>Hospice</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8"/>
          </w:tcPr>
          <w:p>
            <w:pPr>
              <w:jc w:val="center"/>
              <w:ind w:right="524"/>
              <w:spacing w:after="0"/>
              <w:rPr>
                <w:sz w:val="20"/>
                <w:szCs w:val="20"/>
                <w:color w:val="auto"/>
              </w:rPr>
            </w:pPr>
            <w:r>
              <w:rPr>
                <w:rFonts w:ascii="Arial" w:cs="Arial" w:eastAsia="Arial" w:hAnsi="Arial"/>
                <w:sz w:val="14"/>
                <w:szCs w:val="14"/>
                <w:b w:val="1"/>
                <w:bCs w:val="1"/>
                <w:color w:val="auto"/>
                <w:w w:val="94"/>
              </w:rPr>
              <w:t>For the Three Months Ended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left="217"/>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Amount</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jc w:val="center"/>
              <w:ind w:right="124"/>
              <w:spacing w:after="0" w:line="133" w:lineRule="exact"/>
              <w:rPr>
                <w:sz w:val="20"/>
                <w:szCs w:val="20"/>
                <w:color w:val="auto"/>
              </w:rPr>
            </w:pPr>
            <w:r>
              <w:rPr>
                <w:rFonts w:ascii="Arial" w:cs="Arial" w:eastAsia="Arial" w:hAnsi="Arial"/>
                <w:sz w:val="14"/>
                <w:szCs w:val="14"/>
                <w:b w:val="1"/>
                <w:bCs w:val="1"/>
                <w:color w:val="auto"/>
                <w:w w:val="94"/>
              </w:rPr>
              <w:t>% of Segment Net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7"/>
          </w:tcPr>
          <w:p>
            <w:pPr>
              <w:jc w:val="center"/>
              <w:ind w:right="640"/>
              <w:spacing w:after="0"/>
              <w:rPr>
                <w:sz w:val="20"/>
                <w:szCs w:val="20"/>
                <w:color w:val="auto"/>
              </w:rPr>
            </w:pPr>
            <w:r>
              <w:rPr>
                <w:rFonts w:ascii="Arial" w:cs="Arial" w:eastAsia="Arial" w:hAnsi="Arial"/>
                <w:sz w:val="14"/>
                <w:szCs w:val="14"/>
                <w:b w:val="1"/>
                <w:bCs w:val="1"/>
                <w:color w:val="auto"/>
                <w:w w:val="91"/>
              </w:rPr>
              <w:t>(in Thousands)</w:t>
            </w:r>
          </w:p>
        </w:tc>
        <w:tc>
          <w:tcPr>
            <w:tcW w:w="1360" w:type="dxa"/>
            <w:vAlign w:val="bottom"/>
            <w:gridSpan w:val="3"/>
          </w:tcPr>
          <w:p>
            <w:pPr>
              <w:jc w:val="center"/>
              <w:ind w:right="144"/>
              <w:spacing w:after="0"/>
              <w:rPr>
                <w:sz w:val="20"/>
                <w:szCs w:val="20"/>
                <w:color w:val="auto"/>
              </w:rPr>
            </w:pPr>
            <w:r>
              <w:rPr>
                <w:rFonts w:ascii="Arial" w:cs="Arial" w:eastAsia="Arial" w:hAnsi="Arial"/>
                <w:sz w:val="14"/>
                <w:szCs w:val="14"/>
                <w:b w:val="1"/>
                <w:bCs w:val="1"/>
                <w:color w:val="auto"/>
                <w:w w:val="88"/>
              </w:rPr>
              <w:t>Service Revenues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7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7,390</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hospice segment net service revenues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7,917</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center"/>
              <w:ind w:right="984"/>
              <w:spacing w:after="0"/>
              <w:rPr>
                <w:sz w:val="20"/>
                <w:szCs w:val="20"/>
                <w:color w:val="auto"/>
              </w:rPr>
            </w:pPr>
            <w:r>
              <w:rPr>
                <w:rFonts w:ascii="Arial" w:cs="Arial" w:eastAsia="Arial" w:hAnsi="Arial"/>
                <w:sz w:val="14"/>
                <w:szCs w:val="14"/>
                <w:b w:val="1"/>
                <w:bCs w:val="1"/>
                <w:color w:val="auto"/>
                <w:w w:val="95"/>
              </w:rPr>
              <w:t>Home Health</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8"/>
          </w:tcPr>
          <w:p>
            <w:pPr>
              <w:jc w:val="center"/>
              <w:ind w:right="524"/>
              <w:spacing w:after="0"/>
              <w:rPr>
                <w:sz w:val="20"/>
                <w:szCs w:val="20"/>
                <w:color w:val="auto"/>
              </w:rPr>
            </w:pPr>
            <w:r>
              <w:rPr>
                <w:rFonts w:ascii="Arial" w:cs="Arial" w:eastAsia="Arial" w:hAnsi="Arial"/>
                <w:sz w:val="14"/>
                <w:szCs w:val="14"/>
                <w:b w:val="1"/>
                <w:bCs w:val="1"/>
                <w:color w:val="auto"/>
                <w:w w:val="94"/>
              </w:rPr>
              <w:t>For the Three Months Ended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left="217"/>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spacing w:after="0" w:line="143"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5"/>
          </w:tcPr>
          <w:p>
            <w:pPr>
              <w:jc w:val="center"/>
              <w:spacing w:after="0" w:line="143" w:lineRule="exact"/>
              <w:rPr>
                <w:sz w:val="20"/>
                <w:szCs w:val="20"/>
                <w:color w:val="auto"/>
              </w:rPr>
            </w:pPr>
            <w:r>
              <w:rPr>
                <w:rFonts w:ascii="Arial" w:cs="Arial" w:eastAsia="Arial" w:hAnsi="Arial"/>
                <w:sz w:val="13"/>
                <w:szCs w:val="13"/>
                <w:b w:val="1"/>
                <w:bCs w:val="1"/>
                <w:color w:val="auto"/>
                <w:w w:val="87"/>
              </w:rPr>
              <w:t>% of Segment Net Service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7"/>
          </w:tcPr>
          <w:p>
            <w:pPr>
              <w:jc w:val="center"/>
              <w:ind w:right="6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384"/>
              <w:spacing w:after="0"/>
              <w:rPr>
                <w:sz w:val="20"/>
                <w:szCs w:val="20"/>
                <w:color w:val="auto"/>
              </w:rPr>
            </w:pPr>
            <w:r>
              <w:rPr>
                <w:rFonts w:ascii="Arial" w:cs="Arial" w:eastAsia="Arial" w:hAnsi="Arial"/>
                <w:sz w:val="13"/>
                <w:szCs w:val="13"/>
                <w:b w:val="1"/>
                <w:bCs w:val="1"/>
                <w:color w:val="auto"/>
                <w:w w:val="81"/>
              </w:rPr>
              <w:t>Revenues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7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home health segment net service revenues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vMerge w:val="restart"/>
          </w:tcPr>
          <w:p>
            <w:pPr>
              <w:jc w:val="right"/>
              <w:ind w:right="595"/>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640" w:firstLine="484"/>
        <w:spacing w:after="0" w:line="277" w:lineRule="auto"/>
        <w:rPr>
          <w:sz w:val="20"/>
          <w:szCs w:val="20"/>
          <w:color w:val="auto"/>
        </w:rPr>
      </w:pPr>
      <w:r>
        <w:rPr>
          <w:rFonts w:ascii="Arial" w:cs="Arial" w:eastAsia="Arial" w:hAnsi="Arial"/>
          <w:sz w:val="18"/>
          <w:szCs w:val="18"/>
          <w:color w:val="auto"/>
        </w:rPr>
        <w:t>The percentages of segment revenue for each of the Company’s significant states for the three months ended March 31, 2019 and 2018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8"/>
          </w:tcPr>
          <w:p>
            <w:pPr>
              <w:ind w:left="900"/>
              <w:spacing w:after="0"/>
              <w:rPr>
                <w:sz w:val="20"/>
                <w:szCs w:val="20"/>
                <w:color w:val="auto"/>
              </w:rPr>
            </w:pPr>
            <w:r>
              <w:rPr>
                <w:rFonts w:ascii="Arial" w:cs="Arial" w:eastAsia="Arial" w:hAnsi="Arial"/>
                <w:sz w:val="14"/>
                <w:szCs w:val="14"/>
                <w:b w:val="1"/>
                <w:bCs w:val="1"/>
                <w:color w:val="auto"/>
              </w:rPr>
              <w:t>Personal Care</w:t>
            </w: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8"/>
          </w:tcPr>
          <w:p>
            <w:pPr>
              <w:ind w:left="100"/>
              <w:spacing w:after="0" w:line="155" w:lineRule="exact"/>
              <w:rPr>
                <w:sz w:val="20"/>
                <w:szCs w:val="20"/>
                <w:color w:val="auto"/>
              </w:rPr>
            </w:pPr>
            <w:r>
              <w:rPr>
                <w:rFonts w:ascii="Arial" w:cs="Arial" w:eastAsia="Arial" w:hAnsi="Arial"/>
                <w:sz w:val="14"/>
                <w:szCs w:val="14"/>
                <w:b w:val="1"/>
                <w:bCs w:val="1"/>
                <w:color w:val="auto"/>
              </w:rPr>
              <w:t>For the Three Months Ended March 31,</w:t>
            </w:r>
          </w:p>
        </w:tc>
        <w:tc>
          <w:tcPr>
            <w:tcW w:w="9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102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80"/>
              <w:spacing w:after="0" w:line="155"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57,596</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40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57,386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52.4</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New York</w:t>
            </w: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17,813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15,363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17,208</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11,770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All other states</w:t>
            </w: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36,024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24,957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personal care segment net service revenues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128,641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109,476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center"/>
              <w:ind w:right="1120"/>
              <w:spacing w:after="0"/>
              <w:rPr>
                <w:sz w:val="20"/>
                <w:szCs w:val="20"/>
                <w:color w:val="auto"/>
              </w:rPr>
            </w:pPr>
            <w:r>
              <w:rPr>
                <w:rFonts w:ascii="Arial" w:cs="Arial" w:eastAsia="Arial" w:hAnsi="Arial"/>
                <w:sz w:val="14"/>
                <w:szCs w:val="14"/>
                <w:b w:val="1"/>
                <w:bCs w:val="1"/>
                <w:color w:val="auto"/>
                <w:w w:val="88"/>
              </w:rPr>
              <w:t>Hospice</w:t>
            </w: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8"/>
          </w:tcPr>
          <w:p>
            <w:pPr>
              <w:jc w:val="center"/>
              <w:spacing w:after="0" w:line="155" w:lineRule="exact"/>
              <w:rPr>
                <w:sz w:val="20"/>
                <w:szCs w:val="20"/>
                <w:color w:val="auto"/>
              </w:rPr>
            </w:pPr>
            <w:r>
              <w:rPr>
                <w:rFonts w:ascii="Arial" w:cs="Arial" w:eastAsia="Arial" w:hAnsi="Arial"/>
                <w:sz w:val="14"/>
                <w:szCs w:val="14"/>
                <w:b w:val="1"/>
                <w:bCs w:val="1"/>
                <w:color w:val="auto"/>
                <w:w w:val="95"/>
              </w:rPr>
              <w:t>For the Three Months Ended March 31,</w:t>
            </w:r>
          </w:p>
        </w:tc>
        <w:tc>
          <w:tcPr>
            <w:tcW w:w="9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4"/>
          </w:tcPr>
          <w:p>
            <w:pPr>
              <w:jc w:val="center"/>
              <w:ind w:left="121"/>
              <w:spacing w:after="0" w:line="155" w:lineRule="exact"/>
              <w:rPr>
                <w:sz w:val="20"/>
                <w:szCs w:val="20"/>
                <w:color w:val="auto"/>
              </w:rPr>
            </w:pPr>
            <w:r>
              <w:rPr>
                <w:rFonts w:ascii="Arial" w:cs="Arial" w:eastAsia="Arial" w:hAnsi="Arial"/>
                <w:sz w:val="14"/>
                <w:szCs w:val="14"/>
                <w:b w:val="1"/>
                <w:bCs w:val="1"/>
                <w:color w:val="auto"/>
                <w:w w:val="89"/>
              </w:rPr>
              <w:t>2019</w:t>
            </w: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2"/>
          </w:tcPr>
          <w:p>
            <w:pPr>
              <w:jc w:val="center"/>
              <w:ind w:right="425"/>
              <w:spacing w:after="0" w:line="133"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8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4"/>
              </w:rPr>
              <w:t>% of Segment Net</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Service 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gridSpan w:val="3"/>
            <w:shd w:val="clear" w:color="auto" w:fill="CFF0FC"/>
          </w:tcPr>
          <w:p>
            <w:pPr>
              <w:ind w:left="1140"/>
              <w:spacing w:after="0"/>
              <w:rPr>
                <w:sz w:val="20"/>
                <w:szCs w:val="20"/>
                <w:color w:val="auto"/>
              </w:rPr>
            </w:pPr>
            <w:r>
              <w:rPr>
                <w:rFonts w:ascii="Arial" w:cs="Arial" w:eastAsia="Arial" w:hAnsi="Arial"/>
                <w:sz w:val="18"/>
                <w:szCs w:val="18"/>
                <w:color w:val="auto"/>
                <w:w w:val="88"/>
              </w:rPr>
              <w:t>7,917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 hospice segment net service revenues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color w:val="auto"/>
                <w:w w:val="88"/>
              </w:rPr>
              <w:t>7,917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Home Health</w:t>
            </w: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8"/>
          </w:tcPr>
          <w:p>
            <w:pPr>
              <w:jc w:val="center"/>
              <w:spacing w:after="0" w:line="155" w:lineRule="exact"/>
              <w:rPr>
                <w:sz w:val="20"/>
                <w:szCs w:val="20"/>
                <w:color w:val="auto"/>
              </w:rPr>
            </w:pPr>
            <w:r>
              <w:rPr>
                <w:rFonts w:ascii="Arial" w:cs="Arial" w:eastAsia="Arial" w:hAnsi="Arial"/>
                <w:sz w:val="14"/>
                <w:szCs w:val="14"/>
                <w:b w:val="1"/>
                <w:bCs w:val="1"/>
                <w:color w:val="auto"/>
                <w:w w:val="95"/>
              </w:rPr>
              <w:t>For the Three Months Ended March 31,</w:t>
            </w:r>
          </w:p>
        </w:tc>
        <w:tc>
          <w:tcPr>
            <w:tcW w:w="9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4"/>
          </w:tcPr>
          <w:p>
            <w:pPr>
              <w:jc w:val="center"/>
              <w:ind w:left="121"/>
              <w:spacing w:after="0" w:line="155" w:lineRule="exact"/>
              <w:rPr>
                <w:sz w:val="20"/>
                <w:szCs w:val="20"/>
                <w:color w:val="auto"/>
              </w:rPr>
            </w:pPr>
            <w:r>
              <w:rPr>
                <w:rFonts w:ascii="Arial" w:cs="Arial" w:eastAsia="Arial" w:hAnsi="Arial"/>
                <w:sz w:val="14"/>
                <w:szCs w:val="14"/>
                <w:b w:val="1"/>
                <w:bCs w:val="1"/>
                <w:color w:val="auto"/>
                <w:w w:val="89"/>
              </w:rPr>
              <w:t>2019</w:t>
            </w: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2"/>
          </w:tcPr>
          <w:p>
            <w:pPr>
              <w:jc w:val="center"/>
              <w:ind w:right="425"/>
              <w:spacing w:after="0" w:line="133"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8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4"/>
              </w:rPr>
              <w:t>% of Segment Net</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Service 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gridSpan w:val="3"/>
            <w:shd w:val="clear" w:color="auto" w:fill="CFF0FC"/>
          </w:tcPr>
          <w:p>
            <w:pPr>
              <w:ind w:left="1140"/>
              <w:spacing w:after="0"/>
              <w:rPr>
                <w:sz w:val="20"/>
                <w:szCs w:val="20"/>
                <w:color w:val="auto"/>
              </w:rPr>
            </w:pPr>
            <w:r>
              <w:rPr>
                <w:rFonts w:ascii="Arial" w:cs="Arial" w:eastAsia="Arial" w:hAnsi="Arial"/>
                <w:sz w:val="18"/>
                <w:szCs w:val="18"/>
                <w:color w:val="auto"/>
                <w:w w:val="88"/>
              </w:rPr>
              <w:t>2,696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 home health segment net service revenues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color w:val="auto"/>
                <w:w w:val="88"/>
              </w:rPr>
              <w:t>2,696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500" w:firstLine="484"/>
        <w:spacing w:after="0" w:line="286" w:lineRule="auto"/>
        <w:rPr>
          <w:sz w:val="20"/>
          <w:szCs w:val="20"/>
          <w:color w:val="auto"/>
        </w:rPr>
      </w:pPr>
      <w:r>
        <w:rPr>
          <w:rFonts w:ascii="Arial" w:cs="Arial" w:eastAsia="Arial" w:hAnsi="Arial"/>
          <w:sz w:val="17"/>
          <w:szCs w:val="17"/>
          <w:color w:val="auto"/>
        </w:rPr>
        <w:t>A substantial portion of the Company’s net service revenues and accounts receivable are derived from services performed for state and local governmental agencies. The Illinois Department on Aging, the largest payor program for our Illinois personal care operations, accounted for 28.9% and 36.6% of the Company’s net service revenues for the three months ended March 31, 2019 and 2018, respectively.</w:t>
      </w:r>
    </w:p>
    <w:p>
      <w:pPr>
        <w:spacing w:after="0" w:line="111" w:lineRule="exact"/>
        <w:rPr>
          <w:sz w:val="20"/>
          <w:szCs w:val="20"/>
          <w:color w:val="auto"/>
        </w:rPr>
      </w:pPr>
    </w:p>
    <w:p>
      <w:pPr>
        <w:ind w:right="700" w:firstLine="484"/>
        <w:spacing w:after="0" w:line="277" w:lineRule="auto"/>
        <w:rPr>
          <w:sz w:val="20"/>
          <w:szCs w:val="20"/>
          <w:color w:val="auto"/>
        </w:rPr>
      </w:pPr>
      <w:r>
        <w:rPr>
          <w:rFonts w:ascii="Arial" w:cs="Arial" w:eastAsia="Arial" w:hAnsi="Arial"/>
          <w:sz w:val="18"/>
          <w:szCs w:val="18"/>
          <w:color w:val="auto"/>
        </w:rPr>
        <w:t>The related receivables due from the Illinois Department on Aging represented 24.5% and 22.5% of the Company’s net accounts receivable at March 31, 2019 and December 31,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Concentration of Cash</w:t>
      </w:r>
    </w:p>
    <w:p>
      <w:pPr>
        <w:spacing w:after="0" w:line="94" w:lineRule="exact"/>
        <w:rPr>
          <w:sz w:val="20"/>
          <w:szCs w:val="20"/>
          <w:color w:val="auto"/>
        </w:rPr>
      </w:pPr>
    </w:p>
    <w:p>
      <w:pPr>
        <w:ind w:right="460" w:firstLine="484"/>
        <w:spacing w:after="0" w:line="264" w:lineRule="auto"/>
        <w:rPr>
          <w:sz w:val="20"/>
          <w:szCs w:val="20"/>
          <w:color w:val="auto"/>
        </w:rPr>
      </w:pPr>
      <w:r>
        <w:rPr>
          <w:rFonts w:ascii="Arial" w:cs="Arial" w:eastAsia="Arial" w:hAnsi="Arial"/>
          <w:sz w:val="18"/>
          <w:szCs w:val="18"/>
          <w:color w:val="auto"/>
        </w:rPr>
        <w:t>The Company owns financial instruments, including cash, that potentially subject the Company to significant concentrations of credit risk. The Company maintains cash with financial institutions which, at times, may exceed federally insured limits. The Company believes it is not exposed to any significant credit risk on cash.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1" w:lineRule="exact"/>
        <w:rPr>
          <w:sz w:val="20"/>
          <w:szCs w:val="20"/>
          <w:color w:val="auto"/>
        </w:rPr>
      </w:pPr>
    </w:p>
    <w:p>
      <w:pPr>
        <w:ind w:firstLine="484"/>
        <w:spacing w:after="0" w:line="269" w:lineRule="auto"/>
        <w:rPr>
          <w:sz w:val="20"/>
          <w:szCs w:val="20"/>
          <w:color w:val="auto"/>
        </w:rPr>
      </w:pPr>
      <w:r>
        <w:rPr>
          <w:rFonts w:ascii="Arial" w:cs="Arial" w:eastAsia="Arial" w:hAnsi="Arial"/>
          <w:sz w:val="17"/>
          <w:szCs w:val="17"/>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forward-looking statements involve a variety of risks and uncertainties that could cause actual results to differ materially from those described therein. These risks and uncertainties include, but are not limited to, the risks set forth in our filings with the Securities and Exchange Commission from time to time, including the risk factors set forth in Part I, Item 1A of our Annual Report on Form 10-K for the period ended December 31, 2018, filed on March 18, 2019 and in Part II, Item 1A of this Form 10-Q. Because forward-looking statements are inherently subject to risks and uncertainties, some of which cannot be predicted or quantified, you should not rely on any forward-looking statement as a prediction of future events. We expressly disclaim any obligation or undertaking and we do not intend to release publicly any updates or changes in our expectations concerning the forward-looking statements or any changes in events, conditions or circumstances upon which any forward-looking statement may be based, except as required by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77" w:lineRule="exact"/>
        <w:rPr>
          <w:sz w:val="20"/>
          <w:szCs w:val="20"/>
          <w:color w:val="auto"/>
        </w:rPr>
      </w:pPr>
    </w:p>
    <w:p>
      <w:pPr>
        <w:jc w:val="both"/>
        <w:ind w:right="200" w:firstLine="484"/>
        <w:spacing w:after="0" w:line="279" w:lineRule="auto"/>
        <w:rPr>
          <w:sz w:val="20"/>
          <w:szCs w:val="20"/>
          <w:color w:val="auto"/>
        </w:rPr>
      </w:pPr>
      <w:r>
        <w:rPr>
          <w:rFonts w:ascii="Arial" w:cs="Arial" w:eastAsia="Arial" w:hAnsi="Arial"/>
          <w:sz w:val="17"/>
          <w:szCs w:val="17"/>
          <w:color w:val="auto"/>
        </w:rPr>
        <w:t>We are a home care services provider operating in three segments: personal care, hospice, and home health. Our services are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35.0% and 34.6% of our revenue during the three months ended March 31, 2019 and 2018, respectively.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financial results for the three months ended March 31, 2019 and 2018 is provided in the table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60" w:type="dxa"/>
            <w:vAlign w:val="bottom"/>
            <w:gridSpan w:val="5"/>
          </w:tcPr>
          <w:p>
            <w:pPr>
              <w:ind w:left="70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6"/>
        </w:trPr>
        <w:tc>
          <w:tcPr>
            <w:tcW w:w="39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941"/>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956"/>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39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920" w:type="dxa"/>
            <w:vAlign w:val="bottom"/>
            <w:gridSpan w:val="3"/>
          </w:tcPr>
          <w:p>
            <w:pPr>
              <w:jc w:val="right"/>
              <w:ind w:right="130"/>
              <w:spacing w:after="0" w:line="155" w:lineRule="exact"/>
              <w:rPr>
                <w:sz w:val="20"/>
                <w:szCs w:val="20"/>
                <w:color w:val="auto"/>
              </w:rPr>
            </w:pPr>
            <w:r>
              <w:rPr>
                <w:rFonts w:ascii="Arial" w:cs="Arial" w:eastAsia="Arial" w:hAnsi="Arial"/>
                <w:sz w:val="14"/>
                <w:szCs w:val="14"/>
                <w:b w:val="1"/>
                <w:bCs w:val="1"/>
                <w:color w:val="auto"/>
              </w:rPr>
              <w:t>(Amounts in Thousands)</w:t>
            </w: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9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139,254</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109,476</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Net income</w:t>
            </w:r>
          </w:p>
        </w:tc>
        <w:tc>
          <w:tcPr>
            <w:tcW w:w="2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4,862</w:t>
            </w:r>
          </w:p>
        </w:tc>
        <w:tc>
          <w:tcPr>
            <w:tcW w:w="36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4,886</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484"/>
        <w:spacing w:after="0" w:line="264" w:lineRule="auto"/>
        <w:rPr>
          <w:sz w:val="20"/>
          <w:szCs w:val="20"/>
          <w:color w:val="auto"/>
        </w:rPr>
      </w:pPr>
      <w:r>
        <w:rPr>
          <w:rFonts w:ascii="Arial" w:cs="Arial" w:eastAsia="Arial" w:hAnsi="Arial"/>
          <w:sz w:val="18"/>
          <w:szCs w:val="18"/>
          <w:color w:val="auto"/>
        </w:rPr>
        <w:t>As of March 31, 2019, we provided our services in 24 states through 157 offices. For the three months ended March 31, 2019 and 2018, we served approximately 43,000 and 37,000 discrete individuals, respectively. Our personal care segment also includes staffing services, with clients including assisted living facilities, nursing homes and hospice facilities.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ind w:right="40" w:firstLine="484"/>
        <w:spacing w:after="0" w:line="277" w:lineRule="auto"/>
        <w:rPr>
          <w:sz w:val="20"/>
          <w:szCs w:val="20"/>
          <w:color w:val="auto"/>
        </w:rPr>
      </w:pPr>
      <w:r>
        <w:rPr>
          <w:rFonts w:ascii="Arial" w:cs="Arial" w:eastAsia="Arial" w:hAnsi="Arial"/>
          <w:sz w:val="18"/>
          <w:szCs w:val="18"/>
          <w:color w:val="auto"/>
        </w:rPr>
        <w:t>In addition to organic growth, we have grown through acquisitions that have expanded our presence in current markets or facilitated our entry into new markets where in-home care has been moving to managed care organizations.</w:t>
      </w:r>
    </w:p>
    <w:p>
      <w:pPr>
        <w:spacing w:after="0" w:line="116" w:lineRule="exact"/>
        <w:rPr>
          <w:sz w:val="20"/>
          <w:szCs w:val="20"/>
          <w:color w:val="auto"/>
        </w:rPr>
      </w:pPr>
    </w:p>
    <w:p>
      <w:pPr>
        <w:ind w:right="800" w:firstLine="484"/>
        <w:spacing w:after="0" w:line="277" w:lineRule="auto"/>
        <w:rPr>
          <w:sz w:val="20"/>
          <w:szCs w:val="20"/>
          <w:color w:val="auto"/>
        </w:rPr>
      </w:pPr>
      <w:r>
        <w:rPr>
          <w:rFonts w:ascii="Arial" w:cs="Arial" w:eastAsia="Arial" w:hAnsi="Arial"/>
          <w:sz w:val="18"/>
          <w:szCs w:val="18"/>
          <w:color w:val="auto"/>
        </w:rPr>
        <w:t>On January 1, 2018, we acquired certain assets of LifeStyle in order to expand private pay services in Illinois. The total consideration for the transaction was $4.1 million.</w:t>
      </w:r>
    </w:p>
    <w:p>
      <w:pPr>
        <w:spacing w:after="0" w:line="116" w:lineRule="exact"/>
        <w:rPr>
          <w:sz w:val="20"/>
          <w:szCs w:val="20"/>
          <w:color w:val="auto"/>
        </w:rPr>
      </w:pPr>
    </w:p>
    <w:p>
      <w:pPr>
        <w:jc w:val="both"/>
        <w:ind w:right="180" w:firstLine="484"/>
        <w:spacing w:after="0" w:line="264" w:lineRule="auto"/>
        <w:rPr>
          <w:sz w:val="20"/>
          <w:szCs w:val="20"/>
          <w:color w:val="auto"/>
        </w:rPr>
      </w:pPr>
      <w:r>
        <w:rPr>
          <w:rFonts w:ascii="Arial" w:cs="Arial" w:eastAsia="Arial" w:hAnsi="Arial"/>
          <w:sz w:val="18"/>
          <w:szCs w:val="18"/>
          <w:color w:val="auto"/>
        </w:rPr>
        <w:t>On April 1, 2018, we completed an acquisition of certain assets of Arcadia for approximately $18.9 million. Arcadia provides home care services to approximately 2,300 consumers through 26 offices in 10 states. We funded this acquisition through the delayed draw term loan portion of our credit facility. In September 2018, we acquired certain affiliate branches of Arcadia for $0.6 million using cash on hand.</w:t>
      </w:r>
    </w:p>
    <w:p>
      <w:pPr>
        <w:spacing w:after="0" w:line="127" w:lineRule="exact"/>
        <w:rPr>
          <w:sz w:val="20"/>
          <w:szCs w:val="20"/>
          <w:color w:val="auto"/>
        </w:rPr>
      </w:pPr>
    </w:p>
    <w:p>
      <w:pPr>
        <w:ind w:right="440" w:firstLine="484"/>
        <w:spacing w:after="0" w:line="259" w:lineRule="auto"/>
        <w:rPr>
          <w:sz w:val="20"/>
          <w:szCs w:val="20"/>
          <w:color w:val="auto"/>
        </w:rPr>
      </w:pPr>
      <w:r>
        <w:rPr>
          <w:rFonts w:ascii="Arial" w:cs="Arial" w:eastAsia="Arial" w:hAnsi="Arial"/>
          <w:sz w:val="18"/>
          <w:szCs w:val="18"/>
          <w:color w:val="auto"/>
        </w:rPr>
        <w:t>On May 1, 2018, we completed the acquisition of all of the issued and outstanding stock of Ambercare for approximately $39.6 million plus the amount of excess cash held by Ambercare at closing (approximately $12.0 million). With the purchase of Ambercare, we expanded our personal care operations and acquired hospice and home health operations in the state of New Mexico. We funded this acquisition through the delayed draw term loan portion of our credit facility.</w:t>
      </w:r>
    </w:p>
    <w:p>
      <w:pPr>
        <w:spacing w:after="0" w:line="133" w:lineRule="exact"/>
        <w:rPr>
          <w:sz w:val="20"/>
          <w:szCs w:val="20"/>
          <w:color w:val="auto"/>
        </w:rPr>
      </w:pPr>
    </w:p>
    <w:p>
      <w:pPr>
        <w:jc w:val="both"/>
        <w:ind w:right="140" w:firstLine="484"/>
        <w:spacing w:after="0" w:line="302" w:lineRule="auto"/>
        <w:rPr>
          <w:sz w:val="20"/>
          <w:szCs w:val="20"/>
          <w:color w:val="auto"/>
        </w:rPr>
      </w:pPr>
      <w:r>
        <w:rPr>
          <w:rFonts w:ascii="Arial" w:cs="Arial" w:eastAsia="Arial" w:hAnsi="Arial"/>
          <w:sz w:val="16"/>
          <w:szCs w:val="16"/>
          <w:color w:val="auto"/>
        </w:rPr>
        <w:t>Effective October 31, 2018, we entered into a definitive agreement to acquire the assets of VIP Health Care Services for approximately $28.0 million. We expect to fund this acquisition through the delayed draw term loan and revolving loan portion of our credit facility and available cash on hand. With the purchase of VIP Health Care Services, we will expand our personal care operations in the state of New York and into the New York City metropolitan area. We expect to complete this transaction in the second quarter of 2019, contingent on the timing of certain licensure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Payor</w:t>
      </w:r>
    </w:p>
    <w:p>
      <w:pPr>
        <w:spacing w:after="0" w:line="77" w:lineRule="exact"/>
        <w:rPr>
          <w:sz w:val="20"/>
          <w:szCs w:val="20"/>
          <w:color w:val="auto"/>
        </w:rPr>
      </w:pPr>
    </w:p>
    <w:p>
      <w:pPr>
        <w:ind w:right="120" w:firstLine="484"/>
        <w:spacing w:after="0" w:line="259" w:lineRule="auto"/>
        <w:rPr>
          <w:sz w:val="20"/>
          <w:szCs w:val="20"/>
          <w:color w:val="auto"/>
        </w:rPr>
      </w:pPr>
      <w:r>
        <w:rPr>
          <w:rFonts w:ascii="Arial" w:cs="Arial" w:eastAsia="Arial" w:hAnsi="Arial"/>
          <w:sz w:val="18"/>
          <w:szCs w:val="18"/>
          <w:color w:val="auto"/>
        </w:rPr>
        <w:t>Our payor clients are principally federal, state and local governmental agencies and managed care organizations. The federal, state and local programs under which the agencies operate are subject to legislative, budgetary and other risks that can influence reimbursement rates. We continue to experience a transition of business from government payors to managed care organizations, which we believe aligns with our emphasis on coordinated care and the reduction of the need for acute care.</w:t>
      </w:r>
    </w:p>
    <w:p>
      <w:pPr>
        <w:sectPr>
          <w:pgSz w:w="11900" w:h="16838" w:orient="portrait"/>
          <w:cols w:equalWidth="0" w:num="1">
            <w:col w:w="11420"/>
          </w:cols>
          <w:pgMar w:left="240" w:top="12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three months ended March 31, 2019 and 2018 our payor revenue and significant states by segment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ind w:left="778"/>
              <w:spacing w:after="0"/>
              <w:rPr>
                <w:sz w:val="20"/>
                <w:szCs w:val="20"/>
                <w:color w:val="auto"/>
              </w:rPr>
            </w:pPr>
            <w:r>
              <w:rPr>
                <w:rFonts w:ascii="Arial" w:cs="Arial" w:eastAsia="Arial" w:hAnsi="Arial"/>
                <w:sz w:val="14"/>
                <w:szCs w:val="14"/>
                <w:b w:val="1"/>
                <w:bCs w:val="1"/>
                <w:color w:val="auto"/>
                <w:w w:val="93"/>
              </w:rPr>
              <w:t>Personal Care</w:t>
            </w: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9"/>
          </w:tcPr>
          <w:p>
            <w:pPr>
              <w:jc w:val="center"/>
              <w:ind w:right="240"/>
              <w:spacing w:after="0" w:line="155" w:lineRule="exact"/>
              <w:rPr>
                <w:sz w:val="20"/>
                <w:szCs w:val="20"/>
                <w:color w:val="auto"/>
              </w:rPr>
            </w:pPr>
            <w:r>
              <w:rPr>
                <w:rFonts w:ascii="Arial" w:cs="Arial" w:eastAsia="Arial" w:hAnsi="Arial"/>
                <w:sz w:val="14"/>
                <w:szCs w:val="14"/>
                <w:b w:val="1"/>
                <w:bCs w:val="1"/>
                <w:color w:val="auto"/>
                <w:w w:val="95"/>
              </w:rPr>
              <w:t>For the Three Months Ended March 31,</w:t>
            </w:r>
          </w:p>
        </w:tc>
        <w:tc>
          <w:tcPr>
            <w:tcW w:w="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right"/>
              <w:ind w:right="99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tcPr>
          <w:p>
            <w:pPr>
              <w:jc w:val="right"/>
              <w:ind w:right="1022"/>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Segment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Revenues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 governmental programs</w:t>
            </w:r>
          </w:p>
        </w:tc>
        <w:tc>
          <w:tcPr>
            <w:tcW w:w="1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72,059</w:t>
            </w: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17"/>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67,328</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48,005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w:t>
            </w:r>
          </w:p>
        </w:tc>
        <w:tc>
          <w:tcPr>
            <w:tcW w:w="240" w:type="dxa"/>
            <w:vAlign w:val="bottom"/>
            <w:tcBorders>
              <w:right w:val="single" w:sz="8" w:color="CFF0FC"/>
            </w:tcBorders>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Commercial insurance</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240" w:type="dxa"/>
            <w:vAlign w:val="bottom"/>
            <w:tcBorders>
              <w:right w:val="single" w:sz="8" w:color="CFF0FC"/>
            </w:tcBorders>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FF0FC"/>
            </w:tcBorders>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 personal care segment net service revenues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128,641</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Hospice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Home Health</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360" w:type="dxa"/>
            <w:vAlign w:val="bottom"/>
            <w:tcBorders>
              <w:top w:val="single" w:sz="8" w:color="auto"/>
              <w:bottom w:val="single" w:sz="8" w:color="auto"/>
            </w:tcBorders>
            <w:gridSpan w:val="3"/>
          </w:tcPr>
          <w:p>
            <w:pPr>
              <w:jc w:val="right"/>
              <w:ind w:right="101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220" w:type="dxa"/>
            <w:vAlign w:val="bottom"/>
            <w:tcBorders>
              <w:top w:val="single" w:sz="8" w:color="auto"/>
              <w:bottom w:val="single" w:sz="8" w:color="auto"/>
            </w:tcBorders>
            <w:gridSpan w:val="6"/>
          </w:tcPr>
          <w:p>
            <w:pPr>
              <w:jc w:val="right"/>
              <w:ind w:right="102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1"/>
                <w:szCs w:val="11"/>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 of Segment Net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Service Revenues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4"/>
                <w:szCs w:val="14"/>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Service 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7,390</w:t>
            </w: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17"/>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right w:val="single" w:sz="8" w:color="CFF0FC"/>
            </w:tcBorders>
            <w:shd w:val="clear" w:color="auto" w:fill="CFF0FC"/>
          </w:tcPr>
          <w:p>
            <w:pPr>
              <w:spacing w:after="0"/>
              <w:rPr>
                <w:sz w:val="19"/>
                <w:szCs w:val="19"/>
                <w:color w:val="auto"/>
              </w:rPr>
            </w:pPr>
          </w:p>
        </w:tc>
        <w:tc>
          <w:tcPr>
            <w:tcW w:w="11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81.6</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right w:val="single" w:sz="8" w:color="CFF0FC"/>
            </w:tcBorders>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segment net service revenues</w:t>
            </w:r>
          </w:p>
        </w:tc>
        <w:tc>
          <w:tcPr>
            <w:tcW w:w="1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7,917</w:t>
            </w:r>
          </w:p>
        </w:tc>
        <w:tc>
          <w:tcPr>
            <w:tcW w:w="240" w:type="dxa"/>
            <w:vAlign w:val="bottom"/>
            <w:tcBorders>
              <w:bottom w:val="single" w:sz="8" w:color="CFF0FC"/>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FF0FC"/>
            </w:tcBorders>
          </w:tcPr>
          <w:p>
            <w:pPr>
              <w:spacing w:after="0"/>
              <w:rPr>
                <w:sz w:val="22"/>
                <w:szCs w:val="22"/>
                <w:color w:val="auto"/>
              </w:rPr>
            </w:pP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7,917</w:t>
            </w:r>
          </w:p>
        </w:tc>
        <w:tc>
          <w:tcPr>
            <w:tcW w:w="240" w:type="dxa"/>
            <w:vAlign w:val="bottom"/>
            <w:tcBorders>
              <w:right w:val="single" w:sz="8" w:color="CFF0FC"/>
            </w:tcBorders>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1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Total segment net service revenues</w:t>
            </w:r>
          </w:p>
        </w:tc>
        <w:tc>
          <w:tcPr>
            <w:tcW w:w="112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7,917</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ind w:left="798"/>
              <w:spacing w:after="0"/>
              <w:rPr>
                <w:sz w:val="20"/>
                <w:szCs w:val="20"/>
                <w:color w:val="auto"/>
              </w:rPr>
            </w:pPr>
            <w:r>
              <w:rPr>
                <w:rFonts w:ascii="Arial" w:cs="Arial" w:eastAsia="Arial" w:hAnsi="Arial"/>
                <w:sz w:val="14"/>
                <w:szCs w:val="14"/>
                <w:b w:val="1"/>
                <w:bCs w:val="1"/>
                <w:color w:val="auto"/>
                <w:w w:val="91"/>
              </w:rPr>
              <w:t>Personal Care</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9"/>
          </w:tcPr>
          <w:p>
            <w:pPr>
              <w:jc w:val="center"/>
              <w:ind w:right="200"/>
              <w:spacing w:after="0" w:line="155" w:lineRule="exact"/>
              <w:rPr>
                <w:sz w:val="20"/>
                <w:szCs w:val="20"/>
                <w:color w:val="auto"/>
              </w:rPr>
            </w:pPr>
            <w:r>
              <w:rPr>
                <w:rFonts w:ascii="Arial" w:cs="Arial" w:eastAsia="Arial" w:hAnsi="Arial"/>
                <w:sz w:val="14"/>
                <w:szCs w:val="14"/>
                <w:b w:val="1"/>
                <w:bCs w:val="1"/>
                <w:color w:val="auto"/>
                <w:w w:val="95"/>
              </w:rPr>
              <w:t>For the Three Months Ended March 31,</w:t>
            </w:r>
          </w:p>
        </w:tc>
        <w:tc>
          <w:tcPr>
            <w:tcW w:w="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4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99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100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114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57,596</w:t>
            </w: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11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44.8</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9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57,386</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right w:val="single" w:sz="8" w:color="CFF0FC"/>
            </w:tcBorders>
            <w:shd w:val="clear" w:color="auto" w:fill="CFF0FC"/>
          </w:tcPr>
          <w:p>
            <w:pPr>
              <w:spacing w:after="0"/>
              <w:rPr>
                <w:sz w:val="19"/>
                <w:szCs w:val="19"/>
                <w:color w:val="auto"/>
              </w:rPr>
            </w:pPr>
          </w:p>
        </w:tc>
        <w:tc>
          <w:tcPr>
            <w:tcW w:w="11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52.4</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New York</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17,813</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15,363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17,208</w:t>
            </w:r>
          </w:p>
        </w:tc>
        <w:tc>
          <w:tcPr>
            <w:tcW w:w="240" w:type="dxa"/>
            <w:vAlign w:val="bottom"/>
            <w:tcBorders>
              <w:right w:val="single" w:sz="8" w:color="CFF0FC"/>
            </w:tcBorders>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11,770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All other states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36,024</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24,957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personal care segment net service revenues</w:t>
            </w:r>
          </w:p>
        </w:tc>
        <w:tc>
          <w:tcPr>
            <w:tcW w:w="11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128,641</w:t>
            </w:r>
          </w:p>
        </w:tc>
        <w:tc>
          <w:tcPr>
            <w:tcW w:w="2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109,476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60" w:firstLine="484"/>
        <w:spacing w:after="0" w:line="277" w:lineRule="auto"/>
        <w:rPr>
          <w:sz w:val="20"/>
          <w:szCs w:val="20"/>
          <w:color w:val="auto"/>
        </w:rPr>
      </w:pPr>
      <w:r>
        <w:rPr>
          <w:rFonts w:ascii="Arial" w:cs="Arial" w:eastAsia="Arial" w:hAnsi="Arial"/>
          <w:sz w:val="18"/>
          <w:szCs w:val="18"/>
          <w:color w:val="auto"/>
        </w:rPr>
        <w:t>We derive a significant amount of our net service revenues in Illinois, which represented 44.8% and 52.4% of our total net service revenues for the three months ended March 31, 2019 and 2018, respectively.</w:t>
      </w:r>
    </w:p>
    <w:p>
      <w:pPr>
        <w:spacing w:after="0" w:line="116" w:lineRule="exact"/>
        <w:rPr>
          <w:sz w:val="20"/>
          <w:szCs w:val="20"/>
          <w:color w:val="auto"/>
        </w:rPr>
      </w:pPr>
    </w:p>
    <w:p>
      <w:pPr>
        <w:ind w:right="120" w:firstLine="484"/>
        <w:spacing w:after="0" w:line="277" w:lineRule="auto"/>
        <w:rPr>
          <w:sz w:val="20"/>
          <w:szCs w:val="20"/>
          <w:color w:val="auto"/>
        </w:rPr>
      </w:pPr>
      <w:r>
        <w:rPr>
          <w:rFonts w:ascii="Arial" w:cs="Arial" w:eastAsia="Arial" w:hAnsi="Arial"/>
          <w:sz w:val="18"/>
          <w:szCs w:val="18"/>
          <w:color w:val="auto"/>
        </w:rPr>
        <w:t>A significant amount of our net service revenues are derived from one payor client, the Illinois Department on Aging, which accounted for 28.9% and 36.6% of our total net service revenues for the three months ended March 31, 2019 and 2018, respectively.</w:t>
      </w:r>
    </w:p>
    <w:p>
      <w:pPr>
        <w:spacing w:after="0" w:line="116" w:lineRule="exact"/>
        <w:rPr>
          <w:sz w:val="20"/>
          <w:szCs w:val="20"/>
          <w:color w:val="auto"/>
        </w:rPr>
      </w:pPr>
    </w:p>
    <w:p>
      <w:pPr>
        <w:ind w:right="80" w:firstLine="484"/>
        <w:spacing w:after="0" w:line="257" w:lineRule="auto"/>
        <w:rPr>
          <w:sz w:val="20"/>
          <w:szCs w:val="20"/>
          <w:color w:val="auto"/>
        </w:rPr>
      </w:pPr>
      <w:r>
        <w:rPr>
          <w:rFonts w:ascii="Arial" w:cs="Arial" w:eastAsia="Arial" w:hAnsi="Arial"/>
          <w:sz w:val="18"/>
          <w:szCs w:val="18"/>
          <w:color w:val="auto"/>
        </w:rPr>
        <w:t>The Illinois Department on Aging’s payments for non-Medicaid consumers have been delayed in the past and may continue to be delayed in the future due to budget disputes. The state of Illinois did not adopt comprehensive budgets for fiscal years 2016 or 2017, ending June 30, 2016 and June 30, 2017, respectively. On July 6, 2017, the state of Illinois passed a budget for the state fiscal year 2018, which began on July 1, 2017, authorizing the Illinois Department on Aging to pay for our services rendered to non-Medicaid consumers provided in prior fiscal years. On June 4, 2018, the state of Illinois passed a budget for state fiscal year 2019, which began on July 1, 2018.</w:t>
      </w:r>
    </w:p>
    <w:p>
      <w:pPr>
        <w:spacing w:after="0" w:line="134" w:lineRule="exact"/>
        <w:rPr>
          <w:sz w:val="20"/>
          <w:szCs w:val="20"/>
          <w:color w:val="auto"/>
        </w:rPr>
      </w:pPr>
    </w:p>
    <w:p>
      <w:pPr>
        <w:ind w:right="40" w:firstLine="484"/>
        <w:spacing w:after="0" w:line="291" w:lineRule="auto"/>
        <w:rPr>
          <w:sz w:val="20"/>
          <w:szCs w:val="20"/>
          <w:color w:val="auto"/>
        </w:rPr>
      </w:pPr>
      <w:r>
        <w:rPr>
          <w:rFonts w:ascii="Arial" w:cs="Arial" w:eastAsia="Arial" w:hAnsi="Arial"/>
          <w:sz w:val="16"/>
          <w:szCs w:val="16"/>
          <w:color w:val="auto"/>
        </w:rPr>
        <w:t>We are subject to minimum wage laws and minimum wages have increased in many of the jurisdictions in which we operate. Since our operations are concentrated in Illinois, New York and New Mexico, we are particularly sensitive to changes in these states. For example, in 2014, the Chicago City Council passed an ordinance that will raise the minimum wage for Chicago workers to $13 per hour by July of 2019, with increases adjusted to the Consumer Price Index in subsequent years. The rate is $12 per hour effective as of July 1, 2018. The 2018 wage increase has not been offset by a reimbursement rate increase. In the budget process for the 2019 fiscal year, a similar provision was proposed but was not included in the final budget. We believe that there is legislative support for a reimbursement rate increase and anticipate that an increase to offset the wage increase could be passed in the first half of 2019. Our financial performance will be impacted in quarters for which an offsetting reimbursement rate increase is not in effect.</w:t>
      </w:r>
    </w:p>
    <w:p>
      <w:pPr>
        <w:sectPr>
          <w:pgSz w:w="11900" w:h="16838" w:orient="portrait"/>
          <w:cols w:equalWidth="0" w:num="1">
            <w:col w:w="11420"/>
          </w:cols>
          <w:pgMar w:left="240" w:top="121"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in Medicare and Medicaid Reimbursement</w:t>
      </w:r>
    </w:p>
    <w:p>
      <w:pPr>
        <w:spacing w:after="0" w:line="90" w:lineRule="exact"/>
        <w:rPr>
          <w:sz w:val="20"/>
          <w:szCs w:val="20"/>
          <w:color w:val="auto"/>
        </w:rPr>
      </w:pPr>
    </w:p>
    <w:p>
      <w:pPr>
        <w:ind w:right="220" w:firstLine="484"/>
        <w:spacing w:after="0" w:line="297" w:lineRule="auto"/>
        <w:rPr>
          <w:sz w:val="20"/>
          <w:szCs w:val="20"/>
          <w:color w:val="auto"/>
        </w:rPr>
      </w:pPr>
      <w:r>
        <w:rPr>
          <w:rFonts w:ascii="Arial" w:cs="Arial" w:eastAsia="Arial" w:hAnsi="Arial"/>
          <w:sz w:val="16"/>
          <w:szCs w:val="16"/>
          <w:color w:val="auto"/>
        </w:rPr>
        <w:t>The Centers for Medicare and Medicaid Services (“CMS”) has issued final rules and policy updates that allow Medicare Advantage insurers to offer beneficiaries more options and new types of benefits. Effective January 1, 2019, CMS expanded the scope of its “primarily health-related” supplemental benefit standard, permitting plans to cover a broader array of services that increase health and improve quality of life, including coverage of non-skilled in-home care. This policy change, emphasizing improving quality and reducing costs, aligns with our overall approach to care, and we believe the increased demand for personal care from the Medicare Advantage population represents a significant upside opportunity over the next three to five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Statements of Income</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Net Service Revenues</w:t>
      </w:r>
    </w:p>
    <w:p>
      <w:pPr>
        <w:spacing w:after="0" w:line="90" w:lineRule="exact"/>
        <w:rPr>
          <w:sz w:val="20"/>
          <w:szCs w:val="20"/>
          <w:color w:val="auto"/>
        </w:rPr>
      </w:pPr>
    </w:p>
    <w:p>
      <w:pPr>
        <w:ind w:right="100" w:firstLine="484"/>
        <w:spacing w:after="0" w:line="297" w:lineRule="auto"/>
        <w:rPr>
          <w:sz w:val="20"/>
          <w:szCs w:val="20"/>
          <w:color w:val="auto"/>
        </w:rPr>
      </w:pPr>
      <w:r>
        <w:rPr>
          <w:rFonts w:ascii="Arial" w:cs="Arial" w:eastAsia="Arial" w:hAnsi="Arial"/>
          <w:sz w:val="16"/>
          <w:szCs w:val="16"/>
          <w:color w:val="auto"/>
        </w:rPr>
        <w:t>We generate net service revenues by providing our services directly to consumers and primarily on an hourly basis. We receive payment for providing such services from our payor clients, including federal, state and local governmental agencies, managed care organizations, commercial insurers and private consumers. Net service revenues are principally provided based on authorized hours, determined by the relevant agency, at an hourly rate which is either contractual or fixed by legislation and are recognized at the time services are rendered. We also record estimated implicit price concessions (based primarily on historical collection experience) related to uninsured accounts to record self-pay revenues at the estimated amounts we expect to collect.</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Service Revenues</w:t>
      </w:r>
    </w:p>
    <w:p>
      <w:pPr>
        <w:spacing w:after="0" w:line="77" w:lineRule="exact"/>
        <w:rPr>
          <w:sz w:val="20"/>
          <w:szCs w:val="20"/>
          <w:color w:val="auto"/>
        </w:rPr>
      </w:pPr>
    </w:p>
    <w:p>
      <w:pPr>
        <w:ind w:right="120" w:firstLine="484"/>
        <w:spacing w:after="0" w:line="277"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Employees are also reimbursed for their travel time and related travel costs in certain instances.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77" w:lineRule="exact"/>
        <w:rPr>
          <w:sz w:val="20"/>
          <w:szCs w:val="20"/>
          <w:color w:val="auto"/>
        </w:rPr>
      </w:pPr>
    </w:p>
    <w:p>
      <w:pPr>
        <w:ind w:firstLine="484"/>
        <w:spacing w:after="0" w:line="254" w:lineRule="auto"/>
        <w:rPr>
          <w:sz w:val="20"/>
          <w:szCs w:val="20"/>
          <w:color w:val="auto"/>
        </w:rPr>
      </w:pPr>
      <w:r>
        <w:rPr>
          <w:rFonts w:ascii="Arial" w:cs="Arial" w:eastAsia="Arial" w:hAnsi="Arial"/>
          <w:sz w:val="18"/>
          <w:szCs w:val="18"/>
          <w:color w:val="auto"/>
        </w:rPr>
        <w:t>Our general and administrative expenses from continuing operations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 such as terminated employees, termination of professional services relationships, other contract termination costs and asset write-offs — are also included in general and administrative expenses.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90" w:lineRule="exact"/>
        <w:rPr>
          <w:sz w:val="20"/>
          <w:szCs w:val="20"/>
          <w:color w:val="auto"/>
        </w:rPr>
      </w:pPr>
    </w:p>
    <w:p>
      <w:pPr>
        <w:ind w:right="40" w:firstLine="484"/>
        <w:spacing w:after="0" w:line="259" w:lineRule="auto"/>
        <w:rPr>
          <w:sz w:val="20"/>
          <w:szCs w:val="20"/>
          <w:color w:val="auto"/>
        </w:rPr>
      </w:pPr>
      <w:r>
        <w:rPr>
          <w:rFonts w:ascii="Arial" w:cs="Arial" w:eastAsia="Arial" w:hAnsi="Arial"/>
          <w:sz w:val="18"/>
          <w:szCs w:val="18"/>
          <w:color w:val="auto"/>
        </w:rPr>
        <w:t>We amortize our intangible assets with finite lives, consisting of customer and referral relationships, trade names, trademarks and non-compete agreements, principally using accelerated methods based upon their estimated useful lives. 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77" w:lineRule="exact"/>
        <w:rPr>
          <w:sz w:val="20"/>
          <w:szCs w:val="20"/>
          <w:color w:val="auto"/>
        </w:rPr>
      </w:pPr>
    </w:p>
    <w:p>
      <w:pPr>
        <w:ind w:firstLine="484"/>
        <w:spacing w:after="0" w:line="259" w:lineRule="auto"/>
        <w:rPr>
          <w:sz w:val="20"/>
          <w:szCs w:val="20"/>
          <w:color w:val="auto"/>
        </w:rPr>
      </w:pPr>
      <w:r>
        <w:rPr>
          <w:rFonts w:ascii="Arial" w:cs="Arial" w:eastAsia="Arial" w:hAnsi="Arial"/>
          <w:sz w:val="18"/>
          <w:szCs w:val="18"/>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three months ended March 31, 2019, we received $0.1 million in prompt payment interest. For the three months ended March 31, 2018, we received $2.3 million in prompt payment interest.</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7" w:lineRule="exact"/>
        <w:rPr>
          <w:sz w:val="20"/>
          <w:szCs w:val="20"/>
          <w:color w:val="auto"/>
        </w:rPr>
      </w:pPr>
    </w:p>
    <w:p>
      <w:pPr>
        <w:ind w:right="400" w:firstLine="484"/>
        <w:spacing w:after="0" w:line="308" w:lineRule="auto"/>
        <w:rPr>
          <w:sz w:val="20"/>
          <w:szCs w:val="20"/>
          <w:color w:val="auto"/>
        </w:rPr>
      </w:pPr>
      <w:r>
        <w:rPr>
          <w:rFonts w:ascii="Arial" w:cs="Arial" w:eastAsia="Arial" w:hAnsi="Arial"/>
          <w:sz w:val="17"/>
          <w:szCs w:val="17"/>
          <w:color w:val="auto"/>
        </w:rPr>
        <w:t>Interest expense is reported in the Unaudited Condensed Consolidated Statements of Income when incurred and consists of (i) interest and unused credit line fees on our credit facility, and our Terminated Senior Credit Facility and (ii) interest on our financing lease obligations.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77" w:lineRule="exact"/>
        <w:rPr>
          <w:sz w:val="20"/>
          <w:szCs w:val="20"/>
          <w:color w:val="auto"/>
        </w:rPr>
      </w:pPr>
    </w:p>
    <w:p>
      <w:pPr>
        <w:ind w:right="140" w:firstLine="484"/>
        <w:spacing w:after="0" w:line="259"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For the three months ended March 31, 2019 and 2018, our federal statutory rate was 21.0%. The effective income tax rate was 16.7% and 18.7% for the three months ended March 31, 2019 and 2018, respectively. The difference between our federal statutory and effective income tax rates are principally due to the inclusion of state taxes, excess tax benefit and the use of federal employment tax credits.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2019 Compared to Three Months Ended March 31, 2018</w:t>
      </w:r>
    </w:p>
    <w:p>
      <w:pPr>
        <w:sectPr>
          <w:pgSz w:w="11900" w:h="16838" w:orient="portrait"/>
          <w:cols w:equalWidth="0" w:num="1">
            <w:col w:w="11400"/>
          </w:cols>
          <w:pgMar w:left="240" w:top="121"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for the periods indicated, our unaudited condensed consolidated results of operations.</w:t>
      </w:r>
    </w:p>
    <w:p>
      <w:pPr>
        <w:spacing w:after="0" w:line="217"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For the Three Months</w:t>
      </w:r>
    </w:p>
    <w:p>
      <w:pPr>
        <w:jc w:val="center"/>
        <w:ind w:left="142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ind w:left="640"/>
              <w:spacing w:after="0" w:line="155" w:lineRule="exact"/>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7"/>
        </w:trPr>
        <w:tc>
          <w:tcPr>
            <w:tcW w:w="3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62"/>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3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w w:val="85"/>
              </w:rPr>
              <w:t>(Amounts in Thousands,</w:t>
            </w:r>
          </w:p>
        </w:tc>
        <w:tc>
          <w:tcPr>
            <w:tcW w:w="13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2"/>
              </w:rPr>
              <w:t>Except Percentages)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139,254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109,476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7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101,680</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81,543</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74.5</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20,137</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29,257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21,537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31,331</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23,344</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21.3</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7,987</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34.2</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(90.7)</w:t>
            </w:r>
          </w:p>
        </w:tc>
        <w:tc>
          <w:tcPr>
            <w:tcW w:w="240" w:type="dxa"/>
            <w:vAlign w:val="bottom"/>
          </w:tcPr>
          <w:p>
            <w:pPr>
              <w:spacing w:after="0"/>
              <w:rPr>
                <w:sz w:val="19"/>
                <w:szCs w:val="19"/>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w:t>
            </w:r>
          </w:p>
        </w:tc>
        <w:tc>
          <w:tcPr>
            <w:tcW w:w="240" w:type="dxa"/>
            <w:vAlign w:val="bottom"/>
            <w:shd w:val="clear" w:color="auto" w:fill="CFF0FC"/>
          </w:tcPr>
          <w:p>
            <w:pPr>
              <w:spacing w:after="0"/>
              <w:rPr>
                <w:sz w:val="19"/>
                <w:szCs w:val="19"/>
                <w:color w:val="auto"/>
              </w:rPr>
            </w:pPr>
          </w:p>
        </w:tc>
      </w:tr>
      <w:tr>
        <w:trPr>
          <w:trHeight w:val="223"/>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 expense (income), net</w:t>
            </w:r>
          </w:p>
        </w:tc>
        <w:tc>
          <w:tcPr>
            <w:tcW w:w="7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(128.5)</w:t>
            </w:r>
          </w:p>
        </w:tc>
        <w:tc>
          <w:tcPr>
            <w:tcW w:w="240" w:type="dxa"/>
            <w:vAlign w:val="bottom"/>
            <w:tcBorders>
              <w:bottom w:val="single" w:sz="8" w:color="CFF0FC"/>
            </w:tcBorders>
          </w:tcPr>
          <w:p>
            <w:pPr>
              <w:spacing w:after="0"/>
              <w:rPr>
                <w:sz w:val="19"/>
                <w:szCs w:val="19"/>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5,840</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Income tax expense</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978</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r>
      <w:tr>
        <w:trPr>
          <w:trHeight w:val="223"/>
        </w:trPr>
        <w:tc>
          <w:tcPr>
            <w:tcW w:w="3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jc w:val="right"/>
              <w:ind w:right="96"/>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(0.5) %</w:t>
            </w:r>
          </w:p>
        </w:tc>
      </w:tr>
      <w:tr>
        <w:trPr>
          <w:trHeight w:val="20"/>
        </w:trPr>
        <w:tc>
          <w:tcPr>
            <w:tcW w:w="3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484"/>
        <w:spacing w:after="0" w:line="257" w:lineRule="auto"/>
        <w:rPr>
          <w:sz w:val="20"/>
          <w:szCs w:val="20"/>
          <w:color w:val="auto"/>
        </w:rPr>
      </w:pPr>
      <w:r>
        <w:rPr>
          <w:rFonts w:ascii="Arial" w:cs="Arial" w:eastAsia="Arial" w:hAnsi="Arial"/>
          <w:sz w:val="18"/>
          <w:szCs w:val="18"/>
          <w:color w:val="auto"/>
        </w:rPr>
        <w:t>Net service revenues increased by 27.2% to $139.3 million for the three months ended March 31, 2019 compared to $109.5 million for the three months ended March 31, 2018. The increase was due to a 13.8% increase in billable hours and a 3.3% increase in revenues per billable hour for the three months ended March 31, 2019 in our personal care segment, mainly attributed to the 2018 acquisitions. In addition, we generated revenue of $7.9 million and $2.7 million from our hospice and home health segments during the three months ended March 31, 2019, with no comparative revenue in the same period in 2018.</w:t>
      </w:r>
    </w:p>
    <w:p>
      <w:pPr>
        <w:spacing w:after="0" w:line="134" w:lineRule="exact"/>
        <w:rPr>
          <w:sz w:val="20"/>
          <w:szCs w:val="20"/>
          <w:color w:val="auto"/>
        </w:rPr>
      </w:pPr>
    </w:p>
    <w:p>
      <w:pPr>
        <w:ind w:right="40" w:firstLine="484"/>
        <w:spacing w:after="0" w:line="264" w:lineRule="auto"/>
        <w:rPr>
          <w:sz w:val="20"/>
          <w:szCs w:val="20"/>
          <w:color w:val="auto"/>
        </w:rPr>
      </w:pPr>
      <w:r>
        <w:rPr>
          <w:rFonts w:ascii="Arial" w:cs="Arial" w:eastAsia="Arial" w:hAnsi="Arial"/>
          <w:sz w:val="18"/>
          <w:szCs w:val="18"/>
          <w:color w:val="auto"/>
        </w:rPr>
        <w:t>Gross profit, expressed as a percentage of net service revenues, increased to 27.0% for the three months ended March 31, 2019, compared to 25.5% for the same period in 2018. The increase was mainly attributed to the acquisition of the relatively higher margin Ambercare business in the second quarter of 2018.</w:t>
      </w:r>
    </w:p>
    <w:p>
      <w:pPr>
        <w:spacing w:after="0" w:line="127" w:lineRule="exact"/>
        <w:rPr>
          <w:sz w:val="20"/>
          <w:szCs w:val="20"/>
          <w:color w:val="auto"/>
        </w:rPr>
      </w:pPr>
    </w:p>
    <w:p>
      <w:pPr>
        <w:ind w:right="40" w:firstLine="484"/>
        <w:spacing w:after="0" w:line="255" w:lineRule="auto"/>
        <w:rPr>
          <w:sz w:val="20"/>
          <w:szCs w:val="20"/>
          <w:color w:val="auto"/>
        </w:rPr>
      </w:pPr>
      <w:r>
        <w:rPr>
          <w:rFonts w:ascii="Arial" w:cs="Arial" w:eastAsia="Arial" w:hAnsi="Arial"/>
          <w:sz w:val="18"/>
          <w:szCs w:val="18"/>
          <w:color w:val="auto"/>
        </w:rPr>
        <w:t>General and administrative expenses increased to $29.3 million for the three months ended March 31, 2019 as compared to $21.5 million for the three months ended March 31, 2018. The increase in general and administrative expenses was primarily due to acquisitions that resulted in an increase in administrative employee wages, taxes and benefit costs of $5.5 million, an increase in data processing of $0.4 million, and an increase in rent expense of $0.4 million. In addition, professional fees increased by $0.5 million for the three months ended March 31, 2019 compared to the three months ended March 31, 2018. General and administrative expenses, expressed as a percentage of net service revenues increased to 21.0% for the three months ended March 31, 2019, from 19.7% for the three months ended March 31, 2018.</w:t>
      </w:r>
    </w:p>
    <w:p>
      <w:pPr>
        <w:spacing w:after="0" w:line="139" w:lineRule="exact"/>
        <w:rPr>
          <w:sz w:val="20"/>
          <w:szCs w:val="20"/>
          <w:color w:val="auto"/>
        </w:rPr>
      </w:pPr>
    </w:p>
    <w:p>
      <w:pPr>
        <w:ind w:right="100" w:firstLine="484"/>
        <w:spacing w:after="0" w:line="277" w:lineRule="auto"/>
        <w:rPr>
          <w:sz w:val="20"/>
          <w:szCs w:val="20"/>
          <w:color w:val="auto"/>
        </w:rPr>
      </w:pPr>
      <w:r>
        <w:rPr>
          <w:rFonts w:ascii="Arial" w:cs="Arial" w:eastAsia="Arial" w:hAnsi="Arial"/>
          <w:sz w:val="18"/>
          <w:szCs w:val="18"/>
          <w:color w:val="auto"/>
        </w:rPr>
        <w:t>Depreciation and amortization expense increased to $2.1 million from $1.8 million for the three months ended March 31, 2019 and 2018, respectively, primarily due to the increase of intangible assets related to the fiscal year 2018 acquisitions.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77" w:lineRule="exact"/>
        <w:rPr>
          <w:sz w:val="20"/>
          <w:szCs w:val="20"/>
          <w:color w:val="auto"/>
        </w:rPr>
      </w:pPr>
    </w:p>
    <w:p>
      <w:pPr>
        <w:ind w:right="140" w:firstLine="484"/>
        <w:spacing w:after="0" w:line="264" w:lineRule="auto"/>
        <w:rPr>
          <w:sz w:val="20"/>
          <w:szCs w:val="20"/>
          <w:color w:val="auto"/>
        </w:rPr>
      </w:pPr>
      <w:r>
        <w:rPr>
          <w:rFonts w:ascii="Arial" w:cs="Arial" w:eastAsia="Arial" w:hAnsi="Arial"/>
          <w:sz w:val="18"/>
          <w:szCs w:val="18"/>
          <w:color w:val="auto"/>
        </w:rPr>
        <w:t>Interest income decreased to $0.2 million from $2.3 million for the three months ended March 31, 2019 as compared to March 31, 2018. For the three months ended March 31, 2019 and March 31, 2018, we received prompt payment interest from the state of Illinois of $0.1 million and $2.3 million, respectively.</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7" w:lineRule="exact"/>
        <w:rPr>
          <w:sz w:val="20"/>
          <w:szCs w:val="20"/>
          <w:color w:val="auto"/>
        </w:rPr>
      </w:pPr>
    </w:p>
    <w:p>
      <w:pPr>
        <w:ind w:right="60" w:firstLine="484"/>
        <w:spacing w:after="0" w:line="264" w:lineRule="auto"/>
        <w:rPr>
          <w:sz w:val="20"/>
          <w:szCs w:val="20"/>
          <w:color w:val="auto"/>
        </w:rPr>
      </w:pPr>
      <w:r>
        <w:rPr>
          <w:rFonts w:ascii="Arial" w:cs="Arial" w:eastAsia="Arial" w:hAnsi="Arial"/>
          <w:sz w:val="18"/>
          <w:szCs w:val="18"/>
          <w:color w:val="auto"/>
        </w:rPr>
        <w:t>Interest expense decreased to $0.6 million from $0.9 million for the three months ended March 31, 2019 as compared to March 31, 2018. The decrease in interest expenses is primarily due to lower outstanding loan balance under our credit facility for the three months ended March 31, 2019 compared to the three months ended March 31, 2018.</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77" w:lineRule="exact"/>
        <w:rPr>
          <w:sz w:val="20"/>
          <w:szCs w:val="20"/>
          <w:color w:val="auto"/>
        </w:rPr>
      </w:pPr>
    </w:p>
    <w:p>
      <w:pPr>
        <w:ind w:right="160" w:firstLine="484"/>
        <w:spacing w:after="0" w:line="259"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For the three months ended March 31, 2019 and 2018, our federal statutory rate was 21.0%. The effective income tax rate was 16.7% and 18.7% for the three months ended March 31, 2019 and 2018, respectively. The difference between our federal statutory and effective income tax rates are principally due to the inclusion of state taxes, excess tax benefit and the use of federal employment tax credits.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tcPr>
          <w:p>
            <w:pPr>
              <w:jc w:val="center"/>
              <w:ind w:right="62"/>
              <w:spacing w:after="0"/>
              <w:rPr>
                <w:sz w:val="20"/>
                <w:szCs w:val="20"/>
                <w:color w:val="auto"/>
              </w:rPr>
            </w:pPr>
            <w:r>
              <w:rPr>
                <w:rFonts w:ascii="Arial" w:cs="Arial" w:eastAsia="Arial" w:hAnsi="Arial"/>
                <w:sz w:val="14"/>
                <w:szCs w:val="14"/>
                <w:b w:val="1"/>
                <w:bCs w:val="1"/>
                <w:color w:val="auto"/>
                <w:w w:val="94"/>
              </w:rPr>
              <w:t>For the Three Months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62"/>
              <w:spacing w:after="0"/>
              <w:rPr>
                <w:sz w:val="20"/>
                <w:szCs w:val="20"/>
                <w:color w:val="auto"/>
              </w:rPr>
            </w:pPr>
            <w:r>
              <w:rPr>
                <w:rFonts w:ascii="Arial" w:cs="Arial" w:eastAsia="Arial" w:hAnsi="Arial"/>
                <w:sz w:val="14"/>
                <w:szCs w:val="14"/>
                <w:b w:val="1"/>
                <w:bCs w:val="1"/>
                <w:color w:val="auto"/>
                <w:w w:val="97"/>
              </w:rPr>
              <w:t>Ended March 31,</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722"/>
              <w:spacing w:after="0" w:line="155"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742"/>
              <w:spacing w:after="0" w:line="155" w:lineRule="exact"/>
              <w:rPr>
                <w:sz w:val="20"/>
                <w:szCs w:val="20"/>
                <w:color w:val="auto"/>
              </w:rPr>
            </w:pPr>
            <w:r>
              <w:rPr>
                <w:rFonts w:ascii="Arial" w:cs="Arial" w:eastAsia="Arial" w:hAnsi="Arial"/>
                <w:sz w:val="14"/>
                <w:szCs w:val="14"/>
                <w:b w:val="1"/>
                <w:bCs w:val="1"/>
                <w:color w:val="auto"/>
                <w:w w:val="96"/>
              </w:rPr>
              <w:t>2018</w:t>
            </w: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ind w:left="600"/>
              <w:spacing w:after="0" w:line="155" w:lineRule="exact"/>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Personal Care Segment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Net Service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0" w:type="dxa"/>
            <w:vAlign w:val="bottom"/>
            <w:gridSpan w:val="7"/>
          </w:tcPr>
          <w:p>
            <w:pPr>
              <w:jc w:val="center"/>
              <w:spacing w:after="0" w:line="155" w:lineRule="exact"/>
              <w:rPr>
                <w:sz w:val="20"/>
                <w:szCs w:val="20"/>
                <w:color w:val="auto"/>
              </w:rPr>
            </w:pPr>
            <w:r>
              <w:rPr>
                <w:rFonts w:ascii="Arial" w:cs="Arial" w:eastAsia="Arial" w:hAnsi="Arial"/>
                <w:sz w:val="14"/>
                <w:szCs w:val="14"/>
                <w:b w:val="1"/>
                <w:bCs w:val="1"/>
                <w:color w:val="auto"/>
                <w:w w:val="91"/>
              </w:rPr>
              <w:t>(Amounts in Thousands, Except Percentages)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service revenues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128,641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109,476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19,165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95,995</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81,543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32,646</w:t>
            </w:r>
          </w:p>
        </w:tc>
        <w:tc>
          <w:tcPr>
            <w:tcW w:w="2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27,933</w:t>
            </w:r>
          </w:p>
        </w:tc>
        <w:tc>
          <w:tcPr>
            <w:tcW w:w="2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12,539</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9,637</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20,107</w:t>
            </w:r>
          </w:p>
        </w:tc>
        <w:tc>
          <w:tcPr>
            <w:tcW w:w="24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0" w:type="dxa"/>
            <w:vAlign w:val="bottom"/>
            <w:tcBorders>
              <w:top w:val="single" w:sz="8" w:color="auto"/>
              <w:bottom w:val="single" w:sz="8" w:color="auto"/>
            </w:tcBorders>
          </w:tcPr>
          <w:p>
            <w:pPr>
              <w:spacing w:after="0"/>
              <w:rPr>
                <w:sz w:val="22"/>
                <w:szCs w:val="22"/>
                <w:color w:val="auto"/>
              </w:rPr>
            </w:pPr>
          </w:p>
        </w:tc>
        <w:tc>
          <w:tcPr>
            <w:tcW w:w="420" w:type="dxa"/>
            <w:vAlign w:val="bottom"/>
            <w:tcBorders>
              <w:bottom w:val="single" w:sz="8" w:color="CFF0FC"/>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18,296</w:t>
            </w:r>
          </w:p>
        </w:tc>
        <w:tc>
          <w:tcPr>
            <w:tcW w:w="240" w:type="dxa"/>
            <w:vAlign w:val="bottom"/>
            <w:tcBorders>
              <w:bottom w:val="single" w:sz="8" w:color="CFF0FC"/>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420" w:type="dxa"/>
            <w:vAlign w:val="bottom"/>
            <w:tcBorders>
              <w:bottom w:val="single" w:sz="8" w:color="CFF0FC"/>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2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432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Business Metrics (Actual Numbers,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Except Billable Hours in Thousands)</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Average billable census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37,569</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34,195</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Billable hours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6,864</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Average billable hours per census per month</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58.8</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Billable hours per business day</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107,250</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92,768</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Revenues per billable hour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18.74</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18.15</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484"/>
        <w:spacing w:after="0" w:line="257" w:lineRule="auto"/>
        <w:rPr>
          <w:sz w:val="20"/>
          <w:szCs w:val="20"/>
          <w:color w:val="auto"/>
        </w:rPr>
      </w:pPr>
      <w:r>
        <w:rPr>
          <w:rFonts w:ascii="Arial" w:cs="Arial" w:eastAsia="Arial" w:hAnsi="Arial"/>
          <w:sz w:val="18"/>
          <w:szCs w:val="18"/>
          <w:color w:val="auto"/>
        </w:rPr>
        <w:t>Net service revenues from state, local and other governmental programs accounted for 56.0% and 61.5% of net service revenues for the three months ended March 31, 2019 and 2018, respectively. Managed care organizations accounted for 37.3% and 34.6% of net service revenues for the three months ended March 31, 2019 and 2018, respectively, with commercial insurance, private pay and other payors accounting for the remainder of net service revenues. One payor client, the Illinois Department on Aging, accounted for 28.9% and 36.6% of net service revenues for the three months ended March 31, 2019 and 2018, respectively.</w:t>
      </w:r>
    </w:p>
    <w:p>
      <w:pPr>
        <w:spacing w:after="0" w:line="134" w:lineRule="exact"/>
        <w:rPr>
          <w:sz w:val="20"/>
          <w:szCs w:val="20"/>
          <w:color w:val="auto"/>
        </w:rPr>
      </w:pPr>
    </w:p>
    <w:p>
      <w:pPr>
        <w:ind w:right="60" w:firstLine="484"/>
        <w:spacing w:after="0" w:line="286" w:lineRule="auto"/>
        <w:rPr>
          <w:sz w:val="20"/>
          <w:szCs w:val="20"/>
          <w:color w:val="auto"/>
        </w:rPr>
      </w:pPr>
      <w:r>
        <w:rPr>
          <w:rFonts w:ascii="Arial" w:cs="Arial" w:eastAsia="Arial" w:hAnsi="Arial"/>
          <w:sz w:val="17"/>
          <w:szCs w:val="17"/>
          <w:color w:val="auto"/>
        </w:rPr>
        <w:t>Net service revenues increased by 17.5% for the three months ended March 31, 2019 compared to the three months ended March 31, 2018. Net service revenues increased primarily as a result of a 13.8% increase in billable hours and a 3.3% increase in revenues per billable hour for the three months ended March 31, 2019 as compared to the three months ended March 31, 2018, mainly attributed to the 2018 acquisitions.</w:t>
      </w:r>
    </w:p>
    <w:p>
      <w:pPr>
        <w:spacing w:after="0" w:line="111" w:lineRule="exact"/>
        <w:rPr>
          <w:sz w:val="20"/>
          <w:szCs w:val="20"/>
          <w:color w:val="auto"/>
        </w:rPr>
      </w:pPr>
    </w:p>
    <w:p>
      <w:pPr>
        <w:ind w:right="220" w:firstLine="484"/>
        <w:spacing w:after="0" w:line="259" w:lineRule="auto"/>
        <w:rPr>
          <w:sz w:val="20"/>
          <w:szCs w:val="20"/>
          <w:color w:val="auto"/>
        </w:rPr>
      </w:pPr>
      <w:r>
        <w:rPr>
          <w:rFonts w:ascii="Arial" w:cs="Arial" w:eastAsia="Arial" w:hAnsi="Arial"/>
          <w:sz w:val="18"/>
          <w:szCs w:val="18"/>
          <w:color w:val="auto"/>
        </w:rPr>
        <w:t>Gross profit, expressed as a percentage of net service revenues, decreased from 25.5% for the three months ended March 31, 2018 to 25.4% for the three months ended March 31, 2019. This decrease is primarily due to an increase in payroll as a percentage of net service revenues of 0.5% partially offset by a reduction of workers compensation as a percentage of revenue of 0.4% for the three months ended March 31, 2019 as compared to the three months ended March 31, 2018.</w:t>
      </w:r>
    </w:p>
    <w:p>
      <w:pPr>
        <w:spacing w:after="0" w:line="133" w:lineRule="exact"/>
        <w:rPr>
          <w:sz w:val="20"/>
          <w:szCs w:val="20"/>
          <w:color w:val="auto"/>
        </w:rPr>
      </w:pPr>
    </w:p>
    <w:p>
      <w:pPr>
        <w:jc w:val="both"/>
        <w:ind w:right="60" w:firstLine="484"/>
        <w:spacing w:after="0" w:line="286" w:lineRule="auto"/>
        <w:rPr>
          <w:sz w:val="20"/>
          <w:szCs w:val="20"/>
          <w:color w:val="auto"/>
        </w:rPr>
      </w:pPr>
      <w:r>
        <w:rPr>
          <w:rFonts w:ascii="Arial" w:cs="Arial" w:eastAsia="Arial" w:hAnsi="Arial"/>
          <w:sz w:val="17"/>
          <w:szCs w:val="17"/>
          <w:color w:val="auto"/>
        </w:rPr>
        <w:t>General and administrative expenses increased by approximately $2.9 million for the three months ended March 31, 2019. The increase in general and administrative expenses was primarily due to acquisitions that resulted in a $2.4 million increase in administrative employee wages, taxes and benefit costs, a $0.3 million increase in rent expenses and a $0.2 million increase in commissions for the three months ended March 31,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Hospice Segment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gridSpan w:val="4"/>
          </w:tcPr>
          <w:p>
            <w:pPr>
              <w:jc w:val="center"/>
              <w:ind w:right="234"/>
              <w:spacing w:after="0"/>
              <w:rPr>
                <w:sz w:val="20"/>
                <w:szCs w:val="20"/>
                <w:color w:val="auto"/>
              </w:rPr>
            </w:pPr>
            <w:r>
              <w:rPr>
                <w:rFonts w:ascii="Arial" w:cs="Arial" w:eastAsia="Arial" w:hAnsi="Arial"/>
                <w:sz w:val="16"/>
                <w:szCs w:val="16"/>
                <w:b w:val="1"/>
                <w:bCs w:val="1"/>
                <w:color w:val="auto"/>
                <w:w w:val="93"/>
              </w:rPr>
              <w:t>For the Three Months Ended</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6"/>
                <w:szCs w:val="16"/>
                <w:b w:val="1"/>
                <w:bCs w:val="1"/>
                <w:color w:val="auto"/>
                <w:w w:val="94"/>
              </w:rPr>
              <w:t>March 31,</w:t>
            </w:r>
          </w:p>
        </w:tc>
        <w:tc>
          <w:tcPr>
            <w:tcW w:w="12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874"/>
              <w:spacing w:after="0"/>
              <w:rPr>
                <w:sz w:val="20"/>
                <w:szCs w:val="20"/>
                <w:color w:val="auto"/>
              </w:rPr>
            </w:pPr>
            <w:r>
              <w:rPr>
                <w:rFonts w:ascii="Arial" w:cs="Arial" w:eastAsia="Arial" w:hAnsi="Arial"/>
                <w:sz w:val="16"/>
                <w:szCs w:val="16"/>
                <w:b w:val="1"/>
                <w:bCs w:val="1"/>
                <w:color w:val="auto"/>
                <w:w w:val="89"/>
              </w:rPr>
              <w:t>2019</w:t>
            </w:r>
          </w:p>
        </w:tc>
        <w:tc>
          <w:tcPr>
            <w:tcW w:w="12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center"/>
              <w:ind w:right="234"/>
              <w:spacing w:after="0"/>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center"/>
              <w:ind w:right="214"/>
              <w:spacing w:after="0"/>
              <w:rPr>
                <w:sz w:val="20"/>
                <w:szCs w:val="20"/>
                <w:color w:val="auto"/>
              </w:rPr>
            </w:pPr>
            <w:r>
              <w:rPr>
                <w:rFonts w:ascii="Arial" w:cs="Arial" w:eastAsia="Arial" w:hAnsi="Arial"/>
                <w:sz w:val="16"/>
                <w:szCs w:val="16"/>
                <w:b w:val="1"/>
                <w:bCs w:val="1"/>
                <w:color w:val="auto"/>
                <w:w w:val="88"/>
              </w:rPr>
              <w:t>Segment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Hospice Segment</w:t>
            </w:r>
          </w:p>
        </w:tc>
        <w:tc>
          <w:tcPr>
            <w:tcW w:w="16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center"/>
              <w:ind w:right="234"/>
              <w:spacing w:after="0"/>
              <w:rPr>
                <w:sz w:val="20"/>
                <w:szCs w:val="20"/>
                <w:color w:val="auto"/>
              </w:rPr>
            </w:pPr>
            <w:r>
              <w:rPr>
                <w:rFonts w:ascii="Arial" w:cs="Arial" w:eastAsia="Arial" w:hAnsi="Arial"/>
                <w:sz w:val="16"/>
                <w:szCs w:val="16"/>
                <w:b w:val="1"/>
                <w:bCs w:val="1"/>
                <w:color w:val="auto"/>
                <w:w w:val="89"/>
              </w:rPr>
              <w:t>Net Service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Borders>
              <w:bottom w:val="single" w:sz="8" w:color="auto"/>
            </w:tcBorders>
          </w:tcPr>
          <w:p>
            <w:pPr>
              <w:jc w:val="center"/>
              <w:ind w:right="234"/>
              <w:spacing w:after="0"/>
              <w:rPr>
                <w:sz w:val="20"/>
                <w:szCs w:val="20"/>
                <w:color w:val="auto"/>
              </w:rPr>
            </w:pPr>
            <w:r>
              <w:rPr>
                <w:rFonts w:ascii="Arial" w:cs="Arial" w:eastAsia="Arial" w:hAnsi="Arial"/>
                <w:sz w:val="16"/>
                <w:szCs w:val="16"/>
                <w:b w:val="1"/>
                <w:bCs w:val="1"/>
                <w:color w:val="auto"/>
                <w:w w:val="87"/>
              </w:rPr>
              <w:t>Revenues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Results</w:t>
            </w:r>
          </w:p>
        </w:tc>
        <w:tc>
          <w:tcPr>
            <w:tcW w:w="300" w:type="dxa"/>
            <w:vAlign w:val="bottom"/>
          </w:tcPr>
          <w:p>
            <w:pPr>
              <w:spacing w:after="0"/>
              <w:rPr>
                <w:sz w:val="11"/>
                <w:szCs w:val="11"/>
                <w:color w:val="auto"/>
              </w:rPr>
            </w:pPr>
          </w:p>
        </w:tc>
        <w:tc>
          <w:tcPr>
            <w:tcW w:w="3100" w:type="dxa"/>
            <w:vAlign w:val="bottom"/>
            <w:gridSpan w:val="4"/>
          </w:tcPr>
          <w:p>
            <w:pPr>
              <w:jc w:val="center"/>
              <w:ind w:right="234"/>
              <w:spacing w:after="0" w:line="133" w:lineRule="exact"/>
              <w:rPr>
                <w:sz w:val="20"/>
                <w:szCs w:val="20"/>
                <w:color w:val="auto"/>
              </w:rPr>
            </w:pPr>
            <w:r>
              <w:rPr>
                <w:rFonts w:ascii="Arial" w:cs="Arial" w:eastAsia="Arial" w:hAnsi="Arial"/>
                <w:sz w:val="14"/>
                <w:szCs w:val="14"/>
                <w:b w:val="1"/>
                <w:bCs w:val="1"/>
                <w:color w:val="auto"/>
                <w:w w:val="91"/>
              </w:rPr>
              <w:t>(Amounts in Thousands,</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0"/>
              </w:rPr>
              <w:t>Except Percentages)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services revenues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Business Metrics (Actual Numbers)</w:t>
            </w: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Admissions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Average daily census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Average length of stay</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Patient days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51,724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 per patient day</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8"/>
          <w:szCs w:val="18"/>
          <w:color w:val="auto"/>
        </w:rPr>
        <w:t>In the second quarter of 2018, we began operating our hospice segment. Hospice generates net service revenues by providing care to patients with a life expectancy of six months or less, and their families. Net service revenues from Medicare accounted for 93.3% and managed care organizations accounted for 4.6% for the three months ended March 31, 2019, respectively.</w:t>
      </w:r>
    </w:p>
    <w:p>
      <w:pPr>
        <w:spacing w:after="0" w:line="127" w:lineRule="exact"/>
        <w:rPr>
          <w:sz w:val="20"/>
          <w:szCs w:val="20"/>
          <w:color w:val="auto"/>
        </w:rPr>
      </w:pPr>
    </w:p>
    <w:p>
      <w:pPr>
        <w:ind w:right="220" w:firstLine="484"/>
        <w:spacing w:after="0" w:line="279" w:lineRule="auto"/>
        <w:rPr>
          <w:sz w:val="20"/>
          <w:szCs w:val="20"/>
          <w:color w:val="auto"/>
        </w:rPr>
      </w:pPr>
      <w:r>
        <w:rPr>
          <w:rFonts w:ascii="Arial" w:cs="Arial" w:eastAsia="Arial" w:hAnsi="Arial"/>
          <w:sz w:val="17"/>
          <w:szCs w:val="17"/>
          <w:color w:val="auto"/>
        </w:rPr>
        <w:t>Gross profit, expressed as a percentage of net service revenues was 52.4% for the three months ended March 31, 2019. General and administrative expenses, expressed as a percentage of net service revenues was 20.1% for the three months ended March 31, 2019. The hospice segment’s general and administrative expenses primarily consist of administrative employee wages, taxes and benefit costs, rent, information technology and office expenses. The hospice segment’s operating income was $2.6 million for the three months ended March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0" w:type="dxa"/>
            <w:vAlign w:val="bottom"/>
            <w:gridSpan w:val="4"/>
          </w:tcPr>
          <w:p>
            <w:pPr>
              <w:jc w:val="center"/>
              <w:ind w:right="134"/>
              <w:spacing w:after="0"/>
              <w:rPr>
                <w:sz w:val="20"/>
                <w:szCs w:val="20"/>
                <w:color w:val="auto"/>
              </w:rPr>
            </w:pPr>
            <w:r>
              <w:rPr>
                <w:rFonts w:ascii="Arial" w:cs="Arial" w:eastAsia="Arial" w:hAnsi="Arial"/>
                <w:sz w:val="16"/>
                <w:szCs w:val="16"/>
                <w:b w:val="1"/>
                <w:bCs w:val="1"/>
                <w:color w:val="auto"/>
                <w:w w:val="93"/>
              </w:rPr>
              <w:t>For the Three Months Ended</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954"/>
              <w:spacing w:after="0"/>
              <w:rPr>
                <w:sz w:val="20"/>
                <w:szCs w:val="20"/>
                <w:color w:val="auto"/>
              </w:rPr>
            </w:pPr>
            <w:r>
              <w:rPr>
                <w:rFonts w:ascii="Arial" w:cs="Arial" w:eastAsia="Arial" w:hAnsi="Arial"/>
                <w:sz w:val="16"/>
                <w:szCs w:val="16"/>
                <w:b w:val="1"/>
                <w:bCs w:val="1"/>
                <w:color w:val="auto"/>
                <w:w w:val="94"/>
              </w:rPr>
              <w:t>March 31,</w:t>
            </w:r>
          </w:p>
        </w:tc>
        <w:tc>
          <w:tcPr>
            <w:tcW w:w="12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974"/>
              <w:spacing w:after="0"/>
              <w:rPr>
                <w:sz w:val="20"/>
                <w:szCs w:val="20"/>
                <w:color w:val="auto"/>
              </w:rPr>
            </w:pPr>
            <w:r>
              <w:rPr>
                <w:rFonts w:ascii="Arial" w:cs="Arial" w:eastAsia="Arial" w:hAnsi="Arial"/>
                <w:sz w:val="16"/>
                <w:szCs w:val="16"/>
                <w:b w:val="1"/>
                <w:bCs w:val="1"/>
                <w:color w:val="auto"/>
                <w:w w:val="89"/>
              </w:rPr>
              <w:t>2019</w:t>
            </w:r>
          </w:p>
        </w:tc>
        <w:tc>
          <w:tcPr>
            <w:tcW w:w="12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center"/>
              <w:ind w:right="234"/>
              <w:spacing w:after="0"/>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center"/>
              <w:ind w:right="214"/>
              <w:spacing w:after="0"/>
              <w:rPr>
                <w:sz w:val="20"/>
                <w:szCs w:val="20"/>
                <w:color w:val="auto"/>
              </w:rPr>
            </w:pPr>
            <w:r>
              <w:rPr>
                <w:rFonts w:ascii="Arial" w:cs="Arial" w:eastAsia="Arial" w:hAnsi="Arial"/>
                <w:sz w:val="16"/>
                <w:szCs w:val="16"/>
                <w:b w:val="1"/>
                <w:bCs w:val="1"/>
                <w:color w:val="auto"/>
                <w:w w:val="88"/>
              </w:rPr>
              <w:t>Segment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Home Health Segment</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center"/>
              <w:ind w:right="234"/>
              <w:spacing w:after="0"/>
              <w:rPr>
                <w:sz w:val="20"/>
                <w:szCs w:val="20"/>
                <w:color w:val="auto"/>
              </w:rPr>
            </w:pPr>
            <w:r>
              <w:rPr>
                <w:rFonts w:ascii="Arial" w:cs="Arial" w:eastAsia="Arial" w:hAnsi="Arial"/>
                <w:sz w:val="16"/>
                <w:szCs w:val="16"/>
                <w:b w:val="1"/>
                <w:bCs w:val="1"/>
                <w:color w:val="auto"/>
                <w:w w:val="89"/>
              </w:rPr>
              <w:t>Net Service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ind w:left="3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center"/>
              <w:ind w:right="234"/>
              <w:spacing w:after="0"/>
              <w:rPr>
                <w:sz w:val="20"/>
                <w:szCs w:val="20"/>
                <w:color w:val="auto"/>
              </w:rPr>
            </w:pPr>
            <w:r>
              <w:rPr>
                <w:rFonts w:ascii="Arial" w:cs="Arial" w:eastAsia="Arial" w:hAnsi="Arial"/>
                <w:sz w:val="16"/>
                <w:szCs w:val="16"/>
                <w:b w:val="1"/>
                <w:bCs w:val="1"/>
                <w:color w:val="auto"/>
                <w:w w:val="87"/>
              </w:rPr>
              <w:t>Revenues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Operating Results</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4"/>
          </w:tcPr>
          <w:p>
            <w:pPr>
              <w:jc w:val="center"/>
              <w:ind w:right="134"/>
              <w:spacing w:after="0"/>
              <w:rPr>
                <w:sz w:val="20"/>
                <w:szCs w:val="20"/>
                <w:color w:val="auto"/>
              </w:rPr>
            </w:pPr>
            <w:r>
              <w:rPr>
                <w:rFonts w:ascii="Arial" w:cs="Arial" w:eastAsia="Arial" w:hAnsi="Arial"/>
                <w:sz w:val="14"/>
                <w:szCs w:val="14"/>
                <w:b w:val="1"/>
                <w:bCs w:val="1"/>
                <w:color w:val="auto"/>
                <w:w w:val="90"/>
              </w:rPr>
              <w:t>(Amounts in Thousands, Except Percentages)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services revenues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Business Metrics (Actual Numbers)</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New admissions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Recertifications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volume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Visits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19,554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484"/>
        <w:spacing w:after="0" w:line="264" w:lineRule="auto"/>
        <w:rPr>
          <w:sz w:val="20"/>
          <w:szCs w:val="20"/>
          <w:color w:val="auto"/>
        </w:rPr>
      </w:pPr>
      <w:r>
        <w:rPr>
          <w:rFonts w:ascii="Arial" w:cs="Arial" w:eastAsia="Arial" w:hAnsi="Arial"/>
          <w:sz w:val="18"/>
          <w:szCs w:val="18"/>
          <w:color w:val="auto"/>
        </w:rPr>
        <w:t>In the second quarter of 2018, we began operating our home health segment. Home health generates net service revenues by providing home health services on a short-term, intermittent or episodic basis to individuals, generally to treat an illness or injury. Net service revenues from Medicare accounted for 81.6% and managed care organizations accounted for 15.4% for the three months ended March 31, 2019.</w:t>
      </w:r>
    </w:p>
    <w:p>
      <w:pPr>
        <w:spacing w:after="0" w:line="127" w:lineRule="exact"/>
        <w:rPr>
          <w:sz w:val="20"/>
          <w:szCs w:val="20"/>
          <w:color w:val="auto"/>
        </w:rPr>
      </w:pPr>
    </w:p>
    <w:p>
      <w:pPr>
        <w:ind w:firstLine="484"/>
        <w:spacing w:after="0" w:line="279" w:lineRule="auto"/>
        <w:rPr>
          <w:sz w:val="20"/>
          <w:szCs w:val="20"/>
          <w:color w:val="auto"/>
        </w:rPr>
      </w:pPr>
      <w:r>
        <w:rPr>
          <w:rFonts w:ascii="Arial" w:cs="Arial" w:eastAsia="Arial" w:hAnsi="Arial"/>
          <w:sz w:val="17"/>
          <w:szCs w:val="17"/>
          <w:color w:val="auto"/>
        </w:rPr>
        <w:t>Gross profit, expressed as a percentage of net service revenues was 29.0% for the three months ended March 31, 2019. General and administrative expenses, expressed as a percentage of net service revenues was 25.4% for the three months ended March 31, 2019. The home health segment’s general and administrative expenses consist of administrative employee wages, taxes and benefit costs, rent, information technology and office expenses. The home health segment’s operating income was $0.1 million for the three months ended March 31, 2019.</w:t>
      </w:r>
    </w:p>
    <w:p>
      <w:pPr>
        <w:sectPr>
          <w:pgSz w:w="11900" w:h="16838" w:orient="portrait"/>
          <w:cols w:equalWidth="0" w:num="1">
            <w:col w:w="11420"/>
          </w:cols>
          <w:pgMar w:left="240" w:top="121"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77" w:lineRule="exact"/>
        <w:rPr>
          <w:sz w:val="20"/>
          <w:szCs w:val="20"/>
          <w:color w:val="auto"/>
        </w:rPr>
      </w:pPr>
    </w:p>
    <w:p>
      <w:pPr>
        <w:ind w:right="140" w:firstLine="484"/>
        <w:spacing w:after="0" w:line="259" w:lineRule="auto"/>
        <w:rPr>
          <w:sz w:val="20"/>
          <w:szCs w:val="20"/>
          <w:color w:val="auto"/>
        </w:rPr>
      </w:pPr>
      <w:r>
        <w:rPr>
          <w:rFonts w:ascii="Arial" w:cs="Arial" w:eastAsia="Arial" w:hAnsi="Arial"/>
          <w:sz w:val="18"/>
          <w:szCs w:val="18"/>
          <w:color w:val="auto"/>
        </w:rPr>
        <w:t>Our primary sources of liquidity are cash from operations and borrowings under our credit facility. As described below under “Senior Secured Credit Facility”, we entered into a credit facility on May 8, 2018 that replaced our Terminated Senior Secured Credit Facility. As described below under “Amended and Restated Senior Secured Credit Facility”, we amended and restated our existing credit agreement on October 31, 2019. At March 31, 2019 and December 31, 2018, we had cash balances of $66.2 million and $70.4 million, respectively.</w:t>
      </w:r>
    </w:p>
    <w:p>
      <w:pPr>
        <w:spacing w:after="0" w:line="160" w:lineRule="exact"/>
        <w:rPr>
          <w:sz w:val="20"/>
          <w:szCs w:val="20"/>
          <w:color w:val="auto"/>
        </w:rPr>
      </w:pPr>
    </w:p>
    <w:p>
      <w:pPr>
        <w:ind w:right="20" w:firstLine="484"/>
        <w:spacing w:after="0" w:line="286" w:lineRule="auto"/>
        <w:rPr>
          <w:sz w:val="20"/>
          <w:szCs w:val="20"/>
          <w:color w:val="auto"/>
        </w:rPr>
      </w:pPr>
      <w:r>
        <w:rPr>
          <w:rFonts w:ascii="Arial" w:cs="Arial" w:eastAsia="Arial" w:hAnsi="Arial"/>
          <w:sz w:val="17"/>
          <w:szCs w:val="17"/>
          <w:color w:val="auto"/>
        </w:rPr>
        <w:t>During the three months ended March 31, 2019, we did not draw on the term loan. As of March 31, 2019, we had a total of $20.0 million outstanding on our credit facility. After giving effect to the amount drawn on our credit facility, approximately $10.1 million of outstanding letters of credit and borrowing limits based on an advance multiple of adjusted EBITDA, we had $141.2 million available for borrowing under our credit facility.</w:t>
      </w:r>
    </w:p>
    <w:p>
      <w:pPr>
        <w:spacing w:after="0" w:line="111" w:lineRule="exact"/>
        <w:rPr>
          <w:sz w:val="20"/>
          <w:szCs w:val="20"/>
          <w:color w:val="auto"/>
        </w:rPr>
      </w:pPr>
    </w:p>
    <w:p>
      <w:pPr>
        <w:jc w:val="both"/>
        <w:ind w:right="20" w:firstLine="484"/>
        <w:spacing w:after="0" w:line="264" w:lineRule="auto"/>
        <w:rPr>
          <w:sz w:val="20"/>
          <w:szCs w:val="20"/>
          <w:color w:val="auto"/>
        </w:rPr>
      </w:pPr>
      <w:r>
        <w:rPr>
          <w:rFonts w:ascii="Arial" w:cs="Arial" w:eastAsia="Arial" w:hAnsi="Arial"/>
          <w:sz w:val="18"/>
          <w:szCs w:val="18"/>
          <w:color w:val="auto"/>
        </w:rPr>
        <w:t>At December 31, 2018, we had a total of $20.0 million revolving credit loans outstanding on our credit facility. After giving effect to the amount drawn on our credit facility, approximately $10.8 million of outstanding letters of credit and borrowing limits based on an advance multiple of adjusted EBITDA, we had $142.9 million available for borrowing under our revolving credit loan facility.</w:t>
      </w:r>
    </w:p>
    <w:p>
      <w:pPr>
        <w:spacing w:after="0" w:line="127" w:lineRule="exact"/>
        <w:rPr>
          <w:sz w:val="20"/>
          <w:szCs w:val="20"/>
          <w:color w:val="auto"/>
        </w:rPr>
      </w:pPr>
    </w:p>
    <w:p>
      <w:pPr>
        <w:ind w:right="20" w:firstLine="484"/>
        <w:spacing w:after="0" w:line="279" w:lineRule="auto"/>
        <w:rPr>
          <w:sz w:val="20"/>
          <w:szCs w:val="20"/>
          <w:color w:val="auto"/>
        </w:rPr>
      </w:pPr>
      <w:r>
        <w:rPr>
          <w:rFonts w:ascii="Arial" w:cs="Arial" w:eastAsia="Arial" w:hAnsi="Arial"/>
          <w:sz w:val="17"/>
          <w:szCs w:val="17"/>
          <w:color w:val="auto"/>
        </w:rPr>
        <w:t>Cash flows from operating activities represent the inflow of cash from our payor clients and the outflow of cash for payroll and payroll taxes, operating expenses, interest and taxes. Due to its revenue deficiencies as well as budget and financing issues, from time to time the state of Illinois has reimbursed us on a delayed basis with respect to our various agreements including with our largest payor, the Illinois Department on Aging. The open receivable balance from the state of Illinois increased by $5.1 million from $24.3 million as of December 31, 2018 to $29.4 million as of March 31, 2019.</w:t>
      </w:r>
    </w:p>
    <w:p>
      <w:pPr>
        <w:spacing w:after="0" w:line="117" w:lineRule="exact"/>
        <w:rPr>
          <w:sz w:val="20"/>
          <w:szCs w:val="20"/>
          <w:color w:val="auto"/>
        </w:rPr>
      </w:pPr>
    </w:p>
    <w:p>
      <w:pPr>
        <w:ind w:right="20" w:firstLine="484"/>
        <w:spacing w:after="0" w:line="257" w:lineRule="auto"/>
        <w:rPr>
          <w:sz w:val="20"/>
          <w:szCs w:val="20"/>
          <w:color w:val="auto"/>
        </w:rPr>
      </w:pPr>
      <w:r>
        <w:rPr>
          <w:rFonts w:ascii="Arial" w:cs="Arial" w:eastAsia="Arial" w:hAnsi="Arial"/>
          <w:sz w:val="18"/>
          <w:szCs w:val="18"/>
          <w:color w:val="auto"/>
        </w:rPr>
        <w:t>The Illinois Department on Aging’s payments for non-Medicaid consumers have been delayed in the past and may continue to be delayed in the future due to budget disputes. On June 4, 2018, the state of Illinois passed a budget for state fiscal year 2019, which began on July 1, 2018. There remains uncertainty surrounding the State of Illinois’ future year budgets. If future budgets are not enacted timely payments from the state of Illinois could be delayed in the future. The delays could adversely impact our liquidity and result in the need to increase borrowings under our credit facility or cause us to pursue other liquidity options.</w:t>
      </w:r>
    </w:p>
    <w:p>
      <w:pPr>
        <w:spacing w:after="0" w:line="134" w:lineRule="exact"/>
        <w:rPr>
          <w:sz w:val="20"/>
          <w:szCs w:val="20"/>
          <w:color w:val="auto"/>
        </w:rPr>
      </w:pPr>
    </w:p>
    <w:p>
      <w:pPr>
        <w:ind w:right="40" w:firstLine="484"/>
        <w:spacing w:after="0" w:line="291" w:lineRule="auto"/>
        <w:rPr>
          <w:sz w:val="20"/>
          <w:szCs w:val="20"/>
          <w:color w:val="auto"/>
        </w:rPr>
      </w:pPr>
      <w:r>
        <w:rPr>
          <w:rFonts w:ascii="Arial" w:cs="Arial" w:eastAsia="Arial" w:hAnsi="Arial"/>
          <w:sz w:val="16"/>
          <w:szCs w:val="16"/>
          <w:color w:val="auto"/>
        </w:rPr>
        <w:t>We are subject to minimum wage laws and minimum wages have increased in many of the jurisdictions in which we operate. Since our operations are concentrated in Illinois, New York and New Mexico, we are particularly sensitive to changes in these states. For example, in 2014, the Chicago City Council passed an ordinance that will raise the minimum wage for Chicago workers to $13 per hour by July of 2019, with increases adjusted to the Consumer Price Index in subsequent years. The rate is $12 per hour effective as of July 1, 2018. The 2018 wage increase has not been offset by a reimbursement rate increase. In the budget process for the 2019 fiscal year, a similar provision was proposed but was not included in the final budget. We believe that there is legislative support for a reimbursement rate increase and anticipate that an increase to offset the wage increase could be passed in the first half of 2019. Our financial performance will be impacted in quarters for which an offsetting reimbursement rate increase is not in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90" w:lineRule="exact"/>
        <w:rPr>
          <w:sz w:val="20"/>
          <w:szCs w:val="20"/>
          <w:color w:val="auto"/>
        </w:rPr>
      </w:pPr>
    </w:p>
    <w:p>
      <w:pPr>
        <w:ind w:firstLine="484"/>
        <w:spacing w:after="0" w:line="283" w:lineRule="auto"/>
        <w:rPr>
          <w:sz w:val="20"/>
          <w:szCs w:val="20"/>
          <w:color w:val="auto"/>
        </w:rPr>
      </w:pPr>
      <w:r>
        <w:rPr>
          <w:rFonts w:ascii="Arial" w:cs="Arial" w:eastAsia="Arial" w:hAnsi="Arial"/>
          <w:sz w:val="16"/>
          <w:szCs w:val="16"/>
          <w:color w:val="auto"/>
        </w:rPr>
        <w:t>On October 31, 2018, we amended and restated our Existing Credit Agreement, with certain lenders and Capital One, National Association as a lender and swing line lender and as agent for all lenders. This amended and restated credit facility totals $269.6 million, inclusive of a $250.0 million revolving loan and a $19.6 million delayed draw term loan and is evidenced by the Credit Agreement. This amended and restated credit facility amended and restated our existing senior secured credit facility totaling $250.0 million. The maturity of this amended and restated credit facility is May 8, 2023, with borrowing under the delayed draw term loan available until June 30, 2019, as extended pursuant to the consent letter, dated January 30, 2019, executed by the Required Lenders (as defined in the Credit Agreement). Interest on our amended and restated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w:t>
      </w:r>
    </w:p>
    <w:p>
      <w:pPr>
        <w:spacing w:after="0" w:line="7" w:lineRule="exact"/>
        <w:rPr>
          <w:sz w:val="20"/>
          <w:szCs w:val="20"/>
          <w:color w:val="auto"/>
        </w:rPr>
      </w:pPr>
    </w:p>
    <w:p>
      <w:pPr>
        <w:ind w:right="20" w:firstLine="8"/>
        <w:spacing w:after="0" w:line="252"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amended and restated credit facility is conditioned, among other things, upon (after giving effect to such draws) the Total Net Leverage Ratio (as defined in the Credit Agreement) not exceeding 3.75:1.00. In certain circumstances, in connection with a Material Acquisition (as defined in the Credit Agreement), we can elect to increase our Total Net Leverage Ratio compliance covenant to 4.25:1.00 for the then current fiscal quarter and the three succeeding fiscal quarters. In connection with this amended and restated credit facility, we incurred approximately $0.9 million of debt issuance costs.</w:t>
      </w:r>
    </w:p>
    <w:p>
      <w:pPr>
        <w:spacing w:after="0" w:line="139" w:lineRule="exact"/>
        <w:rPr>
          <w:sz w:val="20"/>
          <w:szCs w:val="20"/>
          <w:color w:val="auto"/>
        </w:rPr>
      </w:pPr>
    </w:p>
    <w:p>
      <w:pPr>
        <w:ind w:right="60" w:firstLine="484"/>
        <w:spacing w:after="0" w:line="257" w:lineRule="auto"/>
        <w:rPr>
          <w:sz w:val="20"/>
          <w:szCs w:val="20"/>
          <w:color w:val="auto"/>
        </w:rPr>
      </w:pPr>
      <w:r>
        <w:rPr>
          <w:rFonts w:ascii="Arial" w:cs="Arial" w:eastAsia="Arial" w:hAnsi="Arial"/>
          <w:sz w:val="18"/>
          <w:szCs w:val="18"/>
          <w:color w:val="auto"/>
        </w:rPr>
        <w:t>Addus HealthCare is the borrower, and its parent, Holdings, and substantially all of Holdings’ subsidiaries are guarantors under this amended and restated credit facility, and it is secured by a first priority security interest in all of our and the other credit parties’ current and future tangible and intangible assets, including the shares of stock of the borrower and subsidiaries. The Credit Agreement contains affirmative and negative covenants customary for credit facilities of this type, including limitations on us with respect to liens, indebtedness, guaranties, investments, distributions, mergers and acquisitions and dispositions of assets.</w:t>
      </w:r>
    </w:p>
    <w:p>
      <w:pPr>
        <w:spacing w:after="0" w:line="134" w:lineRule="exact"/>
        <w:rPr>
          <w:sz w:val="20"/>
          <w:szCs w:val="20"/>
          <w:color w:val="auto"/>
        </w:rPr>
      </w:pPr>
    </w:p>
    <w:p>
      <w:pPr>
        <w:ind w:right="260" w:firstLine="484"/>
        <w:spacing w:after="0" w:line="277" w:lineRule="auto"/>
        <w:rPr>
          <w:sz w:val="20"/>
          <w:szCs w:val="20"/>
          <w:color w:val="auto"/>
        </w:rPr>
      </w:pPr>
      <w:r>
        <w:rPr>
          <w:rFonts w:ascii="Arial" w:cs="Arial" w:eastAsia="Arial" w:hAnsi="Arial"/>
          <w:sz w:val="18"/>
          <w:szCs w:val="18"/>
          <w:color w:val="auto"/>
        </w:rPr>
        <w:t>We pay a fee ranging from 0.20% to 0.35% based on the applicable senior net leverage ratio times the unused portion of the revolving portion of the amended and restated credit facility.</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240" w:firstLine="484"/>
        <w:spacing w:after="0" w:line="289"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$7.5 million in any year absent of an event of default, plus limited exceptions for tax and administrative distributions), a restriction on the ability to consummate acquisitions (without the consent of the lenders) under our credit facility subject to compliance with the Total Net Leverage Ratio (as defined in the Credit Agreement), restrictions on mergers, dispositions of assets, and affiliate transactions, and restrictions on fundamental changes and lines of business.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2019, we had a total of $20.0 million of revolving loans outstanding on our credit facility with an interest rate of 4.49%.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160" w:firstLine="484"/>
        <w:spacing w:after="0" w:line="276" w:lineRule="auto"/>
        <w:rPr>
          <w:sz w:val="20"/>
          <w:szCs w:val="20"/>
          <w:color w:val="auto"/>
        </w:rPr>
      </w:pPr>
      <w:r>
        <w:rPr>
          <w:rFonts w:ascii="Arial" w:cs="Arial" w:eastAsia="Arial" w:hAnsi="Arial"/>
          <w:sz w:val="17"/>
          <w:szCs w:val="17"/>
          <w:color w:val="auto"/>
        </w:rPr>
        <w:t>Prior to October 31, 2018, we were a party to the Existing Credit Agreement with certain lenders and Capital One, National Association, as a lender and swing lender and as agent for all lenders. This credit facility totaled $250.0 million, replaced our previous Terminated Senior Secured Credit Facility totaling $125.0 million, and terminated the Terminated Senior Secured Credit Agreement, dated as of November 10, 2015, as modified by the May 24, 2016 amendment, between us, certain lenders and Fifth Third Bank, as agent, which evidenced the Terminated Senior Secured Credit Facility. The credit facility included a $125.0 million revolving loan, a $45.0 million term loan and an $80.0 million delayed draw term loan.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changes in our cash flows for the three months ended March 31, 2019 and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3"/>
              </w:rPr>
              <w:t>For the Three Months Ended March 31,</w:t>
            </w:r>
          </w:p>
        </w:tc>
        <w:tc>
          <w:tcPr>
            <w:tcW w:w="120" w:type="dxa"/>
            <w:vAlign w:val="bottom"/>
          </w:tcPr>
          <w:p>
            <w:pPr>
              <w:spacing w:after="0"/>
              <w:rPr>
                <w:sz w:val="18"/>
                <w:szCs w:val="18"/>
                <w:color w:val="auto"/>
              </w:rPr>
            </w:pPr>
          </w:p>
        </w:tc>
      </w:tr>
      <w:tr>
        <w:trPr>
          <w:trHeight w:val="237"/>
        </w:trPr>
        <w:tc>
          <w:tcPr>
            <w:tcW w:w="5760" w:type="dxa"/>
            <w:vAlign w:val="bottom"/>
          </w:tcPr>
          <w:p>
            <w:pPr>
              <w:spacing w:after="0"/>
              <w:rPr>
                <w:sz w:val="20"/>
                <w:szCs w:val="20"/>
                <w:color w:val="auto"/>
              </w:rPr>
            </w:pPr>
          </w:p>
        </w:tc>
        <w:tc>
          <w:tcPr>
            <w:tcW w:w="31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7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7"/>
        </w:trPr>
        <w:tc>
          <w:tcPr>
            <w:tcW w:w="57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60" w:type="dxa"/>
            <w:vAlign w:val="bottom"/>
            <w:tcBorders>
              <w:top w:val="single" w:sz="8" w:color="auto"/>
            </w:tcBorders>
            <w:gridSpan w:val="3"/>
          </w:tcPr>
          <w:p>
            <w:pPr>
              <w:jc w:val="center"/>
              <w:ind w:left="499"/>
              <w:spacing w:after="0"/>
              <w:rPr>
                <w:sz w:val="20"/>
                <w:szCs w:val="20"/>
                <w:color w:val="auto"/>
              </w:rPr>
            </w:pPr>
            <w:r>
              <w:rPr>
                <w:rFonts w:ascii="Arial" w:cs="Arial" w:eastAsia="Arial" w:hAnsi="Arial"/>
                <w:sz w:val="16"/>
                <w:szCs w:val="16"/>
                <w:b w:val="1"/>
                <w:bCs w:val="1"/>
                <w:color w:val="auto"/>
                <w:w w:val="91"/>
              </w:rPr>
              <w:t>(Amounts in Thousands)</w:t>
            </w: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5"/>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3120" w:type="dxa"/>
            <w:vAlign w:val="bottom"/>
            <w:gridSpan w:val="2"/>
            <w:shd w:val="clear" w:color="auto" w:fill="CFF0FC"/>
          </w:tcPr>
          <w:p>
            <w:pPr>
              <w:jc w:val="right"/>
              <w:ind w:right="83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(3,197)</w:t>
            </w:r>
          </w:p>
        </w:tc>
        <w:tc>
          <w:tcPr>
            <w:tcW w:w="1120" w:type="dxa"/>
            <w:vAlign w:val="bottom"/>
            <w:shd w:val="clear" w:color="auto" w:fill="CFF0FC"/>
          </w:tcPr>
          <w:p>
            <w:pPr>
              <w:jc w:val="right"/>
              <w:ind w:right="834"/>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14,276</w:t>
            </w:r>
          </w:p>
        </w:tc>
        <w:tc>
          <w:tcPr>
            <w:tcW w:w="120" w:type="dxa"/>
            <w:vAlign w:val="bottom"/>
            <w:shd w:val="clear" w:color="auto" w:fill="CFF0FC"/>
          </w:tcPr>
          <w:p>
            <w:pPr>
              <w:spacing w:after="0"/>
              <w:rPr>
                <w:sz w:val="20"/>
                <w:szCs w:val="20"/>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(1,006)</w:t>
            </w:r>
          </w:p>
        </w:tc>
        <w:tc>
          <w:tcPr>
            <w:tcW w:w="1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(3,699)</w:t>
            </w: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w:t>
            </w:r>
          </w:p>
        </w:tc>
        <w:tc>
          <w:tcPr>
            <w:tcW w:w="1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2019 Compared to Three Months Ended March 31, 2018</w:t>
      </w:r>
    </w:p>
    <w:p>
      <w:pPr>
        <w:spacing w:after="0" w:line="171" w:lineRule="exact"/>
        <w:rPr>
          <w:sz w:val="20"/>
          <w:szCs w:val="20"/>
          <w:color w:val="auto"/>
        </w:rPr>
      </w:pPr>
    </w:p>
    <w:p>
      <w:pPr>
        <w:ind w:right="220" w:firstLine="484"/>
        <w:spacing w:after="0" w:line="259" w:lineRule="auto"/>
        <w:rPr>
          <w:sz w:val="20"/>
          <w:szCs w:val="20"/>
          <w:color w:val="auto"/>
        </w:rPr>
      </w:pPr>
      <w:r>
        <w:rPr>
          <w:rFonts w:ascii="Arial" w:cs="Arial" w:eastAsia="Arial" w:hAnsi="Arial"/>
          <w:sz w:val="18"/>
          <w:szCs w:val="18"/>
          <w:color w:val="auto"/>
        </w:rPr>
        <w:t>Net cash used in operating activities was $3.2 million for the three months ended March 31, 2019, compared to net cash provided by operating activities of $14.3 million for the same period in 2018. The decrease in cash provided by operations was primarily due to an increase in accounts receivable for the states of Illinois, New Mexico and New York. The increase in accounts receivable for the states of New York and New Mexico were due to delayed billing related to rate changes that went into effect on January 1, 2019.</w:t>
      </w:r>
    </w:p>
    <w:p>
      <w:pPr>
        <w:spacing w:after="0" w:line="133" w:lineRule="exact"/>
        <w:rPr>
          <w:sz w:val="20"/>
          <w:szCs w:val="20"/>
          <w:color w:val="auto"/>
        </w:rPr>
      </w:pPr>
    </w:p>
    <w:p>
      <w:pPr>
        <w:ind w:right="280" w:firstLine="484"/>
        <w:spacing w:after="0" w:line="257" w:lineRule="auto"/>
        <w:rPr>
          <w:sz w:val="20"/>
          <w:szCs w:val="20"/>
          <w:color w:val="auto"/>
        </w:rPr>
      </w:pPr>
      <w:r>
        <w:rPr>
          <w:rFonts w:ascii="Arial" w:cs="Arial" w:eastAsia="Arial" w:hAnsi="Arial"/>
          <w:sz w:val="18"/>
          <w:szCs w:val="18"/>
          <w:color w:val="auto"/>
        </w:rPr>
        <w:t>Net cash used in investing activities was $1.0 million for the three months ended March 31, 2019 compared to cash used in investing activities of $3.7 million for the three months ended March 31, 2018. Our investing activities for the three months ended March 31, 2019 consisted of $1.0 million in purchases of property and equipment primarily related to our ongoing investments in our technology infrastructure. Our investing activities for the three months ended March 31, 2018 consisted of $3.3 million for the acquisition of LifeStyle and $0.4 million in purchases of property and equipment primarily related to investments in our technology infrastructure.</w:t>
      </w:r>
    </w:p>
    <w:p>
      <w:pPr>
        <w:spacing w:after="0" w:line="134" w:lineRule="exact"/>
        <w:rPr>
          <w:sz w:val="20"/>
          <w:szCs w:val="20"/>
          <w:color w:val="auto"/>
        </w:rPr>
      </w:pPr>
    </w:p>
    <w:p>
      <w:pPr>
        <w:ind w:right="200" w:firstLine="484"/>
        <w:spacing w:after="0" w:line="259" w:lineRule="auto"/>
        <w:rPr>
          <w:sz w:val="20"/>
          <w:szCs w:val="20"/>
          <w:color w:val="auto"/>
        </w:rPr>
      </w:pPr>
      <w:r>
        <w:rPr>
          <w:rFonts w:ascii="Arial" w:cs="Arial" w:eastAsia="Arial" w:hAnsi="Arial"/>
          <w:sz w:val="18"/>
          <w:szCs w:val="18"/>
          <w:color w:val="auto"/>
        </w:rPr>
        <w:t>Net cash used in financing activities related to payments on financing leases of $33,000 for the three months ended March 31, 2019. Our financing activities for the three months ended March 31, 2018 were $0.6 million of payments on the term loan portion of our credit facility, $0.4 million in payments on financing lease obligations, $18,000 in payments for debt issuance costs under our credit facility and $24,000 in cash received from the exercise of stock options.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Accounts Receivable</w:t>
      </w:r>
    </w:p>
    <w:p>
      <w:pPr>
        <w:spacing w:after="0" w:line="77" w:lineRule="exact"/>
        <w:rPr>
          <w:sz w:val="20"/>
          <w:szCs w:val="20"/>
          <w:color w:val="auto"/>
        </w:rPr>
      </w:pPr>
    </w:p>
    <w:p>
      <w:pPr>
        <w:ind w:right="160" w:firstLine="484"/>
        <w:spacing w:after="0" w:line="257" w:lineRule="auto"/>
        <w:rPr>
          <w:sz w:val="20"/>
          <w:szCs w:val="20"/>
          <w:color w:val="auto"/>
        </w:rPr>
      </w:pPr>
      <w:r>
        <w:rPr>
          <w:rFonts w:ascii="Arial" w:cs="Arial" w:eastAsia="Arial" w:hAnsi="Arial"/>
          <w:sz w:val="18"/>
          <w:szCs w:val="18"/>
          <w:color w:val="auto"/>
        </w:rPr>
        <w:t>Gross accounts receivable as of March 31, 2019 and December 31, 2018 were approximately $120.9 million and $108.7 million, respectively. Outstanding accounts receivable, net of the allowance for doubtful accounts, increased by $12.1 million as of March 31, 2019 as compared to December 31, 2018. The increase in net accounts receivable was primarily due to an increase in accounts receivable for the states of Illinois, New Mexico and New York. The increase in accounts receivable for the states of New York and New Mexico were due to delayed billing related to rate changes that went into effect on January 1, 2019.</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calculate our days sales outstanding (“DSO”) by taking the trade accounts receivable outstanding net of the allowance for doubtful accounts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divided by the total net service revenues for the last quarter, multiplied by the number of days in that quarter. Our DSOs were 78 days and 71 days 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31, 2019 and December 31, 2018, respectively. The DSOs for our largest payor, the Illinois Department on Aging, at March 31, 2019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were 67 days and 55 days, respectively. We may not receive payments on a consistent basis in the near term and our DSOs and the DSO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Illinois Department on Aging may increase despite the state of Illinois’s enactment of state budgets for fiscal years 2018 and 2019.</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2019, we did not have any off-balance sheet guarantees or arrangements with unconsolidated entities.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77" w:lineRule="exact"/>
        <w:rPr>
          <w:sz w:val="20"/>
          <w:szCs w:val="20"/>
          <w:color w:val="auto"/>
        </w:rPr>
      </w:pPr>
    </w:p>
    <w:p>
      <w:pPr>
        <w:ind w:right="180" w:firstLine="484"/>
        <w:spacing w:after="0" w:line="297" w:lineRule="auto"/>
        <w:rPr>
          <w:sz w:val="20"/>
          <w:szCs w:val="20"/>
          <w:color w:val="auto"/>
        </w:rPr>
      </w:pPr>
      <w:r>
        <w:rPr>
          <w:rFonts w:ascii="Arial" w:cs="Arial" w:eastAsia="Arial" w:hAnsi="Arial"/>
          <w:sz w:val="16"/>
          <w:szCs w:val="16"/>
          <w:color w:val="auto"/>
        </w:rPr>
        <w:t>The discussion and analysis of our financial condition and results of operations are based on our Unaudited Condensed Consolidated Financial Statements prepared in accordance with GAAP. The preparation of the financial statements requires us to make estimates and assumptions that affect the reported amounts of assets and liabilities, revenues and expense and related disclosures. We base our estimates and judgments on historical experience and other sources and factors that we believe to be reasonable under the circumstances, however, actual results may differ from these estimates. We consider the items discussed below to be critical because of their impact on operations and their application requires our judgment and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Personal Care Revenue</w:t>
      </w:r>
    </w:p>
    <w:p>
      <w:pPr>
        <w:spacing w:after="0" w:line="77" w:lineRule="exact"/>
        <w:rPr>
          <w:sz w:val="20"/>
          <w:szCs w:val="20"/>
          <w:color w:val="auto"/>
        </w:rPr>
      </w:pPr>
    </w:p>
    <w:p>
      <w:pPr>
        <w:ind w:firstLine="484"/>
        <w:spacing w:after="0" w:line="270" w:lineRule="auto"/>
        <w:rPr>
          <w:sz w:val="20"/>
          <w:szCs w:val="20"/>
          <w:color w:val="auto"/>
        </w:rPr>
      </w:pPr>
      <w:r>
        <w:rPr>
          <w:rFonts w:ascii="Arial" w:cs="Arial" w:eastAsia="Arial" w:hAnsi="Arial"/>
          <w:sz w:val="17"/>
          <w:szCs w:val="17"/>
          <w:color w:val="auto"/>
        </w:rPr>
        <w:t>The majority of our net service revenues are generated from providing personal care services directly to consumers under contracts with state, local and other governmental agencies, managed care organizations, commercial insurers and private consumers. Generally, these contracts, which are negotiated based on current contracting practices as appropriate for the payor, establish the terms of a customer relationship and set the broad range of terms for services to be performed at a stated rate. However, the contracts do not give rise to rights and obligations until an order is placed with us. When an order is placed, it creates the performance obligation to provide a defined quantity of service hours, or authorized hours, per consumer. We satisfy our performance obligations over time, given that consumers simultaneously receive and consume the benefits provided by us as the services are performed. As we have a right to consideration from customers commensurate with the value provided to customers from the performance completed over a given invoice period, we have elected to use the practical expedient for measuring progress toward satisfaction of performance obligations and recognizes patient service revenue in the amount to which we have a right to invoice.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Hospice Revenue</w:t>
      </w:r>
    </w:p>
    <w:p>
      <w:pPr>
        <w:spacing w:after="0" w:line="77" w:lineRule="exact"/>
        <w:rPr>
          <w:sz w:val="20"/>
          <w:szCs w:val="20"/>
          <w:color w:val="auto"/>
        </w:rPr>
      </w:pPr>
    </w:p>
    <w:p>
      <w:pPr>
        <w:ind w:firstLine="484"/>
        <w:spacing w:after="0" w:line="293" w:lineRule="auto"/>
        <w:rPr>
          <w:sz w:val="20"/>
          <w:szCs w:val="20"/>
          <w:color w:val="auto"/>
        </w:rPr>
      </w:pPr>
      <w:r>
        <w:rPr>
          <w:rFonts w:ascii="Arial" w:cs="Arial" w:eastAsia="Arial" w:hAnsi="Arial"/>
          <w:sz w:val="16"/>
          <w:szCs w:val="16"/>
          <w:color w:val="auto"/>
        </w:rPr>
        <w:t>We generate net service revenues from providing hospice services to terminally ill consumers and their families. Net service revenues are recognized as services are provided and costs for delivery of such services are incurred. The estimated payment rates are daily rates for each of the levels of care we deliver. Hospice companies are subject to two specific payment limit caps under the Medicare program each federal fiscal year, the inpatient cap and the aggregate cap. The inpatient cap limits the number of inpatient care days provided to no more than 20% of the total days of hospice care provided to Medicare patients for the year. The aggregate cap limits the amount of Medicare reimbursement a hospice may receive, based on the number of Medicare patients served. For the three months ended March 31, 2019, we were below the payment limits and did not record a cap liability.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Home Health Revenue</w:t>
      </w:r>
    </w:p>
    <w:p>
      <w:pPr>
        <w:spacing w:after="0" w:line="90" w:lineRule="exact"/>
        <w:rPr>
          <w:sz w:val="20"/>
          <w:szCs w:val="20"/>
          <w:color w:val="auto"/>
        </w:rPr>
      </w:pPr>
    </w:p>
    <w:p>
      <w:pPr>
        <w:ind w:firstLine="484"/>
        <w:spacing w:after="0" w:line="287" w:lineRule="auto"/>
        <w:rPr>
          <w:sz w:val="20"/>
          <w:szCs w:val="20"/>
          <w:color w:val="auto"/>
        </w:rPr>
      </w:pPr>
      <w:r>
        <w:rPr>
          <w:rFonts w:ascii="Arial" w:cs="Arial" w:eastAsia="Arial" w:hAnsi="Arial"/>
          <w:sz w:val="16"/>
          <w:szCs w:val="16"/>
          <w:color w:val="auto"/>
        </w:rPr>
        <w:t>We also generate net service revenues from providing home healthcare services directly to consumers mainly under contracts with Medicare and managed care organizations. Generally, these contracts, which are negotiated based on current contracting practices as appropriate for the payor, establish the terms of a relationship and set the broad range of terms for services to be performed on an episodic basis at a stated rate. Home health Medicare services are paid under the HHPPS, which is based on a 60-day episode of care. The HHPPS permits multiple, continuous episodes per patient. Medicare payment rates for episodes under HHPPS vary based on the severity of the patient’s condition as determined by assessment of a patient’s Home Health Resource Group score. We elect to use the same 60-day length of episode that Medicare recognizes as standard but accelerates revenue upon discharge to align with a patient’s episode length if less than the expected 60 days, which depicts the transfer of services and related benefits received by the patient over the term of the contract necessary to satisfy the obligations. We recognize revenue based on the number of days elapsed during an episode of care within the reporting period. We satisfy our performance obligations as consumers receive and consume the benefits provided by us as the services are performed. As we have a right to reimbursement from Medicare commensurate with the services provided to customers from the performance completed over a given episodic period, we have elected to use the practical expedient for measuring progress toward satisfaction of performance obligations. Under this method recognizing revenue ratably over the episode based on beginning and ending dates is a reasonable proxy for the transfer of benefit of the service.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Implicit Price Concessions</w:t>
      </w:r>
    </w:p>
    <w:p>
      <w:pPr>
        <w:spacing w:after="0" w:line="77" w:lineRule="exact"/>
        <w:rPr>
          <w:sz w:val="20"/>
          <w:szCs w:val="20"/>
          <w:color w:val="auto"/>
        </w:rPr>
      </w:pPr>
    </w:p>
    <w:p>
      <w:pPr>
        <w:ind w:right="40" w:firstLine="484"/>
        <w:spacing w:after="0" w:line="302" w:lineRule="auto"/>
        <w:rPr>
          <w:sz w:val="20"/>
          <w:szCs w:val="20"/>
          <w:color w:val="auto"/>
        </w:rPr>
      </w:pPr>
      <w:r>
        <w:rPr>
          <w:rFonts w:ascii="Arial" w:cs="Arial" w:eastAsia="Arial" w:hAnsi="Arial"/>
          <w:sz w:val="16"/>
          <w:szCs w:val="16"/>
          <w:color w:val="auto"/>
        </w:rPr>
        <w:t>We record estimated implicit price concessions (based primarily on historical collection experience) related to uninsured accounts to record self-pay revenues at the estimated amounts we expect to collect. The estimates for implicit price concessions are based upon management’s assessment of historical write offs and expected net collections, business and economic conditions, trends in federal, state and private employer health care coverage and other collection indicators. We recorded $2.2 million and $2.0 million for the three months ended March 31, 2019 and 2018, respectively, as a reduction to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77" w:lineRule="exact"/>
        <w:rPr>
          <w:sz w:val="20"/>
          <w:szCs w:val="20"/>
          <w:color w:val="auto"/>
        </w:rPr>
      </w:pPr>
    </w:p>
    <w:p>
      <w:pPr>
        <w:ind w:right="60" w:firstLine="484"/>
        <w:spacing w:after="0" w:line="257" w:lineRule="auto"/>
        <w:rPr>
          <w:sz w:val="20"/>
          <w:szCs w:val="20"/>
          <w:color w:val="auto"/>
        </w:rPr>
      </w:pPr>
      <w:r>
        <w:rPr>
          <w:rFonts w:ascii="Arial" w:cs="Arial" w:eastAsia="Arial" w:hAnsi="Arial"/>
          <w:sz w:val="18"/>
          <w:szCs w:val="18"/>
          <w:color w:val="auto"/>
        </w:rPr>
        <w:t>We are paid for our services primarily by federal, state and local agencies under Medicaid and Medicare programs, managed care organizations, commercial insurance companies and private consumers. While our accounts receivable are uncollateralized, our credit risk is somewhat limited due to the significance of governmental payors to our financial results of operations. Laws and regulations governing the governmental programs in which we participate are complex and subject to interpretation and change. Subsequent adjustments that are determined to be the result of an adverse change in the payor’s ability to pay are recognized as allowance for doubtful accounts. As of March 31, 2019 and December 31, 2018, the allowance for doubtful accounts balance was $0.8 million and $0.7 million, which is included in the account receivable, net of allowances on our Unaudited Condensed Consolidated Balance Sheets.</w:t>
      </w: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firstLine="484"/>
        <w:spacing w:after="0" w:line="289" w:lineRule="auto"/>
        <w:rPr>
          <w:sz w:val="20"/>
          <w:szCs w:val="20"/>
          <w:color w:val="auto"/>
        </w:rPr>
      </w:pPr>
      <w:r>
        <w:rPr>
          <w:rFonts w:ascii="Arial" w:cs="Arial" w:eastAsia="Arial" w:hAnsi="Arial"/>
          <w:sz w:val="16"/>
          <w:szCs w:val="16"/>
          <w:color w:val="auto"/>
        </w:rPr>
        <w:t>Our carrying value of goodwill is the excess of the purchase price over the fair value of the net assets acquired from various acquisitions. In accordance with ASC Topic 350, Goodwill and Other Intangible Assets, goodwill and intangible assets with indefinite useful lives are not amortized. We test goodwill for impairment at the reporting unit level on an annual basis, as of October 1, or whenever potential impairment triggers occur, such as a significant change in business climate or regulatory changes that would indicate that an impairment may have occurred. We may use a qualitative test, known as “Step 0,” or a two-step quantitative method to determine whether impairment has occurred. In Step 0, we can elect to perform an optional qualitative analysis, and based on the results can skip the two-step analysis. Additionally, it is our policy to update the fair value calculation of our reporting units and perform the quantitative goodwill impairment test on a periodic basis. In 2018, we performed the quantitative analysis to evaluate whether an impairment occurred. We concluded that there were no impairments for the year ended December 31, 2018. No impairment charges were recorded for the three months ended March 31, 2019 or 2018. As of March 31, 2019 and December 31, 2018, goodwill was $135.4 million, included in our Unaudited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77" w:lineRule="exact"/>
        <w:rPr>
          <w:sz w:val="20"/>
          <w:szCs w:val="20"/>
          <w:color w:val="auto"/>
        </w:rPr>
      </w:pPr>
    </w:p>
    <w:p>
      <w:pPr>
        <w:ind w:right="100" w:firstLine="484"/>
        <w:spacing w:after="0" w:line="293" w:lineRule="auto"/>
        <w:rPr>
          <w:sz w:val="20"/>
          <w:szCs w:val="20"/>
          <w:color w:val="auto"/>
        </w:rPr>
      </w:pPr>
      <w:r>
        <w:rPr>
          <w:rFonts w:ascii="Arial" w:cs="Arial" w:eastAsia="Arial" w:hAnsi="Arial"/>
          <w:sz w:val="16"/>
          <w:szCs w:val="16"/>
          <w:color w:val="auto"/>
        </w:rPr>
        <w:t xml:space="preserve">Our identifiable intangible assets consist of customer and referral relationships, trade names, trademarks, state licenses and non-compete agreements. We use various valuation techniques to determine initial fair value of our intangible assets, including relief-from-royalty, income approach methods and discounted cash flow analysis, which use significant unobservable inputs, or Level 3 inputs, as defined by the fair value hierarchy in ASC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Under these valuation approaches, we are required to make estimates and assumptions about future market growth and trends, forecasted</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and costs, expected periods over which the assets will be utilized, appropriate discount rates and other variables. We base our fair value estimates on assumptions we believe to be reasonable but which are unpredictable and inherently uncertain. Actual future results may differ from those estimates.</w:t>
      </w:r>
    </w:p>
    <w:p>
      <w:pPr>
        <w:spacing w:after="0" w:line="111" w:lineRule="exact"/>
        <w:rPr>
          <w:sz w:val="20"/>
          <w:szCs w:val="20"/>
          <w:color w:val="auto"/>
        </w:rPr>
      </w:pPr>
    </w:p>
    <w:p>
      <w:pPr>
        <w:ind w:right="20" w:firstLine="484"/>
        <w:spacing w:after="0" w:line="270" w:lineRule="auto"/>
        <w:rPr>
          <w:sz w:val="20"/>
          <w:szCs w:val="20"/>
          <w:color w:val="auto"/>
        </w:rPr>
      </w:pPr>
      <w:r>
        <w:rPr>
          <w:rFonts w:ascii="Arial" w:cs="Arial" w:eastAsia="Arial" w:hAnsi="Arial"/>
          <w:sz w:val="17"/>
          <w:szCs w:val="17"/>
          <w:color w:val="auto"/>
        </w:rPr>
        <w:t>Amortization is computed using straight-line and accelerated methods based upon the estimated useful lives of the respective assets, which range from three to twenty-five years and assessed for impairment whenever events or changes in circumstances indicate that the carrying amount may not be recoverable. We would recognize an impairment loss when the estimated future non-discounted cash flows associated with the intangible asset are less than the carrying value. An impairment charge would then be recorded for the excess of the carrying value over the fair value. We estimate the fair value of these intangible assets using the income approach. In accordance with ASC Topic 350, Goodwill and Other Intangible Assets, intangible assets with indefinite useful lives are not amortized.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No impairment charge was recorded for the three months ended March 31, 2019 and 2018. As of March 31, 2019 and December 31, 2018, intangibles, net of accumulated depreciation and amortization was $22.5 million and $23.8 million, respectively, included in our Unaudited Condensed Consolidated Balance Sheets.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77" w:lineRule="exact"/>
        <w:rPr>
          <w:sz w:val="20"/>
          <w:szCs w:val="20"/>
          <w:color w:val="auto"/>
        </w:rPr>
      </w:pPr>
    </w:p>
    <w:p>
      <w:pPr>
        <w:ind w:right="40" w:firstLine="484"/>
        <w:spacing w:after="0" w:line="254" w:lineRule="auto"/>
        <w:rPr>
          <w:sz w:val="20"/>
          <w:szCs w:val="20"/>
          <w:color w:val="auto"/>
        </w:rPr>
      </w:pPr>
      <w:r>
        <w:rPr>
          <w:rFonts w:ascii="Arial" w:cs="Arial" w:eastAsia="Arial" w:hAnsi="Arial"/>
          <w:sz w:val="18"/>
          <w:szCs w:val="18"/>
          <w:color w:val="auto"/>
        </w:rPr>
        <w:t>Our workers’ compensation insurance program has a $0.4 million deductible component. We recognize our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We monitor our claims quarterly and adjust our reserves accordingly. These costs are recorded primarily as the cost of services on the Unaudited Condensed Consolidated Statements of Income. As of March 31, 2019 and December 31, 2018, we recorded $14.5 million and $15.2 million, respectively, in workers’ compensation insurance. As of March 31, 2019 and December 31, 2018, we recorded $1.6 million and $1.7 million, respectively, in workers’ compensation insurance recovery receivables. The workers’ compensation insurance recovery receivable is included in prepaid expenses and other current assets on our Unaudited Condensed Consolidated Balance Sheets.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firstLine="484"/>
        <w:spacing w:after="0" w:line="259" w:lineRule="auto"/>
        <w:rPr>
          <w:sz w:val="20"/>
          <w:szCs w:val="20"/>
          <w:color w:val="auto"/>
        </w:rPr>
      </w:pPr>
      <w:r>
        <w:rPr>
          <w:rFonts w:ascii="Arial" w:cs="Arial" w:eastAsia="Arial" w:hAnsi="Arial"/>
          <w:sz w:val="18"/>
          <w:szCs w:val="18"/>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three months ended March 31, 2019, we received $0.1 million in prompt payment interest. For the three months ended March 31, 2018, we received $2.3 million in prompt payment interest.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77" w:lineRule="exact"/>
        <w:rPr>
          <w:sz w:val="20"/>
          <w:szCs w:val="20"/>
          <w:color w:val="auto"/>
        </w:rPr>
      </w:pPr>
    </w:p>
    <w:p>
      <w:pPr>
        <w:ind w:right="120" w:firstLine="484"/>
        <w:spacing w:after="0" w:line="254" w:lineRule="auto"/>
        <w:rPr>
          <w:sz w:val="20"/>
          <w:szCs w:val="20"/>
          <w:color w:val="auto"/>
        </w:rPr>
      </w:pPr>
      <w:r>
        <w:rPr>
          <w:rFonts w:ascii="Arial" w:cs="Arial" w:eastAsia="Arial" w:hAnsi="Arial"/>
          <w:sz w:val="18"/>
          <w:szCs w:val="18"/>
          <w:color w:val="auto"/>
        </w:rPr>
        <w:t xml:space="preserve">We account for income taxes under the provisions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objective of accounting for income taxes is to recognize the amount of taxes payable or refundable for the current year and deferred tax liabilities and assets for the future tax consequences of events that have been recognized in our financial statements or tax returns. Deferred taxes, resulting from differences between the financial and tax basis of our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38" w:lineRule="exact"/>
        <w:rPr>
          <w:sz w:val="20"/>
          <w:szCs w:val="20"/>
          <w:color w:val="auto"/>
        </w:rPr>
      </w:pPr>
    </w:p>
    <w:p>
      <w:pPr>
        <w:ind w:right="560" w:firstLine="484"/>
        <w:spacing w:after="0" w:line="277" w:lineRule="auto"/>
        <w:rPr>
          <w:sz w:val="20"/>
          <w:szCs w:val="20"/>
          <w:color w:val="auto"/>
        </w:rPr>
      </w:pPr>
      <w:r>
        <w:rPr>
          <w:rFonts w:ascii="Arial" w:cs="Arial" w:eastAsia="Arial" w:hAnsi="Arial"/>
          <w:sz w:val="18"/>
          <w:szCs w:val="18"/>
          <w:color w:val="auto"/>
        </w:rPr>
        <w:t>We recognize interest and penalties accrued related to uncertain tax positions in interest expense and penalties within operating expenses on our Consolidated Statements of Income.</w:t>
      </w:r>
    </w:p>
    <w:p>
      <w:pPr>
        <w:sectPr>
          <w:pgSz w:w="11900" w:h="16838" w:orient="portrait"/>
          <w:cols w:equalWidth="0" w:num="1">
            <w:col w:w="11400"/>
          </w:cols>
          <w:pgMar w:left="240" w:top="121" w:right="25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84"/>
        <w:spacing w:after="0" w:line="272" w:lineRule="auto"/>
        <w:rPr>
          <w:sz w:val="20"/>
          <w:szCs w:val="20"/>
          <w:color w:val="auto"/>
        </w:rPr>
      </w:pPr>
      <w:r>
        <w:rPr>
          <w:rFonts w:ascii="Arial" w:cs="Arial" w:eastAsia="Arial" w:hAnsi="Arial"/>
          <w:sz w:val="17"/>
          <w:szCs w:val="17"/>
          <w:color w:val="auto"/>
        </w:rPr>
        <w:t>We currently have one stock incentive plan, the 2017 Plan, under which new grants of stock-based employee compensation may be made. In addition, we have outstanding awards under our 2009 Stock Incentive Plan, as amended and restated. We account for stock-based compensation in accordance with ASC Topic 718, Stock Compensation. Under the 2017 Plan, compensation expense is recognized on a straight-line basis over the vesting period of the equity awards based on the grant date fair value of the options and restricted stock awards. We use the Black-Scholes Option Pricing Model to value our options. The determination of the fair value of stock-based payments utilizing the Black-Scholes Model is affected by our stock price and a number of assumptions, including expected volatility, risk-free interest rate, expected term, and expected dividends yield. Stock-based compensation expense was $1.2 million and $0.9 million for the three months ended March 31, 2019 and 2018,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 to the Notes to Consolidated Financial Statements for further discussion.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1" w:lineRule="exact"/>
        <w:rPr>
          <w:sz w:val="20"/>
          <w:szCs w:val="20"/>
          <w:color w:val="auto"/>
        </w:rPr>
      </w:pPr>
    </w:p>
    <w:p>
      <w:pPr>
        <w:ind w:firstLine="484"/>
        <w:spacing w:after="0" w:line="257" w:lineRule="auto"/>
        <w:rPr>
          <w:sz w:val="20"/>
          <w:szCs w:val="20"/>
          <w:color w:val="auto"/>
        </w:rPr>
      </w:pPr>
      <w:r>
        <w:rPr>
          <w:rFonts w:ascii="Arial" w:cs="Arial" w:eastAsia="Arial" w:hAnsi="Arial"/>
          <w:sz w:val="18"/>
          <w:szCs w:val="18"/>
          <w:color w:val="auto"/>
        </w:rPr>
        <w:t>We are exposed to market risk associated with changes in interest rates on our variable rate long-term debt. As of March 31, 2019, we had outstanding borrowings of approximately $20.0 million on our credit facility, all of such borrowings were subject to variable interest rates. If the variable rates on this debt were 100 basis points higher than the rate applicable to the borrowing during the three months period ended March 31, 2019, our net income would have decreased by $39,500 or $0.00 per diluted share. We do not currently have any derivative or hedging arrangements, or other known exposures, to changes in interest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77" w:lineRule="exact"/>
        <w:rPr>
          <w:sz w:val="20"/>
          <w:szCs w:val="20"/>
          <w:color w:val="auto"/>
        </w:rPr>
      </w:pPr>
    </w:p>
    <w:p>
      <w:pPr>
        <w:ind w:right="140" w:firstLine="484"/>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March 31, 2019.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4" w:lineRule="exact"/>
        <w:rPr>
          <w:sz w:val="20"/>
          <w:szCs w:val="20"/>
          <w:color w:val="auto"/>
        </w:rPr>
      </w:pPr>
    </w:p>
    <w:p>
      <w:pPr>
        <w:ind w:right="200" w:firstLine="484"/>
        <w:spacing w:after="0" w:line="312" w:lineRule="auto"/>
        <w:rPr>
          <w:sz w:val="20"/>
          <w:szCs w:val="20"/>
          <w:color w:val="auto"/>
        </w:rPr>
      </w:pPr>
      <w:r>
        <w:rPr>
          <w:rFonts w:ascii="Arial" w:cs="Arial" w:eastAsia="Arial" w:hAnsi="Arial"/>
          <w:sz w:val="16"/>
          <w:szCs w:val="16"/>
          <w:color w:val="auto"/>
        </w:rPr>
        <w:t>Based on the evaluation of our disclosure controls and procedures, our Chief Executive Officer and Chief Financial Officer concluded that our disclosure controls and procedures were not effective as of March 31, 2019 due to a material weakness in internal controls within the software provided by our preferred electronic visit verification (“EVV”) vendor that was disclosed in our Annual Report on Form 10-K for the year ended December 31, 2018:</w:t>
      </w:r>
    </w:p>
    <w:p>
      <w:pPr>
        <w:spacing w:after="0" w:line="93" w:lineRule="exact"/>
        <w:rPr>
          <w:sz w:val="20"/>
          <w:szCs w:val="20"/>
          <w:color w:val="auto"/>
        </w:rPr>
      </w:pPr>
    </w:p>
    <w:p>
      <w:pPr>
        <w:ind w:right="80" w:firstLine="484"/>
        <w:spacing w:after="0" w:line="259" w:lineRule="auto"/>
        <w:rPr>
          <w:sz w:val="20"/>
          <w:szCs w:val="20"/>
          <w:color w:val="auto"/>
        </w:rPr>
      </w:pPr>
      <w:r>
        <w:rPr>
          <w:rFonts w:ascii="Arial" w:cs="Arial" w:eastAsia="Arial" w:hAnsi="Arial"/>
          <w:sz w:val="18"/>
          <w:szCs w:val="18"/>
          <w:color w:val="auto"/>
        </w:rPr>
        <w:t>As part of our system of controls related to the review and approval of hours worked and billed, we were unable to rely on internal controls within the software provided by our preferred electronic visit verification (“EVV”) vendor because that vendor has not provided a third party attestation report with regard to those internal controls, which, in part because of the growth of our Company and the migration to EVV, we now believe is necessary. Our existing review controls did not have a sufficient level of precision to compensate for this deficiency.</w:t>
      </w:r>
    </w:p>
    <w:p>
      <w:pPr>
        <w:spacing w:after="0" w:line="133" w:lineRule="exact"/>
        <w:rPr>
          <w:sz w:val="20"/>
          <w:szCs w:val="20"/>
          <w:color w:val="auto"/>
        </w:rPr>
      </w:pPr>
    </w:p>
    <w:p>
      <w:pPr>
        <w:ind w:right="60" w:firstLine="484"/>
        <w:spacing w:after="0" w:line="277" w:lineRule="auto"/>
        <w:rPr>
          <w:sz w:val="20"/>
          <w:szCs w:val="20"/>
          <w:color w:val="auto"/>
        </w:rPr>
      </w:pPr>
      <w:r>
        <w:rPr>
          <w:rFonts w:ascii="Arial" w:cs="Arial" w:eastAsia="Arial" w:hAnsi="Arial"/>
          <w:sz w:val="18"/>
          <w:szCs w:val="18"/>
          <w:color w:val="auto"/>
        </w:rPr>
        <w:t>However, we believe that the financial statements included in this quarterly report fairly present in all material respects our financial condition, results of operations, and cash flows for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w:t>
      </w:r>
    </w:p>
    <w:p>
      <w:pPr>
        <w:spacing w:after="0" w:line="90" w:lineRule="exact"/>
        <w:rPr>
          <w:sz w:val="20"/>
          <w:szCs w:val="20"/>
          <w:color w:val="auto"/>
        </w:rPr>
      </w:pPr>
    </w:p>
    <w:p>
      <w:pPr>
        <w:ind w:firstLine="484"/>
        <w:spacing w:after="0" w:line="291" w:lineRule="auto"/>
        <w:rPr>
          <w:sz w:val="20"/>
          <w:szCs w:val="20"/>
          <w:color w:val="auto"/>
        </w:rPr>
      </w:pPr>
      <w:r>
        <w:rPr>
          <w:rFonts w:ascii="Arial" w:cs="Arial" w:eastAsia="Arial" w:hAnsi="Arial"/>
          <w:sz w:val="16"/>
          <w:szCs w:val="16"/>
          <w:color w:val="auto"/>
        </w:rPr>
        <w:t>As previously described in Part II, Item 9A of our Annual Report on Form 10-K for the year ended December 31, 2018, we began implementing a remediation plan to address the material weakness mentioned above. We received assurances from our EVV vendor that it will deliver a Service Organization Control 1 Type 2 (“SOC 1 Type 2”) report with respect to 2019. In addition, we are reviewing related existing controls to consider additional and modified controls to increase our level of precision to further strengthen the control environment without regard to whether we obtain the SOC 1 Type 2 report from our EVV vendor. The material weakness will not be considered remediated until the applicable controls operate for a sufficient period of time and management has concluded, including delivery of the SOC 1 Type 2 report or otherwise and testing of our control environment, that these controls are operating effectively. We expect that the remediation of this material weakness will be completed prior to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right="240" w:firstLine="484"/>
        <w:spacing w:after="0" w:line="277" w:lineRule="auto"/>
        <w:rPr>
          <w:sz w:val="20"/>
          <w:szCs w:val="20"/>
          <w:color w:val="auto"/>
        </w:rPr>
      </w:pPr>
      <w:r>
        <w:rPr>
          <w:rFonts w:ascii="Arial" w:cs="Arial" w:eastAsia="Arial" w:hAnsi="Arial"/>
          <w:sz w:val="18"/>
          <w:szCs w:val="18"/>
          <w:color w:val="auto"/>
        </w:rPr>
        <w:t>We continue to integrate application changes and acquisitions processes into our established internal control environment to effectively manage our risk and financial reporting efforts.</w:t>
      </w:r>
    </w:p>
    <w:p>
      <w:pPr>
        <w:spacing w:after="0" w:line="116" w:lineRule="exact"/>
        <w:rPr>
          <w:sz w:val="20"/>
          <w:szCs w:val="20"/>
          <w:color w:val="auto"/>
        </w:rPr>
      </w:pPr>
    </w:p>
    <w:p>
      <w:pPr>
        <w:ind w:right="20" w:firstLine="484"/>
        <w:spacing w:after="0" w:line="264" w:lineRule="auto"/>
        <w:rPr>
          <w:sz w:val="20"/>
          <w:szCs w:val="20"/>
          <w:color w:val="auto"/>
        </w:rPr>
      </w:pPr>
      <w:r>
        <w:rPr>
          <w:rFonts w:ascii="Arial" w:cs="Arial" w:eastAsia="Arial" w:hAnsi="Arial"/>
          <w:sz w:val="18"/>
          <w:szCs w:val="18"/>
          <w:color w:val="auto"/>
        </w:rPr>
        <w:t>Except as mentioned above, there were no changes in our internal control over financial reporting identified in connection with the evaluation required by Rule 13a-15(d) and 15d-15(d) of the Exchange Act that occurred during the fiscal quarter ended March 31, 2019 that has materially affected, or is reasonably likely to materially affect, our internal control over financial reporting.</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540" w:firstLine="484"/>
        <w:spacing w:after="0" w:line="34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70" w:lineRule="exact"/>
        <w:rPr>
          <w:sz w:val="20"/>
          <w:szCs w:val="20"/>
          <w:color w:val="auto"/>
        </w:rPr>
      </w:pPr>
    </w:p>
    <w:p>
      <w:pPr>
        <w:ind w:firstLine="484"/>
        <w:spacing w:after="0" w:line="268" w:lineRule="auto"/>
        <w:rPr>
          <w:sz w:val="20"/>
          <w:szCs w:val="20"/>
          <w:color w:val="auto"/>
        </w:rPr>
      </w:pPr>
      <w:r>
        <w:rPr>
          <w:rFonts w:ascii="Arial" w:cs="Arial" w:eastAsia="Arial" w:hAnsi="Arial"/>
          <w:sz w:val="17"/>
          <w:szCs w:val="17"/>
          <w:color w:val="auto"/>
        </w:rPr>
        <w:t>On January 20, 2016, we were served with a lawsuit filed in the United States District Court for the Northern District of Illinois against our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our home care division to our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We and Cigna Corporation filed a motion to dismiss the amended complaint on June 6, 2016. On February 3, 2017, the Court granted Cigna Corporation’s motion to dismiss in full, and granted our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we filed a partial motion to dismiss the Second Amended Complaint. On May 24, 2017, the state of Illinois filed notice that it was declining to intervene in the plaintiff’s claim under the Illinois False Claims Act. On March 21, 2018, the Court granted our motion to dismiss the Second Amended Complaint in part and narrowed the lawsuit to whether the federal False Claims Act was violated with respect to home health services provided at three senior living facilities in Illinois. We intend to defend the litigation vigorously and believe the case will not have a material adverse effect on our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ind w:right="80" w:firstLine="484"/>
        <w:spacing w:after="0" w:line="257" w:lineRule="auto"/>
        <w:rPr>
          <w:sz w:val="20"/>
          <w:szCs w:val="20"/>
          <w:color w:val="auto"/>
        </w:rPr>
      </w:pPr>
      <w:r>
        <w:rPr>
          <w:rFonts w:ascii="Arial" w:cs="Arial" w:eastAsia="Arial" w:hAnsi="Arial"/>
          <w:sz w:val="18"/>
          <w:szCs w:val="18"/>
          <w:color w:val="auto"/>
        </w:rPr>
        <w:t>Investing in our common stock involves a high degree of risk. In addition to the other information set forth in this quarterly report on Form 10-Q, you should carefully consider the risk factors discussed under the caption “Risk Factors” set forth in Part I, Item 1A, of our Annual Report on Form 10-K for the year ended December 31, 2018.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4" w:lineRule="exact"/>
        <w:rPr>
          <w:sz w:val="20"/>
          <w:szCs w:val="20"/>
          <w:color w:val="auto"/>
        </w:rPr>
      </w:pPr>
    </w:p>
    <w:p>
      <w:pPr>
        <w:ind w:left="700" w:hanging="59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51">
        <w:r>
          <w:rPr>
            <w:rFonts w:ascii="Arial" w:cs="Arial" w:eastAsia="Arial" w:hAnsi="Arial"/>
            <w:sz w:val="18"/>
            <w:szCs w:val="18"/>
            <w:u w:val="single" w:color="auto"/>
            <w:color w:val="0000EE"/>
          </w:rPr>
          <w:t>Amended and Restated Certificate of Incorporation of the Company dated as of October 27, 2009 (filed on November 20, 2009 as Exhibit 3.1 to the</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Company’s Quarterly Report on Form 10-Q (File No. 001-34504) and incorporated by reference herein)</w:t>
        </w:r>
      </w:hyperlink>
    </w:p>
    <w:p>
      <w:pPr>
        <w:spacing w:after="0" w:line="35" w:lineRule="exact"/>
        <w:rPr>
          <w:sz w:val="20"/>
          <w:szCs w:val="20"/>
          <w:color w:val="auto"/>
        </w:rPr>
      </w:pPr>
    </w:p>
    <w:p>
      <w:pPr>
        <w:ind w:left="700" w:right="100" w:hanging="598"/>
        <w:spacing w:after="0" w:line="308" w:lineRule="auto"/>
        <w:tabs>
          <w:tab w:leader="none" w:pos="680" w:val="left"/>
        </w:tabs>
        <w:rPr>
          <w:rFonts w:ascii="Arial" w:cs="Arial" w:eastAsia="Arial" w:hAnsi="Arial"/>
          <w:sz w:val="17"/>
          <w:szCs w:val="17"/>
          <w:u w:val="single" w:color="auto"/>
          <w:color w:val="0000EE"/>
        </w:rPr>
      </w:pPr>
      <w:r>
        <w:rPr>
          <w:rFonts w:ascii="Arial" w:cs="Arial" w:eastAsia="Arial" w:hAnsi="Arial"/>
          <w:sz w:val="18"/>
          <w:szCs w:val="18"/>
          <w:color w:val="auto"/>
        </w:rPr>
        <w:t>3.2</w:t>
      </w:r>
      <w:r>
        <w:rPr>
          <w:sz w:val="20"/>
          <w:szCs w:val="20"/>
          <w:color w:val="auto"/>
        </w:rPr>
        <w:tab/>
      </w:r>
      <w:hyperlink r:id="rId52">
        <w:r>
          <w:rPr>
            <w:rFonts w:ascii="Arial" w:cs="Arial" w:eastAsia="Arial" w:hAnsi="Arial"/>
            <w:sz w:val="17"/>
            <w:szCs w:val="17"/>
            <w:u w:val="single" w:color="auto"/>
            <w:color w:val="0000EE"/>
          </w:rPr>
          <w:t>Amended and Restated Bylaws of the Company, as amended by the First Amendment to the Amended and Restated Bylaws (filed on May 9, 2013</w:t>
        </w:r>
      </w:hyperlink>
      <w:r>
        <w:rPr>
          <w:rFonts w:ascii="Arial" w:cs="Arial" w:eastAsia="Arial" w:hAnsi="Arial"/>
          <w:sz w:val="17"/>
          <w:szCs w:val="17"/>
          <w:u w:val="single" w:color="auto"/>
          <w:color w:val="0000EE"/>
        </w:rPr>
        <w:t xml:space="preserve"> </w:t>
      </w:r>
      <w:hyperlink r:id="rId52">
        <w:r>
          <w:rPr>
            <w:rFonts w:ascii="Arial" w:cs="Arial" w:eastAsia="Arial" w:hAnsi="Arial"/>
            <w:sz w:val="17"/>
            <w:szCs w:val="17"/>
            <w:u w:val="single" w:color="auto"/>
            <w:color w:val="0000EE"/>
          </w:rPr>
          <w:t>as Exhibit 3.2 to the Company’s Quarterly Report on Form 10-Q (File No. 001-34504) and incorporated by reference herein)</w:t>
        </w:r>
      </w:hyperlink>
    </w:p>
    <w:p>
      <w:pPr>
        <w:spacing w:after="0" w:line="11" w:lineRule="exact"/>
        <w:rPr>
          <w:sz w:val="20"/>
          <w:szCs w:val="20"/>
          <w:color w:val="auto"/>
        </w:rPr>
      </w:pPr>
    </w:p>
    <w:p>
      <w:pPr>
        <w:ind w:left="700" w:right="340" w:hanging="59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53">
        <w:r>
          <w:rPr>
            <w:rFonts w:ascii="Arial" w:cs="Arial" w:eastAsia="Arial" w:hAnsi="Arial"/>
            <w:sz w:val="18"/>
            <w:szCs w:val="18"/>
            <w:u w:val="single" w:color="auto"/>
            <w:color w:val="0000EE"/>
          </w:rPr>
          <w:t>Form of Common Stock Certificate (filed on October 2, 2009 as Exhibit 4.1 to Amendment No. 4 to the Company’s Registration Statement on</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Form S-1 (File No. 333-160634) and incorporated by reference herein)</w:t>
        </w:r>
      </w:hyperlink>
    </w:p>
    <w:p>
      <w:pPr>
        <w:spacing w:after="0" w:line="35" w:lineRule="exact"/>
        <w:rPr>
          <w:sz w:val="20"/>
          <w:szCs w:val="20"/>
          <w:color w:val="auto"/>
        </w:rPr>
      </w:pPr>
    </w:p>
    <w:p>
      <w:pPr>
        <w:ind w:left="700" w:right="120" w:hanging="598"/>
        <w:spacing w:after="0" w:line="259"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54">
        <w:r>
          <w:rPr>
            <w:rFonts w:ascii="Arial" w:cs="Arial" w:eastAsia="Arial" w:hAnsi="Arial"/>
            <w:sz w:val="18"/>
            <w:szCs w:val="18"/>
            <w:u w:val="single" w:color="auto"/>
            <w:color w:val="0000EE"/>
          </w:rPr>
          <w:t>Registration Rights Agreement, dated September 19, 2006, by and among Addus HomeCare Corporation, Eos Capital Partners III, L.P., Eos</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Partners SBIC III, L.P., Freeport Loan Fund LLC, W. Andrew Wright, III, Addus Term Trust, W. Andrew Wright Grantor Retained Annuity Trust,</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Mark S. Heaney, James A. Wright and Courtney E. Panzer (filed on July 17, 2009 as Exhibit 4.3 to Addus HomeCare Corporation’s Registration</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Statement on Form S-1 (File No. 333-160634) and incorporated by reference herein)</w:t>
        </w:r>
      </w:hyperlink>
    </w:p>
    <w:p>
      <w:pPr>
        <w:spacing w:after="0" w:line="52" w:lineRule="exact"/>
        <w:rPr>
          <w:rFonts w:ascii="Arial" w:cs="Arial" w:eastAsia="Arial" w:hAnsi="Arial"/>
          <w:sz w:val="18"/>
          <w:szCs w:val="18"/>
          <w:u w:val="single" w:color="auto"/>
          <w:color w:val="0000EE"/>
        </w:rPr>
      </w:pPr>
    </w:p>
    <w:p>
      <w:pPr>
        <w:ind w:left="700" w:right="80" w:hanging="68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37">
        <w:r>
          <w:rPr>
            <w:rFonts w:ascii="Arial" w:cs="Arial" w:eastAsia="Arial" w:hAnsi="Arial"/>
            <w:sz w:val="18"/>
            <w:szCs w:val="18"/>
            <w:u w:val="single" w:color="auto"/>
            <w:color w:val="0000EE"/>
          </w:rPr>
          <w:t>Certification of Chief Executive Officer Pursuant to Rule 13a-14(a) of the Securities Exchange Act of 1934 as Adopted Pursuant to Section 302 of</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the Sarbanes-Oxley Act of 2002*</w:t>
        </w:r>
      </w:hyperlink>
    </w:p>
    <w:p>
      <w:pPr>
        <w:spacing w:after="0" w:line="35" w:lineRule="exact"/>
        <w:rPr>
          <w:sz w:val="20"/>
          <w:szCs w:val="20"/>
          <w:color w:val="auto"/>
        </w:rPr>
      </w:pPr>
    </w:p>
    <w:p>
      <w:pPr>
        <w:ind w:left="700" w:right="140" w:hanging="68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38">
        <w:r>
          <w:rPr>
            <w:rFonts w:ascii="Arial" w:cs="Arial" w:eastAsia="Arial" w:hAnsi="Arial"/>
            <w:sz w:val="18"/>
            <w:szCs w:val="18"/>
            <w:u w:val="single" w:color="auto"/>
            <w:color w:val="0000EE"/>
          </w:rPr>
          <w:t>Certification of Chief Financial Officer Pursuant to Rule 13a-14(a) of the Securities Exchange Act of 1934 as Adopted Pursuant to Section 302 of</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the Sarbanes-Oxley Act of 2002*</w:t>
        </w:r>
      </w:hyperlink>
    </w:p>
    <w:p>
      <w:pPr>
        <w:spacing w:after="0" w:line="35" w:lineRule="exact"/>
        <w:rPr>
          <w:sz w:val="20"/>
          <w:szCs w:val="20"/>
          <w:color w:val="auto"/>
        </w:rPr>
      </w:pPr>
    </w:p>
    <w:p>
      <w:pPr>
        <w:ind w:left="700" w:right="300" w:hanging="68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39">
        <w:r>
          <w:rPr>
            <w:rFonts w:ascii="Arial" w:cs="Arial" w:eastAsia="Arial" w:hAnsi="Arial"/>
            <w:sz w:val="18"/>
            <w:szCs w:val="18"/>
            <w:u w:val="single" w:color="auto"/>
            <w:color w:val="0000EE"/>
          </w:rPr>
          <w:t>Certification of Chief Executive Officer Pursuant to 18 U.S.C. Section 1350, as Adopted Pursuant to Section 906 of the Sarbanes-Oxley Act of</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2002**</w:t>
        </w:r>
      </w:hyperlink>
    </w:p>
    <w:p>
      <w:pPr>
        <w:spacing w:after="0" w:line="76" w:lineRule="exact"/>
        <w:rPr>
          <w:sz w:val="20"/>
          <w:szCs w:val="20"/>
          <w:color w:val="auto"/>
        </w:rPr>
      </w:pPr>
    </w:p>
    <w:p>
      <w:pPr>
        <w:ind w:left="700" w:right="340" w:hanging="68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40">
        <w:r>
          <w:rPr>
            <w:rFonts w:ascii="Arial" w:cs="Arial" w:eastAsia="Arial" w:hAnsi="Arial"/>
            <w:sz w:val="18"/>
            <w:szCs w:val="18"/>
            <w:u w:val="single" w:color="auto"/>
            <w:color w:val="0000EE"/>
          </w:rPr>
          <w:t>Certification of Chief Financial Officer Pursuant to 18 U.S.C. Section 1350, as Adopted Pursuant to Section 906 of the Sarbanes-Oxley Act of</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2002**</w:t>
        </w:r>
      </w:hyperlink>
    </w:p>
    <w:p>
      <w:pPr>
        <w:spacing w:after="0" w:line="35" w:lineRule="exact"/>
        <w:rPr>
          <w:sz w:val="20"/>
          <w:szCs w:val="20"/>
          <w:color w:val="auto"/>
        </w:rPr>
      </w:pPr>
    </w:p>
    <w:p>
      <w:pPr>
        <w:ind w:left="700" w:right="140" w:hanging="692"/>
        <w:spacing w:after="0" w:line="291"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Addus HomeCare Corporation for the quarter ended September 30, 2018, filed on November 8, 2018 formatted in XBRL: (i) Condensed Consolidated Balance Sheets, (ii) Condensed Consolidated Statements of Income,</w:t>
      </w:r>
    </w:p>
    <w:p>
      <w:pPr>
        <w:ind w:left="700" w:right="320"/>
        <w:spacing w:after="0" w:line="261" w:lineRule="auto"/>
        <w:rPr>
          <w:rFonts w:ascii="Arial" w:cs="Arial" w:eastAsia="Arial" w:hAnsi="Arial"/>
          <w:sz w:val="16"/>
          <w:szCs w:val="16"/>
          <w:color w:val="auto"/>
        </w:rPr>
      </w:pPr>
      <w:r>
        <w:rPr>
          <w:rFonts w:ascii="Arial" w:cs="Arial" w:eastAsia="Arial" w:hAnsi="Arial"/>
          <w:sz w:val="18"/>
          <w:szCs w:val="18"/>
          <w:color w:val="auto"/>
        </w:rPr>
        <w:t>(iii) Condensed Consolidated Statements of Stockholders’ Equity, (iv) Condensed Consolidated Statements of Cash Flows, and (v) the Notes to Condensed Consolidated Financial Statements*</w:t>
      </w:r>
    </w:p>
    <w:p>
      <w:pPr>
        <w:spacing w:after="0" w:line="170"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or arrangement.</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8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740"/>
        <w:spacing w:after="0"/>
        <w:rPr>
          <w:sz w:val="20"/>
          <w:szCs w:val="20"/>
          <w:color w:val="auto"/>
        </w:rPr>
      </w:pPr>
      <w:r>
        <w:rPr>
          <w:rFonts w:ascii="Arial" w:cs="Arial" w:eastAsia="Arial" w:hAnsi="Arial"/>
          <w:sz w:val="16"/>
          <w:szCs w:val="16"/>
          <w:b w:val="1"/>
          <w:bCs w:val="1"/>
          <w:i w:val="1"/>
          <w:iCs w:val="1"/>
          <w:color w:val="auto"/>
        </w:rPr>
        <w:t>ADDUS HOMECARE CORPORATION</w:t>
      </w:r>
    </w:p>
    <w:p>
      <w:pPr>
        <w:spacing w:after="0" w:line="221" w:lineRule="exact"/>
        <w:rPr>
          <w:sz w:val="20"/>
          <w:szCs w:val="20"/>
          <w:color w:val="auto"/>
        </w:rPr>
      </w:pPr>
    </w:p>
    <w:p>
      <w:pPr>
        <w:spacing w:after="0"/>
        <w:tabs>
          <w:tab w:leader="none" w:pos="5720" w:val="left"/>
          <w:tab w:leader="none" w:pos="8020" w:val="left"/>
        </w:tabs>
        <w:rPr>
          <w:sz w:val="20"/>
          <w:szCs w:val="20"/>
          <w:color w:val="auto"/>
        </w:rPr>
      </w:pPr>
      <w:r>
        <w:rPr>
          <w:rFonts w:ascii="Arial" w:cs="Arial" w:eastAsia="Arial" w:hAnsi="Arial"/>
          <w:sz w:val="16"/>
          <w:szCs w:val="16"/>
          <w:color w:val="auto"/>
        </w:rPr>
        <w:t>Date: May 9,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26670</wp:posOffset>
            </wp:positionV>
            <wp:extent cx="3327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3"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R. Dirk Allison</w:t>
      </w:r>
    </w:p>
    <w:p>
      <w:pPr>
        <w:spacing w:after="0" w:line="26"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(As Principal Executive Officer)</w:t>
      </w:r>
    </w:p>
    <w:p>
      <w:pPr>
        <w:spacing w:after="0" w:line="231" w:lineRule="exact"/>
        <w:rPr>
          <w:sz w:val="20"/>
          <w:szCs w:val="20"/>
          <w:color w:val="auto"/>
        </w:rPr>
      </w:pPr>
    </w:p>
    <w:p>
      <w:pPr>
        <w:spacing w:after="0"/>
        <w:tabs>
          <w:tab w:leader="none" w:pos="5720" w:val="left"/>
          <w:tab w:leader="none" w:pos="8220" w:val="left"/>
        </w:tabs>
        <w:rPr>
          <w:sz w:val="20"/>
          <w:szCs w:val="20"/>
          <w:color w:val="auto"/>
        </w:rPr>
      </w:pPr>
      <w:r>
        <w:rPr>
          <w:rFonts w:ascii="Arial" w:cs="Arial" w:eastAsia="Arial" w:hAnsi="Arial"/>
          <w:sz w:val="16"/>
          <w:szCs w:val="16"/>
          <w:color w:val="auto"/>
        </w:rPr>
        <w:t>Date: May 9,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3327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9"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Brian Poff</w:t>
      </w:r>
    </w:p>
    <w:p>
      <w:pPr>
        <w:spacing w:after="0" w:line="26"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Chief Financial Officer</w:t>
      </w:r>
    </w:p>
    <w:p>
      <w:pPr>
        <w:spacing w:after="0" w:line="19"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(As Principal Financial Officer)</w:t>
      </w:r>
    </w:p>
    <w:p>
      <w:pPr>
        <w:spacing w:after="0" w:line="200" w:lineRule="exact"/>
        <w:rPr>
          <w:sz w:val="20"/>
          <w:szCs w:val="20"/>
          <w:color w:val="auto"/>
        </w:rPr>
      </w:pP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60"/>
          </w:cols>
          <w:pgMar w:left="240" w:top="121" w:right="899" w:bottom="1440" w:gutter="0" w:footer="0" w:header="0"/>
        </w:sectPr>
      </w:pPr>
    </w:p>
    <w:bookmarkStart w:id="36" w:name="page37"/>
    <w:bookmarkEnd w:id="36"/>
    <w:p>
      <w:pPr>
        <w:ind w:left="10480"/>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certify that:</w:t>
      </w:r>
    </w:p>
    <w:p>
      <w:pPr>
        <w:spacing w:after="0" w:line="17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18"/>
          <w:szCs w:val="18"/>
          <w:color w:val="auto"/>
        </w:rPr>
      </w:pPr>
    </w:p>
    <w:p>
      <w:pPr>
        <w:ind w:left="960" w:right="60" w:hanging="479"/>
        <w:spacing w:after="0" w:line="278"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hanging="479"/>
        <w:spacing w:after="0" w:line="278"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440" w:hanging="479"/>
        <w:spacing w:after="0" w:line="293"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80" w:hanging="479"/>
        <w:spacing w:after="0" w:line="278"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7"/>
          <w:szCs w:val="17"/>
          <w:color w:val="auto"/>
        </w:rPr>
      </w:pPr>
    </w:p>
    <w:p>
      <w:pPr>
        <w:ind w:left="960" w:right="600" w:hanging="479"/>
        <w:spacing w:after="0" w:line="293"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220" w:hanging="479"/>
        <w:spacing w:after="0" w:line="293"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0" w:type="dxa"/>
            <w:vAlign w:val="bottom"/>
          </w:tcPr>
          <w:p>
            <w:pPr>
              <w:spacing w:after="0"/>
              <w:rPr>
                <w:sz w:val="20"/>
                <w:szCs w:val="20"/>
                <w:color w:val="auto"/>
              </w:rPr>
            </w:pPr>
            <w:r>
              <w:rPr>
                <w:rFonts w:ascii="Arial" w:cs="Arial" w:eastAsia="Arial" w:hAnsi="Arial"/>
                <w:sz w:val="16"/>
                <w:szCs w:val="16"/>
                <w:color w:val="auto"/>
              </w:rPr>
              <w:t>Date: May 9, 2019</w:t>
            </w:r>
          </w:p>
        </w:tc>
        <w:tc>
          <w:tcPr>
            <w:tcW w:w="8020" w:type="dxa"/>
            <w:vAlign w:val="bottom"/>
            <w:gridSpan w:val="2"/>
          </w:tcPr>
          <w:p>
            <w:pPr>
              <w:ind w:left="2180"/>
              <w:spacing w:after="0"/>
              <w:rPr>
                <w:sz w:val="20"/>
                <w:szCs w:val="20"/>
                <w:color w:val="auto"/>
              </w:rPr>
            </w:pPr>
            <w:r>
              <w:rPr>
                <w:rFonts w:ascii="Arial" w:cs="Arial" w:eastAsia="Arial" w:hAnsi="Arial"/>
                <w:sz w:val="16"/>
                <w:szCs w:val="16"/>
                <w:color w:val="auto"/>
              </w:rPr>
              <w:t>By:  /s/ R. Dirk Allison</w:t>
            </w:r>
          </w:p>
        </w:tc>
      </w:tr>
      <w:tr>
        <w:trPr>
          <w:trHeight w:val="189"/>
        </w:trPr>
        <w:tc>
          <w:tcPr>
            <w:tcW w:w="3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06"/>
        </w:trPr>
        <w:tc>
          <w:tcPr>
            <w:tcW w:w="3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37" w:name="page38"/>
    <w:bookmarkEnd w:id="37"/>
    <w:p>
      <w:pPr>
        <w:ind w:left="10480"/>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Brian Poff, certify that:</w:t>
      </w:r>
    </w:p>
    <w:p>
      <w:pPr>
        <w:spacing w:after="0" w:line="17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18"/>
          <w:szCs w:val="18"/>
          <w:color w:val="auto"/>
        </w:rPr>
      </w:pPr>
    </w:p>
    <w:p>
      <w:pPr>
        <w:ind w:left="960" w:right="60" w:hanging="479"/>
        <w:spacing w:after="0" w:line="278" w:lineRule="auto"/>
        <w:tabs>
          <w:tab w:leader="none" w:pos="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hanging="479"/>
        <w:spacing w:after="0" w:line="278" w:lineRule="auto"/>
        <w:tabs>
          <w:tab w:leader="none" w:pos="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440" w:hanging="479"/>
        <w:spacing w:after="0" w:line="293" w:lineRule="auto"/>
        <w:tabs>
          <w:tab w:leader="none" w:pos="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80" w:hanging="479"/>
        <w:spacing w:after="0" w:line="278" w:lineRule="auto"/>
        <w:tabs>
          <w:tab w:leader="none" w:pos="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7"/>
          <w:szCs w:val="17"/>
          <w:color w:val="auto"/>
        </w:rPr>
      </w:pPr>
    </w:p>
    <w:p>
      <w:pPr>
        <w:ind w:left="960" w:right="600" w:hanging="479"/>
        <w:spacing w:after="0" w:line="293" w:lineRule="auto"/>
        <w:tabs>
          <w:tab w:leader="none" w:pos="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220" w:hanging="479"/>
        <w:spacing w:after="0" w:line="293" w:lineRule="auto"/>
        <w:tabs>
          <w:tab w:leader="none" w:pos="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0" w:type="dxa"/>
            <w:vAlign w:val="bottom"/>
          </w:tcPr>
          <w:p>
            <w:pPr>
              <w:spacing w:after="0"/>
              <w:rPr>
                <w:sz w:val="20"/>
                <w:szCs w:val="20"/>
                <w:color w:val="auto"/>
              </w:rPr>
            </w:pPr>
            <w:r>
              <w:rPr>
                <w:rFonts w:ascii="Arial" w:cs="Arial" w:eastAsia="Arial" w:hAnsi="Arial"/>
                <w:sz w:val="16"/>
                <w:szCs w:val="16"/>
                <w:color w:val="auto"/>
              </w:rPr>
              <w:t>Date: May 9, 2019</w:t>
            </w:r>
          </w:p>
        </w:tc>
        <w:tc>
          <w:tcPr>
            <w:tcW w:w="8020" w:type="dxa"/>
            <w:vAlign w:val="bottom"/>
            <w:gridSpan w:val="2"/>
          </w:tcPr>
          <w:p>
            <w:pPr>
              <w:ind w:left="2180"/>
              <w:spacing w:after="0"/>
              <w:rPr>
                <w:sz w:val="20"/>
                <w:szCs w:val="20"/>
                <w:color w:val="auto"/>
              </w:rPr>
            </w:pPr>
            <w:r>
              <w:rPr>
                <w:rFonts w:ascii="Arial" w:cs="Arial" w:eastAsia="Arial" w:hAnsi="Arial"/>
                <w:sz w:val="16"/>
                <w:szCs w:val="16"/>
                <w:color w:val="auto"/>
              </w:rPr>
              <w:t>By:  /s/ Brian Poff</w:t>
            </w:r>
          </w:p>
        </w:tc>
      </w:tr>
      <w:tr>
        <w:trPr>
          <w:trHeight w:val="189"/>
        </w:trPr>
        <w:tc>
          <w:tcPr>
            <w:tcW w:w="3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06"/>
        </w:trPr>
        <w:tc>
          <w:tcPr>
            <w:tcW w:w="3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In connection with the Quarterly Report on Form 10-Q for the fiscal quarter ended March 31, 2019 of Addus HomeCare Corporation (the “Company”) as filed with the Securities and Exchange Commission on the date hereof (the “Report”), I, R. Dirk Allison, President and Chief Executive Officer of the Company, certify, pursuant to 18 U.S.C. Section 1350, as adopted pursuant to Section 906 of the Sarbanes-Oxley Act of 2002, that:</w:t>
      </w:r>
    </w:p>
    <w:p>
      <w:pPr>
        <w:spacing w:after="0" w:line="138" w:lineRule="exact"/>
        <w:rPr>
          <w:sz w:val="20"/>
          <w:szCs w:val="20"/>
          <w:color w:val="auto"/>
        </w:rPr>
      </w:pPr>
    </w:p>
    <w:p>
      <w:pPr>
        <w:ind w:left="880" w:hanging="841"/>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20" w:type="dxa"/>
            <w:vAlign w:val="bottom"/>
          </w:tcPr>
          <w:p>
            <w:pPr>
              <w:spacing w:after="0"/>
              <w:rPr>
                <w:sz w:val="20"/>
                <w:szCs w:val="20"/>
                <w:color w:val="auto"/>
              </w:rPr>
            </w:pPr>
            <w:r>
              <w:rPr>
                <w:rFonts w:ascii="Arial" w:cs="Arial" w:eastAsia="Arial" w:hAnsi="Arial"/>
                <w:sz w:val="16"/>
                <w:szCs w:val="16"/>
                <w:color w:val="auto"/>
              </w:rPr>
              <w:t>Date: May 9, 2019</w:t>
            </w:r>
          </w:p>
        </w:tc>
        <w:tc>
          <w:tcPr>
            <w:tcW w:w="8000" w:type="dxa"/>
            <w:vAlign w:val="bottom"/>
            <w:gridSpan w:val="2"/>
          </w:tcPr>
          <w:p>
            <w:pPr>
              <w:ind w:left="2180"/>
              <w:spacing w:after="0"/>
              <w:rPr>
                <w:sz w:val="20"/>
                <w:szCs w:val="20"/>
                <w:color w:val="auto"/>
              </w:rPr>
            </w:pPr>
            <w:r>
              <w:rPr>
                <w:rFonts w:ascii="Arial" w:cs="Arial" w:eastAsia="Arial" w:hAnsi="Arial"/>
                <w:sz w:val="16"/>
                <w:szCs w:val="16"/>
                <w:color w:val="auto"/>
              </w:rPr>
              <w:t>By:   /s/ R. Dirk Allison</w:t>
            </w:r>
          </w:p>
        </w:tc>
      </w:tr>
      <w:tr>
        <w:trPr>
          <w:trHeight w:val="234"/>
        </w:trPr>
        <w:tc>
          <w:tcPr>
            <w:tcW w:w="34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43"/>
        </w:trPr>
        <w:tc>
          <w:tcPr>
            <w:tcW w:w="34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March 31, 2019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172" w:lineRule="exact"/>
        <w:rPr>
          <w:sz w:val="20"/>
          <w:szCs w:val="20"/>
          <w:color w:val="auto"/>
        </w:rPr>
      </w:pPr>
    </w:p>
    <w:p>
      <w:pPr>
        <w:ind w:left="880" w:hanging="841"/>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20" w:type="dxa"/>
            <w:vAlign w:val="bottom"/>
          </w:tcPr>
          <w:p>
            <w:pPr>
              <w:spacing w:after="0"/>
              <w:rPr>
                <w:sz w:val="20"/>
                <w:szCs w:val="20"/>
                <w:color w:val="auto"/>
              </w:rPr>
            </w:pPr>
            <w:r>
              <w:rPr>
                <w:rFonts w:ascii="Arial" w:cs="Arial" w:eastAsia="Arial" w:hAnsi="Arial"/>
                <w:sz w:val="16"/>
                <w:szCs w:val="16"/>
                <w:color w:val="auto"/>
              </w:rPr>
              <w:t>Date: May 9, 2019</w:t>
            </w:r>
          </w:p>
        </w:tc>
        <w:tc>
          <w:tcPr>
            <w:tcW w:w="8000" w:type="dxa"/>
            <w:vAlign w:val="bottom"/>
            <w:gridSpan w:val="2"/>
          </w:tcPr>
          <w:p>
            <w:pPr>
              <w:ind w:left="2180"/>
              <w:spacing w:after="0"/>
              <w:rPr>
                <w:sz w:val="20"/>
                <w:szCs w:val="20"/>
                <w:color w:val="auto"/>
              </w:rPr>
            </w:pPr>
            <w:r>
              <w:rPr>
                <w:rFonts w:ascii="Arial" w:cs="Arial" w:eastAsia="Arial" w:hAnsi="Arial"/>
                <w:sz w:val="16"/>
                <w:szCs w:val="16"/>
                <w:color w:val="auto"/>
              </w:rPr>
              <w:t>By:   /s/ Brian Poff</w:t>
            </w:r>
          </w:p>
        </w:tc>
      </w:tr>
      <w:tr>
        <w:trPr>
          <w:trHeight w:val="20"/>
        </w:trPr>
        <w:tc>
          <w:tcPr>
            <w:tcW w:w="34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r>
      <w:tr>
        <w:trPr>
          <w:trHeight w:val="234"/>
        </w:trPr>
        <w:tc>
          <w:tcPr>
            <w:tcW w:w="3420" w:type="dxa"/>
            <w:vAlign w:val="bottom"/>
          </w:tcPr>
          <w:p>
            <w:pPr>
              <w:spacing w:after="0"/>
              <w:rPr>
                <w:sz w:val="20"/>
                <w:szCs w:val="20"/>
                <w:color w:val="auto"/>
              </w:rPr>
            </w:pPr>
          </w:p>
        </w:tc>
        <w:tc>
          <w:tcPr>
            <w:tcW w:w="8000" w:type="dxa"/>
            <w:vAlign w:val="bottom"/>
            <w:gridSpan w:val="2"/>
          </w:tcPr>
          <w:p>
            <w:pPr>
              <w:ind w:left="2600"/>
              <w:spacing w:after="0"/>
              <w:rPr>
                <w:sz w:val="20"/>
                <w:szCs w:val="20"/>
                <w:color w:val="auto"/>
              </w:rPr>
            </w:pPr>
            <w:r>
              <w:rPr>
                <w:rFonts w:ascii="Arial" w:cs="Arial" w:eastAsia="Arial" w:hAnsi="Arial"/>
                <w:sz w:val="16"/>
                <w:szCs w:val="16"/>
                <w:color w:val="auto"/>
              </w:rPr>
              <w:t>Brian Poff</w:t>
            </w:r>
          </w:p>
        </w:tc>
      </w:tr>
      <w:tr>
        <w:trPr>
          <w:trHeight w:val="243"/>
        </w:trPr>
        <w:tc>
          <w:tcPr>
            <w:tcW w:w="3420" w:type="dxa"/>
            <w:vAlign w:val="bottom"/>
          </w:tcPr>
          <w:p>
            <w:pPr>
              <w:spacing w:after="0"/>
              <w:rPr>
                <w:sz w:val="21"/>
                <w:szCs w:val="21"/>
                <w:color w:val="auto"/>
              </w:rPr>
            </w:pPr>
          </w:p>
        </w:tc>
        <w:tc>
          <w:tcPr>
            <w:tcW w:w="8000" w:type="dxa"/>
            <w:vAlign w:val="bottom"/>
            <w:gridSpan w:val="2"/>
          </w:tcPr>
          <w:p>
            <w:pPr>
              <w:ind w:left="2600"/>
              <w:spacing w:after="0"/>
              <w:rPr>
                <w:sz w:val="20"/>
                <w:szCs w:val="20"/>
                <w:color w:val="auto"/>
              </w:rPr>
            </w:pPr>
            <w:r>
              <w:rPr>
                <w:rFonts w:ascii="Arial" w:cs="Arial" w:eastAsia="Arial" w:hAnsi="Arial"/>
                <w:sz w:val="16"/>
                <w:szCs w:val="16"/>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9"/>
    </w:lvl>
  </w:abstractNum>
  <w:abstractNum w:abstractNumId="5">
    <w:nsid w:val="12200854"/>
    <w:multiLevelType w:val="hybridMultilevel"/>
    <w:lvl w:ilvl="0">
      <w:lvlJc w:val="left"/>
      <w:lvlText w:val="(%1)"/>
      <w:numFmt w:val="lowerRoman"/>
      <w:start w:val="1"/>
    </w:lvl>
  </w:abstractNum>
  <w:abstractNum w:abstractNumId="6">
    <w:nsid w:val="4DB127F8"/>
    <w:multiLevelType w:val="hybridMultilevel"/>
    <w:lvl w:ilvl="0">
      <w:lvlJc w:val="left"/>
      <w:lvlText w:val="%1"/>
      <w:numFmt w:val="decimal"/>
      <w:start w:val="10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1" Type="http://schemas.openxmlformats.org/officeDocument/2006/relationships/hyperlink" Target="http://www.sec.gov/Archives/edgar/data/1468328/000119312509238641/dex31.htm" TargetMode="External"/><Relationship Id="rId52" Type="http://schemas.openxmlformats.org/officeDocument/2006/relationships/hyperlink" Target="http://www.sec.gov/Archives/edgar/data/1468328/000119312513211165/d535575dex32.htm" TargetMode="External"/><Relationship Id="rId53" Type="http://schemas.openxmlformats.org/officeDocument/2006/relationships/hyperlink" Target="http://www.sec.gov/Archives/edgar/data/1468328/000119312509202215/dex41.htm" TargetMode="External"/><Relationship Id="rId54" Type="http://schemas.openxmlformats.org/officeDocument/2006/relationships/hyperlink" Target="http://www.sec.gov/Archives/edgar/data/1468328/000119312509150710/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2019-12-28T12:34:44Z</dcterms:created>
  <dcterms:modified xsi:type="dcterms:W3CDTF">2019-12-28T12:34:44Z</dcterms:modified>
</cp:coreProperties>
</file>