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55880</wp:posOffset>
            </wp:positionV>
            <wp:extent cx="9258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79375</wp:posOffset>
            </wp:positionV>
            <wp:extent cx="9258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186" w:lineRule="exact"/>
        <w:rPr>
          <w:sz w:val="24"/>
          <w:szCs w:val="24"/>
          <w:color w:val="auto"/>
        </w:rPr>
      </w:pPr>
    </w:p>
    <w:p>
      <w:pPr>
        <w:ind w:left="500" w:hanging="479"/>
        <w:spacing w:after="0"/>
        <w:tabs>
          <w:tab w:leader="none" w:pos="5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98" w:lineRule="exact"/>
        <w:rPr>
          <w:rFonts w:ascii="MS PGothic" w:cs="MS PGothic" w:eastAsia="MS PGothic" w:hAnsi="MS PGothic"/>
          <w:sz w:val="20"/>
          <w:szCs w:val="20"/>
          <w:color w:val="auto"/>
        </w:rPr>
      </w:pPr>
    </w:p>
    <w:p>
      <w:pPr>
        <w:ind w:left="3880"/>
        <w:spacing w:after="0"/>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9" w:lineRule="exact"/>
        <w:rPr>
          <w:sz w:val="24"/>
          <w:szCs w:val="24"/>
          <w:color w:val="auto"/>
        </w:rPr>
      </w:pPr>
    </w:p>
    <w:p>
      <w:pPr>
        <w:ind w:left="500" w:hanging="479"/>
        <w:spacing w:after="0"/>
        <w:tabs>
          <w:tab w:leader="none" w:pos="50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99" w:lineRule="exact"/>
        <w:rPr>
          <w:sz w:val="24"/>
          <w:szCs w:val="24"/>
          <w:color w:val="auto"/>
        </w:rPr>
      </w:pPr>
    </w:p>
    <w:p>
      <w:pPr>
        <w:ind w:left="360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001-34504</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ADDUS HOMECARE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-289560</wp:posOffset>
            </wp:positionV>
            <wp:extent cx="9258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64770</wp:posOffset>
            </wp:positionV>
            <wp:extent cx="9258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357" w:lineRule="exact"/>
        <w:rPr>
          <w:sz w:val="24"/>
          <w:szCs w:val="24"/>
          <w:color w:val="auto"/>
        </w:rPr>
      </w:pPr>
    </w:p>
    <w:tbl>
      <w:tblPr>
        <w:tblLayout w:type="fixed"/>
        <w:tblInd w:w="1340" w:type="dxa"/>
        <w:tblCellMar>
          <w:top w:w="0" w:type="dxa"/>
          <w:left w:w="0" w:type="dxa"/>
          <w:bottom w:w="0" w:type="dxa"/>
          <w:right w:w="0" w:type="dxa"/>
        </w:tblCellMar>
      </w:tblPr>
      <w:tr>
        <w:trPr>
          <w:trHeight w:val="238"/>
        </w:trPr>
        <w:tc>
          <w:tcPr>
            <w:tcW w:w="472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20-5340172</w:t>
            </w:r>
          </w:p>
        </w:tc>
      </w:tr>
      <w:tr>
        <w:trPr>
          <w:trHeight w:val="221"/>
        </w:trPr>
        <w:tc>
          <w:tcPr>
            <w:tcW w:w="472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160" w:type="dxa"/>
            <w:vAlign w:val="bottom"/>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72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3160" w:type="dxa"/>
            <w:vAlign w:val="bottom"/>
          </w:tcPr>
          <w:p>
            <w:pPr>
              <w:jc w:val="center"/>
              <w:ind w:left="16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91"/>
        </w:trPr>
        <w:tc>
          <w:tcPr>
            <w:tcW w:w="4720" w:type="dxa"/>
            <w:vAlign w:val="bottom"/>
          </w:tcPr>
          <w:p>
            <w:pPr>
              <w:jc w:val="center"/>
              <w:ind w:right="1650"/>
              <w:spacing w:after="0"/>
              <w:rPr>
                <w:sz w:val="20"/>
                <w:szCs w:val="20"/>
                <w:color w:val="auto"/>
              </w:rPr>
            </w:pPr>
            <w:r>
              <w:rPr>
                <w:rFonts w:ascii="Times New Roman" w:cs="Times New Roman" w:eastAsia="Times New Roman" w:hAnsi="Times New Roman"/>
                <w:sz w:val="18"/>
                <w:szCs w:val="18"/>
                <w:b w:val="1"/>
                <w:bCs w:val="1"/>
                <w:color w:val="auto"/>
                <w:w w:val="99"/>
              </w:rPr>
              <w:t>6303 Cowboys Way, Suite 600</w:t>
            </w:r>
          </w:p>
        </w:tc>
        <w:tc>
          <w:tcPr>
            <w:tcW w:w="3160" w:type="dxa"/>
            <w:vAlign w:val="bottom"/>
          </w:tcPr>
          <w:p>
            <w:pPr>
              <w:spacing w:after="0"/>
              <w:rPr>
                <w:sz w:val="24"/>
                <w:szCs w:val="24"/>
                <w:color w:val="auto"/>
              </w:rPr>
            </w:pPr>
          </w:p>
        </w:tc>
      </w:tr>
      <w:tr>
        <w:trPr>
          <w:trHeight w:val="238"/>
        </w:trPr>
        <w:tc>
          <w:tcPr>
            <w:tcW w:w="4720" w:type="dxa"/>
            <w:vAlign w:val="bottom"/>
          </w:tcPr>
          <w:p>
            <w:pPr>
              <w:jc w:val="center"/>
              <w:ind w:right="1650"/>
              <w:spacing w:after="0"/>
              <w:rPr>
                <w:sz w:val="20"/>
                <w:szCs w:val="20"/>
                <w:color w:val="auto"/>
              </w:rPr>
            </w:pPr>
            <w:r>
              <w:rPr>
                <w:rFonts w:ascii="Times New Roman" w:cs="Times New Roman" w:eastAsia="Times New Roman" w:hAnsi="Times New Roman"/>
                <w:sz w:val="18"/>
                <w:szCs w:val="18"/>
                <w:b w:val="1"/>
                <w:bCs w:val="1"/>
                <w:color w:val="auto"/>
                <w:w w:val="99"/>
              </w:rPr>
              <w:t>Frisco, TX</w:t>
            </w:r>
          </w:p>
        </w:tc>
        <w:tc>
          <w:tcPr>
            <w:tcW w:w="31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75034</w:t>
            </w:r>
          </w:p>
        </w:tc>
      </w:tr>
      <w:tr>
        <w:trPr>
          <w:trHeight w:val="243"/>
        </w:trPr>
        <w:tc>
          <w:tcPr>
            <w:tcW w:w="4720" w:type="dxa"/>
            <w:vAlign w:val="bottom"/>
          </w:tcPr>
          <w:p>
            <w:pPr>
              <w:jc w:val="center"/>
              <w:ind w:right="16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160" w:type="dxa"/>
            <w:vAlign w:val="bottom"/>
          </w:tcPr>
          <w:p>
            <w:pPr>
              <w:jc w:val="center"/>
              <w:ind w:left="167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ind w:left="5060"/>
        <w:spacing w:after="0"/>
        <w:rPr>
          <w:sz w:val="20"/>
          <w:szCs w:val="20"/>
          <w:color w:val="auto"/>
        </w:rPr>
      </w:pPr>
      <w:r>
        <w:rPr>
          <w:rFonts w:ascii="Times New Roman" w:cs="Times New Roman" w:eastAsia="Times New Roman" w:hAnsi="Times New Roman"/>
          <w:sz w:val="18"/>
          <w:szCs w:val="18"/>
          <w:b w:val="1"/>
          <w:bCs w:val="1"/>
          <w:color w:val="auto"/>
        </w:rPr>
        <w:t>(469) 535-8200</w:t>
      </w:r>
    </w:p>
    <w:p>
      <w:pPr>
        <w:spacing w:after="0" w:line="23"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63"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3720" w:type="dxa"/>
            <w:vAlign w:val="bottom"/>
          </w:tcPr>
          <w:p>
            <w:pPr>
              <w:spacing w:after="0"/>
              <w:rPr>
                <w:sz w:val="18"/>
                <w:szCs w:val="18"/>
                <w:color w:val="auto"/>
              </w:rPr>
            </w:pPr>
          </w:p>
        </w:tc>
        <w:tc>
          <w:tcPr>
            <w:tcW w:w="39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540" w:type="dxa"/>
            <w:vAlign w:val="bottom"/>
          </w:tcPr>
          <w:p>
            <w:pPr>
              <w:spacing w:after="0"/>
              <w:rPr>
                <w:sz w:val="18"/>
                <w:szCs w:val="18"/>
                <w:color w:val="auto"/>
              </w:rPr>
            </w:pPr>
          </w:p>
        </w:tc>
      </w:tr>
      <w:tr>
        <w:trPr>
          <w:trHeight w:val="171"/>
        </w:trPr>
        <w:tc>
          <w:tcPr>
            <w:tcW w:w="3720" w:type="dxa"/>
            <w:vAlign w:val="bottom"/>
            <w:tcBorders>
              <w:bottom w:val="single" w:sz="8" w:color="auto"/>
            </w:tcBorders>
          </w:tcPr>
          <w:p>
            <w:pPr>
              <w:spacing w:after="0"/>
              <w:rPr>
                <w:sz w:val="14"/>
                <w:szCs w:val="14"/>
                <w:color w:val="auto"/>
              </w:rPr>
            </w:pPr>
          </w:p>
        </w:tc>
        <w:tc>
          <w:tcPr>
            <w:tcW w:w="37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tcPr>
          <w:p>
            <w:pPr>
              <w:spacing w:after="0"/>
              <w:rPr>
                <w:sz w:val="14"/>
                <w:szCs w:val="14"/>
                <w:color w:val="auto"/>
              </w:rPr>
            </w:pPr>
          </w:p>
        </w:tc>
      </w:tr>
      <w:tr>
        <w:trPr>
          <w:trHeight w:val="220"/>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3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260" w:type="dxa"/>
            <w:vAlign w:val="bottom"/>
            <w:tcBorders>
              <w:bottom w:val="single" w:sz="8" w:color="auto"/>
            </w:tcBorders>
          </w:tcPr>
          <w:p>
            <w:pPr>
              <w:spacing w:after="0"/>
              <w:rPr>
                <w:sz w:val="19"/>
                <w:szCs w:val="19"/>
                <w:color w:val="auto"/>
              </w:rPr>
            </w:pPr>
          </w:p>
        </w:tc>
        <w:tc>
          <w:tcPr>
            <w:tcW w:w="3540" w:type="dxa"/>
            <w:vAlign w:val="bottom"/>
            <w:tcBorders>
              <w:bottom w:val="single" w:sz="8" w:color="auto"/>
              <w:right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3"/>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$0.001 par value</w:t>
            </w:r>
          </w:p>
        </w:tc>
        <w:tc>
          <w:tcPr>
            <w:tcW w:w="3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ADUS</w:t>
            </w:r>
          </w:p>
        </w:tc>
        <w:tc>
          <w:tcPr>
            <w:tcW w:w="260" w:type="dxa"/>
            <w:vAlign w:val="bottom"/>
            <w:tcBorders>
              <w:bottom w:val="single" w:sz="8" w:color="auto"/>
            </w:tcBorders>
          </w:tcPr>
          <w:p>
            <w:pPr>
              <w:spacing w:after="0"/>
              <w:rPr>
                <w:sz w:val="17"/>
                <w:szCs w:val="17"/>
                <w:color w:val="auto"/>
              </w:rPr>
            </w:pPr>
          </w:p>
        </w:tc>
        <w:tc>
          <w:tcPr>
            <w:tcW w:w="3540" w:type="dxa"/>
            <w:vAlign w:val="bottom"/>
            <w:tcBorders>
              <w:bottom w:val="single" w:sz="8" w:color="auto"/>
              <w:right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30" w:lineRule="exact"/>
        <w:rPr>
          <w:sz w:val="24"/>
          <w:szCs w:val="24"/>
          <w:color w:val="auto"/>
        </w:rPr>
      </w:pPr>
    </w:p>
    <w:p>
      <w:pPr>
        <w:ind w:right="60"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40"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06"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3000"/>
              <w:spacing w:after="0"/>
              <w:rPr>
                <w:sz w:val="20"/>
                <w:szCs w:val="20"/>
                <w:color w:val="auto"/>
              </w:rPr>
            </w:pPr>
            <w:r>
              <w:rPr>
                <w:rFonts w:ascii="Times New Roman" w:cs="Times New Roman" w:eastAsia="Times New Roman" w:hAnsi="Times New Roman"/>
                <w:sz w:val="16"/>
                <w:szCs w:val="16"/>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29"/>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30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4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spacing w:after="0"/>
              <w:rPr>
                <w:sz w:val="23"/>
                <w:szCs w:val="23"/>
                <w:color w:val="auto"/>
              </w:rPr>
            </w:pPr>
          </w:p>
        </w:tc>
        <w:tc>
          <w:tcPr>
            <w:tcW w:w="500" w:type="dxa"/>
            <w:vAlign w:val="bottom"/>
          </w:tcPr>
          <w:p>
            <w:pPr>
              <w:spacing w:after="0"/>
              <w:rPr>
                <w:sz w:val="23"/>
                <w:szCs w:val="23"/>
                <w:color w:val="auto"/>
              </w:rPr>
            </w:pPr>
          </w:p>
        </w:tc>
      </w:tr>
    </w:tbl>
    <w:p>
      <w:pPr>
        <w:spacing w:after="0" w:line="83" w:lineRule="exact"/>
        <w:rPr>
          <w:sz w:val="24"/>
          <w:szCs w:val="24"/>
          <w:color w:val="auto"/>
        </w:rPr>
      </w:pPr>
    </w:p>
    <w:p>
      <w:pPr>
        <w:jc w:val="both"/>
        <w:ind w:firstLine="509"/>
        <w:spacing w:after="0" w:line="23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20" w:right="13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July 30, 2024, Addus HomeCare Corporation had 18,100,285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896620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34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563C1"/>
              </w:rPr>
              <w:t>Table of Contents</w:t>
            </w:r>
          </w:p>
        </w:tc>
        <w:tc>
          <w:tcPr>
            <w:tcW w:w="900" w:type="dxa"/>
            <w:vAlign w:val="bottom"/>
          </w:tcPr>
          <w:p>
            <w:pPr>
              <w:spacing w:after="0"/>
              <w:rPr>
                <w:sz w:val="17"/>
                <w:szCs w:val="17"/>
                <w:color w:val="auto"/>
              </w:rPr>
            </w:pPr>
          </w:p>
        </w:tc>
      </w:tr>
      <w:tr>
        <w:trPr>
          <w:trHeight w:val="479"/>
        </w:trPr>
        <w:tc>
          <w:tcPr>
            <w:tcW w:w="180" w:type="dxa"/>
            <w:vAlign w:val="bottom"/>
            <w:tcBorders>
              <w:top w:val="single" w:sz="8" w:color="0563C1"/>
            </w:tcBorders>
          </w:tcPr>
          <w:p>
            <w:pPr>
              <w:spacing w:after="0"/>
              <w:rPr>
                <w:sz w:val="24"/>
                <w:szCs w:val="24"/>
                <w:color w:val="auto"/>
              </w:rPr>
            </w:pPr>
          </w:p>
        </w:tc>
        <w:tc>
          <w:tcPr>
            <w:tcW w:w="340" w:type="dxa"/>
            <w:vAlign w:val="bottom"/>
            <w:tcBorders>
              <w:top w:val="single" w:sz="8" w:color="0563C1"/>
            </w:tcBorders>
          </w:tcPr>
          <w:p>
            <w:pPr>
              <w:spacing w:after="0"/>
              <w:rPr>
                <w:sz w:val="24"/>
                <w:szCs w:val="24"/>
                <w:color w:val="auto"/>
              </w:rPr>
            </w:pPr>
          </w:p>
        </w:tc>
        <w:tc>
          <w:tcPr>
            <w:tcW w:w="340" w:type="dxa"/>
            <w:vAlign w:val="bottom"/>
            <w:tcBorders>
              <w:top w:val="single" w:sz="8" w:color="0563C1"/>
            </w:tcBorders>
          </w:tcPr>
          <w:p>
            <w:pPr>
              <w:spacing w:after="0"/>
              <w:rPr>
                <w:sz w:val="24"/>
                <w:szCs w:val="24"/>
                <w:color w:val="auto"/>
              </w:rPr>
            </w:pPr>
          </w:p>
        </w:tc>
        <w:tc>
          <w:tcPr>
            <w:tcW w:w="500" w:type="dxa"/>
            <w:vAlign w:val="bottom"/>
            <w:tcBorders>
              <w:top w:val="single" w:sz="8" w:color="0563C1"/>
            </w:tcBorders>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40" w:type="dxa"/>
            <w:vAlign w:val="bottom"/>
            <w:gridSpan w:val="8"/>
          </w:tcPr>
          <w:p>
            <w:pPr>
              <w:jc w:val="center"/>
              <w:ind w:right="2580"/>
              <w:spacing w:after="0"/>
              <w:rPr>
                <w:sz w:val="20"/>
                <w:szCs w:val="20"/>
                <w:color w:val="auto"/>
              </w:rPr>
            </w:pPr>
            <w:r>
              <w:rPr>
                <w:rFonts w:ascii="Times New Roman" w:cs="Times New Roman" w:eastAsia="Times New Roman" w:hAnsi="Times New Roman"/>
                <w:sz w:val="18"/>
                <w:szCs w:val="18"/>
                <w:b w:val="1"/>
                <w:bCs w:val="1"/>
                <w:color w:val="auto"/>
                <w:w w:val="99"/>
              </w:rPr>
              <w:t>ADDUS HOMECARE CORPORATION</w:t>
            </w:r>
          </w:p>
        </w:tc>
        <w:tc>
          <w:tcPr>
            <w:tcW w:w="900" w:type="dxa"/>
            <w:vAlign w:val="bottom"/>
          </w:tcPr>
          <w:p>
            <w:pPr>
              <w:spacing w:after="0"/>
              <w:rPr>
                <w:sz w:val="24"/>
                <w:szCs w:val="24"/>
                <w:color w:val="auto"/>
              </w:rPr>
            </w:pPr>
          </w:p>
        </w:tc>
      </w:tr>
      <w:tr>
        <w:trPr>
          <w:trHeight w:val="378"/>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80" w:type="dxa"/>
            <w:vAlign w:val="bottom"/>
            <w:gridSpan w:val="7"/>
          </w:tcPr>
          <w:p>
            <w:pPr>
              <w:jc w:val="center"/>
              <w:ind w:right="394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900" w:type="dxa"/>
            <w:vAlign w:val="bottom"/>
          </w:tcPr>
          <w:p>
            <w:pPr>
              <w:spacing w:after="0"/>
              <w:rPr>
                <w:sz w:val="24"/>
                <w:szCs w:val="24"/>
                <w:color w:val="auto"/>
              </w:rPr>
            </w:pPr>
          </w:p>
        </w:tc>
      </w:tr>
      <w:tr>
        <w:trPr>
          <w:trHeight w:val="378"/>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80" w:type="dxa"/>
            <w:vAlign w:val="bottom"/>
            <w:gridSpan w:val="7"/>
          </w:tcPr>
          <w:p>
            <w:pPr>
              <w:jc w:val="center"/>
              <w:ind w:right="394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900" w:type="dxa"/>
            <w:vAlign w:val="bottom"/>
          </w:tcPr>
          <w:p>
            <w:pPr>
              <w:spacing w:after="0"/>
              <w:rPr>
                <w:sz w:val="24"/>
                <w:szCs w:val="24"/>
                <w:color w:val="auto"/>
              </w:rPr>
            </w:pPr>
          </w:p>
        </w:tc>
      </w:tr>
      <w:tr>
        <w:trPr>
          <w:trHeight w:val="392"/>
        </w:trPr>
        <w:tc>
          <w:tcPr>
            <w:tcW w:w="180" w:type="dxa"/>
            <w:vAlign w:val="bottom"/>
          </w:tcPr>
          <w:p>
            <w:pPr>
              <w:spacing w:after="0"/>
              <w:rPr>
                <w:sz w:val="24"/>
                <w:szCs w:val="24"/>
                <w:color w:val="auto"/>
              </w:rPr>
            </w:pPr>
          </w:p>
        </w:tc>
        <w:tc>
          <w:tcPr>
            <w:tcW w:w="101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8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72"/>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Item 1. Financial Statements (Unaudited)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71"/>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June 30, 2024 and December 31, 2023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8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20" w:type="dxa"/>
            <w:vAlign w:val="bottom"/>
            <w:tcBorders>
              <w:left w:val="single" w:sz="8" w:color="0000EE"/>
            </w:tcBorders>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72"/>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 For the Three and Six Months Ended June 30, 2024 and 2023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48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72"/>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 of Stockholders’ Equity For the Three and Six Months Ended June 30, 2024 and 2023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48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72"/>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June 30, 2024 and 2023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48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71"/>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480" w:type="dxa"/>
            <w:vAlign w:val="bottom"/>
            <w:tcBorders>
              <w:right w:val="single" w:sz="8" w:color="0000EE"/>
            </w:tcBorders>
            <w:gridSpan w:val="2"/>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72"/>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1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72"/>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1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4940" w:type="dxa"/>
            <w:vAlign w:val="bottom"/>
            <w:tcBorders>
              <w:left w:val="single" w:sz="8" w:color="0000FF"/>
            </w:tcBorders>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72"/>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520" w:type="dxa"/>
            <w:vAlign w:val="bottom"/>
            <w:tcBorders>
              <w:right w:val="single" w:sz="8" w:color="0000EE"/>
            </w:tcBorders>
            <w:gridSpan w:val="2"/>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4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71"/>
        </w:trPr>
        <w:tc>
          <w:tcPr>
            <w:tcW w:w="180" w:type="dxa"/>
            <w:vAlign w:val="bottom"/>
          </w:tcPr>
          <w:p>
            <w:pPr>
              <w:spacing w:after="0"/>
              <w:rPr>
                <w:sz w:val="24"/>
                <w:szCs w:val="24"/>
                <w:color w:val="auto"/>
              </w:rPr>
            </w:pPr>
          </w:p>
        </w:tc>
        <w:tc>
          <w:tcPr>
            <w:tcW w:w="25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7"/>
              </w:rPr>
              <w:t>PART II. OTHER INFORMATION</w:t>
            </w:r>
          </w:p>
        </w:tc>
        <w:tc>
          <w:tcPr>
            <w:tcW w:w="7580" w:type="dxa"/>
            <w:vAlign w:val="bottom"/>
            <w:gridSpan w:val="12"/>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72"/>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1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4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72"/>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1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4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71"/>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1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4940" w:type="dxa"/>
            <w:vAlign w:val="bottom"/>
            <w:gridSpan w:val="6"/>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72"/>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1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6960" w:type="dxa"/>
            <w:vAlign w:val="bottom"/>
            <w:gridSpan w:val="9"/>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71"/>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1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7500" w:type="dxa"/>
            <w:vAlign w:val="bottom"/>
            <w:gridSpan w:val="11"/>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72"/>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18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960" w:type="dxa"/>
            <w:vAlign w:val="bottom"/>
            <w:gridSpan w:val="1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71"/>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663"/>
        </w:trPr>
        <w:tc>
          <w:tcPr>
            <w:tcW w:w="520" w:type="dxa"/>
            <w:vAlign w:val="bottom"/>
            <w:gridSpan w:val="2"/>
          </w:tcPr>
          <w:p>
            <w:pPr>
              <w:spacing w:after="0"/>
              <w:rPr>
                <w:sz w:val="24"/>
                <w:szCs w:val="24"/>
                <w:color w:val="auto"/>
              </w:rPr>
            </w:pPr>
          </w:p>
        </w:tc>
        <w:tc>
          <w:tcPr>
            <w:tcW w:w="1140" w:type="dxa"/>
            <w:vAlign w:val="bottom"/>
            <w:tcBorders>
              <w:top w:val="single" w:sz="8" w:color="0000FF"/>
            </w:tcBorders>
            <w:gridSpan w:val="3"/>
          </w:tcPr>
          <w:p>
            <w:pPr>
              <w:spacing w:after="0"/>
              <w:rPr>
                <w:sz w:val="24"/>
                <w:szCs w:val="24"/>
                <w:color w:val="auto"/>
              </w:rPr>
            </w:pPr>
          </w:p>
        </w:tc>
        <w:tc>
          <w:tcPr>
            <w:tcW w:w="5360" w:type="dxa"/>
            <w:vAlign w:val="bottom"/>
            <w:gridSpan w:val="10"/>
          </w:tcPr>
          <w:p>
            <w:pPr>
              <w:jc w:val="center"/>
              <w:ind w:left="2479"/>
              <w:spacing w:after="0"/>
              <w:rPr>
                <w:sz w:val="20"/>
                <w:szCs w:val="20"/>
                <w:color w:val="auto"/>
              </w:rPr>
            </w:pPr>
            <w:r>
              <w:rPr>
                <w:rFonts w:ascii="Times New Roman" w:cs="Times New Roman" w:eastAsia="Times New Roman" w:hAnsi="Times New Roman"/>
                <w:sz w:val="16"/>
                <w:szCs w:val="16"/>
                <w:color w:val="auto"/>
                <w:w w:val="99"/>
              </w:rPr>
              <w:t>2</w:t>
            </w: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769"/>
        </w:trPr>
        <w:tc>
          <w:tcPr>
            <w:tcW w:w="1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7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ADDUS HOMECARE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June 30, 2024 and December 31,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and Shares 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7"/>
        </w:trPr>
        <w:tc>
          <w:tcPr>
            <w:tcW w:w="7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r>
      <w:tr>
        <w:trPr>
          <w:trHeight w:val="239"/>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47"/>
        </w:trPr>
        <w:tc>
          <w:tcPr>
            <w:tcW w:w="7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173,305</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64,791</w:t>
            </w:r>
          </w:p>
        </w:tc>
      </w:tr>
      <w:tr>
        <w:trPr>
          <w:trHeight w:val="239"/>
        </w:trPr>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 of allowances</w:t>
            </w:r>
          </w:p>
        </w:tc>
        <w:tc>
          <w:tcPr>
            <w:tcW w:w="280" w:type="dxa"/>
            <w:vAlign w:val="bottom"/>
          </w:tcPr>
          <w:p>
            <w:pPr>
              <w:spacing w:after="0"/>
              <w:rPr>
                <w:sz w:val="20"/>
                <w:szCs w:val="20"/>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109,195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115,499</w:t>
            </w:r>
          </w:p>
        </w:tc>
      </w:tr>
      <w:tr>
        <w:trPr>
          <w:trHeight w:val="243"/>
        </w:trPr>
        <w:tc>
          <w:tcPr>
            <w:tcW w:w="74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12,488</w:t>
            </w: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19,714</w:t>
            </w:r>
          </w:p>
        </w:tc>
      </w:tr>
      <w:tr>
        <w:trPr>
          <w:trHeight w:val="237"/>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294,988</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200,004</w:t>
            </w:r>
          </w:p>
        </w:tc>
      </w:tr>
      <w:tr>
        <w:trPr>
          <w:trHeight w:val="241"/>
        </w:trPr>
        <w:tc>
          <w:tcPr>
            <w:tcW w:w="7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and amortization</w:t>
            </w:r>
          </w:p>
        </w:tc>
        <w:tc>
          <w:tcPr>
            <w:tcW w:w="280" w:type="dxa"/>
            <w:vAlign w:val="bottom"/>
            <w:shd w:val="clear" w:color="auto" w:fill="CFF0FC"/>
          </w:tcPr>
          <w:p>
            <w:pPr>
              <w:spacing w:after="0"/>
              <w:rPr>
                <w:sz w:val="20"/>
                <w:szCs w:val="20"/>
                <w:color w:val="auto"/>
              </w:rPr>
            </w:pPr>
          </w:p>
        </w:tc>
        <w:tc>
          <w:tcPr>
            <w:tcW w:w="1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23,381</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24,011</w:t>
            </w:r>
          </w:p>
        </w:tc>
      </w:tr>
      <w:tr>
        <w:trPr>
          <w:trHeight w:val="239"/>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47"/>
        </w:trPr>
        <w:tc>
          <w:tcPr>
            <w:tcW w:w="7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shd w:val="clear" w:color="auto" w:fill="CFF0FC"/>
          </w:tcPr>
          <w:p>
            <w:pPr>
              <w:spacing w:after="0"/>
              <w:rPr>
                <w:sz w:val="21"/>
                <w:szCs w:val="21"/>
                <w:color w:val="auto"/>
              </w:rPr>
            </w:pPr>
          </w:p>
        </w:tc>
        <w:tc>
          <w:tcPr>
            <w:tcW w:w="1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663,851</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662,995</w:t>
            </w:r>
          </w:p>
        </w:tc>
      </w:tr>
      <w:tr>
        <w:trPr>
          <w:trHeight w:val="239"/>
        </w:trPr>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Intangibles, net of accumulated amortization</w:t>
            </w:r>
          </w:p>
        </w:tc>
        <w:tc>
          <w:tcPr>
            <w:tcW w:w="280" w:type="dxa"/>
            <w:vAlign w:val="bottom"/>
          </w:tcPr>
          <w:p>
            <w:pPr>
              <w:spacing w:after="0"/>
              <w:rPr>
                <w:sz w:val="20"/>
                <w:szCs w:val="20"/>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88,398</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91,983</w:t>
            </w:r>
          </w:p>
        </w:tc>
      </w:tr>
      <w:tr>
        <w:trPr>
          <w:trHeight w:val="247"/>
        </w:trPr>
        <w:tc>
          <w:tcPr>
            <w:tcW w:w="7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assets, net</w:t>
            </w:r>
          </w:p>
        </w:tc>
        <w:tc>
          <w:tcPr>
            <w:tcW w:w="280" w:type="dxa"/>
            <w:vAlign w:val="bottom"/>
            <w:shd w:val="clear" w:color="auto" w:fill="CFF0FC"/>
          </w:tcPr>
          <w:p>
            <w:pPr>
              <w:spacing w:after="0"/>
              <w:rPr>
                <w:sz w:val="21"/>
                <w:szCs w:val="21"/>
                <w:color w:val="auto"/>
              </w:rPr>
            </w:pPr>
          </w:p>
        </w:tc>
        <w:tc>
          <w:tcPr>
            <w:tcW w:w="1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44,145</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45,433</w:t>
            </w:r>
          </w:p>
        </w:tc>
      </w:tr>
      <w:tr>
        <w:trPr>
          <w:trHeight w:val="239"/>
        </w:trPr>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long-term assets</w:t>
            </w: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1,791</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7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assets</w:t>
            </w:r>
          </w:p>
        </w:tc>
        <w:tc>
          <w:tcPr>
            <w:tcW w:w="280" w:type="dxa"/>
            <w:vAlign w:val="bottom"/>
            <w:tcBorders>
              <w:bottom w:val="single" w:sz="8" w:color="auto"/>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798,185</w:t>
            </w:r>
          </w:p>
        </w:tc>
        <w:tc>
          <w:tcPr>
            <w:tcW w:w="1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6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800,411</w:t>
            </w:r>
          </w:p>
        </w:tc>
      </w:tr>
      <w:tr>
        <w:trPr>
          <w:trHeight w:val="236"/>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Pr>
          <w:p>
            <w:pPr>
              <w:spacing w:after="0"/>
              <w:rPr>
                <w:sz w:val="20"/>
                <w:szCs w:val="20"/>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1,116,554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1,024,426</w:t>
            </w:r>
          </w:p>
        </w:tc>
      </w:tr>
      <w:tr>
        <w:trPr>
          <w:trHeight w:val="20"/>
        </w:trPr>
        <w:tc>
          <w:tcPr>
            <w:tcW w:w="7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r>
        <w:trPr>
          <w:trHeight w:val="228"/>
        </w:trPr>
        <w:tc>
          <w:tcPr>
            <w:tcW w:w="7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r>
      <w:tr>
        <w:trPr>
          <w:trHeight w:val="239"/>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47"/>
        </w:trPr>
        <w:tc>
          <w:tcPr>
            <w:tcW w:w="7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20,188</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26,183</w:t>
            </w:r>
          </w:p>
        </w:tc>
      </w:tr>
      <w:tr>
        <w:trPr>
          <w:trHeight w:val="239"/>
        </w:trPr>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payroll</w:t>
            </w:r>
          </w:p>
        </w:tc>
        <w:tc>
          <w:tcPr>
            <w:tcW w:w="280" w:type="dxa"/>
            <w:vAlign w:val="bottom"/>
          </w:tcPr>
          <w:p>
            <w:pPr>
              <w:spacing w:after="0"/>
              <w:rPr>
                <w:sz w:val="20"/>
                <w:szCs w:val="20"/>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55,102</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56,551</w:t>
            </w:r>
          </w:p>
        </w:tc>
      </w:tr>
      <w:tr>
        <w:trPr>
          <w:trHeight w:val="247"/>
        </w:trPr>
        <w:tc>
          <w:tcPr>
            <w:tcW w:w="7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280" w:type="dxa"/>
            <w:vAlign w:val="bottom"/>
            <w:shd w:val="clear" w:color="auto" w:fill="CFF0FC"/>
          </w:tcPr>
          <w:p>
            <w:pPr>
              <w:spacing w:after="0"/>
              <w:rPr>
                <w:sz w:val="21"/>
                <w:szCs w:val="21"/>
                <w:color w:val="auto"/>
              </w:rPr>
            </w:pPr>
          </w:p>
        </w:tc>
        <w:tc>
          <w:tcPr>
            <w:tcW w:w="1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35,633</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33,236</w:t>
            </w:r>
          </w:p>
        </w:tc>
      </w:tr>
      <w:tr>
        <w:trPr>
          <w:trHeight w:val="239"/>
        </w:trPr>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280" w:type="dxa"/>
            <w:vAlign w:val="bottom"/>
          </w:tcPr>
          <w:p>
            <w:pPr>
              <w:spacing w:after="0"/>
              <w:rPr>
                <w:sz w:val="20"/>
                <w:szCs w:val="20"/>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11,224</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11,339</w:t>
            </w:r>
          </w:p>
        </w:tc>
      </w:tr>
      <w:tr>
        <w:trPr>
          <w:trHeight w:val="247"/>
        </w:trPr>
        <w:tc>
          <w:tcPr>
            <w:tcW w:w="7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Government stimulus advances</w:t>
            </w:r>
          </w:p>
        </w:tc>
        <w:tc>
          <w:tcPr>
            <w:tcW w:w="280" w:type="dxa"/>
            <w:vAlign w:val="bottom"/>
            <w:shd w:val="clear" w:color="auto" w:fill="CFF0FC"/>
          </w:tcPr>
          <w:p>
            <w:pPr>
              <w:spacing w:after="0"/>
              <w:rPr>
                <w:sz w:val="21"/>
                <w:szCs w:val="21"/>
                <w:color w:val="auto"/>
              </w:rPr>
            </w:pPr>
          </w:p>
        </w:tc>
        <w:tc>
          <w:tcPr>
            <w:tcW w:w="1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13,000</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5,765</w:t>
            </w:r>
          </w:p>
        </w:tc>
      </w:tr>
      <w:tr>
        <w:trPr>
          <w:trHeight w:val="239"/>
        </w:trPr>
        <w:tc>
          <w:tcPr>
            <w:tcW w:w="746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Accrued workers' compensation insurance</w:t>
            </w: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12,385</w:t>
            </w:r>
          </w:p>
        </w:tc>
        <w:tc>
          <w:tcPr>
            <w:tcW w:w="18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12,043</w:t>
            </w:r>
          </w:p>
        </w:tc>
      </w:tr>
      <w:tr>
        <w:trPr>
          <w:trHeight w:val="236"/>
        </w:trPr>
        <w:tc>
          <w:tcPr>
            <w:tcW w:w="7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Borders>
              <w:bottom w:val="single" w:sz="8" w:color="auto"/>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147,532</w:t>
            </w:r>
          </w:p>
        </w:tc>
        <w:tc>
          <w:tcPr>
            <w:tcW w:w="1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6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145,117</w:t>
            </w:r>
          </w:p>
        </w:tc>
      </w:tr>
      <w:tr>
        <w:trPr>
          <w:trHeight w:val="237"/>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47"/>
        </w:trPr>
        <w:tc>
          <w:tcPr>
            <w:tcW w:w="7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Long-term debt, net of debt issuance costs</w:t>
            </w:r>
          </w:p>
        </w:tc>
        <w:tc>
          <w:tcPr>
            <w:tcW w:w="280" w:type="dxa"/>
            <w:vAlign w:val="bottom"/>
            <w:shd w:val="clear" w:color="auto" w:fill="CFF0FC"/>
          </w:tcPr>
          <w:p>
            <w:pPr>
              <w:spacing w:after="0"/>
              <w:rPr>
                <w:sz w:val="21"/>
                <w:szCs w:val="21"/>
                <w:color w:val="auto"/>
              </w:rPr>
            </w:pPr>
          </w:p>
        </w:tc>
        <w:tc>
          <w:tcPr>
            <w:tcW w:w="1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124,132</w:t>
            </w:r>
          </w:p>
        </w:tc>
      </w:tr>
      <w:tr>
        <w:trPr>
          <w:trHeight w:val="239"/>
        </w:trPr>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80" w:type="dxa"/>
            <w:vAlign w:val="bottom"/>
          </w:tcPr>
          <w:p>
            <w:pPr>
              <w:spacing w:after="0"/>
              <w:rPr>
                <w:sz w:val="20"/>
                <w:szCs w:val="20"/>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38,359</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39,711</w:t>
            </w:r>
          </w:p>
        </w:tc>
      </w:tr>
      <w:tr>
        <w:trPr>
          <w:trHeight w:val="243"/>
        </w:trPr>
        <w:tc>
          <w:tcPr>
            <w:tcW w:w="74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9,008</w:t>
            </w: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8,772</w:t>
            </w:r>
          </w:p>
        </w:tc>
      </w:tr>
      <w:tr>
        <w:trPr>
          <w:trHeight w:val="237"/>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47,367</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172,615</w:t>
            </w:r>
          </w:p>
        </w:tc>
      </w:tr>
      <w:tr>
        <w:trPr>
          <w:trHeight w:val="236"/>
        </w:trPr>
        <w:tc>
          <w:tcPr>
            <w:tcW w:w="7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194,899</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317,732</w:t>
            </w:r>
          </w:p>
        </w:tc>
      </w:tr>
      <w:tr>
        <w:trPr>
          <w:trHeight w:val="237"/>
        </w:trPr>
        <w:tc>
          <w:tcPr>
            <w:tcW w:w="74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r>
      <w:tr>
        <w:trPr>
          <w:trHeight w:val="215"/>
        </w:trPr>
        <w:tc>
          <w:tcPr>
            <w:tcW w:w="7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stock—$.001 par value; 40,000 authorized and 18,100 and 16,227 shares</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r>
      <w:tr>
        <w:trPr>
          <w:trHeight w:val="248"/>
        </w:trPr>
        <w:tc>
          <w:tcPr>
            <w:tcW w:w="74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issued and outstanding as of June 30, 2024 and December 31, 2023, respectively</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w:t>
            </w:r>
          </w:p>
        </w:tc>
      </w:tr>
      <w:tr>
        <w:trPr>
          <w:trHeight w:val="239"/>
        </w:trPr>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20"/>
                <w:szCs w:val="20"/>
                <w:color w:val="auto"/>
              </w:rPr>
            </w:pP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584,896</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403,846</w:t>
            </w:r>
          </w:p>
        </w:tc>
      </w:tr>
      <w:tr>
        <w:trPr>
          <w:trHeight w:val="243"/>
        </w:trPr>
        <w:tc>
          <w:tcPr>
            <w:tcW w:w="74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tcBorders>
              <w:bottom w:val="single" w:sz="8" w:color="auto"/>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336,741</w:t>
            </w: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302,832</w:t>
            </w:r>
          </w:p>
        </w:tc>
      </w:tr>
      <w:tr>
        <w:trPr>
          <w:trHeight w:val="237"/>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921,655</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706,694</w:t>
            </w:r>
          </w:p>
        </w:tc>
      </w:tr>
      <w:tr>
        <w:trPr>
          <w:trHeight w:val="276"/>
        </w:trPr>
        <w:tc>
          <w:tcPr>
            <w:tcW w:w="7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1,116,554</w:t>
            </w:r>
          </w:p>
        </w:tc>
        <w:tc>
          <w:tcPr>
            <w:tcW w:w="1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1,024,426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-4911090</wp:posOffset>
            </wp:positionV>
            <wp:extent cx="1028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-3651250</wp:posOffset>
            </wp:positionV>
            <wp:extent cx="1028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5898515</wp:posOffset>
            </wp:positionH>
            <wp:positionV relativeFrom="paragraph">
              <wp:posOffset>-2240915</wp:posOffset>
            </wp:positionV>
            <wp:extent cx="128270" cy="196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270" cy="19685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-1439545</wp:posOffset>
            </wp:positionV>
            <wp:extent cx="1028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-1113790</wp:posOffset>
            </wp:positionV>
            <wp:extent cx="1028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-351155</wp:posOffset>
            </wp:positionV>
            <wp:extent cx="1028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1028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1028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ectPr>
          <w:pgSz w:w="11900" w:h="16838" w:orient="portrait"/>
          <w:cols w:equalWidth="0" w:num="1">
            <w:col w:w="11240"/>
          </w:cols>
          <w:pgMar w:left="320" w:top="765" w:right="3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ADDUS HOMECARE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Six Months Ended June 30,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and Shares 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820" w:type="dxa"/>
            <w:vAlign w:val="bottom"/>
          </w:tcPr>
          <w:p>
            <w:pPr>
              <w:spacing w:after="0"/>
              <w:rPr>
                <w:sz w:val="19"/>
                <w:szCs w:val="19"/>
                <w:color w:val="auto"/>
              </w:rPr>
            </w:pPr>
          </w:p>
        </w:tc>
        <w:tc>
          <w:tcPr>
            <w:tcW w:w="280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For the three months ended June 30,</w:t>
            </w:r>
          </w:p>
        </w:tc>
        <w:tc>
          <w:tcPr>
            <w:tcW w:w="2620" w:type="dxa"/>
            <w:vAlign w:val="bottom"/>
            <w:gridSpan w:val="6"/>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r>
      <w:tr>
        <w:trPr>
          <w:trHeight w:val="223"/>
        </w:trPr>
        <w:tc>
          <w:tcPr>
            <w:tcW w:w="58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service revenues</w:t>
            </w: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286,922</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259,980</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567,668</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511,579</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 revenues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193,764</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177,662</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386,333</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350,846</w:t>
            </w:r>
          </w:p>
        </w:tc>
        <w:tc>
          <w:tcPr>
            <w:tcW w:w="100" w:type="dxa"/>
            <w:vAlign w:val="bottom"/>
          </w:tcPr>
          <w:p>
            <w:pPr>
              <w:spacing w:after="0"/>
              <w:rPr>
                <w:sz w:val="20"/>
                <w:szCs w:val="20"/>
                <w:color w:val="auto"/>
              </w:rPr>
            </w:pPr>
          </w:p>
        </w:tc>
      </w:tr>
      <w:tr>
        <w:trPr>
          <w:trHeight w:val="241"/>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93,158</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82,318</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181,335</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160,733</w:t>
            </w:r>
          </w:p>
        </w:tc>
        <w:tc>
          <w:tcPr>
            <w:tcW w:w="100" w:type="dxa"/>
            <w:vAlign w:val="bottom"/>
            <w:shd w:val="clear" w:color="auto" w:fill="CFF0FC"/>
          </w:tcPr>
          <w:p>
            <w:pPr>
              <w:spacing w:after="0"/>
              <w:rPr>
                <w:sz w:val="20"/>
                <w:szCs w:val="20"/>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63,576</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57,397</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124,639</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113,757</w:t>
            </w:r>
          </w:p>
        </w:tc>
        <w:tc>
          <w:tcPr>
            <w:tcW w:w="100" w:type="dxa"/>
            <w:vAlign w:val="bottom"/>
          </w:tcPr>
          <w:p>
            <w:pPr>
              <w:spacing w:after="0"/>
              <w:rPr>
                <w:sz w:val="20"/>
                <w:szCs w:val="20"/>
                <w:color w:val="auto"/>
              </w:rPr>
            </w:pPr>
          </w:p>
        </w:tc>
      </w:tr>
      <w:tr>
        <w:trPr>
          <w:trHeight w:val="243"/>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3,382</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6,870</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66,977</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60,779</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131,509</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120,586</w:t>
            </w:r>
          </w:p>
        </w:tc>
        <w:tc>
          <w:tcPr>
            <w:tcW w:w="100" w:type="dxa"/>
            <w:vAlign w:val="bottom"/>
          </w:tcPr>
          <w:p>
            <w:pPr>
              <w:spacing w:after="0"/>
              <w:rPr>
                <w:sz w:val="20"/>
                <w:szCs w:val="20"/>
                <w:color w:val="auto"/>
              </w:rPr>
            </w:pPr>
          </w:p>
        </w:tc>
      </w:tr>
      <w:tr>
        <w:trPr>
          <w:trHeight w:val="237"/>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26,181</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21,539</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49,826</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40,147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(474 )</w:t>
            </w:r>
          </w:p>
        </w:tc>
        <w:tc>
          <w:tcPr>
            <w:tcW w:w="2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(291 )</w:t>
            </w:r>
          </w:p>
        </w:tc>
        <w:tc>
          <w:tcPr>
            <w:tcW w:w="26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(897 )</w:t>
            </w:r>
          </w:p>
        </w:tc>
        <w:tc>
          <w:tcPr>
            <w:tcW w:w="2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(397 )</w:t>
            </w:r>
          </w:p>
        </w:tc>
      </w:tr>
      <w:tr>
        <w:trPr>
          <w:trHeight w:val="243"/>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4,872</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3,975</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4,395</w:t>
            </w:r>
          </w:p>
        </w:tc>
        <w:tc>
          <w:tcPr>
            <w:tcW w:w="100" w:type="dxa"/>
            <w:vAlign w:val="bottom"/>
          </w:tcPr>
          <w:p>
            <w:pPr>
              <w:spacing w:after="0"/>
              <w:rPr>
                <w:sz w:val="20"/>
                <w:szCs w:val="20"/>
                <w:color w:val="auto"/>
              </w:rPr>
            </w:pPr>
          </w:p>
        </w:tc>
      </w:tr>
      <w:tr>
        <w:trPr>
          <w:trHeight w:val="241"/>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24,541</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19,499</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45,851</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35,752</w:t>
            </w:r>
          </w:p>
        </w:tc>
        <w:tc>
          <w:tcPr>
            <w:tcW w:w="100" w:type="dxa"/>
            <w:vAlign w:val="bottom"/>
            <w:shd w:val="clear" w:color="auto" w:fill="CFF0FC"/>
          </w:tcPr>
          <w:p>
            <w:pPr>
              <w:spacing w:after="0"/>
              <w:rPr>
                <w:sz w:val="20"/>
                <w:szCs w:val="20"/>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6,462</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4,647</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11,942</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8,225</w:t>
            </w:r>
          </w:p>
        </w:tc>
        <w:tc>
          <w:tcPr>
            <w:tcW w:w="100" w:type="dxa"/>
            <w:vAlign w:val="bottom"/>
          </w:tcPr>
          <w:p>
            <w:pPr>
              <w:spacing w:after="0"/>
              <w:rPr>
                <w:sz w:val="20"/>
                <w:szCs w:val="20"/>
                <w:color w:val="auto"/>
              </w:rPr>
            </w:pPr>
          </w:p>
        </w:tc>
      </w:tr>
      <w:tr>
        <w:trPr>
          <w:trHeight w:val="277"/>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18,079</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14,852</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33,909</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27,527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 income per share</w:t>
            </w: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 income per share</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24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20"/>
                <w:szCs w:val="20"/>
                <w:color w:val="auto"/>
              </w:rPr>
            </w:pPr>
          </w:p>
        </w:tc>
      </w:tr>
      <w:tr>
        <w:trPr>
          <w:trHeight w:val="215"/>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and potential common</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5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shares outstanding:</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16,177</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16,002</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15,975</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16,498</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16,283</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16,449</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16,304</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-2374265</wp:posOffset>
            </wp:positionV>
            <wp:extent cx="774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-2374265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-2374265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-2374265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-2047875</wp:posOffset>
            </wp:positionV>
            <wp:extent cx="77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-2047875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-2047875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-2047875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-1731010</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-1731010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-1731010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-1731010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-1088390</wp:posOffset>
            </wp:positionV>
            <wp:extent cx="774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-1071245</wp:posOffset>
            </wp:positionV>
            <wp:extent cx="774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-1088390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-1071245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-1088390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-1071245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-1088390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ADDUS HOMECARE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Six Months Ended June 30,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and Shares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7"/>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For the Three Months Ended June 30, 2024</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ind w:right="35"/>
              <w:spacing w:after="0" w:line="13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center"/>
              <w:ind w:right="134"/>
              <w:spacing w:after="0" w:line="131"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6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7"/>
        </w:trPr>
        <w:tc>
          <w:tcPr>
            <w:tcW w:w="5120" w:type="dxa"/>
            <w:vAlign w:val="bottom"/>
          </w:tcPr>
          <w:p>
            <w:pPr>
              <w:spacing w:after="0"/>
              <w:rPr>
                <w:sz w:val="16"/>
                <w:szCs w:val="16"/>
                <w:color w:val="auto"/>
              </w:rPr>
            </w:pPr>
          </w:p>
        </w:tc>
        <w:tc>
          <w:tcPr>
            <w:tcW w:w="1660" w:type="dxa"/>
            <w:vAlign w:val="bottom"/>
            <w:gridSpan w:val="3"/>
            <w:vMerge w:val="continue"/>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1320" w:type="dxa"/>
            <w:vAlign w:val="bottom"/>
            <w:tcBorders>
              <w:top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40" w:type="dxa"/>
            <w:vAlign w:val="bottom"/>
            <w:tcBorders>
              <w:top w:val="single" w:sz="8" w:color="auto"/>
            </w:tcBorders>
            <w:gridSpan w:val="2"/>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April 1, 2024</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16,370</w:t>
            </w:r>
          </w:p>
        </w:tc>
        <w:tc>
          <w:tcPr>
            <w:tcW w:w="240" w:type="dxa"/>
            <w:vAlign w:val="bottom"/>
            <w:shd w:val="clear" w:color="auto" w:fill="CFF0FC"/>
          </w:tcPr>
          <w:p>
            <w:pPr>
              <w:spacing w:after="0"/>
              <w:rPr>
                <w:sz w:val="21"/>
                <w:szCs w:val="21"/>
                <w:color w:val="auto"/>
              </w:rPr>
            </w:pPr>
          </w:p>
        </w:tc>
        <w:tc>
          <w:tcPr>
            <w:tcW w:w="340" w:type="dxa"/>
            <w:vAlign w:val="bottom"/>
            <w:tcBorders>
              <w:top w:val="single" w:sz="8" w:color="auto"/>
            </w:tcBorders>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406,465</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318,662</w:t>
            </w:r>
          </w:p>
        </w:tc>
        <w:tc>
          <w:tcPr>
            <w:tcW w:w="420" w:type="dxa"/>
            <w:vAlign w:val="bottom"/>
            <w:gridSpan w:val="3"/>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725,143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5120" w:type="dxa"/>
            <w:vAlign w:val="bottom"/>
            <w:tcBorders>
              <w:top w:val="single" w:sz="8" w:color="CFF0FC"/>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Issuance of shares of common stock under</w:t>
            </w:r>
          </w:p>
        </w:tc>
        <w:tc>
          <w:tcPr>
            <w:tcW w:w="10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stock award agreements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Forfeiture of shares of common stock under</w:t>
            </w: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1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restricted stock award agreements</w:t>
            </w: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(3 )</w:t>
            </w:r>
          </w:p>
        </w:tc>
        <w:tc>
          <w:tcPr>
            <w:tcW w:w="3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issued for exercise of stock options</w:t>
            </w: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issued in Public offering, net of offering costs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175,576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18,079</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18,079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18,100</w:t>
            </w:r>
          </w:p>
        </w:tc>
        <w:tc>
          <w:tcPr>
            <w:tcW w:w="240" w:type="dxa"/>
            <w:vAlign w:val="bottom"/>
          </w:tcPr>
          <w:p>
            <w:pPr>
              <w:spacing w:after="0"/>
              <w:rPr>
                <w:sz w:val="20"/>
                <w:szCs w:val="20"/>
                <w:color w:val="auto"/>
              </w:rPr>
            </w:pPr>
          </w:p>
        </w:tc>
        <w:tc>
          <w:tcPr>
            <w:tcW w:w="3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584,896</w:t>
            </w:r>
          </w:p>
        </w:tc>
        <w:tc>
          <w:tcPr>
            <w:tcW w:w="2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336,741</w:t>
            </w:r>
          </w:p>
        </w:tc>
        <w:tc>
          <w:tcPr>
            <w:tcW w:w="220" w:type="dxa"/>
            <w:vAlign w:val="bottom"/>
            <w:gridSpan w:val="2"/>
          </w:tcPr>
          <w:p>
            <w:pPr>
              <w:spacing w:after="0"/>
              <w:rPr>
                <w:sz w:val="20"/>
                <w:szCs w:val="20"/>
                <w:color w:val="auto"/>
              </w:rPr>
            </w:pP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921,655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12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7"/>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For the Six Months Ended June 30, 2024</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ind w:right="35"/>
              <w:spacing w:after="0" w:line="13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center"/>
              <w:ind w:right="134"/>
              <w:spacing w:after="0" w:line="131"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6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7"/>
        </w:trPr>
        <w:tc>
          <w:tcPr>
            <w:tcW w:w="5120" w:type="dxa"/>
            <w:vAlign w:val="bottom"/>
          </w:tcPr>
          <w:p>
            <w:pPr>
              <w:spacing w:after="0"/>
              <w:rPr>
                <w:sz w:val="16"/>
                <w:szCs w:val="16"/>
                <w:color w:val="auto"/>
              </w:rPr>
            </w:pPr>
          </w:p>
        </w:tc>
        <w:tc>
          <w:tcPr>
            <w:tcW w:w="1660" w:type="dxa"/>
            <w:vAlign w:val="bottom"/>
            <w:gridSpan w:val="3"/>
            <w:vMerge w:val="continue"/>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7"/>
        </w:trPr>
        <w:tc>
          <w:tcPr>
            <w:tcW w:w="5120" w:type="dxa"/>
            <w:vAlign w:val="bottom"/>
          </w:tcPr>
          <w:p>
            <w:pPr>
              <w:spacing w:after="0"/>
              <w:rPr>
                <w:sz w:val="18"/>
                <w:szCs w:val="18"/>
                <w:color w:val="auto"/>
              </w:rPr>
            </w:pPr>
          </w:p>
        </w:tc>
        <w:tc>
          <w:tcPr>
            <w:tcW w:w="1320" w:type="dxa"/>
            <w:vAlign w:val="bottom"/>
            <w:tcBorders>
              <w:top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40" w:type="dxa"/>
            <w:vAlign w:val="bottom"/>
            <w:tcBorders>
              <w:top w:val="single" w:sz="8" w:color="auto"/>
            </w:tcBorders>
            <w:gridSpan w:val="2"/>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16,227</w:t>
            </w:r>
          </w:p>
        </w:tc>
        <w:tc>
          <w:tcPr>
            <w:tcW w:w="240" w:type="dxa"/>
            <w:vAlign w:val="bottom"/>
            <w:shd w:val="clear" w:color="auto" w:fill="CFF0FC"/>
          </w:tcPr>
          <w:p>
            <w:pPr>
              <w:spacing w:after="0"/>
              <w:rPr>
                <w:sz w:val="21"/>
                <w:szCs w:val="21"/>
                <w:color w:val="auto"/>
              </w:rPr>
            </w:pPr>
          </w:p>
        </w:tc>
        <w:tc>
          <w:tcPr>
            <w:tcW w:w="340" w:type="dxa"/>
            <w:vAlign w:val="bottom"/>
            <w:tcBorders>
              <w:top w:val="single" w:sz="8" w:color="auto"/>
            </w:tcBorders>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403,846</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302,832</w:t>
            </w:r>
          </w:p>
        </w:tc>
        <w:tc>
          <w:tcPr>
            <w:tcW w:w="420" w:type="dxa"/>
            <w:vAlign w:val="bottom"/>
            <w:gridSpan w:val="3"/>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706,694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5120" w:type="dxa"/>
            <w:vAlign w:val="bottom"/>
            <w:tcBorders>
              <w:top w:val="single" w:sz="8" w:color="CFF0FC"/>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Issuance of shares of common stock under</w:t>
            </w:r>
          </w:p>
        </w:tc>
        <w:tc>
          <w:tcPr>
            <w:tcW w:w="10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stock award agreements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Forfeiture of shares of common stock under</w:t>
            </w: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1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restricted stock award agreements</w:t>
            </w: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(3 )</w:t>
            </w:r>
          </w:p>
        </w:tc>
        <w:tc>
          <w:tcPr>
            <w:tcW w:w="3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issued for exercise of stock options</w:t>
            </w:r>
          </w:p>
        </w:tc>
        <w:tc>
          <w:tcPr>
            <w:tcW w:w="13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issued in Public offering, net of offering costs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175,576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33,909</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33,909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18,100</w:t>
            </w:r>
          </w:p>
        </w:tc>
        <w:tc>
          <w:tcPr>
            <w:tcW w:w="240" w:type="dxa"/>
            <w:vAlign w:val="bottom"/>
          </w:tcPr>
          <w:p>
            <w:pPr>
              <w:spacing w:after="0"/>
              <w:rPr>
                <w:sz w:val="20"/>
                <w:szCs w:val="20"/>
                <w:color w:val="auto"/>
              </w:rPr>
            </w:pPr>
          </w:p>
        </w:tc>
        <w:tc>
          <w:tcPr>
            <w:tcW w:w="3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584,896</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336,741</w:t>
            </w:r>
          </w:p>
        </w:tc>
        <w:tc>
          <w:tcPr>
            <w:tcW w:w="420" w:type="dxa"/>
            <w:vAlign w:val="bottom"/>
            <w:gridSpan w:val="3"/>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921,655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-3719830</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-3719830</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-3719830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-3719830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-3719830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-2510790</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-2510790</wp:posOffset>
            </wp:positionV>
            <wp:extent cx="77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-2510790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-2510790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-2510790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-1396365</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-1396365</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-1396365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-1396365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-1396365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-187960</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-187960</wp:posOffset>
            </wp:positionV>
            <wp:extent cx="77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-187960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-187960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ADDUS HOMECARE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Six Months Ended June 30,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and Shares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2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7"/>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For the Three Months Ended June 30, 2023</w:t>
            </w: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ind w:right="35"/>
              <w:spacing w:after="0" w:line="13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center"/>
              <w:ind w:right="134"/>
              <w:spacing w:after="0" w:line="131"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6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7"/>
        </w:trPr>
        <w:tc>
          <w:tcPr>
            <w:tcW w:w="5120" w:type="dxa"/>
            <w:vAlign w:val="bottom"/>
          </w:tcPr>
          <w:p>
            <w:pPr>
              <w:spacing w:after="0"/>
              <w:rPr>
                <w:sz w:val="16"/>
                <w:szCs w:val="16"/>
                <w:color w:val="auto"/>
              </w:rPr>
            </w:pPr>
          </w:p>
        </w:tc>
        <w:tc>
          <w:tcPr>
            <w:tcW w:w="1660" w:type="dxa"/>
            <w:vAlign w:val="bottom"/>
            <w:gridSpan w:val="3"/>
            <w:vMerge w:val="continue"/>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7"/>
        </w:trPr>
        <w:tc>
          <w:tcPr>
            <w:tcW w:w="512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bottom w:val="single" w:sz="8" w:color="auto"/>
            </w:tcBorders>
            <w:gridSpan w:val="2"/>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April 1, 2023</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16,204</w:t>
            </w:r>
          </w:p>
        </w:tc>
        <w:tc>
          <w:tcPr>
            <w:tcW w:w="580" w:type="dxa"/>
            <w:vAlign w:val="bottom"/>
            <w:gridSpan w:val="2"/>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395,879</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252,991</w:t>
            </w:r>
          </w:p>
        </w:tc>
        <w:tc>
          <w:tcPr>
            <w:tcW w:w="420" w:type="dxa"/>
            <w:vAlign w:val="bottom"/>
            <w:gridSpan w:val="2"/>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648,886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5120" w:type="dxa"/>
            <w:vAlign w:val="bottom"/>
            <w:tcBorders>
              <w:top w:val="single" w:sz="8" w:color="CFF0FC"/>
            </w:tcBorders>
          </w:tcPr>
          <w:p>
            <w:pPr>
              <w:ind w:left="20"/>
              <w:spacing w:after="0" w:line="205" w:lineRule="exact"/>
              <w:rPr>
                <w:sz w:val="20"/>
                <w:szCs w:val="20"/>
                <w:color w:val="auto"/>
              </w:rPr>
            </w:pPr>
            <w:r>
              <w:rPr>
                <w:rFonts w:ascii="Times New Roman" w:cs="Times New Roman" w:eastAsia="Times New Roman" w:hAnsi="Times New Roman"/>
                <w:sz w:val="18"/>
                <w:szCs w:val="18"/>
                <w:color w:val="auto"/>
              </w:rPr>
              <w:t>Issuance of shares of common stock under</w:t>
            </w:r>
          </w:p>
        </w:tc>
        <w:tc>
          <w:tcPr>
            <w:tcW w:w="10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stock award agreements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Forfeiture of shares of common stock under</w:t>
            </w: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1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restricted stock award agreements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issued for exercise of stock options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14,852</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June 30, 2023</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16,214</w:t>
            </w:r>
          </w:p>
        </w:tc>
        <w:tc>
          <w:tcPr>
            <w:tcW w:w="2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398,492</w:t>
            </w:r>
          </w:p>
        </w:tc>
        <w:tc>
          <w:tcPr>
            <w:tcW w:w="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267,843</w:t>
            </w:r>
          </w:p>
        </w:tc>
        <w:tc>
          <w:tcPr>
            <w:tcW w:w="2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666,351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12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7"/>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For the Six Months Ended June 30, 2023</w:t>
            </w: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ind w:right="35"/>
              <w:spacing w:after="0" w:line="131"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center"/>
              <w:ind w:right="134"/>
              <w:spacing w:after="0" w:line="131"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6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7"/>
        </w:trPr>
        <w:tc>
          <w:tcPr>
            <w:tcW w:w="5120" w:type="dxa"/>
            <w:vAlign w:val="bottom"/>
          </w:tcPr>
          <w:p>
            <w:pPr>
              <w:spacing w:after="0"/>
              <w:rPr>
                <w:sz w:val="16"/>
                <w:szCs w:val="16"/>
                <w:color w:val="auto"/>
              </w:rPr>
            </w:pPr>
          </w:p>
        </w:tc>
        <w:tc>
          <w:tcPr>
            <w:tcW w:w="1660" w:type="dxa"/>
            <w:vAlign w:val="bottom"/>
            <w:gridSpan w:val="3"/>
            <w:vMerge w:val="continue"/>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7"/>
        </w:trPr>
        <w:tc>
          <w:tcPr>
            <w:tcW w:w="512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bottom w:val="single" w:sz="8" w:color="auto"/>
            </w:tcBorders>
            <w:gridSpan w:val="2"/>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January 1, 2023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16,128</w:t>
            </w:r>
          </w:p>
        </w:tc>
        <w:tc>
          <w:tcPr>
            <w:tcW w:w="240" w:type="dxa"/>
            <w:vAlign w:val="bottom"/>
          </w:tcPr>
          <w:p>
            <w:pPr>
              <w:spacing w:after="0"/>
              <w:rPr>
                <w:sz w:val="21"/>
                <w:szCs w:val="21"/>
                <w:color w:val="auto"/>
              </w:rPr>
            </w:pPr>
          </w:p>
        </w:tc>
        <w:tc>
          <w:tcPr>
            <w:tcW w:w="3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393,208</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240,316</w:t>
            </w:r>
          </w:p>
        </w:tc>
        <w:tc>
          <w:tcPr>
            <w:tcW w:w="42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633,540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512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Issuance of shares of common stock under</w:t>
            </w:r>
          </w:p>
        </w:tc>
        <w:tc>
          <w:tcPr>
            <w:tcW w:w="108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1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restricted stock award agreements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Forfeiture of shares of common stock under</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stock award agreements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5,259</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issued for exercise of stock options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27,527</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27,527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 2023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16,214</w:t>
            </w:r>
          </w:p>
        </w:tc>
        <w:tc>
          <w:tcPr>
            <w:tcW w:w="58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398,492</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267,843</w:t>
            </w:r>
          </w:p>
        </w:tc>
        <w:tc>
          <w:tcPr>
            <w:tcW w:w="42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666,351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-3411220</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-3411220</wp:posOffset>
            </wp:positionV>
            <wp:extent cx="77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-3411220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-3411220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-3411220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-2193925</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-2176780</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-2193925</wp:posOffset>
            </wp:positionV>
            <wp:extent cx="77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-2176780</wp:posOffset>
            </wp:positionV>
            <wp:extent cx="77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-2193925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-2176780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-2193925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-2176780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-2193925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-2176780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-187960</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-187960</wp:posOffset>
            </wp:positionV>
            <wp:extent cx="77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-187960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-187960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ADDUS HOMECARE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For the Six Months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2"/>
        </w:trPr>
        <w:tc>
          <w:tcPr>
            <w:tcW w:w="77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Ended June 30,</w:t>
            </w: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77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33,909</w:t>
            </w:r>
          </w:p>
        </w:tc>
        <w:tc>
          <w:tcPr>
            <w:tcW w:w="280" w:type="dxa"/>
            <w:vAlign w:val="bottom"/>
          </w:tcPr>
          <w:p>
            <w:pPr>
              <w:spacing w:after="0"/>
              <w:rPr>
                <w:sz w:val="20"/>
                <w:szCs w:val="20"/>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27,527</w:t>
            </w:r>
          </w:p>
        </w:tc>
        <w:tc>
          <w:tcPr>
            <w:tcW w:w="100" w:type="dxa"/>
            <w:vAlign w:val="bottom"/>
          </w:tcPr>
          <w:p>
            <w:pPr>
              <w:spacing w:after="0"/>
              <w:rPr>
                <w:sz w:val="20"/>
                <w:szCs w:val="20"/>
                <w:color w:val="auto"/>
              </w:rPr>
            </w:pPr>
          </w:p>
        </w:tc>
      </w:tr>
      <w:tr>
        <w:trPr>
          <w:trHeight w:val="215"/>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activities, net of acquisitions: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6,870</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6,829</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Deferred income taxes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5,474</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5,259</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 of debt issuance costs under the credit facility</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Gain on disposal of assets</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(5 )</w:t>
            </w:r>
          </w:p>
        </w:tc>
        <w:tc>
          <w:tcPr>
            <w:tcW w:w="5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on termination of operating leases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Accounts receivable</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5,362</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21,395</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7,127</w:t>
            </w:r>
          </w:p>
        </w:tc>
        <w:tc>
          <w:tcPr>
            <w:tcW w:w="2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(4,018 )</w:t>
            </w:r>
          </w:p>
        </w:tc>
      </w:tr>
      <w:tr>
        <w:trPr>
          <w:trHeight w:val="239"/>
        </w:trPr>
        <w:tc>
          <w:tcPr>
            <w:tcW w:w="7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Government stimulus advances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7,235</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(3,382 )</w:t>
            </w:r>
          </w:p>
        </w:tc>
      </w:tr>
      <w:tr>
        <w:trPr>
          <w:trHeight w:val="247"/>
        </w:trPr>
        <w:tc>
          <w:tcPr>
            <w:tcW w:w="77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(6,333 )</w:t>
            </w:r>
          </w:p>
        </w:tc>
        <w:tc>
          <w:tcPr>
            <w:tcW w:w="5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(597 )</w:t>
            </w:r>
          </w:p>
        </w:tc>
      </w:tr>
      <w:tr>
        <w:trPr>
          <w:trHeight w:val="239"/>
        </w:trPr>
        <w:tc>
          <w:tcPr>
            <w:tcW w:w="77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Accrued payroll</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(1,449 )</w:t>
            </w: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100" w:type="dxa"/>
            <w:vAlign w:val="bottom"/>
          </w:tcPr>
          <w:p>
            <w:pPr>
              <w:spacing w:after="0"/>
              <w:rPr>
                <w:sz w:val="20"/>
                <w:szCs w:val="20"/>
                <w:color w:val="auto"/>
              </w:rPr>
            </w:pPr>
          </w:p>
        </w:tc>
      </w:tr>
      <w:tr>
        <w:trPr>
          <w:trHeight w:val="243"/>
        </w:trPr>
        <w:tc>
          <w:tcPr>
            <w:tcW w:w="772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Accrued expenses and other long-term liabilities</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(1,889 )</w:t>
            </w:r>
          </w:p>
        </w:tc>
        <w:tc>
          <w:tcPr>
            <w:tcW w:w="5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3,704</w:t>
            </w:r>
          </w:p>
        </w:tc>
        <w:tc>
          <w:tcPr>
            <w:tcW w:w="100" w:type="dxa"/>
            <w:vAlign w:val="bottom"/>
            <w:shd w:val="clear" w:color="auto" w:fill="CFF0FC"/>
          </w:tcPr>
          <w:p>
            <w:pPr>
              <w:spacing w:after="0"/>
              <w:rPr>
                <w:sz w:val="21"/>
                <w:szCs w:val="21"/>
                <w:color w:val="auto"/>
              </w:rPr>
            </w:pPr>
          </w:p>
        </w:tc>
      </w:tr>
      <w:tr>
        <w:trPr>
          <w:trHeight w:val="236"/>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57,491</w:t>
            </w:r>
          </w:p>
        </w:tc>
        <w:tc>
          <w:tcPr>
            <w:tcW w:w="280" w:type="dxa"/>
            <w:vAlign w:val="bottom"/>
            <w:tcBorders>
              <w:top w:val="single" w:sz="8" w:color="CFF0FC"/>
            </w:tcBorders>
          </w:tcPr>
          <w:p>
            <w:pPr>
              <w:spacing w:after="0"/>
              <w:rPr>
                <w:sz w:val="20"/>
                <w:szCs w:val="20"/>
                <w:color w:val="auto"/>
              </w:rPr>
            </w:pPr>
          </w:p>
        </w:tc>
        <w:tc>
          <w:tcPr>
            <w:tcW w:w="5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60,413</w:t>
            </w:r>
          </w:p>
        </w:tc>
        <w:tc>
          <w:tcPr>
            <w:tcW w:w="100" w:type="dxa"/>
            <w:vAlign w:val="bottom"/>
            <w:tcBorders>
              <w:top w:val="single" w:sz="8" w:color="CFF0FC"/>
            </w:tcBorders>
          </w:tcPr>
          <w:p>
            <w:pPr>
              <w:spacing w:after="0"/>
              <w:rPr>
                <w:sz w:val="20"/>
                <w:szCs w:val="20"/>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Acquisitions of businesses, net of cash acquired</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(400 )</w:t>
            </w:r>
          </w:p>
        </w:tc>
        <w:tc>
          <w:tcPr>
            <w:tcW w:w="56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(940 )</w:t>
            </w: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8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(2,421 )</w:t>
            </w:r>
          </w:p>
        </w:tc>
        <w:tc>
          <w:tcPr>
            <w:tcW w:w="5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(1,771 )</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received from disposal of assets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received from divestiture of business</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28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(2,711 )</w:t>
            </w: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8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6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on revolver loan — credit facility</w:t>
            </w:r>
          </w:p>
        </w:tc>
        <w:tc>
          <w:tcPr>
            <w:tcW w:w="38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(126,353 )</w:t>
            </w:r>
          </w:p>
        </w:tc>
        <w:tc>
          <w:tcPr>
            <w:tcW w:w="56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(53,500 )</w:t>
            </w: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Public offering</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175,578</w:t>
            </w:r>
          </w:p>
        </w:tc>
        <w:tc>
          <w:tcPr>
            <w:tcW w:w="2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received from exercise of stock options</w:t>
            </w:r>
          </w:p>
        </w:tc>
        <w:tc>
          <w:tcPr>
            <w:tcW w:w="380" w:type="dxa"/>
            <w:vAlign w:val="bottom"/>
          </w:tcPr>
          <w:p>
            <w:pPr>
              <w:spacing w:after="0"/>
              <w:rPr>
                <w:sz w:val="20"/>
                <w:szCs w:val="20"/>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r>
      <w:tr>
        <w:trPr>
          <w:trHeight w:val="236"/>
        </w:trPr>
        <w:tc>
          <w:tcPr>
            <w:tcW w:w="77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80" w:type="dxa"/>
            <w:vAlign w:val="bottom"/>
            <w:tcBorders>
              <w:top w:val="single" w:sz="8" w:color="auto"/>
              <w:bottom w:val="single" w:sz="8" w:color="auto"/>
            </w:tcBorders>
            <w:shd w:val="clear" w:color="auto" w:fill="CFF0FC"/>
          </w:tcPr>
          <w:p>
            <w:pPr>
              <w:spacing w:after="0"/>
              <w:rPr>
                <w:sz w:val="20"/>
                <w:szCs w:val="20"/>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49,225</w:t>
            </w:r>
          </w:p>
        </w:tc>
        <w:tc>
          <w:tcPr>
            <w:tcW w:w="280" w:type="dxa"/>
            <w:vAlign w:val="bottom"/>
            <w:tcBorders>
              <w:top w:val="single" w:sz="8" w:color="CFF0FC"/>
              <w:bottom w:val="single" w:sz="8" w:color="CFF0FC"/>
            </w:tcBorders>
            <w:shd w:val="clear" w:color="auto" w:fill="CFF0FC"/>
          </w:tcPr>
          <w:p>
            <w:pPr>
              <w:spacing w:after="0"/>
              <w:rPr>
                <w:sz w:val="20"/>
                <w:szCs w:val="20"/>
                <w:color w:val="auto"/>
              </w:rPr>
            </w:pPr>
          </w:p>
        </w:tc>
        <w:tc>
          <w:tcPr>
            <w:tcW w:w="560" w:type="dxa"/>
            <w:vAlign w:val="bottom"/>
            <w:tcBorders>
              <w:top w:val="single" w:sz="8" w:color="auto"/>
              <w:bottom w:val="single" w:sz="8" w:color="auto"/>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(53,475</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108,514</w:t>
            </w: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4,227</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64,791</w:t>
            </w:r>
          </w:p>
        </w:tc>
        <w:tc>
          <w:tcPr>
            <w:tcW w:w="28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79,961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at end of period</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173,305</w:t>
            </w:r>
          </w:p>
        </w:tc>
        <w:tc>
          <w:tcPr>
            <w:tcW w:w="280" w:type="dxa"/>
            <w:vAlign w:val="bottom"/>
          </w:tcPr>
          <w:p>
            <w:pPr>
              <w:spacing w:after="0"/>
              <w:rPr>
                <w:sz w:val="20"/>
                <w:szCs w:val="20"/>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84,188</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for interest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4,491</w:t>
            </w:r>
          </w:p>
        </w:tc>
        <w:tc>
          <w:tcPr>
            <w:tcW w:w="280" w:type="dxa"/>
            <w:vAlign w:val="bottom"/>
          </w:tcPr>
          <w:p>
            <w:pPr>
              <w:spacing w:after="0"/>
              <w:rPr>
                <w:sz w:val="20"/>
                <w:szCs w:val="20"/>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4,416</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13,986</w:t>
            </w:r>
          </w:p>
        </w:tc>
        <w:tc>
          <w:tcPr>
            <w:tcW w:w="2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6,767</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-2862580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-2862580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-1919605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-1919605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-1143635</wp:posOffset>
            </wp:positionV>
            <wp:extent cx="93980" cy="1968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-1143635</wp:posOffset>
            </wp:positionV>
            <wp:extent cx="93980" cy="1968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-650875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ADDUS HOMECARE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 Consolidation and Presentation of Financial Statements</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Addus HomeCare Corporation (“Holdings”) and its subsidiaries (together with Holdings, the “Company”, “we”, “us” or “our”) operate as a multi-state provider of three distinct but related business segments providing in-home services. In its personal care services segment, the Company provides non-medical assistance with activities of daily living, primarily to persons who are at increased risk of hospitalization or institutionalization, such as the elderly, chronically ill or disabled. In its hospice segment, the Company provides physical, emotional and spiritual care for people who are terminally ill as well as related services for their families. In its home health segment, the Company provides services that are primarily medical in nature to individuals who may require assistance during an illness or after hospitalization and include skilled nursing and physical, occupational and speech therapy. The Company’s payors include federal, state and local governmental agencies, managed care organizations, commercial insurers and private individuals.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and related notes have been prepared in accordance with the rules and regulations of the U.S. Securities and Exchange Commission (“SEC”) for Quarterly Reports on Form 10-Q. The accompanying balance sheet as of December 31, 2023 has been derived from the Company’s audited financial statements for the year ended December 31, 2023 previously filed with the SEC. Accordingly, these financial statements do not include all of the information and note disclosures required by accounting principles generally accepted in the United States of America (“GAAP”) for annual financial statements and should be read in conjunction with our consolidated financial statements and notes thereto for the year ended December 31, 2023 included in our Annual Report on Form 10-K, which includes information and disclosures not included herein.</w:t>
      </w:r>
    </w:p>
    <w:p>
      <w:pPr>
        <w:spacing w:after="0" w:line="18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the opinion of management, these financial statements reflect all adjustments of a normal, recurring nature necessary for the fair statement of our financial position, results of operations and cash flows for the interim periods presented in conformity with GAAP. Our results for any interim period are not necessarily indicative of results for a full year or any other interim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include the accounts of Addus HomeCare Corporation, and its subsidiaries. All intercompany balances and transactions have been eliminated in consolidation.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Estimates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financial statements are prepared by management in conformity with GAAP and include estimated amounts and certain disclosures based on assumptions about future events. The Company’s critical accounting estimates include the following areas: revenue recognition, goodwill and intangibles in business combinations and when required, the quantitative assessment of goodwill. Actual results could differ from those estimates.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Computation of Weighted Average Shares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common shares: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760" w:type="dxa"/>
            <w:vAlign w:val="bottom"/>
          </w:tcPr>
          <w:p>
            <w:pPr>
              <w:spacing w:after="0"/>
              <w:rPr>
                <w:sz w:val="14"/>
                <w:szCs w:val="14"/>
                <w:color w:val="auto"/>
              </w:rPr>
            </w:pPr>
          </w:p>
        </w:tc>
        <w:tc>
          <w:tcPr>
            <w:tcW w:w="2600" w:type="dxa"/>
            <w:vAlign w:val="bottom"/>
            <w:gridSpan w:val="3"/>
          </w:tcPr>
          <w:p>
            <w:pPr>
              <w:jc w:val="right"/>
              <w:ind w:right="110"/>
              <w:spacing w:after="0"/>
              <w:rPr>
                <w:sz w:val="20"/>
                <w:szCs w:val="20"/>
                <w:color w:val="auto"/>
              </w:rPr>
            </w:pPr>
            <w:r>
              <w:rPr>
                <w:rFonts w:ascii="Times New Roman" w:cs="Times New Roman" w:eastAsia="Times New Roman" w:hAnsi="Times New Roman"/>
                <w:sz w:val="13"/>
                <w:szCs w:val="13"/>
                <w:b w:val="1"/>
                <w:bCs w:val="1"/>
                <w:color w:val="auto"/>
              </w:rPr>
              <w:t>For the Three Months Ended June 30,</w:t>
            </w:r>
          </w:p>
        </w:tc>
        <w:tc>
          <w:tcPr>
            <w:tcW w:w="200" w:type="dxa"/>
            <w:vAlign w:val="bottom"/>
          </w:tcPr>
          <w:p>
            <w:pPr>
              <w:spacing w:after="0"/>
              <w:rPr>
                <w:sz w:val="14"/>
                <w:szCs w:val="14"/>
                <w:color w:val="auto"/>
              </w:rPr>
            </w:pPr>
          </w:p>
        </w:tc>
        <w:tc>
          <w:tcPr>
            <w:tcW w:w="2680" w:type="dxa"/>
            <w:vAlign w:val="bottom"/>
            <w:gridSpan w:val="4"/>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For the Six Months Ended June 30,</w:t>
            </w:r>
          </w:p>
        </w:tc>
        <w:tc>
          <w:tcPr>
            <w:tcW w:w="0" w:type="dxa"/>
            <w:vAlign w:val="bottom"/>
          </w:tcPr>
          <w:p>
            <w:pPr>
              <w:spacing w:after="0"/>
              <w:rPr>
                <w:sz w:val="1"/>
                <w:szCs w:val="1"/>
                <w:color w:val="auto"/>
              </w:rPr>
            </w:pPr>
          </w:p>
        </w:tc>
      </w:tr>
      <w:tr>
        <w:trPr>
          <w:trHeight w:val="187"/>
        </w:trPr>
        <w:tc>
          <w:tcPr>
            <w:tcW w:w="5760" w:type="dxa"/>
            <w:vAlign w:val="bottom"/>
          </w:tcPr>
          <w:p>
            <w:pPr>
              <w:spacing w:after="0"/>
              <w:rPr>
                <w:sz w:val="16"/>
                <w:szCs w:val="16"/>
                <w:color w:val="auto"/>
              </w:rPr>
            </w:pPr>
          </w:p>
        </w:tc>
        <w:tc>
          <w:tcPr>
            <w:tcW w:w="2600" w:type="dxa"/>
            <w:vAlign w:val="bottom"/>
            <w:gridSpan w:val="3"/>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200" w:type="dxa"/>
            <w:vAlign w:val="bottom"/>
          </w:tcPr>
          <w:p>
            <w:pPr>
              <w:spacing w:after="0"/>
              <w:rPr>
                <w:sz w:val="16"/>
                <w:szCs w:val="16"/>
                <w:color w:val="auto"/>
              </w:rPr>
            </w:pPr>
          </w:p>
        </w:tc>
        <w:tc>
          <w:tcPr>
            <w:tcW w:w="26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0" w:type="dxa"/>
            <w:vAlign w:val="bottom"/>
          </w:tcPr>
          <w:p>
            <w:pPr>
              <w:spacing w:after="0"/>
              <w:rPr>
                <w:sz w:val="1"/>
                <w:szCs w:val="1"/>
                <w:color w:val="auto"/>
              </w:rPr>
            </w:pPr>
          </w:p>
        </w:tc>
      </w:tr>
      <w:tr>
        <w:trPr>
          <w:trHeight w:val="169"/>
        </w:trPr>
        <w:tc>
          <w:tcPr>
            <w:tcW w:w="5760" w:type="dxa"/>
            <w:vAlign w:val="bottom"/>
          </w:tcPr>
          <w:p>
            <w:pPr>
              <w:spacing w:after="0"/>
              <w:rPr>
                <w:sz w:val="14"/>
                <w:szCs w:val="14"/>
                <w:color w:val="auto"/>
              </w:rPr>
            </w:pPr>
          </w:p>
        </w:tc>
        <w:tc>
          <w:tcPr>
            <w:tcW w:w="1180" w:type="dxa"/>
            <w:vAlign w:val="bottom"/>
            <w:tcBorders>
              <w:top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20" w:type="dxa"/>
            <w:vAlign w:val="bottom"/>
            <w:tcBorders>
              <w:top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1160" w:type="dxa"/>
            <w:vAlign w:val="bottom"/>
            <w:tcBorders>
              <w:top w:val="single" w:sz="8" w:color="auto"/>
            </w:tcBorders>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20" w:type="dxa"/>
            <w:vAlign w:val="bottom"/>
            <w:tcBorders>
              <w:top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576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Weighted average number of shares outstanding for basic per share</w:t>
            </w:r>
          </w:p>
        </w:tc>
        <w:tc>
          <w:tcPr>
            <w:tcW w:w="118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calculation</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16,177</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16,002</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16,120</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15,975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potential shares:</w:t>
            </w: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 options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stock awards</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20" w:type="dxa"/>
            <w:vAlign w:val="bottom"/>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576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Adjusted weighted average shares outstanding for diluted per share</w:t>
            </w: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16,498</w:t>
            </w:r>
          </w:p>
        </w:tc>
        <w:tc>
          <w:tcPr>
            <w:tcW w:w="14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16,283</w:t>
            </w:r>
          </w:p>
        </w:tc>
        <w:tc>
          <w:tcPr>
            <w:tcW w:w="13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16,449</w:t>
            </w:r>
          </w:p>
        </w:tc>
        <w:tc>
          <w:tcPr>
            <w:tcW w:w="14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16,304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5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calculation</w:t>
            </w:r>
          </w:p>
        </w:tc>
        <w:tc>
          <w:tcPr>
            <w:tcW w:w="1180" w:type="dxa"/>
            <w:vAlign w:val="bottom"/>
            <w:vMerge w:val="continue"/>
            <w:shd w:val="clear" w:color="auto" w:fill="CFF0FC"/>
          </w:tcPr>
          <w:p>
            <w:pPr>
              <w:spacing w:after="0"/>
              <w:rPr>
                <w:sz w:val="21"/>
                <w:szCs w:val="21"/>
                <w:color w:val="auto"/>
              </w:rPr>
            </w:pPr>
          </w:p>
        </w:tc>
        <w:tc>
          <w:tcPr>
            <w:tcW w:w="1420" w:type="dxa"/>
            <w:vAlign w:val="bottom"/>
            <w:gridSpan w:val="2"/>
            <w:vMerge w:val="continue"/>
            <w:shd w:val="clear" w:color="auto" w:fill="CFF0FC"/>
          </w:tcPr>
          <w:p>
            <w:pPr>
              <w:spacing w:after="0"/>
              <w:rPr>
                <w:sz w:val="21"/>
                <w:szCs w:val="21"/>
                <w:color w:val="auto"/>
              </w:rPr>
            </w:pPr>
          </w:p>
        </w:tc>
        <w:tc>
          <w:tcPr>
            <w:tcW w:w="1360" w:type="dxa"/>
            <w:vAlign w:val="bottom"/>
            <w:gridSpan w:val="2"/>
            <w:vMerge w:val="continue"/>
            <w:shd w:val="clear" w:color="auto" w:fill="CFF0FC"/>
          </w:tcPr>
          <w:p>
            <w:pPr>
              <w:spacing w:after="0"/>
              <w:rPr>
                <w:sz w:val="21"/>
                <w:szCs w:val="21"/>
                <w:color w:val="auto"/>
              </w:rPr>
            </w:pPr>
          </w:p>
        </w:tc>
        <w:tc>
          <w:tcPr>
            <w:tcW w:w="1420" w:type="dxa"/>
            <w:vAlign w:val="bottom"/>
            <w:gridSpan w:val="2"/>
            <w:vMerge w:val="continue"/>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57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Anti-dilutive shares:</w:t>
            </w:r>
          </w:p>
        </w:tc>
        <w:tc>
          <w:tcPr>
            <w:tcW w:w="118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 options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stock awards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-482600</wp:posOffset>
            </wp:positionV>
            <wp:extent cx="774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-465455</wp:posOffset>
            </wp:positionV>
            <wp:extent cx="774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-482600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-465455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-482600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-465455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-482600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-465455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October 2021, the Financial Accounting Standards Board (“FASB”) issued ASU No. 2021-08, Accounting for Contract Assets and Contract Liabilities from Contracts with Customers (Topic 805). This ASU requires an acquirer in a business combination to recognize and measure contract assets and contract liabilities (deferred revenue) from acquired contracts using the revenue recognition guidance in Topic 606. At the acquisition date, the acquirer applies the revenue model as if it had originated the acquired contracts. The ASU was adopted prospectively on January 1, 2023. The additional disclosures required did not have a material impact on our consolidated financial statements.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19"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Improvements to Reportable Segment Disclosures</w:t>
      </w:r>
      <w:r>
        <w:rPr>
          <w:rFonts w:ascii="Times New Roman" w:cs="Times New Roman" w:eastAsia="Times New Roman" w:hAnsi="Times New Roman"/>
          <w:sz w:val="18"/>
          <w:szCs w:val="18"/>
          <w:color w:val="auto"/>
        </w:rPr>
        <w:t>, which expands reportable segment disclosure requirements, primarily through enhanced disclosures about significant segment expenses. The amendments in the ASU require, among other things, disclosure of significant segment expenses that are regularly provided to an entity's chief operating decision maker (“CODM”) and a description of other segment items (the difference between segment revenue less the segment expenses disclosed under the significant expense principle and each reported measure of segment profit or loss) by reportable segment, as well as disclosure of the title and position of the CODM, and an explanation of how the CODM uses the reported measure(s) of segment profit or loss in assessing segment performance and deciding how to allocate resources. Annual disclosures are required for fiscal years beginning after December 15, 2023 and interim disclosures are required for periods within fiscal years beginning after December 15, 2024. Retrospective application is required, and early adoption is permitted. These requirements will result in expanded disclosures.</w:t>
      </w:r>
    </w:p>
    <w:p>
      <w:pPr>
        <w:spacing w:after="0" w:line="185" w:lineRule="exact"/>
        <w:rPr>
          <w:sz w:val="20"/>
          <w:szCs w:val="20"/>
          <w:color w:val="auto"/>
        </w:rPr>
      </w:pPr>
    </w:p>
    <w:p>
      <w:pPr>
        <w:ind w:right="320" w:firstLine="509"/>
        <w:spacing w:after="0" w:line="281" w:lineRule="auto"/>
        <w:rPr>
          <w:sz w:val="20"/>
          <w:szCs w:val="20"/>
          <w:color w:val="auto"/>
        </w:rPr>
      </w:pPr>
      <w:r>
        <w:rPr>
          <w:rFonts w:ascii="Times New Roman" w:cs="Times New Roman" w:eastAsia="Times New Roman" w:hAnsi="Times New Roman"/>
          <w:sz w:val="17"/>
          <w:szCs w:val="17"/>
          <w:color w:val="auto"/>
        </w:rPr>
        <w:t xml:space="preserve">In December 2023, the FASB issued ASU 2023-09, </w:t>
      </w:r>
      <w:r>
        <w:rPr>
          <w:rFonts w:ascii="Times New Roman" w:cs="Times New Roman" w:eastAsia="Times New Roman" w:hAnsi="Times New Roman"/>
          <w:sz w:val="17"/>
          <w:szCs w:val="17"/>
          <w:i w:val="1"/>
          <w:iCs w:val="1"/>
          <w:color w:val="auto"/>
        </w:rPr>
        <w:t>Improvement to Income Tax Disclosures</w:t>
      </w:r>
      <w:r>
        <w:rPr>
          <w:rFonts w:ascii="Times New Roman" w:cs="Times New Roman" w:eastAsia="Times New Roman" w:hAnsi="Times New Roman"/>
          <w:sz w:val="17"/>
          <w:szCs w:val="17"/>
          <w:color w:val="auto"/>
        </w:rPr>
        <w:t>, which requires disclosure of disaggregated income taxes paid, prescribes standard categories for the components of the effective tax rate reconciliation, and modifies other income tax-related disclosures. ASU 2023-09 is effective for fiscal years beginning after December 15, 2024, may be applied prospectively or retrospectively, and allows for early adoption. These requirements are not expected to have an impact on the Company's financial statements and will expand income tax disclosures.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Public Offering</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On June 28, 2024, the Company completed a public offering of an aggregate 1,725,000 shares of common stock, par value $0.001 per share, including 225,000 shares of common stock sold pursuant to the exercise in full by the underwriters of their option to purchase additional shares, at a public offering price of $108.00 per share (the “Public Offering”). The Company received net proceeds of approximately $175.6 million, after deducting underwriting discounts and estimated offering expenses of approximately $10.7 million. The Company used approximately $81.4 million from the net proceeds of the Public Offering for the repayment of indebtedness outstanding under its credit facility and may use any remaining net proceeds of the Public Offering for general corporate purposes, including the Company’s previously announced planned acquisition of the personal care assets of Gentiva and any future acquisitions or investments. The Public Offering resulted in an increase to additional paid in capital of approximately $175.6 million on the Company’s Unaudited Condensed Consolidated Balance Sheets at June 30, 2024.</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Acquisition and Divestiture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On June 8, 2024, the Company entered into a definitive stock and asset purchase agreement (the “Gentiva Purchase Agreement”) to acquire the personal care operations of Curo Health Services, LLC, a Delaware limited liability company which does business as Gentiva (“Gentiva”), consisting of equity interests and certain assets and liabilities, for a purchase price of approximately $350.0 million, payable in full in cash at the closing, subject to typical adjustments for working capital and other customary items (collectively, the “Gentiva Acquisition”). The acquired business operates in Arizona, Arkansas, California, Missouri, North Carolina, Tennessee and Texas, and serves approximately 16,000 patients. The Company expects to close this acquisition following completion of regulatory approvals and subject to customary closing conditions and fund it through the Company’s existing revolving credit facility and a portion of the net proceeds from the Public Offering.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Divestiture</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May 21, 2024, the Company entered into a definitive asset purchase agreement to sell all of the Company’s New York operations for a purchase price of up to $23.0 million in cash, subject to certain adjustments, including adjustments for future operating requirements (the “New York Asset Sale”). The Company entered into a consulting agreement with the purchaser on May 21, 2024, as the transfer of clients and caregivers and payment for assets pursuant to the New York Asset Sale is occurring over time as regulatory approvals are received, coordination of the transfer of clients and caregivers occurs, and the change of control takes place. In connection with this transaction, the Company will cease operations in New York. During the three months ended June 30, 2024, the Company recorded $0.7 million in consulting fees and received a $4.6 million initial payment on the acquisition.</w:t>
      </w:r>
    </w:p>
    <w:p>
      <w:pPr>
        <w:spacing w:after="0" w:line="7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New York Asset Sale did not qualify as a discontinued operation because it did not represent a strategic shift that has or will have a major effect on the Company’s operation or financial results.</w:t>
      </w:r>
    </w:p>
    <w:p>
      <w:pPr>
        <w:spacing w:after="0" w:line="94"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As of May 21, 2024, the Company’s New York personal care operations met the criteria to be classified as held for sale. The carrying value does not exceed the fair market value and will result in a gain on divestiture once the transaction closes.</w:t>
      </w:r>
    </w:p>
    <w:p>
      <w:pPr>
        <w:spacing w:after="0" w:line="81"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carrying amounts of the assets and liabilities associated with our New York personal care operations included in our Unaudited Condensed Consolidated Balance Sheets as of June 30, 2024 were as follows (amounts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236"/>
        </w:trPr>
        <w:tc>
          <w:tcPr>
            <w:tcW w:w="9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auto"/>
            </w:tcBorders>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9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net of allowances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7,712</w:t>
            </w:r>
          </w:p>
        </w:tc>
        <w:tc>
          <w:tcPr>
            <w:tcW w:w="100" w:type="dxa"/>
            <w:vAlign w:val="bottom"/>
            <w:shd w:val="clear" w:color="auto" w:fill="CFF0FC"/>
          </w:tcPr>
          <w:p>
            <w:pPr>
              <w:spacing w:after="0"/>
              <w:rPr>
                <w:sz w:val="21"/>
                <w:szCs w:val="21"/>
                <w:color w:val="auto"/>
              </w:rPr>
            </w:pPr>
          </w:p>
        </w:tc>
      </w:tr>
      <w:tr>
        <w:trPr>
          <w:trHeight w:val="239"/>
        </w:trPr>
        <w:tc>
          <w:tcPr>
            <w:tcW w:w="9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r>
      <w:tr>
        <w:trPr>
          <w:trHeight w:val="236"/>
        </w:trPr>
        <w:tc>
          <w:tcPr>
            <w:tcW w:w="9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and amortization</w:t>
            </w: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0"/>
                <w:szCs w:val="20"/>
                <w:color w:val="auto"/>
              </w:rPr>
            </w:pPr>
          </w:p>
        </w:tc>
      </w:tr>
      <w:tr>
        <w:trPr>
          <w:trHeight w:val="247"/>
        </w:trPr>
        <w:tc>
          <w:tcPr>
            <w:tcW w:w="9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9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3,801</w:t>
            </w:r>
          </w:p>
        </w:tc>
        <w:tc>
          <w:tcPr>
            <w:tcW w:w="100" w:type="dxa"/>
            <w:vAlign w:val="bottom"/>
          </w:tcPr>
          <w:p>
            <w:pPr>
              <w:spacing w:after="0"/>
              <w:rPr>
                <w:sz w:val="20"/>
                <w:szCs w:val="20"/>
                <w:color w:val="auto"/>
              </w:rPr>
            </w:pPr>
          </w:p>
        </w:tc>
      </w:tr>
      <w:tr>
        <w:trPr>
          <w:trHeight w:val="247"/>
        </w:trPr>
        <w:tc>
          <w:tcPr>
            <w:tcW w:w="9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Intangibles, net of accumulated amortization</w:t>
            </w: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4,841</w:t>
            </w:r>
          </w:p>
        </w:tc>
        <w:tc>
          <w:tcPr>
            <w:tcW w:w="100" w:type="dxa"/>
            <w:vAlign w:val="bottom"/>
            <w:shd w:val="clear" w:color="auto" w:fill="CFF0FC"/>
          </w:tcPr>
          <w:p>
            <w:pPr>
              <w:spacing w:after="0"/>
              <w:rPr>
                <w:sz w:val="21"/>
                <w:szCs w:val="21"/>
                <w:color w:val="auto"/>
              </w:rPr>
            </w:pPr>
          </w:p>
        </w:tc>
      </w:tr>
      <w:tr>
        <w:trPr>
          <w:trHeight w:val="239"/>
        </w:trPr>
        <w:tc>
          <w:tcPr>
            <w:tcW w:w="9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assets, net</w:t>
            </w: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3,727</w:t>
            </w:r>
          </w:p>
        </w:tc>
        <w:tc>
          <w:tcPr>
            <w:tcW w:w="100" w:type="dxa"/>
            <w:vAlign w:val="bottom"/>
          </w:tcPr>
          <w:p>
            <w:pPr>
              <w:spacing w:after="0"/>
              <w:rPr>
                <w:sz w:val="20"/>
                <w:szCs w:val="20"/>
                <w:color w:val="auto"/>
              </w:rPr>
            </w:pPr>
          </w:p>
        </w:tc>
      </w:tr>
      <w:tr>
        <w:trPr>
          <w:trHeight w:val="236"/>
        </w:trPr>
        <w:tc>
          <w:tcPr>
            <w:tcW w:w="9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assets</w:t>
            </w:r>
          </w:p>
        </w:tc>
        <w:tc>
          <w:tcPr>
            <w:tcW w:w="24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20,118</w:t>
            </w:r>
          </w:p>
        </w:tc>
        <w:tc>
          <w:tcPr>
            <w:tcW w:w="100" w:type="dxa"/>
            <w:vAlign w:val="bottom"/>
          </w:tcPr>
          <w:p>
            <w:pPr>
              <w:spacing w:after="0"/>
              <w:rPr>
                <w:sz w:val="20"/>
                <w:szCs w:val="20"/>
                <w:color w:val="auto"/>
              </w:rPr>
            </w:pPr>
          </w:p>
        </w:tc>
      </w:tr>
      <w:tr>
        <w:trPr>
          <w:trHeight w:val="241"/>
        </w:trPr>
        <w:tc>
          <w:tcPr>
            <w:tcW w:w="9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9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6,340</w:t>
            </w:r>
          </w:p>
        </w:tc>
        <w:tc>
          <w:tcPr>
            <w:tcW w:w="100" w:type="dxa"/>
            <w:vAlign w:val="bottom"/>
            <w:shd w:val="clear" w:color="auto" w:fill="CFF0FC"/>
          </w:tcPr>
          <w:p>
            <w:pPr>
              <w:spacing w:after="0"/>
              <w:rPr>
                <w:sz w:val="21"/>
                <w:szCs w:val="21"/>
                <w:color w:val="auto"/>
              </w:rPr>
            </w:pPr>
          </w:p>
        </w:tc>
      </w:tr>
      <w:tr>
        <w:trPr>
          <w:trHeight w:val="239"/>
        </w:trPr>
        <w:tc>
          <w:tcPr>
            <w:tcW w:w="9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payroll</w:t>
            </w: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3,531</w:t>
            </w:r>
          </w:p>
        </w:tc>
        <w:tc>
          <w:tcPr>
            <w:tcW w:w="100" w:type="dxa"/>
            <w:vAlign w:val="bottom"/>
          </w:tcPr>
          <w:p>
            <w:pPr>
              <w:spacing w:after="0"/>
              <w:rPr>
                <w:sz w:val="20"/>
                <w:szCs w:val="20"/>
                <w:color w:val="auto"/>
              </w:rPr>
            </w:pPr>
          </w:p>
        </w:tc>
      </w:tr>
      <w:tr>
        <w:trPr>
          <w:trHeight w:val="247"/>
        </w:trPr>
        <w:tc>
          <w:tcPr>
            <w:tcW w:w="9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shd w:val="clear" w:color="auto" w:fill="CFF0FC"/>
          </w:tcPr>
          <w:p>
            <w:pPr>
              <w:spacing w:after="0"/>
              <w:rPr>
                <w:sz w:val="21"/>
                <w:szCs w:val="21"/>
                <w:color w:val="auto"/>
              </w:rPr>
            </w:pPr>
          </w:p>
        </w:tc>
      </w:tr>
      <w:tr>
        <w:trPr>
          <w:trHeight w:val="239"/>
        </w:trPr>
        <w:tc>
          <w:tcPr>
            <w:tcW w:w="9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tcPr>
          <w:p>
            <w:pPr>
              <w:spacing w:after="0"/>
              <w:rPr>
                <w:sz w:val="20"/>
                <w:szCs w:val="20"/>
                <w:color w:val="auto"/>
              </w:rPr>
            </w:pPr>
          </w:p>
        </w:tc>
      </w:tr>
      <w:tr>
        <w:trPr>
          <w:trHeight w:val="236"/>
        </w:trPr>
        <w:tc>
          <w:tcPr>
            <w:tcW w:w="9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95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14,243</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-2691130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-1748155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-488315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Amounts reported on the Company’s Unaudited Condensed Consolidated Balance Sheets for operating leases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69"/>
        </w:trPr>
        <w:tc>
          <w:tcPr>
            <w:tcW w:w="724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w:t>
            </w:r>
          </w:p>
        </w:tc>
        <w:tc>
          <w:tcPr>
            <w:tcW w:w="18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4"/>
                <w:szCs w:val="14"/>
                <w:color w:val="auto"/>
              </w:rPr>
            </w:pPr>
          </w:p>
        </w:tc>
      </w:tr>
      <w:tr>
        <w:trPr>
          <w:trHeight w:val="236"/>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assets, net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44,145</w:t>
            </w:r>
          </w:p>
        </w:tc>
        <w:tc>
          <w:tcPr>
            <w:tcW w:w="4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45,433</w:t>
            </w:r>
          </w:p>
        </w:tc>
        <w:tc>
          <w:tcPr>
            <w:tcW w:w="100" w:type="dxa"/>
            <w:vAlign w:val="bottom"/>
            <w:shd w:val="clear" w:color="auto" w:fill="CFF0FC"/>
          </w:tcPr>
          <w:p>
            <w:pPr>
              <w:spacing w:after="0"/>
              <w:rPr>
                <w:sz w:val="20"/>
                <w:szCs w:val="20"/>
                <w:color w:val="auto"/>
              </w:rPr>
            </w:pPr>
          </w:p>
        </w:tc>
      </w:tr>
      <w:tr>
        <w:trPr>
          <w:trHeight w:val="243"/>
        </w:trPr>
        <w:tc>
          <w:tcPr>
            <w:tcW w:w="7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operating lease liabilities (in accrued expenses)</w:t>
            </w:r>
          </w:p>
        </w:tc>
        <w:tc>
          <w:tcPr>
            <w:tcW w:w="30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11,224</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11,339</w:t>
            </w:r>
          </w:p>
        </w:tc>
        <w:tc>
          <w:tcPr>
            <w:tcW w:w="100" w:type="dxa"/>
            <w:vAlign w:val="bottom"/>
            <w:shd w:val="clear" w:color="auto" w:fill="CFF0FC"/>
          </w:tcPr>
          <w:p>
            <w:pPr>
              <w:spacing w:after="0"/>
              <w:rPr>
                <w:sz w:val="21"/>
                <w:szCs w:val="21"/>
                <w:color w:val="auto"/>
              </w:rPr>
            </w:pPr>
          </w:p>
        </w:tc>
      </w:tr>
      <w:tr>
        <w:trPr>
          <w:trHeight w:val="24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3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38,359</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39,711</w:t>
            </w:r>
          </w:p>
        </w:tc>
        <w:tc>
          <w:tcPr>
            <w:tcW w:w="100" w:type="dxa"/>
            <w:vAlign w:val="bottom"/>
          </w:tcPr>
          <w:p>
            <w:pPr>
              <w:spacing w:after="0"/>
              <w:rPr>
                <w:sz w:val="21"/>
                <w:szCs w:val="21"/>
                <w:color w:val="auto"/>
              </w:rPr>
            </w:pPr>
          </w:p>
        </w:tc>
      </w:tr>
      <w:tr>
        <w:trPr>
          <w:trHeight w:val="272"/>
        </w:trPr>
        <w:tc>
          <w:tcPr>
            <w:tcW w:w="7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49,583</w:t>
            </w:r>
          </w:p>
        </w:tc>
        <w:tc>
          <w:tcPr>
            <w:tcW w:w="26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51,050</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-25400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-8255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Costs</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Components of lease costs were reported in general and administrative expenses in the Company’s Unaudited Condensed Consolidated Statements of Income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3060" w:type="dxa"/>
            <w:vAlign w:val="bottom"/>
            <w:gridSpan w:val="7"/>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260" w:type="dxa"/>
            <w:vAlign w:val="bottom"/>
          </w:tcPr>
          <w:p>
            <w:pPr>
              <w:spacing w:after="0"/>
              <w:rPr>
                <w:sz w:val="13"/>
                <w:szCs w:val="13"/>
                <w:color w:val="auto"/>
              </w:rPr>
            </w:pPr>
          </w:p>
        </w:tc>
        <w:tc>
          <w:tcPr>
            <w:tcW w:w="2700" w:type="dxa"/>
            <w:vAlign w:val="bottom"/>
            <w:gridSpan w:val="10"/>
          </w:tcPr>
          <w:p>
            <w:pPr>
              <w:ind w:left="4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187"/>
        </w:trPr>
        <w:tc>
          <w:tcPr>
            <w:tcW w:w="5280" w:type="dxa"/>
            <w:vAlign w:val="bottom"/>
          </w:tcPr>
          <w:p>
            <w:pPr>
              <w:spacing w:after="0"/>
              <w:rPr>
                <w:sz w:val="16"/>
                <w:szCs w:val="16"/>
                <w:color w:val="auto"/>
              </w:rPr>
            </w:pPr>
          </w:p>
        </w:tc>
        <w:tc>
          <w:tcPr>
            <w:tcW w:w="2380" w:type="dxa"/>
            <w:vAlign w:val="bottom"/>
            <w:gridSpan w:val="5"/>
          </w:tcPr>
          <w:p>
            <w:pPr>
              <w:jc w:val="center"/>
              <w:ind w:left="381"/>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20" w:type="dxa"/>
            <w:vAlign w:val="bottom"/>
            <w:gridSpan w:val="9"/>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r>
      <w:tr>
        <w:trPr>
          <w:trHeight w:val="169"/>
        </w:trPr>
        <w:tc>
          <w:tcPr>
            <w:tcW w:w="528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top w:val="single" w:sz="8" w:color="auto"/>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gridSpan w:val="3"/>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6"/>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840" w:type="dxa"/>
            <w:vAlign w:val="bottom"/>
            <w:shd w:val="clear" w:color="auto" w:fill="CFF0FC"/>
          </w:tcPr>
          <w:p>
            <w:pPr>
              <w:jc w:val="right"/>
              <w:ind w:right="661"/>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3,373</w:t>
            </w: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spacing w:after="0"/>
              <w:rPr>
                <w:sz w:val="20"/>
                <w:szCs w:val="2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6,669</w:t>
            </w:r>
          </w:p>
        </w:tc>
        <w:tc>
          <w:tcPr>
            <w:tcW w:w="520" w:type="dxa"/>
            <w:vAlign w:val="bottom"/>
            <w:gridSpan w:val="3"/>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6,334</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costs</w:t>
            </w:r>
          </w:p>
        </w:tc>
        <w:tc>
          <w:tcPr>
            <w:tcW w:w="8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costs</w:t>
            </w:r>
          </w:p>
        </w:tc>
        <w:tc>
          <w:tcPr>
            <w:tcW w:w="84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3,576</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7,049</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7,034</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sublease income</w:t>
            </w:r>
          </w:p>
        </w:tc>
        <w:tc>
          <w:tcPr>
            <w:tcW w:w="84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(491 )</w:t>
            </w:r>
          </w:p>
        </w:tc>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(700 )</w:t>
            </w:r>
          </w:p>
        </w:tc>
        <w:tc>
          <w:tcPr>
            <w:tcW w:w="260" w:type="dxa"/>
            <w:vAlign w:val="bottom"/>
          </w:tcPr>
          <w:p>
            <w:pPr>
              <w:spacing w:after="0"/>
              <w:rPr>
                <w:sz w:val="21"/>
                <w:szCs w:val="21"/>
                <w:color w:val="auto"/>
              </w:rPr>
            </w:pPr>
          </w:p>
        </w:tc>
        <w:tc>
          <w:tcPr>
            <w:tcW w:w="11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(1,089 )</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(1,399 )</w:t>
            </w:r>
          </w:p>
        </w:tc>
        <w:tc>
          <w:tcPr>
            <w:tcW w:w="60" w:type="dxa"/>
            <w:vAlign w:val="bottom"/>
          </w:tcPr>
          <w:p>
            <w:pPr>
              <w:spacing w:after="0"/>
              <w:rPr>
                <w:sz w:val="21"/>
                <w:szCs w:val="21"/>
                <w:color w:val="auto"/>
              </w:rPr>
            </w:pPr>
          </w:p>
        </w:tc>
      </w:tr>
      <w:tr>
        <w:trPr>
          <w:trHeight w:val="272"/>
        </w:trPr>
        <w:tc>
          <w:tcPr>
            <w:tcW w:w="5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lease costs, net</w:t>
            </w:r>
          </w:p>
        </w:tc>
        <w:tc>
          <w:tcPr>
            <w:tcW w:w="840" w:type="dxa"/>
            <w:vAlign w:val="bottom"/>
            <w:tcBorders>
              <w:top w:val="single" w:sz="8" w:color="auto"/>
              <w:bottom w:val="single" w:sz="8" w:color="auto"/>
            </w:tcBorders>
            <w:shd w:val="clear" w:color="auto" w:fill="CFF0FC"/>
          </w:tcPr>
          <w:p>
            <w:pPr>
              <w:jc w:val="right"/>
              <w:ind w:right="661"/>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240" w:type="dxa"/>
            <w:vAlign w:val="bottom"/>
            <w:tcBorders>
              <w:bottom w:val="single" w:sz="8" w:color="CFF0FC"/>
            </w:tcBorders>
            <w:shd w:val="clear" w:color="auto" w:fill="CFF0FC"/>
          </w:tcPr>
          <w:p>
            <w:pPr>
              <w:spacing w:after="0"/>
              <w:rPr>
                <w:sz w:val="23"/>
                <w:szCs w:val="23"/>
                <w:color w:val="auto"/>
              </w:rPr>
            </w:pPr>
          </w:p>
        </w:tc>
        <w:tc>
          <w:tcPr>
            <w:tcW w:w="360" w:type="dxa"/>
            <w:vAlign w:val="bottom"/>
            <w:tcBorders>
              <w:top w:val="single" w:sz="8" w:color="auto"/>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FF0FC"/>
          </w:tcPr>
          <w:p>
            <w:pPr>
              <w:spacing w:after="0"/>
              <w:rPr>
                <w:sz w:val="23"/>
                <w:szCs w:val="23"/>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24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5,960</w:t>
            </w:r>
          </w:p>
        </w:tc>
        <w:tc>
          <w:tcPr>
            <w:tcW w:w="220" w:type="dxa"/>
            <w:vAlign w:val="bottom"/>
            <w:tcBorders>
              <w:bottom w:val="single" w:sz="8" w:color="CFF0FC"/>
            </w:tcBorders>
            <w:gridSpan w:val="2"/>
            <w:shd w:val="clear" w:color="auto" w:fill="CFF0FC"/>
          </w:tcPr>
          <w:p>
            <w:pPr>
              <w:spacing w:after="0"/>
              <w:rPr>
                <w:sz w:val="23"/>
                <w:szCs w:val="23"/>
                <w:color w:val="auto"/>
              </w:rPr>
            </w:pP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5,635</w:t>
            </w:r>
          </w:p>
        </w:tc>
        <w:tc>
          <w:tcPr>
            <w:tcW w:w="100" w:type="dxa"/>
            <w:vAlign w:val="bottom"/>
            <w:tcBorders>
              <w:bottom w:val="single" w:sz="8" w:color="CFF0FC"/>
            </w:tcBorders>
            <w:shd w:val="clear" w:color="auto" w:fill="CFF0FC"/>
          </w:tcPr>
          <w:p>
            <w:pPr>
              <w:spacing w:after="0"/>
              <w:rPr>
                <w:sz w:val="23"/>
                <w:szCs w:val="23"/>
                <w:color w:val="auto"/>
              </w:rPr>
            </w:pPr>
          </w:p>
        </w:tc>
        <w:tc>
          <w:tcPr>
            <w:tcW w:w="60" w:type="dxa"/>
            <w:vAlign w:val="bottom"/>
          </w:tcPr>
          <w:p>
            <w:pPr>
              <w:spacing w:after="0"/>
              <w:rPr>
                <w:sz w:val="23"/>
                <w:szCs w:val="23"/>
                <w:color w:val="auto"/>
              </w:rPr>
            </w:pPr>
          </w:p>
        </w:tc>
      </w:tr>
      <w:tr>
        <w:trPr>
          <w:trHeight w:val="565"/>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Lease Term and Discount Rate</w:t>
            </w: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61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Weighted average remaining lease terms and discount rates were as follows:</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5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63"/>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84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480" w:type="dxa"/>
            <w:vAlign w:val="bottom"/>
            <w:tcBorders>
              <w:top w:val="single" w:sz="8" w:color="auto"/>
            </w:tcBorders>
            <w:shd w:val="clear" w:color="auto" w:fill="CFF0FC"/>
          </w:tcPr>
          <w:p>
            <w:pPr>
              <w:spacing w:after="0"/>
              <w:rPr>
                <w:sz w:val="22"/>
                <w:szCs w:val="22"/>
                <w:color w:val="auto"/>
              </w:rPr>
            </w:pPr>
          </w:p>
        </w:tc>
        <w:tc>
          <w:tcPr>
            <w:tcW w:w="440" w:type="dxa"/>
            <w:vAlign w:val="bottom"/>
            <w:tcBorders>
              <w:top w:val="single" w:sz="8" w:color="auto"/>
            </w:tcBorders>
            <w:shd w:val="clear" w:color="auto" w:fill="CFF0FC"/>
          </w:tcPr>
          <w:p>
            <w:pPr>
              <w:spacing w:after="0"/>
              <w:rPr>
                <w:sz w:val="22"/>
                <w:szCs w:val="22"/>
                <w:color w:val="auto"/>
              </w:rPr>
            </w:pPr>
          </w:p>
        </w:tc>
        <w:tc>
          <w:tcPr>
            <w:tcW w:w="240" w:type="dxa"/>
            <w:vAlign w:val="bottom"/>
            <w:tcBorders>
              <w:top w:val="single" w:sz="8" w:color="auto"/>
            </w:tcBorders>
            <w:shd w:val="clear" w:color="auto" w:fill="CFF0FC"/>
          </w:tcPr>
          <w:p>
            <w:pPr>
              <w:spacing w:after="0"/>
              <w:rPr>
                <w:sz w:val="22"/>
                <w:szCs w:val="22"/>
                <w:color w:val="auto"/>
              </w:rPr>
            </w:pPr>
          </w:p>
        </w:tc>
        <w:tc>
          <w:tcPr>
            <w:tcW w:w="260" w:type="dxa"/>
            <w:vAlign w:val="bottom"/>
            <w:tcBorders>
              <w:top w:val="single" w:sz="8" w:color="auto"/>
            </w:tcBorders>
            <w:shd w:val="clear" w:color="auto" w:fill="CFF0FC"/>
          </w:tcPr>
          <w:p>
            <w:pPr>
              <w:spacing w:after="0"/>
              <w:rPr>
                <w:sz w:val="22"/>
                <w:szCs w:val="22"/>
                <w:color w:val="auto"/>
              </w:rPr>
            </w:pPr>
          </w:p>
        </w:tc>
        <w:tc>
          <w:tcPr>
            <w:tcW w:w="280" w:type="dxa"/>
            <w:vAlign w:val="bottom"/>
            <w:tcBorders>
              <w:top w:val="single" w:sz="8" w:color="auto"/>
            </w:tcBorders>
            <w:shd w:val="clear" w:color="auto" w:fill="CFF0FC"/>
          </w:tcPr>
          <w:p>
            <w:pPr>
              <w:spacing w:after="0"/>
              <w:rPr>
                <w:sz w:val="22"/>
                <w:szCs w:val="22"/>
                <w:color w:val="auto"/>
              </w:rPr>
            </w:pPr>
          </w:p>
        </w:tc>
        <w:tc>
          <w:tcPr>
            <w:tcW w:w="180" w:type="dxa"/>
            <w:vAlign w:val="bottom"/>
            <w:tcBorders>
              <w:top w:val="single" w:sz="8" w:color="auto"/>
            </w:tcBorders>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360" w:type="dxa"/>
            <w:vAlign w:val="bottom"/>
            <w:tcBorders>
              <w:top w:val="single" w:sz="8" w:color="auto"/>
            </w:tcBorders>
            <w:shd w:val="clear" w:color="auto" w:fill="CFF0FC"/>
          </w:tcPr>
          <w:p>
            <w:pPr>
              <w:spacing w:after="0"/>
              <w:rPr>
                <w:sz w:val="22"/>
                <w:szCs w:val="22"/>
                <w:color w:val="auto"/>
              </w:rPr>
            </w:pPr>
          </w:p>
        </w:tc>
        <w:tc>
          <w:tcPr>
            <w:tcW w:w="100" w:type="dxa"/>
            <w:vAlign w:val="bottom"/>
            <w:tcBorders>
              <w:top w:val="single" w:sz="8" w:color="auto"/>
            </w:tcBorders>
            <w:shd w:val="clear" w:color="auto" w:fill="CFF0FC"/>
          </w:tcPr>
          <w:p>
            <w:pPr>
              <w:spacing w:after="0"/>
              <w:rPr>
                <w:sz w:val="22"/>
                <w:szCs w:val="22"/>
                <w:color w:val="auto"/>
              </w:rPr>
            </w:pPr>
          </w:p>
        </w:tc>
        <w:tc>
          <w:tcPr>
            <w:tcW w:w="120" w:type="dxa"/>
            <w:vAlign w:val="bottom"/>
            <w:tcBorders>
              <w:top w:val="single" w:sz="8" w:color="auto"/>
            </w:tcBorders>
            <w:shd w:val="clear" w:color="auto" w:fill="CFF0FC"/>
          </w:tcPr>
          <w:p>
            <w:pPr>
              <w:spacing w:after="0"/>
              <w:rPr>
                <w:sz w:val="22"/>
                <w:szCs w:val="22"/>
                <w:color w:val="auto"/>
              </w:rPr>
            </w:pPr>
          </w:p>
        </w:tc>
        <w:tc>
          <w:tcPr>
            <w:tcW w:w="300" w:type="dxa"/>
            <w:vAlign w:val="bottom"/>
            <w:tcBorders>
              <w:top w:val="single" w:sz="8" w:color="auto"/>
            </w:tcBorders>
            <w:shd w:val="clear" w:color="auto" w:fill="CFF0FC"/>
          </w:tcPr>
          <w:p>
            <w:pPr>
              <w:spacing w:after="0"/>
              <w:rPr>
                <w:sz w:val="22"/>
                <w:szCs w:val="22"/>
                <w:color w:val="auto"/>
              </w:rPr>
            </w:pPr>
          </w:p>
        </w:tc>
        <w:tc>
          <w:tcPr>
            <w:tcW w:w="100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60" w:type="dxa"/>
            <w:vAlign w:val="bottom"/>
          </w:tcPr>
          <w:p>
            <w:pPr>
              <w:spacing w:after="0"/>
              <w:rPr>
                <w:sz w:val="22"/>
                <w:szCs w:val="22"/>
                <w:color w:val="auto"/>
              </w:rPr>
            </w:pPr>
          </w:p>
        </w:tc>
      </w:tr>
      <w:tr>
        <w:trPr>
          <w:trHeight w:val="234"/>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5.98</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5.80 %</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5.47 %</w:t>
            </w:r>
          </w:p>
        </w:tc>
      </w:tr>
      <w:tr>
        <w:trPr>
          <w:trHeight w:val="594"/>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Maturity of Lease Liabilities</w:t>
            </w: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61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Remaining operating lease payments as of June 30, 2024 were as follows:</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5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5"/>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60" w:type="dxa"/>
            <w:vAlign w:val="bottom"/>
            <w:gridSpan w:val="2"/>
          </w:tcPr>
          <w:p>
            <w:pPr>
              <w:spacing w:after="0"/>
              <w:rPr>
                <w:sz w:val="24"/>
                <w:szCs w:val="24"/>
                <w:color w:val="auto"/>
              </w:rPr>
            </w:pPr>
          </w:p>
        </w:tc>
      </w:tr>
      <w:tr>
        <w:trPr>
          <w:trHeight w:val="250"/>
        </w:trPr>
        <w:tc>
          <w:tcPr>
            <w:tcW w:w="5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40" w:type="dxa"/>
            <w:vAlign w:val="bottom"/>
            <w:gridSpan w:val="8"/>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r>
      <w:tr>
        <w:trPr>
          <w:trHeight w:val="237"/>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Due in the 12-month period ended June 30,</w:t>
            </w:r>
          </w:p>
        </w:tc>
        <w:tc>
          <w:tcPr>
            <w:tcW w:w="8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2025</w:t>
            </w: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2026</w:t>
            </w:r>
          </w:p>
        </w:tc>
        <w:tc>
          <w:tcPr>
            <w:tcW w:w="8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2027</w:t>
            </w: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2028</w:t>
            </w:r>
          </w:p>
        </w:tc>
        <w:tc>
          <w:tcPr>
            <w:tcW w:w="84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2029</w:t>
            </w: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2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Thereafter</w:t>
            </w:r>
          </w:p>
        </w:tc>
        <w:tc>
          <w:tcPr>
            <w:tcW w:w="84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17,799</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future minimum rental commitments</w:t>
            </w: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59,337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6"/>
        </w:trPr>
        <w:tc>
          <w:tcPr>
            <w:tcW w:w="5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 Imputed interest</w:t>
            </w:r>
          </w:p>
        </w:tc>
        <w:tc>
          <w:tcPr>
            <w:tcW w:w="8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(9,754 )</w:t>
            </w:r>
          </w:p>
        </w:tc>
        <w:tc>
          <w:tcPr>
            <w:tcW w:w="60" w:type="dxa"/>
            <w:vAlign w:val="bottom"/>
          </w:tcPr>
          <w:p>
            <w:pPr>
              <w:spacing w:after="0"/>
              <w:rPr>
                <w:sz w:val="20"/>
                <w:szCs w:val="20"/>
                <w:color w:val="auto"/>
              </w:rPr>
            </w:pPr>
          </w:p>
        </w:tc>
      </w:tr>
      <w:tr>
        <w:trPr>
          <w:trHeight w:val="236"/>
        </w:trPr>
        <w:tc>
          <w:tcPr>
            <w:tcW w:w="52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840" w:type="dxa"/>
            <w:vAlign w:val="bottom"/>
            <w:tcBorders>
              <w:top w:val="single" w:sz="8" w:color="CFF0FC"/>
            </w:tcBorders>
          </w:tcPr>
          <w:p>
            <w:pPr>
              <w:spacing w:after="0"/>
              <w:rPr>
                <w:sz w:val="20"/>
                <w:szCs w:val="20"/>
                <w:color w:val="auto"/>
              </w:rPr>
            </w:pPr>
          </w:p>
        </w:tc>
        <w:tc>
          <w:tcPr>
            <w:tcW w:w="460" w:type="dxa"/>
            <w:vAlign w:val="bottom"/>
            <w:tcBorders>
              <w:top w:val="single" w:sz="8" w:color="CFF0FC"/>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360" w:type="dxa"/>
            <w:vAlign w:val="bottom"/>
            <w:tcBorders>
              <w:top w:val="single" w:sz="8" w:color="CFF0FC"/>
            </w:tcBorders>
          </w:tcPr>
          <w:p>
            <w:pPr>
              <w:spacing w:after="0"/>
              <w:rPr>
                <w:sz w:val="20"/>
                <w:szCs w:val="20"/>
                <w:color w:val="auto"/>
              </w:rPr>
            </w:pPr>
          </w:p>
        </w:tc>
        <w:tc>
          <w:tcPr>
            <w:tcW w:w="480" w:type="dxa"/>
            <w:vAlign w:val="bottom"/>
            <w:tcBorders>
              <w:top w:val="single" w:sz="8" w:color="CFF0FC"/>
            </w:tcBorders>
          </w:tcPr>
          <w:p>
            <w:pPr>
              <w:spacing w:after="0"/>
              <w:rPr>
                <w:sz w:val="20"/>
                <w:szCs w:val="20"/>
                <w:color w:val="auto"/>
              </w:rPr>
            </w:pPr>
          </w:p>
        </w:tc>
        <w:tc>
          <w:tcPr>
            <w:tcW w:w="440" w:type="dxa"/>
            <w:vAlign w:val="bottom"/>
            <w:tcBorders>
              <w:top w:val="single" w:sz="8" w:color="CFF0FC"/>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49,583</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5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-4019550</wp:posOffset>
            </wp:positionV>
            <wp:extent cx="7683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-4002405</wp:posOffset>
            </wp:positionV>
            <wp:extent cx="768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-4019550</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-4002405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-4019550</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-4002405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-4019550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-4002405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-2794000</wp:posOffset>
            </wp:positionV>
            <wp:extent cx="7132320" cy="1543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300"/>
          </w:cols>
          <w:pgMar w:left="320" w:top="765" w:right="27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5" w:right="27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Cash Flows Information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20" w:type="dxa"/>
            <w:vAlign w:val="bottom"/>
            <w:gridSpan w:val="8"/>
          </w:tcPr>
          <w:p>
            <w:pPr>
              <w:jc w:val="center"/>
              <w:ind w:left="539"/>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5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spacing w:after="0"/>
              <w:rPr>
                <w:sz w:val="20"/>
                <w:szCs w:val="20"/>
                <w:color w:val="auto"/>
              </w:rPr>
            </w:pPr>
          </w:p>
        </w:tc>
        <w:tc>
          <w:tcPr>
            <w:tcW w:w="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98"/>
              </w:rPr>
              <w:t>7,224</w:t>
            </w:r>
          </w:p>
        </w:tc>
        <w:tc>
          <w:tcPr>
            <w:tcW w:w="180" w:type="dxa"/>
            <w:vAlign w:val="bottom"/>
          </w:tcPr>
          <w:p>
            <w:pPr>
              <w:spacing w:after="0"/>
              <w:rPr>
                <w:sz w:val="20"/>
                <w:szCs w:val="20"/>
                <w:color w:val="auto"/>
              </w:rPr>
            </w:pPr>
          </w:p>
        </w:tc>
        <w:tc>
          <w:tcPr>
            <w:tcW w:w="5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7,010</w:t>
            </w: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spacing w:after="0"/>
              <w:rPr>
                <w:sz w:val="21"/>
                <w:szCs w:val="21"/>
                <w:color w:val="auto"/>
              </w:rPr>
            </w:pPr>
          </w:p>
        </w:tc>
        <w:tc>
          <w:tcPr>
            <w:tcW w:w="6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w w:val="98"/>
              </w:rPr>
              <w:t>4,509</w:t>
            </w:r>
          </w:p>
        </w:tc>
        <w:tc>
          <w:tcPr>
            <w:tcW w:w="18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14,415</w:t>
            </w:r>
          </w:p>
        </w:tc>
        <w:tc>
          <w:tcPr>
            <w:tcW w:w="100" w:type="dxa"/>
            <w:vAlign w:val="bottom"/>
            <w:shd w:val="clear" w:color="auto" w:fill="CFF0FC"/>
          </w:tcPr>
          <w:p>
            <w:pPr>
              <w:spacing w:after="0"/>
              <w:rPr>
                <w:sz w:val="21"/>
                <w:szCs w:val="21"/>
                <w:color w:val="auto"/>
              </w:rPr>
            </w:pPr>
          </w:p>
        </w:tc>
      </w:tr>
      <w:tr>
        <w:trPr>
          <w:trHeight w:val="743"/>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Goodwill and Intangible Assets</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58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 summary of the goodwill and related adjustments is provided below:</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58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Hospice</w:t>
            </w:r>
          </w:p>
        </w:tc>
        <w:tc>
          <w:tcPr>
            <w:tcW w:w="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Personal Care</w:t>
            </w:r>
          </w:p>
        </w:tc>
        <w:tc>
          <w:tcPr>
            <w:tcW w:w="240" w:type="dxa"/>
            <w:vAlign w:val="bottom"/>
          </w:tcPr>
          <w:p>
            <w:pPr>
              <w:spacing w:after="0"/>
              <w:rPr>
                <w:sz w:val="24"/>
                <w:szCs w:val="24"/>
                <w:color w:val="auto"/>
              </w:rPr>
            </w:pPr>
          </w:p>
        </w:tc>
        <w:tc>
          <w:tcPr>
            <w:tcW w:w="11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Home Health</w:t>
            </w:r>
          </w:p>
        </w:tc>
        <w:tc>
          <w:tcPr>
            <w:tcW w:w="2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24"/>
                <w:szCs w:val="24"/>
                <w:color w:val="auto"/>
              </w:rPr>
            </w:pPr>
          </w:p>
        </w:tc>
      </w:tr>
      <w:tr>
        <w:trPr>
          <w:trHeight w:val="183"/>
        </w:trPr>
        <w:tc>
          <w:tcPr>
            <w:tcW w:w="58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 as of December 31, 2023</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432,799</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153,276</w:t>
            </w:r>
          </w:p>
        </w:tc>
        <w:tc>
          <w:tcPr>
            <w:tcW w:w="6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0"/>
                <w:szCs w:val="20"/>
                <w:color w:val="auto"/>
              </w:rPr>
            </w:pP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76,920</w:t>
            </w: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662,995</w:t>
            </w:r>
          </w:p>
        </w:tc>
        <w:tc>
          <w:tcPr>
            <w:tcW w:w="100" w:type="dxa"/>
            <w:vAlign w:val="bottom"/>
            <w:shd w:val="clear" w:color="auto" w:fill="CFF0FC"/>
          </w:tcPr>
          <w:p>
            <w:pPr>
              <w:spacing w:after="0"/>
              <w:rPr>
                <w:sz w:val="20"/>
                <w:szCs w:val="20"/>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acquisitions</w:t>
            </w:r>
          </w:p>
        </w:tc>
        <w:tc>
          <w:tcPr>
            <w:tcW w:w="22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20"/>
                <w:szCs w:val="20"/>
                <w:color w:val="auto"/>
              </w:rPr>
            </w:pPr>
          </w:p>
        </w:tc>
      </w:tr>
      <w:tr>
        <w:trPr>
          <w:trHeight w:val="243"/>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previously recorded goodwill</w:t>
            </w: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2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as of June 30, 2024</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432,837</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153,676</w:t>
            </w:r>
          </w:p>
        </w:tc>
        <w:tc>
          <w:tcPr>
            <w:tcW w:w="6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77,338</w:t>
            </w:r>
          </w:p>
        </w:tc>
        <w:tc>
          <w:tcPr>
            <w:tcW w:w="240" w:type="dxa"/>
            <w:vAlign w:val="bottom"/>
          </w:tcPr>
          <w:p>
            <w:pPr>
              <w:spacing w:after="0"/>
              <w:rPr>
                <w:sz w:val="20"/>
                <w:szCs w:val="20"/>
                <w:color w:val="auto"/>
              </w:rPr>
            </w:pPr>
          </w:p>
        </w:tc>
        <w:tc>
          <w:tcPr>
            <w:tcW w:w="38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663,851</w:t>
            </w:r>
          </w:p>
        </w:tc>
        <w:tc>
          <w:tcPr>
            <w:tcW w:w="100" w:type="dxa"/>
            <w:vAlign w:val="bottom"/>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-187960</wp:posOffset>
            </wp:positionV>
            <wp:extent cx="768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On March 9, 2024, the Company completed its acquisition of the operations of Upstate Home Care Solutions (“Upstate”) for $0.4 million. With the purchase of Upstate, the Company expanded its personal care services segment in South Carolina. In connection with the Upstate acquisition, the Company recognized goodwill in its personal care segment of $0.4 million during the six months ended June 30, 2024.</w:t>
      </w:r>
    </w:p>
    <w:p>
      <w:pPr>
        <w:spacing w:after="0" w:line="17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Company’s identifiable intangible assets consist of customer and referral relationships, trade names and trademarks, non-competition agreements and state licenses. Amortization is computed using straight-line and accelerated methods based upon the estimated useful lives of the respective assets, which range from one to twenty years. Customer and referral relationships are amortized systematically over the periods of expected economic benefit, which range from five to ten years.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carrying amount and accumulated amortization of each identifiable intangible asset category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760" w:type="dxa"/>
            <w:vAlign w:val="bottom"/>
            <w:gridSpan w:val="5"/>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380" w:type="dxa"/>
            <w:vAlign w:val="bottom"/>
          </w:tcPr>
          <w:p>
            <w:pPr>
              <w:spacing w:after="0"/>
              <w:rPr>
                <w:sz w:val="16"/>
                <w:szCs w:val="16"/>
                <w:color w:val="auto"/>
              </w:rPr>
            </w:pPr>
          </w:p>
        </w:tc>
        <w:tc>
          <w:tcPr>
            <w:tcW w:w="13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Estimated Useful</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38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080" w:type="dxa"/>
            <w:vAlign w:val="bottom"/>
            <w:gridSpan w:val="2"/>
          </w:tcPr>
          <w:p>
            <w:pPr>
              <w:jc w:val="right"/>
              <w:ind w:right="13"/>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80" w:type="dxa"/>
            <w:vAlign w:val="bottom"/>
          </w:tcPr>
          <w:p>
            <w:pPr>
              <w:spacing w:after="0"/>
              <w:rPr>
                <w:sz w:val="11"/>
                <w:szCs w:val="11"/>
                <w:color w:val="auto"/>
              </w:rPr>
            </w:pPr>
          </w:p>
        </w:tc>
        <w:tc>
          <w:tcPr>
            <w:tcW w:w="1280" w:type="dxa"/>
            <w:vAlign w:val="bottom"/>
            <w:gridSpan w:val="3"/>
          </w:tcPr>
          <w:p>
            <w:pPr>
              <w:jc w:val="right"/>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1"/>
                <w:szCs w:val="11"/>
                <w:color w:val="auto"/>
              </w:rPr>
            </w:pPr>
          </w:p>
        </w:tc>
        <w:tc>
          <w:tcPr>
            <w:tcW w:w="920" w:type="dxa"/>
            <w:vAlign w:val="bottom"/>
          </w:tcPr>
          <w:p>
            <w:pPr>
              <w:jc w:val="right"/>
              <w:ind w:right="55"/>
              <w:spacing w:after="0" w:line="131"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20" w:type="dxa"/>
            <w:vAlign w:val="bottom"/>
          </w:tcPr>
          <w:p>
            <w:pPr>
              <w:spacing w:after="0"/>
              <w:rPr>
                <w:sz w:val="11"/>
                <w:szCs w:val="11"/>
                <w:color w:val="auto"/>
              </w:rPr>
            </w:pPr>
          </w:p>
        </w:tc>
        <w:tc>
          <w:tcPr>
            <w:tcW w:w="108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carrying value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380" w:type="dxa"/>
            <w:vAlign w:val="bottom"/>
          </w:tcPr>
          <w:p>
            <w:pPr>
              <w:spacing w:after="0"/>
              <w:rPr>
                <w:sz w:val="16"/>
                <w:szCs w:val="16"/>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240" w:type="dxa"/>
            <w:vAlign w:val="bottom"/>
          </w:tcPr>
          <w:p>
            <w:pPr>
              <w:spacing w:after="0"/>
              <w:rPr>
                <w:sz w:val="16"/>
                <w:szCs w:val="16"/>
                <w:color w:val="auto"/>
              </w:rPr>
            </w:pPr>
          </w:p>
        </w:tc>
        <w:tc>
          <w:tcPr>
            <w:tcW w:w="84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6"/>
                <w:szCs w:val="16"/>
                <w:color w:val="auto"/>
              </w:rPr>
            </w:pPr>
          </w:p>
        </w:tc>
        <w:tc>
          <w:tcPr>
            <w:tcW w:w="92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6"/>
                <w:szCs w:val="16"/>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38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Customer and referral</w:t>
            </w:r>
          </w:p>
        </w:tc>
        <w:tc>
          <w:tcPr>
            <w:tcW w:w="120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relationships</w:t>
            </w:r>
          </w:p>
        </w:tc>
        <w:tc>
          <w:tcPr>
            <w:tcW w:w="134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rPr>
              <w:t>5-10 years</w:t>
            </w:r>
          </w:p>
        </w:tc>
        <w:tc>
          <w:tcPr>
            <w:tcW w:w="2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44,672</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(40,248 )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4,424</w:t>
            </w:r>
          </w:p>
        </w:tc>
        <w:tc>
          <w:tcPr>
            <w:tcW w:w="100" w:type="dxa"/>
            <w:vAlign w:val="bottom"/>
            <w:shd w:val="clear" w:color="auto" w:fill="CFF0FC"/>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44,672</w:t>
            </w:r>
          </w:p>
        </w:tc>
        <w:tc>
          <w:tcPr>
            <w:tcW w:w="4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(39,566 )</w:t>
            </w:r>
          </w:p>
        </w:tc>
        <w:tc>
          <w:tcPr>
            <w:tcW w:w="46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1-20 years</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59,566</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(25,360 )</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59,566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(23,857 )</w:t>
            </w:r>
          </w:p>
        </w:tc>
        <w:tc>
          <w:tcPr>
            <w:tcW w:w="4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Non-competition agreement</w:t>
            </w:r>
          </w:p>
        </w:tc>
        <w:tc>
          <w:tcPr>
            <w:tcW w:w="134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8"/>
                <w:szCs w:val="18"/>
                <w:color w:val="auto"/>
              </w:rPr>
              <w:t>3-5 years</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6,785</w:t>
            </w: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(6,009 )</w:t>
            </w:r>
          </w:p>
        </w:tc>
        <w:tc>
          <w:tcPr>
            <w:tcW w:w="1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shd w:val="clear" w:color="auto" w:fill="CFF0FC"/>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6,785</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(5,601 )</w:t>
            </w:r>
          </w:p>
        </w:tc>
        <w:tc>
          <w:tcPr>
            <w:tcW w:w="46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Licenses</w:t>
            </w: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6-10 years</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12,671</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(10,007 )</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(9,015 )</w:t>
            </w:r>
          </w:p>
        </w:tc>
        <w:tc>
          <w:tcPr>
            <w:tcW w:w="4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State Licenses</w:t>
            </w:r>
          </w:p>
        </w:tc>
        <w:tc>
          <w:tcPr>
            <w:tcW w:w="1340" w:type="dxa"/>
            <w:vAlign w:val="bottom"/>
            <w:tcBorders>
              <w:bottom w:val="single" w:sz="8" w:color="CFF0FC"/>
            </w:tcBorders>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9"/>
              </w:rPr>
              <w:t>Indefinite</w:t>
            </w:r>
          </w:p>
        </w:tc>
        <w:tc>
          <w:tcPr>
            <w:tcW w:w="2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46,328</w:t>
            </w:r>
          </w:p>
        </w:tc>
        <w:tc>
          <w:tcPr>
            <w:tcW w:w="2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46,328</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46,328</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46,328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170,022</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(81,624 )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88,398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170,022</w:t>
            </w:r>
          </w:p>
        </w:tc>
        <w:tc>
          <w:tcPr>
            <w:tcW w:w="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(78,039 )</w:t>
            </w:r>
          </w:p>
        </w:tc>
        <w:tc>
          <w:tcPr>
            <w:tcW w:w="46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-187960</wp:posOffset>
            </wp:positionV>
            <wp:extent cx="774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-187960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-187960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-187960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-187960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4" w:lineRule="exact"/>
        <w:rPr>
          <w:sz w:val="20"/>
          <w:szCs w:val="20"/>
          <w:color w:val="auto"/>
        </w:rPr>
      </w:pPr>
    </w:p>
    <w:p>
      <w:pPr>
        <w:ind w:right="20" w:firstLine="509"/>
        <w:spacing w:after="0" w:line="274" w:lineRule="auto"/>
        <w:rPr>
          <w:sz w:val="20"/>
          <w:szCs w:val="20"/>
          <w:color w:val="auto"/>
        </w:rPr>
      </w:pPr>
      <w:r>
        <w:rPr>
          <w:rFonts w:ascii="Times New Roman" w:cs="Times New Roman" w:eastAsia="Times New Roman" w:hAnsi="Times New Roman"/>
          <w:sz w:val="18"/>
          <w:szCs w:val="18"/>
          <w:color w:val="auto"/>
        </w:rPr>
        <w:t>Amortization expense related to the intangible assets was $1.8 million and $3.6 million for the three and six months ended June 30, 2024, respectively, and $1.7 million and $3.5 million for the three and six months ended June 30, 2023, respectively. The weighted average remaining useful lives of identifiable intangible assets as of June 30, 2024 was 10.1 years.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Details of Certain Balance Sheet Accounts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40" w:type="dxa"/>
            <w:vAlign w:val="bottom"/>
            <w:gridSpan w:val="6"/>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payroll</w:t>
            </w: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workers' compensation and liability insurance</w:t>
            </w: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4,411</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licensing fees</w:t>
            </w:r>
          </w:p>
        </w:tc>
        <w:tc>
          <w:tcPr>
            <w:tcW w:w="5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4,874</w:t>
            </w: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Workers' compensation insurance receivable</w:t>
            </w: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623</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2,580</w:t>
            </w:r>
          </w:p>
        </w:tc>
        <w:tc>
          <w:tcPr>
            <w:tcW w:w="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12,488</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18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rPr>
              <w:t>Accrued expenses consisted of the following:</w:t>
            </w:r>
          </w:p>
        </w:tc>
        <w:tc>
          <w:tcPr>
            <w:tcW w:w="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718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180" w:type="dxa"/>
            <w:vAlign w:val="bottom"/>
          </w:tcPr>
          <w:p>
            <w:pPr>
              <w:spacing w:after="0"/>
              <w:rPr>
                <w:sz w:val="24"/>
                <w:szCs w:val="24"/>
                <w:color w:val="auto"/>
              </w:rPr>
            </w:pPr>
          </w:p>
        </w:tc>
        <w:tc>
          <w:tcPr>
            <w:tcW w:w="212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84"/>
        </w:trPr>
        <w:tc>
          <w:tcPr>
            <w:tcW w:w="718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w:t>
            </w:r>
          </w:p>
        </w:tc>
        <w:tc>
          <w:tcPr>
            <w:tcW w:w="10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7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health benefits</w:t>
            </w:r>
          </w:p>
        </w:tc>
        <w:tc>
          <w:tcPr>
            <w:tcW w:w="5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7,061</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8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Payor advances </w:t>
            </w:r>
            <w:r>
              <w:rPr>
                <w:rFonts w:ascii="Times New Roman" w:cs="Times New Roman" w:eastAsia="Times New Roman" w:hAnsi="Times New Roman"/>
                <w:sz w:val="24"/>
                <w:szCs w:val="24"/>
                <w:color w:val="auto"/>
                <w:vertAlign w:val="superscript"/>
              </w:rPr>
              <w:t>(1)</w:t>
            </w: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professional fees</w:t>
            </w:r>
          </w:p>
        </w:tc>
        <w:tc>
          <w:tcPr>
            <w:tcW w:w="5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8,389</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payroll and other taxes</w:t>
            </w: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180" w:type="dxa"/>
            <w:vAlign w:val="bottom"/>
            <w:tcBorders>
              <w:bottom w:val="single" w:sz="8" w:color="CFF0FC"/>
            </w:tcBorders>
            <w:shd w:val="clear" w:color="auto" w:fill="CFF0FC"/>
          </w:tcPr>
          <w:p>
            <w:pPr>
              <w:ind w:left="20"/>
              <w:spacing w:after="0" w:line="248"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4"/>
                <w:szCs w:val="24"/>
                <w:color w:val="auto"/>
                <w:vertAlign w:val="superscript"/>
              </w:rPr>
              <w:t>(2)</w:t>
            </w:r>
          </w:p>
        </w:tc>
        <w:tc>
          <w:tcPr>
            <w:tcW w:w="54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13,927</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expenses</w:t>
            </w:r>
          </w:p>
        </w:tc>
        <w:tc>
          <w:tcPr>
            <w:tcW w:w="54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35,633</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-1928495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-1928495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-187960</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15" w:lineRule="exact"/>
        <w:rPr>
          <w:sz w:val="20"/>
          <w:szCs w:val="20"/>
          <w:color w:val="auto"/>
        </w:rPr>
      </w:pPr>
    </w:p>
    <w:p>
      <w:pPr>
        <w:ind w:left="1260" w:right="600" w:hanging="503"/>
        <w:spacing w:after="0" w:line="298" w:lineRule="auto"/>
        <w:tabs>
          <w:tab w:leader="none" w:pos="1260"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deferred portion of payments received from payors for COVID-19 reimbursements which was recognized as we incurred specific COVID-19 related expenses (including expenses related to securing and maintaining adequate personnel).</w:t>
      </w:r>
    </w:p>
    <w:p>
      <w:pPr>
        <w:spacing w:after="0" w:line="96" w:lineRule="exact"/>
        <w:rPr>
          <w:rFonts w:ascii="Times New Roman" w:cs="Times New Roman" w:eastAsia="Times New Roman" w:hAnsi="Times New Roman"/>
          <w:sz w:val="16"/>
          <w:szCs w:val="16"/>
          <w:color w:val="auto"/>
        </w:rPr>
      </w:pPr>
    </w:p>
    <w:p>
      <w:pPr>
        <w:ind w:left="1260" w:hanging="503"/>
        <w:spacing w:after="0"/>
        <w:tabs>
          <w:tab w:leader="none" w:pos="1260"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a $4.6 million initial payment received for the New York Asset Sale as of June 30, 2024.</w:t>
      </w:r>
    </w:p>
    <w:p>
      <w:pPr>
        <w:spacing w:after="0" w:line="158" w:lineRule="exact"/>
        <w:rPr>
          <w:rFonts w:ascii="Times New Roman" w:cs="Times New Roman" w:eastAsia="Times New Roman" w:hAnsi="Times New Roman"/>
          <w:sz w:val="16"/>
          <w:szCs w:val="16"/>
          <w:color w:val="auto"/>
        </w:rPr>
      </w:pPr>
    </w:p>
    <w:p>
      <w:pPr>
        <w:ind w:left="180" w:hanging="172"/>
        <w:spacing w:after="0"/>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Government Actions to Mitigate COVID-19’s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-699770</wp:posOffset>
            </wp:positionV>
            <wp:extent cx="14312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10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While the acute phase of the COVID-19 pandemic has faded, we will continue to closely monitor the impact of COVID-19 on all aspects of our business, including the impacts to our employees, patients and suppliers.</w:t>
      </w:r>
    </w:p>
    <w:p>
      <w:pPr>
        <w:spacing w:after="0" w:line="54"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In recognition of the significant threat to the liquidity of financial markets posed by the COVID-19 pandemic, the Federal Reserve and Congress took dramatic actions to provide liquidity to businesses and the banking system in the United States, including relief for healthcare providers in the Coronavirus Aid, Relief, and Economic Stability Act (“CARES Act”), which was expanded by the Paycheck Protection Program and Health Care Enhancement Act, and the Consolidated Appropriations Act, 2021 (“CAA”), as well as the American Rescue Plan Act of 2021 (“ARPA”).</w:t>
      </w:r>
    </w:p>
    <w:p>
      <w:pPr>
        <w:spacing w:after="0" w:line="2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ARPA Spending Plans</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ARPA provides for $350 billion in relief funding for eligible state, local, territorial, and Tribal governments to mitigate the fiscal effects of the COVID-19 public health emergency. Additionally, the law provided for a 10 percentage point increase in federal matching funds for Medicaid home and community-based services (“HCBS”) from April 1, 2021, through March 31, 2022, provided the state satisfied certain conditions. States are permitted to use the state funds equivalent to the additional federal funds through March 31, 2025. States must use the monies attributable to this matching fund increase to supplement, not supplant, their level of state spending for the implementation of activities enhanced under the Medicaid HCBS in effect as of April 1, 2021.</w:t>
      </w:r>
    </w:p>
    <w:p>
      <w:pPr>
        <w:spacing w:after="0" w:line="79" w:lineRule="exact"/>
        <w:rPr>
          <w:sz w:val="20"/>
          <w:szCs w:val="20"/>
          <w:color w:val="auto"/>
        </w:rPr>
      </w:pPr>
    </w:p>
    <w:p>
      <w:pPr>
        <w:jc w:val="both"/>
        <w:ind w:right="180" w:firstLine="509"/>
        <w:spacing w:after="0" w:line="261" w:lineRule="auto"/>
        <w:rPr>
          <w:sz w:val="20"/>
          <w:szCs w:val="20"/>
          <w:color w:val="auto"/>
        </w:rPr>
      </w:pPr>
      <w:r>
        <w:rPr>
          <w:rFonts w:ascii="Times New Roman" w:cs="Times New Roman" w:eastAsia="Times New Roman" w:hAnsi="Times New Roman"/>
          <w:sz w:val="18"/>
          <w:szCs w:val="18"/>
          <w:color w:val="auto"/>
        </w:rPr>
        <w:t>HCBS spending plans for the additional matching funds vary by state, but common initiatives in which the Company is participating include those aimed at strengthening the provider workforce (e.g., efforts to recruit, retain, and train direct service providers). The Company is required to properly and fully document the use of such funds in reports to the state in which the funds originated. Funds may be subject to recoupment if not expended or if they are expended on non-approved uses.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received additional state funding provided by the ARPA in an aggregate amount of $2.0 million and $12.2 million, respectively. The Company did not record revenue and related costs of service revenue during the three and six months ended June 30, 2024 because revenue recognition criteria were not met. Instead, the Company deferred recognition of the entire $12.2 million, which was received from states with specific spending plans and reporting requirements. Of the total state funding received by the Company pursuant to the ARPA through June 30, 2024, the Company utilized $2.5 million and $4.9 million during the three and six months ended June 30, 2024, respectively, primarily for caregivers and adding support to recruiting and retention efforts, included as a reduction of cost of service revenues in the Company’s Unaudited Condensed Consolidated Statements of Income. As of June 30, 2024, the deferred portion of ARPA funding of $13.0 million is included within Government stimulus advances on the Company’s Unaudited Condensed Consolidated Balance Sheets.</w:t>
      </w:r>
    </w:p>
    <w:p>
      <w:pPr>
        <w:spacing w:after="0" w:line="2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Medicare Sequester</w:t>
      </w:r>
    </w:p>
    <w:p>
      <w:pPr>
        <w:spacing w:after="0" w:line="119"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CARES Act and related legislation also include other provisions offering financial relief, including, for example, temporarily suspending the Medicare sequester, which would have otherwise reduced payments to Medicare providers by 2% as required by the Budget Control Act of 2011. The sequestration adjustment resumed with a 1% reduction beginning April 1, 2022, and a 2% reduction beginning July 1, 2022. These sequestration cuts have been extended through April 2032.</w:t>
      </w:r>
    </w:p>
    <w:p>
      <w:pPr>
        <w:spacing w:after="0" w:line="288"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ARPA increased the federal budget deficit in a manner that triggers an additional statutorily mandated sequestration under the PAYGO Act. As a result, an additional Medicare payment reduction of up to 4% was required to take effect in January 2022. However, Congress has delayed implementation of this payment reduction until 2025.</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Long-Term Debt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Long-term debt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69"/>
        </w:trPr>
        <w:tc>
          <w:tcPr>
            <w:tcW w:w="7720" w:type="dxa"/>
            <w:vAlign w:val="bottom"/>
          </w:tcPr>
          <w:p>
            <w:pPr>
              <w:spacing w:after="0"/>
              <w:rPr>
                <w:sz w:val="14"/>
                <w:szCs w:val="14"/>
                <w:color w:val="auto"/>
              </w:rPr>
            </w:pPr>
          </w:p>
        </w:tc>
        <w:tc>
          <w:tcPr>
            <w:tcW w:w="15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w:t>
            </w:r>
          </w:p>
        </w:tc>
        <w:tc>
          <w:tcPr>
            <w:tcW w:w="15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4"/>
                <w:szCs w:val="14"/>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Revolving loan under the credit facility</w:t>
            </w:r>
          </w:p>
        </w:tc>
        <w:tc>
          <w:tcPr>
            <w:tcW w:w="1300" w:type="dxa"/>
            <w:vAlign w:val="bottom"/>
            <w:shd w:val="clear" w:color="auto" w:fill="CFF0FC"/>
          </w:tcPr>
          <w:p>
            <w:pPr>
              <w:jc w:val="right"/>
              <w:ind w:right="1099"/>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126,353</w:t>
            </w:r>
          </w:p>
        </w:tc>
        <w:tc>
          <w:tcPr>
            <w:tcW w:w="100" w:type="dxa"/>
            <w:vAlign w:val="bottom"/>
            <w:shd w:val="clear" w:color="auto" w:fill="CFF0FC"/>
          </w:tcPr>
          <w:p>
            <w:pPr>
              <w:spacing w:after="0"/>
              <w:rPr>
                <w:sz w:val="21"/>
                <w:szCs w:val="21"/>
                <w:color w:val="auto"/>
              </w:rPr>
            </w:pPr>
          </w:p>
        </w:tc>
      </w:tr>
      <w:tr>
        <w:trPr>
          <w:trHeight w:val="243"/>
        </w:trPr>
        <w:tc>
          <w:tcPr>
            <w:tcW w:w="77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Less unamortized issuance costs</w:t>
            </w:r>
            <w:r>
              <w:rPr>
                <w:rFonts w:ascii="Times New Roman" w:cs="Times New Roman" w:eastAsia="Times New Roman" w:hAnsi="Times New Roman"/>
                <w:sz w:val="24"/>
                <w:szCs w:val="24"/>
                <w:color w:val="auto"/>
                <w:vertAlign w:val="superscript"/>
              </w:rPr>
              <w:t>(1)</w:t>
            </w:r>
          </w:p>
        </w:tc>
        <w:tc>
          <w:tcPr>
            <w:tcW w:w="130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(2,221 )</w:t>
            </w:r>
          </w:p>
        </w:tc>
      </w:tr>
      <w:tr>
        <w:trPr>
          <w:trHeight w:val="27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300" w:type="dxa"/>
            <w:vAlign w:val="bottom"/>
            <w:tcBorders>
              <w:top w:val="single" w:sz="8" w:color="auto"/>
              <w:bottom w:val="single" w:sz="8" w:color="auto"/>
            </w:tcBorders>
            <w:shd w:val="clear" w:color="auto" w:fill="CFF0FC"/>
          </w:tcPr>
          <w:p>
            <w:pPr>
              <w:jc w:val="right"/>
              <w:ind w:right="1099"/>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124,132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0" w:lineRule="exact"/>
        <w:rPr>
          <w:sz w:val="20"/>
          <w:szCs w:val="20"/>
          <w:color w:val="auto"/>
        </w:rPr>
      </w:pPr>
    </w:p>
    <w:p>
      <w:pPr>
        <w:ind w:left="1260" w:right="760" w:hanging="503"/>
        <w:spacing w:after="0" w:line="307" w:lineRule="auto"/>
        <w:tabs>
          <w:tab w:leader="none" w:pos="12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June 30, 2024, unamortized issuance costs $1.8 million are recorded in Other long-term assets on the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6"/>
          <w:szCs w:val="16"/>
          <w:color w:val="auto"/>
        </w:rPr>
        <w:t>s Unaudited 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-304800</wp:posOffset>
            </wp:positionV>
            <wp:extent cx="143129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431290" cy="8890"/>
                    </a:xfrm>
                    <a:prstGeom prst="rect">
                      <a:avLst/>
                    </a:prstGeom>
                    <a:noFill/>
                  </pic:spPr>
                </pic:pic>
              </a:graphicData>
            </a:graphic>
          </wp:anchor>
        </w:drawing>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Senior Secured Credit Facility</w:t>
      </w:r>
    </w:p>
    <w:p>
      <w:pPr>
        <w:spacing w:after="0" w:line="121" w:lineRule="exact"/>
        <w:rPr>
          <w:sz w:val="20"/>
          <w:szCs w:val="20"/>
          <w:color w:val="auto"/>
        </w:rPr>
      </w:pPr>
    </w:p>
    <w:p>
      <w:pPr>
        <w:ind w:right="120" w:firstLine="509"/>
        <w:spacing w:after="0" w:line="273" w:lineRule="auto"/>
        <w:rPr>
          <w:sz w:val="20"/>
          <w:szCs w:val="20"/>
          <w:color w:val="auto"/>
        </w:rPr>
      </w:pPr>
      <w:r>
        <w:rPr>
          <w:rFonts w:ascii="Times New Roman" w:cs="Times New Roman" w:eastAsia="Times New Roman" w:hAnsi="Times New Roman"/>
          <w:sz w:val="17"/>
          <w:szCs w:val="17"/>
          <w:color w:val="auto"/>
        </w:rPr>
        <w:t>On October 31, 2018, the Company entered into the Amended and Restated Credit Agreement, with certain lenders and Capital One, National Association, as a lender and as agent for all lenders, as amended by the First Amendment to Amended and Restated Credit Agreement, dated as of September 12, 2019, as further amended by the Second Amendment to Amended and Restated Credit Agreement, dated as of July 30, 2021, and as further amended by the Third Amendment to Amended and Restated Credit Agreement, dated as of April 26, 2023 (as described below, the “Third Amendment”) (as amended, the “Credit Agreement”, as used throughout this Quarterly Report on Form 10-Q, “credit facility” shall mean the credit facility evidenced by the Credit Agreement). The credit facility consists of a $600.0 million revolving credit facility and a $125.0 million incremental loan facility, which incremental loan facility may be for term loans or an increase to the revolving loan commitments. The maturity of this credit facility is July 30, 2026.</w:t>
      </w:r>
    </w:p>
    <w:p>
      <w:pPr>
        <w:spacing w:after="0" w:line="63" w:lineRule="exact"/>
        <w:rPr>
          <w:sz w:val="20"/>
          <w:szCs w:val="20"/>
          <w:color w:val="auto"/>
        </w:rPr>
      </w:pPr>
    </w:p>
    <w:p>
      <w:pPr>
        <w:ind w:right="20" w:firstLine="554"/>
        <w:spacing w:after="0" w:line="266" w:lineRule="auto"/>
        <w:rPr>
          <w:sz w:val="20"/>
          <w:szCs w:val="20"/>
          <w:color w:val="auto"/>
        </w:rPr>
      </w:pPr>
      <w:r>
        <w:rPr>
          <w:rFonts w:ascii="Times New Roman" w:cs="Times New Roman" w:eastAsia="Times New Roman" w:hAnsi="Times New Roman"/>
          <w:sz w:val="18"/>
          <w:szCs w:val="18"/>
          <w:color w:val="auto"/>
        </w:rPr>
        <w:t>On April 26, 2023, the Company entered into the Third Amendment to replace LIBOR with the Secured Overnight Financing Rate (“SOFR”) as the benchmark reference rate for loans under its credit facility. The Third Amendment did not amend any other terms of the Credit Agreement. The transition to SOFR did not and is not expected to have a material impact on the Company’s results of operations or liquidity.</w:t>
      </w:r>
    </w:p>
    <w:p>
      <w:pPr>
        <w:spacing w:after="0" w:line="68"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Interest on the credit facility may be payable at (x) the sum of (i) an applicable margin ranging from 0.75% to 1.50% based on the applicable senior net leverage ratio plus (ii) a base rate equal to the greatest of (a) the rate of interest last quoted by The Wall Street Journal as the “prime rate,” (b) the sum of the federal funds rate plus a margin of 0.50% and (c) the sum of Term SOFR (as published by the CME Group Benchmark Administrative Limited) for an interest period of one month for such applicable day plus 0.10% (not to be less than 0.00%), plus a margin of 1.00% or (y) the sum of (i) an applicable margin ranging from 1.75% to 2.50% based on the applicable senior net leverage ratio plus (ii) the rate per annum equal to the sum of Term SOFR (as published by the CME Group Benchmark Administrative Limited) for the applicable interest period plus 0.10% (not to be less than zero). Swing loans may not be SOFR loans.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Addus HealthCare, Inc. (“Addus HealthCare”) is the borrower, and its parent, Holdings, and substantially all of Holdings’ subsidiaries are guarantors under this credit facility, and it is collateralized by a first priority security interest in all of the Company’s and the other credit parties’ current and future tangible and intangible assets, including the shares of stock of the borrower and subsidiaries. The Credit Agreement contains affirmative and negative covenants customary for credit facilities of this type, including limitations on the Company with respect to liens, indebtedness, guaranties, investments, distributions, mergers and acquisitions and dispositions of assets. The availability of additional draws under this credit facility is conditioned, among other things, upon (after giving effect to such draws) the Total Net Leverage Ratio (as defined in the Credit Agreement) not exceeding 3.75:1.00. In certain circumstances, in connection with a Material Acquisition (as defined in the Credit Agreement), the Company can elect to increase its Total Net Leverage Ratio compliance covenant to 4.25:1.00 for the then current fiscal quarter and the three succeeding fiscal quarters.</w:t>
      </w:r>
    </w:p>
    <w:p>
      <w:pPr>
        <w:spacing w:after="0" w:line="192"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Company pays a fee ranging from 0.20% to 0.35% based on the applicable senior net leverage ratio times the unused portion of the revolving loan portion of the credit facility.</w:t>
      </w:r>
    </w:p>
    <w:p>
      <w:pPr>
        <w:spacing w:after="0" w:line="162"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Credit Agreement contains customary affirmative covenants regarding, among other things, the maintenance of records, compliance with laws, maintenance of permits, maintenance of insurance and property and payment of taxes. The Credit Agreement also contains certain customary financial covenants and negative covenants that, among other things, include a requirement to maintain a minimum Interest Coverage Ratio (as defined in the Credit Agreement), a requirement to stay below a maximum Total Net Leverage Ratio (as defined in the Credit Agreement) and a requirement to stay below a maximum permitted amount of capital expenditures. The Credit Agreement also contains restrictions on guarantees, indebtedness, liens, investments and loans, subject to customary carve outs, a restriction on dividends (provided that Addus HealthCare may make distributions to the Company in an amount that does not exceed $7.5 million in any year absent of an event of default, plus limited exceptions for tax and administrative distributions), a restriction on the ability to consummate acquisitions (without the consent of the lenders) under its credit facility subject to compliance with the Total Net Leverage Ratio (as defined in the Credit Agreement) thresholds, restrictions on mergers, dispositions of assets, and affiliate transactions, and restrictions on fundamental changes and lines of business.</w:t>
      </w:r>
    </w:p>
    <w:p>
      <w:pPr>
        <w:spacing w:after="0" w:line="194"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the Company did not draw on its credit facility and repaid all amounts owed under the revolving credit facility. During the six months ended June 30, 2023, the Company did not draw on its credit facility and repaid $53.5 million under the revolving credit facility.</w:t>
      </w:r>
    </w:p>
    <w:p>
      <w:pPr>
        <w:spacing w:after="0" w:line="176"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At June 30, 2024, the Company had no revolving loans outstanding on its credit facility. After giving effect to the amount drawn on its credit facility, approximately $8.0 million of outstanding letters of credit and borrowing limits based on an advance multiple of adjusted EBITDA (as defined in the Credit Agreement), the Company had $504.4 million of capacity and $496.4 million available for borrowing under its credit facility. As of December 31, 2023, the Company had a total of $126.4 million of revolving loans, with an interest rate of 7.21%, outstanding on its credit facility.</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June 30, 2024, the Company was in compliance with all financial covenants under the Credit Agreement.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effective income tax rates were 26.3% and 23.8% for the three months ended June 30, 2024 and 2023, respectively. The effective income tax rates were 26.0% and 23.0% for the six months ended June 30, 2024 and 2023, respectively. The difference between our federal statutory rate of 21% and our effective income tax rates is principally due to the inclusion of state taxes and non-deductible compensation, partially offset by the use of federal employment tax credits.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From time to time, the Company is subject to legal and/or administrative proceedings incidental to its business.</w:t>
      </w:r>
    </w:p>
    <w:p>
      <w:pPr>
        <w:spacing w:after="0" w:line="225"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It is the opinion of management that the outcome of pending legal and/or administrative proceedings will not have a material effect on the Company’s Unaudited Condensed Consolidated Balance Sheets and Unaudited Condensed Consolidated Statements of Income.</w:t>
      </w:r>
    </w:p>
    <w:p>
      <w:pPr>
        <w:spacing w:after="0" w:line="16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 Information</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 company that engage in business activities from which it may earn revenues and incur expenses, and for which separate financial information is available and is regularly reviewed by the Company’s chief operating decision makers, to assess the performance of the individual segments and make decisions about resources to be allocated to the segments. The Company operates as a multi-state provider of three distinct but related business segments providing in-home services.</w:t>
      </w:r>
    </w:p>
    <w:p>
      <w:pPr>
        <w:spacing w:after="0" w:line="180"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its personal care segment, the Company provides non-medical assistance with activities of daily living, primarily to persons who are at increased risk of hospitalization or institutionalization, such as the elderly, chronically ill or disabled. In its hospice segment, the Company provides physical, emotional and spiritual care for people who are terminally ill as well as related services for their families. In its home health segment, the Company provides services that are primarily medical in nature to individuals who may require assistance during an illness or after hospitalization and include skilled nursing and physical, occupational and speech therapy.</w:t>
      </w:r>
    </w:p>
    <w:p>
      <w:pPr>
        <w:spacing w:after="0" w:line="183"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tables below set forth information about the Company’s reportable segments, along with the items necessary to reconcile the segment information to the totals reported in the accompanying Unaudited Condensed Consolidated Financial Statements. Segment assets are not reviewed by the Company’s chief operating decision maker function and therefore are not disclosed below.</w:t>
      </w:r>
    </w:p>
    <w:p>
      <w:pPr>
        <w:spacing w:after="0" w:line="176"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Segment operating income consists of revenue generated by a segment, less the direct costs of service revenues and general and administrative expenses that are incurred directly by the segment. Unallocated general and administrative costs are those costs for functions performed in a centralized manner and therefore not attributable to a particular segment. These costs include accounting, finance, human resources, legal, information technology, corporate office support and facility costs and overall corporate management.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7"/>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For the Three Months Ended June 30, 2024</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58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5"/>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5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Personal Care</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3"/>
                <w:szCs w:val="13"/>
                <w:b w:val="1"/>
                <w:bCs w:val="1"/>
                <w:color w:val="auto"/>
              </w:rPr>
              <w:t>Hospice</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Home Health</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4"/>
                <w:szCs w:val="14"/>
                <w:color w:val="auto"/>
              </w:rPr>
            </w:pP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service revenues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212,817</w:t>
            </w:r>
          </w:p>
        </w:tc>
        <w:tc>
          <w:tcPr>
            <w:tcW w:w="4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56,030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18,075</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286,922</w:t>
            </w:r>
          </w:p>
        </w:tc>
        <w:tc>
          <w:tcPr>
            <w:tcW w:w="100" w:type="dxa"/>
            <w:vAlign w:val="bottom"/>
            <w:shd w:val="clear" w:color="auto" w:fill="CFF0FC"/>
          </w:tcPr>
          <w:p>
            <w:pPr>
              <w:spacing w:after="0"/>
              <w:rPr>
                <w:sz w:val="20"/>
                <w:szCs w:val="20"/>
                <w:color w:val="auto"/>
              </w:rPr>
            </w:pP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services revenues</w:t>
            </w: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152,755</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29,730</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11,279</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193,764</w:t>
            </w:r>
          </w:p>
        </w:tc>
        <w:tc>
          <w:tcPr>
            <w:tcW w:w="100" w:type="dxa"/>
            <w:vAlign w:val="bottom"/>
          </w:tcPr>
          <w:p>
            <w:pPr>
              <w:spacing w:after="0"/>
              <w:rPr>
                <w:sz w:val="21"/>
                <w:szCs w:val="21"/>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60,062</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26,300</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6,796</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93,158</w:t>
            </w:r>
          </w:p>
        </w:tc>
        <w:tc>
          <w:tcPr>
            <w:tcW w:w="100" w:type="dxa"/>
            <w:vAlign w:val="bottom"/>
            <w:shd w:val="clear" w:color="auto" w:fill="CFF0FC"/>
          </w:tcPr>
          <w:p>
            <w:pPr>
              <w:spacing w:after="0"/>
              <w:rPr>
                <w:sz w:val="20"/>
                <w:szCs w:val="20"/>
                <w:color w:val="auto"/>
              </w:rPr>
            </w:pP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16,973</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13,466</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4,572</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35,011</w:t>
            </w:r>
          </w:p>
        </w:tc>
        <w:tc>
          <w:tcPr>
            <w:tcW w:w="100" w:type="dxa"/>
            <w:vAlign w:val="bottom"/>
          </w:tcPr>
          <w:p>
            <w:pPr>
              <w:spacing w:after="0"/>
              <w:rPr>
                <w:sz w:val="21"/>
                <w:szCs w:val="21"/>
                <w:color w:val="auto"/>
              </w:rPr>
            </w:pPr>
          </w:p>
        </w:tc>
      </w:tr>
      <w:tr>
        <w:trPr>
          <w:trHeight w:val="277"/>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43,089</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12,834</w:t>
            </w: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58,147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372"/>
        </w:trPr>
        <w:tc>
          <w:tcPr>
            <w:tcW w:w="58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7"/>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For the Three Months Ended June 30, 2023</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3"/>
        </w:trPr>
        <w:tc>
          <w:tcPr>
            <w:tcW w:w="58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5"/>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5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Personal Care</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Hospice</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Home Health</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service revenues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198,314</w:t>
            </w:r>
          </w:p>
        </w:tc>
        <w:tc>
          <w:tcPr>
            <w:tcW w:w="4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50,210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11,456</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259,980</w:t>
            </w:r>
          </w:p>
        </w:tc>
        <w:tc>
          <w:tcPr>
            <w:tcW w:w="100" w:type="dxa"/>
            <w:vAlign w:val="bottom"/>
            <w:shd w:val="clear" w:color="auto" w:fill="CFF0FC"/>
          </w:tcPr>
          <w:p>
            <w:pPr>
              <w:spacing w:after="0"/>
              <w:rPr>
                <w:sz w:val="20"/>
                <w:szCs w:val="20"/>
                <w:color w:val="auto"/>
              </w:rPr>
            </w:pP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services revenues</w:t>
            </w: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143,972</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26,606</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7,084</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177,662</w:t>
            </w:r>
          </w:p>
        </w:tc>
        <w:tc>
          <w:tcPr>
            <w:tcW w:w="100" w:type="dxa"/>
            <w:vAlign w:val="bottom"/>
          </w:tcPr>
          <w:p>
            <w:pPr>
              <w:spacing w:after="0"/>
              <w:rPr>
                <w:sz w:val="21"/>
                <w:szCs w:val="21"/>
                <w:color w:val="auto"/>
              </w:rPr>
            </w:pP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54,342</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23,604</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4,372</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82,318</w:t>
            </w:r>
          </w:p>
        </w:tc>
        <w:tc>
          <w:tcPr>
            <w:tcW w:w="100" w:type="dxa"/>
            <w:vAlign w:val="bottom"/>
            <w:shd w:val="clear" w:color="auto" w:fill="CFF0FC"/>
          </w:tcPr>
          <w:p>
            <w:pPr>
              <w:spacing w:after="0"/>
              <w:rPr>
                <w:sz w:val="20"/>
                <w:szCs w:val="20"/>
                <w:color w:val="auto"/>
              </w:rPr>
            </w:pP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16,267</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12,768</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2,641</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31,676</w:t>
            </w:r>
          </w:p>
        </w:tc>
        <w:tc>
          <w:tcPr>
            <w:tcW w:w="100" w:type="dxa"/>
            <w:vAlign w:val="bottom"/>
          </w:tcPr>
          <w:p>
            <w:pPr>
              <w:spacing w:after="0"/>
              <w:rPr>
                <w:sz w:val="21"/>
                <w:szCs w:val="21"/>
                <w:color w:val="auto"/>
              </w:rPr>
            </w:pPr>
          </w:p>
        </w:tc>
      </w:tr>
      <w:tr>
        <w:trPr>
          <w:trHeight w:val="276"/>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38,075</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10,836</w:t>
            </w: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50,642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-1344930</wp:posOffset>
            </wp:positionV>
            <wp:extent cx="774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-1327785</wp:posOffset>
            </wp:positionV>
            <wp:extent cx="774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-1344930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-1327785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-1344930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-1327785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-1344930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-1327785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-24765</wp:posOffset>
            </wp:positionV>
            <wp:extent cx="7747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774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Segment reconciliation: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segment operating income</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Items not allocated at segment level:</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general and administrative expenses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income</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0" w:type="dxa"/>
            <w:vAlign w:val="bottom"/>
          </w:tcPr>
          <w:p>
            <w:pPr>
              <w:spacing w:after="0"/>
              <w:rPr>
                <w:sz w:val="14"/>
                <w:szCs w:val="14"/>
                <w:color w:val="auto"/>
              </w:rPr>
            </w:pPr>
          </w:p>
        </w:tc>
      </w:tr>
      <w:tr>
        <w:trPr>
          <w:trHeight w:val="169"/>
        </w:trPr>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2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in</w:t>
            </w: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9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466"/>
        </w:trPr>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58,147</w:t>
            </w:r>
          </w:p>
        </w:tc>
        <w:tc>
          <w:tcPr>
            <w:tcW w:w="2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50,642</w:t>
            </w:r>
          </w:p>
        </w:tc>
        <w:tc>
          <w:tcPr>
            <w:tcW w:w="60" w:type="dxa"/>
            <w:vAlign w:val="bottom"/>
          </w:tcPr>
          <w:p>
            <w:pPr>
              <w:spacing w:after="0"/>
              <w:rPr>
                <w:sz w:val="24"/>
                <w:szCs w:val="24"/>
                <w:color w:val="auto"/>
              </w:rPr>
            </w:pPr>
          </w:p>
        </w:tc>
      </w:tr>
      <w:tr>
        <w:trPr>
          <w:trHeight w:val="729"/>
        </w:trPr>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28,565</w:t>
            </w: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25,721</w:t>
            </w:r>
          </w:p>
        </w:tc>
        <w:tc>
          <w:tcPr>
            <w:tcW w:w="60" w:type="dxa"/>
            <w:vAlign w:val="bottom"/>
          </w:tcPr>
          <w:p>
            <w:pPr>
              <w:spacing w:after="0"/>
              <w:rPr>
                <w:sz w:val="24"/>
                <w:szCs w:val="24"/>
                <w:color w:val="auto"/>
              </w:rPr>
            </w:pPr>
          </w:p>
        </w:tc>
      </w:tr>
      <w:tr>
        <w:trPr>
          <w:trHeight w:val="243"/>
        </w:trPr>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3,382</w:t>
            </w:r>
          </w:p>
        </w:tc>
        <w:tc>
          <w:tcPr>
            <w:tcW w:w="60" w:type="dxa"/>
            <w:vAlign w:val="bottom"/>
          </w:tcPr>
          <w:p>
            <w:pPr>
              <w:spacing w:after="0"/>
              <w:rPr>
                <w:sz w:val="21"/>
                <w:szCs w:val="21"/>
                <w:color w:val="auto"/>
              </w:rPr>
            </w:pPr>
          </w:p>
        </w:tc>
      </w:tr>
      <w:tr>
        <w:trPr>
          <w:trHeight w:val="243"/>
        </w:trPr>
        <w:tc>
          <w:tcPr>
            <w:tcW w:w="380" w:type="dxa"/>
            <w:vAlign w:val="bottom"/>
          </w:tcPr>
          <w:p>
            <w:pPr>
              <w:spacing w:after="0"/>
              <w:rPr>
                <w:sz w:val="21"/>
                <w:szCs w:val="21"/>
                <w:color w:val="auto"/>
              </w:rPr>
            </w:pPr>
          </w:p>
        </w:tc>
        <w:tc>
          <w:tcPr>
            <w:tcW w:w="14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(474 )</w:t>
            </w:r>
          </w:p>
        </w:tc>
        <w:tc>
          <w:tcPr>
            <w:tcW w:w="62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(291 )</w:t>
            </w:r>
          </w:p>
        </w:tc>
      </w:tr>
      <w:tr>
        <w:trPr>
          <w:trHeight w:val="250"/>
        </w:trPr>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28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60" w:type="dxa"/>
            <w:vAlign w:val="bottom"/>
          </w:tcPr>
          <w:p>
            <w:pPr>
              <w:spacing w:after="0"/>
              <w:rPr>
                <w:sz w:val="21"/>
                <w:szCs w:val="21"/>
                <w:color w:val="auto"/>
              </w:rPr>
            </w:pPr>
          </w:p>
        </w:tc>
      </w:tr>
      <w:tr>
        <w:trPr>
          <w:trHeight w:val="239"/>
        </w:trPr>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24,541</w:t>
            </w:r>
          </w:p>
        </w:tc>
        <w:tc>
          <w:tcPr>
            <w:tcW w:w="280" w:type="dxa"/>
            <w:vAlign w:val="bottom"/>
          </w:tcPr>
          <w:p>
            <w:pPr>
              <w:spacing w:after="0"/>
              <w:rPr>
                <w:sz w:val="20"/>
                <w:szCs w:val="20"/>
                <w:color w:val="auto"/>
              </w:rPr>
            </w:pPr>
          </w:p>
        </w:tc>
        <w:tc>
          <w:tcPr>
            <w:tcW w:w="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19,499</w:t>
            </w:r>
          </w:p>
        </w:tc>
        <w:tc>
          <w:tcPr>
            <w:tcW w:w="60" w:type="dxa"/>
            <w:vAlign w:val="bottom"/>
          </w:tcPr>
          <w:p>
            <w:pPr>
              <w:spacing w:after="0"/>
              <w:rPr>
                <w:sz w:val="20"/>
                <w:szCs w:val="20"/>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-4896485</wp:posOffset>
            </wp:positionH>
            <wp:positionV relativeFrom="paragraph">
              <wp:posOffset>-1422400</wp:posOffset>
            </wp:positionV>
            <wp:extent cx="7132320" cy="1543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-4896485</wp:posOffset>
            </wp:positionH>
            <wp:positionV relativeFrom="paragraph">
              <wp:posOffset>-1113790</wp:posOffset>
            </wp:positionV>
            <wp:extent cx="7132320" cy="1543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-4896485</wp:posOffset>
            </wp:positionH>
            <wp:positionV relativeFrom="paragraph">
              <wp:posOffset>-805180</wp:posOffset>
            </wp:positionV>
            <wp:extent cx="7132320" cy="1543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-4896485</wp:posOffset>
            </wp:positionH>
            <wp:positionV relativeFrom="paragraph">
              <wp:posOffset>-496570</wp:posOffset>
            </wp:positionV>
            <wp:extent cx="7132320" cy="1543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-4896485</wp:posOffset>
            </wp:positionH>
            <wp:positionV relativeFrom="paragraph">
              <wp:posOffset>-179705</wp:posOffset>
            </wp:positionV>
            <wp:extent cx="7132320" cy="1803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00" w:space="720"/>
            <w:col w:w="3520"/>
          </w:cols>
          <w:pgMar w:left="320" w:top="765" w:right="339" w:bottom="1440" w:gutter="0" w:footer="0" w:header="0"/>
          <w:type w:val="continuous"/>
        </w:sect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6"/>
          </w:tcPr>
          <w:p>
            <w:pPr>
              <w:jc w:val="center"/>
              <w:ind w:left="119"/>
              <w:spacing w:after="0"/>
              <w:rPr>
                <w:sz w:val="20"/>
                <w:szCs w:val="20"/>
                <w:color w:val="auto"/>
              </w:rPr>
            </w:pPr>
            <w:r>
              <w:rPr>
                <w:rFonts w:ascii="Times New Roman" w:cs="Times New Roman" w:eastAsia="Times New Roman" w:hAnsi="Times New Roman"/>
                <w:sz w:val="14"/>
                <w:szCs w:val="14"/>
                <w:b w:val="1"/>
                <w:bCs w:val="1"/>
                <w:color w:val="auto"/>
              </w:rPr>
              <w:t>For the Six Months Ended June 30, 2024</w:t>
            </w: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50"/>
        </w:trPr>
        <w:tc>
          <w:tcPr>
            <w:tcW w:w="58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4"/>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2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69"/>
        </w:trPr>
        <w:tc>
          <w:tcPr>
            <w:tcW w:w="5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Personal Care</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Hospice</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Home Health</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4"/>
                <w:szCs w:val="14"/>
                <w:color w:val="auto"/>
              </w:rPr>
            </w:pP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service revenues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420,820</w:t>
            </w:r>
          </w:p>
        </w:tc>
        <w:tc>
          <w:tcPr>
            <w:tcW w:w="4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111,893</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34,955</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567,668</w:t>
            </w:r>
          </w:p>
        </w:tc>
        <w:tc>
          <w:tcPr>
            <w:tcW w:w="100" w:type="dxa"/>
            <w:vAlign w:val="bottom"/>
            <w:shd w:val="clear" w:color="auto" w:fill="CFF0FC"/>
          </w:tcPr>
          <w:p>
            <w:pPr>
              <w:spacing w:after="0"/>
              <w:rPr>
                <w:sz w:val="20"/>
                <w:szCs w:val="20"/>
                <w:color w:val="auto"/>
              </w:rPr>
            </w:pP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services revenues</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305,291</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58,697</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22,345</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386,333</w:t>
            </w:r>
          </w:p>
        </w:tc>
        <w:tc>
          <w:tcPr>
            <w:tcW w:w="100" w:type="dxa"/>
            <w:vAlign w:val="bottom"/>
          </w:tcPr>
          <w:p>
            <w:pPr>
              <w:spacing w:after="0"/>
              <w:rPr>
                <w:sz w:val="21"/>
                <w:szCs w:val="21"/>
                <w:color w:val="auto"/>
              </w:rPr>
            </w:pP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115,529</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53,196</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12,610</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181,335</w:t>
            </w:r>
          </w:p>
        </w:tc>
        <w:tc>
          <w:tcPr>
            <w:tcW w:w="100" w:type="dxa"/>
            <w:vAlign w:val="bottom"/>
            <w:shd w:val="clear" w:color="auto" w:fill="CFF0FC"/>
          </w:tcPr>
          <w:p>
            <w:pPr>
              <w:spacing w:after="0"/>
              <w:rPr>
                <w:sz w:val="20"/>
                <w:szCs w:val="20"/>
                <w:color w:val="auto"/>
              </w:rPr>
            </w:pP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32,418</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26,905</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9,109</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68,432</w:t>
            </w:r>
          </w:p>
        </w:tc>
        <w:tc>
          <w:tcPr>
            <w:tcW w:w="100" w:type="dxa"/>
            <w:vAlign w:val="bottom"/>
          </w:tcPr>
          <w:p>
            <w:pPr>
              <w:spacing w:after="0"/>
              <w:rPr>
                <w:sz w:val="21"/>
                <w:szCs w:val="21"/>
                <w:color w:val="auto"/>
              </w:rPr>
            </w:pPr>
          </w:p>
        </w:tc>
      </w:tr>
      <w:tr>
        <w:trPr>
          <w:trHeight w:val="277"/>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83,111</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26,291</w:t>
            </w: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112,903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39"/>
        </w:trPr>
        <w:tc>
          <w:tcPr>
            <w:tcW w:w="58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center"/>
              <w:ind w:left="119"/>
              <w:spacing w:after="0"/>
              <w:rPr>
                <w:sz w:val="20"/>
                <w:szCs w:val="20"/>
                <w:color w:val="auto"/>
              </w:rPr>
            </w:pPr>
            <w:r>
              <w:rPr>
                <w:rFonts w:ascii="Times New Roman" w:cs="Times New Roman" w:eastAsia="Times New Roman" w:hAnsi="Times New Roman"/>
                <w:sz w:val="14"/>
                <w:szCs w:val="14"/>
                <w:b w:val="1"/>
                <w:bCs w:val="1"/>
                <w:color w:val="auto"/>
              </w:rPr>
              <w:t>For the Six Months Ended June 30, 2023</w:t>
            </w: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58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4"/>
          </w:tcPr>
          <w:p>
            <w:pPr>
              <w:jc w:val="center"/>
              <w:ind w:right="194"/>
              <w:spacing w:after="0"/>
              <w:rPr>
                <w:sz w:val="20"/>
                <w:szCs w:val="20"/>
                <w:color w:val="auto"/>
              </w:rPr>
            </w:pPr>
            <w:r>
              <w:rPr>
                <w:rFonts w:ascii="Times New Roman" w:cs="Times New Roman" w:eastAsia="Times New Roman" w:hAnsi="Times New Roman"/>
                <w:sz w:val="13"/>
                <w:szCs w:val="13"/>
                <w:b w:val="1"/>
                <w:bCs w:val="1"/>
                <w:color w:val="auto"/>
              </w:rPr>
              <w:t>(Amounts in Thousands)</w:t>
            </w:r>
          </w:p>
        </w:tc>
        <w:tc>
          <w:tcPr>
            <w:tcW w:w="2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69"/>
        </w:trPr>
        <w:tc>
          <w:tcPr>
            <w:tcW w:w="5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Personal Care</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Hospice</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Home Health</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4"/>
                <w:szCs w:val="14"/>
                <w:color w:val="auto"/>
              </w:rPr>
            </w:pP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service revenues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388,346</w:t>
            </w:r>
          </w:p>
        </w:tc>
        <w:tc>
          <w:tcPr>
            <w:tcW w:w="4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99,292</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23,941</w:t>
            </w:r>
          </w:p>
        </w:tc>
        <w:tc>
          <w:tcPr>
            <w:tcW w:w="5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511,579</w:t>
            </w:r>
          </w:p>
        </w:tc>
        <w:tc>
          <w:tcPr>
            <w:tcW w:w="100" w:type="dxa"/>
            <w:vAlign w:val="bottom"/>
            <w:shd w:val="clear" w:color="auto" w:fill="CFF0FC"/>
          </w:tcPr>
          <w:p>
            <w:pPr>
              <w:spacing w:after="0"/>
              <w:rPr>
                <w:sz w:val="20"/>
                <w:szCs w:val="20"/>
                <w:color w:val="auto"/>
              </w:rPr>
            </w:pP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services revenues</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282,355</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53,873</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14,618</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350,846</w:t>
            </w:r>
          </w:p>
        </w:tc>
        <w:tc>
          <w:tcPr>
            <w:tcW w:w="100" w:type="dxa"/>
            <w:vAlign w:val="bottom"/>
          </w:tcPr>
          <w:p>
            <w:pPr>
              <w:spacing w:after="0"/>
              <w:rPr>
                <w:sz w:val="21"/>
                <w:szCs w:val="21"/>
                <w:color w:val="auto"/>
              </w:rPr>
            </w:pP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105,991</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45,419</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9,323</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160,733</w:t>
            </w:r>
          </w:p>
        </w:tc>
        <w:tc>
          <w:tcPr>
            <w:tcW w:w="100" w:type="dxa"/>
            <w:vAlign w:val="bottom"/>
            <w:shd w:val="clear" w:color="auto" w:fill="CFF0FC"/>
          </w:tcPr>
          <w:p>
            <w:pPr>
              <w:spacing w:after="0"/>
              <w:rPr>
                <w:sz w:val="20"/>
                <w:szCs w:val="20"/>
                <w:color w:val="auto"/>
              </w:rPr>
            </w:pPr>
          </w:p>
        </w:tc>
      </w:tr>
      <w:tr>
        <w:trPr>
          <w:trHeight w:val="24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32,202</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25,783</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5,521</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63,506</w:t>
            </w:r>
          </w:p>
        </w:tc>
        <w:tc>
          <w:tcPr>
            <w:tcW w:w="100" w:type="dxa"/>
            <w:vAlign w:val="bottom"/>
          </w:tcPr>
          <w:p>
            <w:pPr>
              <w:spacing w:after="0"/>
              <w:rPr>
                <w:sz w:val="21"/>
                <w:szCs w:val="21"/>
                <w:color w:val="auto"/>
              </w:rPr>
            </w:pPr>
          </w:p>
        </w:tc>
      </w:tr>
      <w:tr>
        <w:trPr>
          <w:trHeight w:val="276"/>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73,789</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19,636</w:t>
            </w: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97,227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-1430655</wp:posOffset>
            </wp:positionV>
            <wp:extent cx="774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-1414145</wp:posOffset>
            </wp:positionV>
            <wp:extent cx="774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-1430655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-1414145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-1430655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-1414145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-1430655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-1414145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-25400</wp:posOffset>
            </wp:positionV>
            <wp:extent cx="7747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7747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1"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p>
      <w:pPr>
        <w:spacing w:after="0" w:line="26" w:lineRule="exact"/>
        <w:rPr>
          <w:sz w:val="20"/>
          <w:szCs w:val="20"/>
          <w:color w:val="auto"/>
        </w:rPr>
      </w:pPr>
    </w:p>
    <w:tbl>
      <w:tblPr>
        <w:tblLayout w:type="fixed"/>
        <w:tblInd w:w="7720" w:type="dxa"/>
        <w:tblCellMar>
          <w:top w:w="0" w:type="dxa"/>
          <w:left w:w="0" w:type="dxa"/>
          <w:bottom w:w="0" w:type="dxa"/>
          <w:right w:w="0" w:type="dxa"/>
        </w:tblCellMar>
      </w:tblPr>
      <w:tr>
        <w:trPr>
          <w:trHeight w:val="169"/>
        </w:trPr>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560" w:type="dxa"/>
            <w:vAlign w:val="bottom"/>
            <w:tcBorders>
              <w:top w:val="single" w:sz="8" w:color="auto"/>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54"/>
        </w:trPr>
        <w:tc>
          <w:tcPr>
            <w:tcW w:w="940" w:type="dxa"/>
            <w:vAlign w:val="bottom"/>
          </w:tcPr>
          <w:p>
            <w:pPr>
              <w:spacing w:after="0"/>
              <w:rPr>
                <w:sz w:val="22"/>
                <w:szCs w:val="22"/>
                <w:color w:val="auto"/>
              </w:rPr>
            </w:pPr>
          </w:p>
        </w:tc>
        <w:tc>
          <w:tcPr>
            <w:tcW w:w="2480" w:type="dxa"/>
            <w:vAlign w:val="bottom"/>
            <w:gridSpan w:val="3"/>
          </w:tcPr>
          <w:p>
            <w:pPr>
              <w:jc w:val="right"/>
              <w:ind w:right="868"/>
              <w:spacing w:after="0"/>
              <w:rPr>
                <w:sz w:val="20"/>
                <w:szCs w:val="20"/>
                <w:color w:val="auto"/>
              </w:rPr>
            </w:pPr>
            <w:r>
              <w:rPr>
                <w:rFonts w:ascii="Times New Roman" w:cs="Times New Roman" w:eastAsia="Times New Roman" w:hAnsi="Times New Roman"/>
                <w:sz w:val="14"/>
                <w:szCs w:val="14"/>
                <w:b w:val="1"/>
                <w:bCs w:val="1"/>
                <w:color w:val="auto"/>
              </w:rPr>
              <w:t>(Amounts in Thousands)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-1905</wp:posOffset>
            </wp:positionV>
            <wp:extent cx="216027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Segment reconciliation: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segment operating income</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Items not allocated at segment level:</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general and administrative expenses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income</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112,903</w:t>
            </w:r>
          </w:p>
        </w:tc>
        <w:tc>
          <w:tcPr>
            <w:tcW w:w="280" w:type="dxa"/>
            <w:vAlign w:val="bottom"/>
          </w:tcPr>
          <w:p>
            <w:pPr>
              <w:spacing w:after="0"/>
              <w:rPr>
                <w:sz w:val="20"/>
                <w:szCs w:val="20"/>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97,227</w:t>
            </w:r>
          </w:p>
        </w:tc>
        <w:tc>
          <w:tcPr>
            <w:tcW w:w="60" w:type="dxa"/>
            <w:vAlign w:val="bottom"/>
          </w:tcPr>
          <w:p>
            <w:pPr>
              <w:spacing w:after="0"/>
              <w:rPr>
                <w:sz w:val="20"/>
                <w:szCs w:val="20"/>
                <w:color w:val="auto"/>
              </w:rPr>
            </w:pPr>
          </w:p>
        </w:tc>
      </w:tr>
      <w:tr>
        <w:trPr>
          <w:trHeight w:val="729"/>
        </w:trPr>
        <w:tc>
          <w:tcPr>
            <w:tcW w:w="5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56,207</w:t>
            </w: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50,251</w:t>
            </w:r>
          </w:p>
        </w:tc>
        <w:tc>
          <w:tcPr>
            <w:tcW w:w="60" w:type="dxa"/>
            <w:vAlign w:val="bottom"/>
          </w:tcPr>
          <w:p>
            <w:pPr>
              <w:spacing w:after="0"/>
              <w:rPr>
                <w:sz w:val="24"/>
                <w:szCs w:val="24"/>
                <w:color w:val="auto"/>
              </w:rPr>
            </w:pPr>
          </w:p>
        </w:tc>
      </w:tr>
      <w:tr>
        <w:trPr>
          <w:trHeight w:val="243"/>
        </w:trPr>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6,870</w:t>
            </w: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6,829</w:t>
            </w:r>
          </w:p>
        </w:tc>
        <w:tc>
          <w:tcPr>
            <w:tcW w:w="60" w:type="dxa"/>
            <w:vAlign w:val="bottom"/>
          </w:tcPr>
          <w:p>
            <w:pPr>
              <w:spacing w:after="0"/>
              <w:rPr>
                <w:sz w:val="21"/>
                <w:szCs w:val="21"/>
                <w:color w:val="auto"/>
              </w:rPr>
            </w:pPr>
          </w:p>
        </w:tc>
      </w:tr>
      <w:tr>
        <w:trPr>
          <w:trHeight w:val="243"/>
        </w:trPr>
        <w:tc>
          <w:tcPr>
            <w:tcW w:w="5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(897 )</w:t>
            </w:r>
          </w:p>
        </w:tc>
        <w:tc>
          <w:tcPr>
            <w:tcW w:w="58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(397 )</w:t>
            </w:r>
          </w:p>
        </w:tc>
      </w:tr>
      <w:tr>
        <w:trPr>
          <w:trHeight w:val="250"/>
        </w:trPr>
        <w:tc>
          <w:tcPr>
            <w:tcW w:w="5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4,872</w:t>
            </w:r>
          </w:p>
        </w:tc>
        <w:tc>
          <w:tcPr>
            <w:tcW w:w="28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4,792</w:t>
            </w:r>
          </w:p>
        </w:tc>
        <w:tc>
          <w:tcPr>
            <w:tcW w:w="60" w:type="dxa"/>
            <w:vAlign w:val="bottom"/>
          </w:tcPr>
          <w:p>
            <w:pPr>
              <w:spacing w:after="0"/>
              <w:rPr>
                <w:sz w:val="21"/>
                <w:szCs w:val="21"/>
                <w:color w:val="auto"/>
              </w:rPr>
            </w:pPr>
          </w:p>
        </w:tc>
      </w:tr>
      <w:tr>
        <w:trPr>
          <w:trHeight w:val="239"/>
        </w:trPr>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45,851</w:t>
            </w:r>
          </w:p>
        </w:tc>
        <w:tc>
          <w:tcPr>
            <w:tcW w:w="280" w:type="dxa"/>
            <w:vAlign w:val="bottom"/>
          </w:tcPr>
          <w:p>
            <w:pPr>
              <w:spacing w:after="0"/>
              <w:rPr>
                <w:sz w:val="20"/>
                <w:szCs w:val="20"/>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35,752</w:t>
            </w:r>
          </w:p>
        </w:tc>
        <w:tc>
          <w:tcPr>
            <w:tcW w:w="60" w:type="dxa"/>
            <w:vAlign w:val="bottom"/>
          </w:tcPr>
          <w:p>
            <w:pPr>
              <w:spacing w:after="0"/>
              <w:rPr>
                <w:sz w:val="20"/>
                <w:szCs w:val="20"/>
                <w:color w:val="auto"/>
              </w:rPr>
            </w:pP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-4896485</wp:posOffset>
            </wp:positionH>
            <wp:positionV relativeFrom="paragraph">
              <wp:posOffset>-1422400</wp:posOffset>
            </wp:positionV>
            <wp:extent cx="7132320" cy="1543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-4896485</wp:posOffset>
            </wp:positionH>
            <wp:positionV relativeFrom="paragraph">
              <wp:posOffset>-1113790</wp:posOffset>
            </wp:positionV>
            <wp:extent cx="7132320" cy="1543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-4896485</wp:posOffset>
            </wp:positionH>
            <wp:positionV relativeFrom="paragraph">
              <wp:posOffset>-805180</wp:posOffset>
            </wp:positionV>
            <wp:extent cx="7132320" cy="1543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-4896485</wp:posOffset>
            </wp:positionH>
            <wp:positionV relativeFrom="paragraph">
              <wp:posOffset>-496570</wp:posOffset>
            </wp:positionV>
            <wp:extent cx="7132320" cy="1543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-4896485</wp:posOffset>
            </wp:positionH>
            <wp:positionV relativeFrom="paragraph">
              <wp:posOffset>-179070</wp:posOffset>
            </wp:positionV>
            <wp:extent cx="7132320" cy="1797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00" w:space="720"/>
            <w:col w:w="3520"/>
          </w:cols>
          <w:pgMar w:left="320" w:top="765" w:right="339" w:bottom="1440" w:gutter="0" w:footer="0" w:header="0"/>
          <w:type w:val="continuous"/>
        </w:sectPr>
      </w:pP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Significant Payors</w:t>
      </w:r>
    </w:p>
    <w:p>
      <w:pPr>
        <w:spacing w:after="0" w:line="121" w:lineRule="exact"/>
        <w:rPr>
          <w:sz w:val="20"/>
          <w:szCs w:val="20"/>
          <w:color w:val="auto"/>
        </w:rPr>
      </w:pPr>
    </w:p>
    <w:p>
      <w:pPr>
        <w:jc w:val="right"/>
        <w:ind w:right="6780"/>
        <w:spacing w:after="0"/>
        <w:rPr>
          <w:sz w:val="20"/>
          <w:szCs w:val="20"/>
          <w:color w:val="auto"/>
        </w:rPr>
      </w:pPr>
      <w:r>
        <w:rPr>
          <w:rFonts w:ascii="Times New Roman" w:cs="Times New Roman" w:eastAsia="Times New Roman" w:hAnsi="Times New Roman"/>
          <w:sz w:val="18"/>
          <w:szCs w:val="18"/>
          <w:color w:val="auto"/>
        </w:rPr>
        <w:t>The Company’s revenue by payor type was as follows:</w:t>
      </w:r>
    </w:p>
    <w:p>
      <w:pPr>
        <w:sectPr>
          <w:pgSz w:w="11900" w:h="16838" w:orient="portrait"/>
          <w:cols w:equalWidth="0" w:num="1">
            <w:col w:w="11240"/>
          </w:cols>
          <w:pgMar w:left="320" w:top="765" w:right="339" w:bottom="1440" w:gutter="0" w:footer="0" w:header="0"/>
          <w:type w:val="continuous"/>
        </w:sectPr>
      </w:pP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Personal Care Segment</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9"/>
        </w:trPr>
        <w:tc>
          <w:tcPr>
            <w:tcW w:w="100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3"/>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For the Three Months Ended June 30,</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3"/>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rPr>
              <w:t>For the Six Months Ended June 30,</w:t>
            </w:r>
          </w:p>
        </w:tc>
        <w:tc>
          <w:tcPr>
            <w:tcW w:w="760" w:type="dxa"/>
            <w:vAlign w:val="bottom"/>
            <w:tcBorders>
              <w:bottom w:val="single" w:sz="8" w:color="auto"/>
            </w:tcBorders>
          </w:tcPr>
          <w:p>
            <w:pPr>
              <w:spacing w:after="0"/>
              <w:rPr>
                <w:sz w:val="15"/>
                <w:szCs w:val="15"/>
                <w:color w:val="auto"/>
              </w:rPr>
            </w:pPr>
          </w:p>
        </w:tc>
      </w:tr>
      <w:tr>
        <w:trPr>
          <w:trHeight w:val="169"/>
        </w:trPr>
        <w:tc>
          <w:tcPr>
            <w:tcW w:w="2080" w:type="dxa"/>
            <w:vAlign w:val="bottom"/>
            <w:gridSpan w:val="2"/>
          </w:tcPr>
          <w:p>
            <w:pPr>
              <w:jc w:val="right"/>
              <w:ind w:right="85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jc w:val="right"/>
              <w:ind w:right="753"/>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760" w:type="dxa"/>
            <w:vAlign w:val="bottom"/>
          </w:tcPr>
          <w:p>
            <w:pPr>
              <w:spacing w:after="0"/>
              <w:rPr>
                <w:sz w:val="14"/>
                <w:szCs w:val="14"/>
                <w:color w:val="auto"/>
              </w:rPr>
            </w:pPr>
          </w:p>
        </w:tc>
      </w:tr>
      <w:tr>
        <w:trPr>
          <w:trHeight w:val="139"/>
        </w:trPr>
        <w:tc>
          <w:tcPr>
            <w:tcW w:w="10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center"/>
              <w:ind w:left="93"/>
              <w:spacing w:after="0" w:line="139" w:lineRule="exact"/>
              <w:rPr>
                <w:sz w:val="20"/>
                <w:szCs w:val="20"/>
                <w:color w:val="auto"/>
              </w:rPr>
            </w:pPr>
            <w:r>
              <w:rPr>
                <w:rFonts w:ascii="Times New Roman" w:cs="Times New Roman" w:eastAsia="Times New Roman" w:hAnsi="Times New Roman"/>
                <w:sz w:val="13"/>
                <w:szCs w:val="13"/>
                <w:b w:val="1"/>
                <w:bCs w:val="1"/>
                <w:color w:val="auto"/>
              </w:rPr>
              <w:t>% of</w:t>
            </w:r>
          </w:p>
        </w:tc>
        <w:tc>
          <w:tcPr>
            <w:tcW w:w="12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 of</w:t>
            </w:r>
          </w:p>
        </w:tc>
        <w:tc>
          <w:tcPr>
            <w:tcW w:w="10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ind w:left="153"/>
              <w:spacing w:after="0" w:line="139" w:lineRule="exact"/>
              <w:rPr>
                <w:sz w:val="20"/>
                <w:szCs w:val="20"/>
                <w:color w:val="auto"/>
              </w:rPr>
            </w:pPr>
            <w:r>
              <w:rPr>
                <w:rFonts w:ascii="Times New Roman" w:cs="Times New Roman" w:eastAsia="Times New Roman" w:hAnsi="Times New Roman"/>
                <w:sz w:val="13"/>
                <w:szCs w:val="13"/>
                <w:b w:val="1"/>
                <w:bCs w:val="1"/>
                <w:color w:val="auto"/>
              </w:rPr>
              <w:t>% of</w:t>
            </w:r>
          </w:p>
        </w:tc>
        <w:tc>
          <w:tcPr>
            <w:tcW w:w="10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 of</w:t>
            </w:r>
          </w:p>
        </w:tc>
      </w:tr>
      <w:tr>
        <w:trPr>
          <w:trHeight w:val="148"/>
        </w:trPr>
        <w:tc>
          <w:tcPr>
            <w:tcW w:w="1000" w:type="dxa"/>
            <w:vAlign w:val="bottom"/>
          </w:tcPr>
          <w:p>
            <w:pPr>
              <w:spacing w:after="0"/>
              <w:rPr>
                <w:sz w:val="12"/>
                <w:szCs w:val="12"/>
                <w:color w:val="auto"/>
              </w:rPr>
            </w:pPr>
          </w:p>
        </w:tc>
        <w:tc>
          <w:tcPr>
            <w:tcW w:w="1080" w:type="dxa"/>
            <w:vAlign w:val="bottom"/>
          </w:tcPr>
          <w:p>
            <w:pPr>
              <w:jc w:val="center"/>
              <w:ind w:left="113"/>
              <w:spacing w:after="0"/>
              <w:rPr>
                <w:sz w:val="20"/>
                <w:szCs w:val="20"/>
                <w:color w:val="auto"/>
              </w:rPr>
            </w:pPr>
            <w:r>
              <w:rPr>
                <w:rFonts w:ascii="Times New Roman" w:cs="Times New Roman" w:eastAsia="Times New Roman" w:hAnsi="Times New Roman"/>
                <w:sz w:val="13"/>
                <w:szCs w:val="13"/>
                <w:b w:val="1"/>
                <w:bCs w:val="1"/>
                <w:color w:val="auto"/>
              </w:rPr>
              <w:t>Segment</w:t>
            </w: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Segment</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jc w:val="center"/>
              <w:ind w:left="173"/>
              <w:spacing w:after="0"/>
              <w:rPr>
                <w:sz w:val="20"/>
                <w:szCs w:val="20"/>
                <w:color w:val="auto"/>
              </w:rPr>
            </w:pPr>
            <w:r>
              <w:rPr>
                <w:rFonts w:ascii="Times New Roman" w:cs="Times New Roman" w:eastAsia="Times New Roman" w:hAnsi="Times New Roman"/>
                <w:sz w:val="13"/>
                <w:szCs w:val="13"/>
                <w:b w:val="1"/>
                <w:bCs w:val="1"/>
                <w:color w:val="auto"/>
              </w:rPr>
              <w:t>Segment</w:t>
            </w: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Segment</w:t>
            </w:r>
          </w:p>
        </w:tc>
      </w:tr>
      <w:tr>
        <w:trPr>
          <w:trHeight w:val="149"/>
        </w:trPr>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80" w:type="dxa"/>
            <w:vAlign w:val="bottom"/>
          </w:tcPr>
          <w:p>
            <w:pPr>
              <w:jc w:val="center"/>
              <w:ind w:left="113"/>
              <w:spacing w:after="0"/>
              <w:rPr>
                <w:sz w:val="20"/>
                <w:szCs w:val="20"/>
                <w:color w:val="auto"/>
              </w:rPr>
            </w:pPr>
            <w:r>
              <w:rPr>
                <w:rFonts w:ascii="Times New Roman" w:cs="Times New Roman" w:eastAsia="Times New Roman" w:hAnsi="Times New Roman"/>
                <w:sz w:val="13"/>
                <w:szCs w:val="13"/>
                <w:b w:val="1"/>
                <w:bCs w:val="1"/>
                <w:color w:val="auto"/>
              </w:rPr>
              <w:t>Net Service</w:t>
            </w:r>
          </w:p>
        </w:tc>
        <w:tc>
          <w:tcPr>
            <w:tcW w:w="120" w:type="dxa"/>
            <w:vAlign w:val="bottom"/>
          </w:tcPr>
          <w:p>
            <w:pPr>
              <w:spacing w:after="0"/>
              <w:rPr>
                <w:sz w:val="12"/>
                <w:szCs w:val="12"/>
                <w:color w:val="auto"/>
              </w:rPr>
            </w:pPr>
          </w:p>
        </w:tc>
        <w:tc>
          <w:tcPr>
            <w:tcW w:w="1200" w:type="dxa"/>
            <w:vAlign w:val="bottom"/>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Net Service</w:t>
            </w:r>
          </w:p>
        </w:tc>
        <w:tc>
          <w:tcPr>
            <w:tcW w:w="100" w:type="dxa"/>
            <w:vAlign w:val="bottom"/>
          </w:tcPr>
          <w:p>
            <w:pPr>
              <w:spacing w:after="0"/>
              <w:rPr>
                <w:sz w:val="12"/>
                <w:szCs w:val="12"/>
                <w:color w:val="auto"/>
              </w:rPr>
            </w:pPr>
          </w:p>
        </w:tc>
        <w:tc>
          <w:tcPr>
            <w:tcW w:w="1020" w:type="dxa"/>
            <w:vAlign w:val="bottom"/>
          </w:tcPr>
          <w:p>
            <w:pPr>
              <w:jc w:val="center"/>
              <w:ind w:left="5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100" w:type="dxa"/>
            <w:vAlign w:val="bottom"/>
          </w:tcPr>
          <w:p>
            <w:pPr>
              <w:jc w:val="center"/>
              <w:ind w:left="153"/>
              <w:spacing w:after="0"/>
              <w:rPr>
                <w:sz w:val="20"/>
                <w:szCs w:val="20"/>
                <w:color w:val="auto"/>
              </w:rPr>
            </w:pPr>
            <w:r>
              <w:rPr>
                <w:rFonts w:ascii="Times New Roman" w:cs="Times New Roman" w:eastAsia="Times New Roman" w:hAnsi="Times New Roman"/>
                <w:sz w:val="13"/>
                <w:szCs w:val="13"/>
                <w:b w:val="1"/>
                <w:bCs w:val="1"/>
                <w:color w:val="auto"/>
              </w:rPr>
              <w:t>Net Service</w:t>
            </w:r>
          </w:p>
        </w:tc>
        <w:tc>
          <w:tcPr>
            <w:tcW w:w="100" w:type="dxa"/>
            <w:vAlign w:val="bottom"/>
          </w:tcPr>
          <w:p>
            <w:pPr>
              <w:spacing w:after="0"/>
              <w:rPr>
                <w:sz w:val="12"/>
                <w:szCs w:val="12"/>
                <w:color w:val="auto"/>
              </w:rPr>
            </w:pPr>
          </w:p>
        </w:tc>
        <w:tc>
          <w:tcPr>
            <w:tcW w:w="1180" w:type="dxa"/>
            <w:vAlign w:val="bottom"/>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Net Service</w:t>
            </w:r>
          </w:p>
        </w:tc>
      </w:tr>
      <w:tr>
        <w:trPr>
          <w:trHeight w:val="178"/>
        </w:trPr>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080" w:type="dxa"/>
            <w:vAlign w:val="bottom"/>
          </w:tcPr>
          <w:p>
            <w:pPr>
              <w:jc w:val="center"/>
              <w:ind w:left="113"/>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20" w:type="dxa"/>
            <w:vAlign w:val="bottom"/>
          </w:tcPr>
          <w:p>
            <w:pPr>
              <w:spacing w:after="0"/>
              <w:rPr>
                <w:sz w:val="15"/>
                <w:szCs w:val="15"/>
                <w:color w:val="auto"/>
              </w:rPr>
            </w:pPr>
          </w:p>
        </w:tc>
        <w:tc>
          <w:tcPr>
            <w:tcW w:w="1200" w:type="dxa"/>
            <w:vAlign w:val="bottom"/>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00" w:type="dxa"/>
            <w:vAlign w:val="bottom"/>
          </w:tcPr>
          <w:p>
            <w:pPr>
              <w:spacing w:after="0"/>
              <w:rPr>
                <w:sz w:val="15"/>
                <w:szCs w:val="15"/>
                <w:color w:val="auto"/>
              </w:rPr>
            </w:pPr>
          </w:p>
        </w:tc>
        <w:tc>
          <w:tcPr>
            <w:tcW w:w="1020" w:type="dxa"/>
            <w:vAlign w:val="bottom"/>
          </w:tcPr>
          <w:p>
            <w:pPr>
              <w:jc w:val="center"/>
              <w:ind w:left="53"/>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100" w:type="dxa"/>
            <w:vAlign w:val="bottom"/>
          </w:tcPr>
          <w:p>
            <w:pPr>
              <w:jc w:val="center"/>
              <w:ind w:left="153"/>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00" w:type="dxa"/>
            <w:vAlign w:val="bottom"/>
          </w:tcPr>
          <w:p>
            <w:pPr>
              <w:spacing w:after="0"/>
              <w:rPr>
                <w:sz w:val="15"/>
                <w:szCs w:val="15"/>
                <w:color w:val="auto"/>
              </w:rPr>
            </w:pPr>
          </w:p>
        </w:tc>
        <w:tc>
          <w:tcPr>
            <w:tcW w:w="1180" w:type="dxa"/>
            <w:vAlign w:val="bottom"/>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Revenues</w:t>
            </w:r>
          </w:p>
        </w:tc>
      </w:tr>
    </w:tbl>
    <w:p>
      <w:pPr>
        <w:spacing w:after="0" w:line="1" w:lineRule="exact"/>
        <w:rPr>
          <w:sz w:val="20"/>
          <w:szCs w:val="20"/>
          <w:color w:val="auto"/>
        </w:rPr>
      </w:pPr>
    </w:p>
    <w:p>
      <w:pPr>
        <w:sectPr>
          <w:pgSz w:w="11900" w:h="16838" w:orient="portrait"/>
          <w:cols w:equalWidth="0" w:num="2">
            <w:col w:w="1900" w:space="720"/>
            <w:col w:w="8620"/>
          </w:cols>
          <w:pgMar w:left="320" w:top="765" w:right="339" w:bottom="1440" w:gutter="0" w:footer="0" w:header="0"/>
          <w:type w:val="continuous"/>
        </w:sectPr>
      </w:pPr>
    </w:p>
    <w:tbl>
      <w:tblPr>
        <w:tblLayout w:type="fixed"/>
        <w:tblInd w:w="0" w:type="dxa"/>
        <w:tblCellMar>
          <w:top w:w="0" w:type="dxa"/>
          <w:left w:w="0" w:type="dxa"/>
          <w:bottom w:w="0" w:type="dxa"/>
          <w:right w:w="0" w:type="dxa"/>
        </w:tblCellMar>
      </w:tblPr>
      <w:tr>
        <w:trPr>
          <w:trHeight w:val="205"/>
        </w:trPr>
        <w:tc>
          <w:tcPr>
            <w:tcW w:w="2620" w:type="dxa"/>
            <w:vAlign w:val="bottom"/>
            <w:tcBorders>
              <w:top w:val="single" w:sz="8" w:color="CFF0FC"/>
            </w:tcBorders>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State, local and other governmental</w:t>
            </w:r>
          </w:p>
        </w:tc>
        <w:tc>
          <w:tcPr>
            <w:tcW w:w="28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programs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113,002</w:t>
            </w:r>
          </w:p>
        </w:tc>
        <w:tc>
          <w:tcPr>
            <w:tcW w:w="1420" w:type="dxa"/>
            <w:vAlign w:val="bottom"/>
            <w:gridSpan w:val="4"/>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53.1 %$</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100,399</w:t>
            </w:r>
          </w:p>
        </w:tc>
        <w:tc>
          <w:tcPr>
            <w:tcW w:w="1320" w:type="dxa"/>
            <w:vAlign w:val="bottom"/>
            <w:gridSpan w:val="4"/>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50.6 %$</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220,756</w:t>
            </w:r>
          </w:p>
        </w:tc>
        <w:tc>
          <w:tcPr>
            <w:tcW w:w="136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52.5 %$</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195,721</w:t>
            </w:r>
          </w:p>
        </w:tc>
        <w:tc>
          <w:tcPr>
            <w:tcW w:w="11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50.4 %</w:t>
            </w:r>
          </w:p>
        </w:tc>
        <w:tc>
          <w:tcPr>
            <w:tcW w:w="0" w:type="dxa"/>
            <w:vAlign w:val="bottom"/>
          </w:tcPr>
          <w:p>
            <w:pPr>
              <w:spacing w:after="0"/>
              <w:rPr>
                <w:sz w:val="1"/>
                <w:szCs w:val="1"/>
                <w:color w:val="auto"/>
              </w:rPr>
            </w:pPr>
          </w:p>
        </w:tc>
      </w:tr>
      <w:tr>
        <w:trPr>
          <w:trHeight w:val="239"/>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Managed care organizations</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94,135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91,276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188,411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179,176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Private pay</w:t>
            </w:r>
          </w:p>
        </w:tc>
        <w:tc>
          <w:tcPr>
            <w:tcW w:w="2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7,595</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8,363</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insurance</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2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10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2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62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Total personal care segment net</w:t>
            </w: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212,817</w:t>
            </w:r>
          </w:p>
        </w:tc>
        <w:tc>
          <w:tcPr>
            <w:tcW w:w="142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100.0 %$</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198,314</w:t>
            </w:r>
          </w:p>
        </w:tc>
        <w:tc>
          <w:tcPr>
            <w:tcW w:w="1320" w:type="dxa"/>
            <w:vAlign w:val="bottom"/>
            <w:gridSpan w:val="4"/>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100.0 %$</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420,820</w:t>
            </w:r>
          </w:p>
        </w:tc>
        <w:tc>
          <w:tcPr>
            <w:tcW w:w="136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100.0 %$</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388,346</w:t>
            </w:r>
          </w:p>
        </w:tc>
        <w:tc>
          <w:tcPr>
            <w:tcW w:w="11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7"/>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revenues</w:t>
            </w:r>
          </w:p>
        </w:tc>
        <w:tc>
          <w:tcPr>
            <w:tcW w:w="28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420" w:type="dxa"/>
            <w:vAlign w:val="bottom"/>
            <w:gridSpan w:val="4"/>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320" w:type="dxa"/>
            <w:vAlign w:val="bottom"/>
            <w:gridSpan w:val="4"/>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360" w:type="dxa"/>
            <w:vAlign w:val="bottom"/>
            <w:gridSpan w:val="4"/>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9"/>
        </w:trPr>
        <w:tc>
          <w:tcPr>
            <w:tcW w:w="2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jc w:val="right"/>
              <w:ind w:right="91"/>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5"/>
        </w:trPr>
        <w:tc>
          <w:tcPr>
            <w:tcW w:w="26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-1190625</wp:posOffset>
            </wp:positionV>
            <wp:extent cx="768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-1190625</wp:posOffset>
            </wp:positionV>
            <wp:extent cx="7747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-1190625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-1190625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-1190625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-1190625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-1190625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-1190625</wp:posOffset>
            </wp:positionV>
            <wp:extent cx="12890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85915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Hospice Segment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9"/>
        </w:trPr>
        <w:tc>
          <w:tcPr>
            <w:tcW w:w="10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3"/>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For the Three Months Ended June 30,</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3"/>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rPr>
              <w:t>For the Six Months Ended June 30,</w:t>
            </w:r>
          </w:p>
        </w:tc>
        <w:tc>
          <w:tcPr>
            <w:tcW w:w="820" w:type="dxa"/>
            <w:vAlign w:val="bottom"/>
            <w:tcBorders>
              <w:bottom w:val="single" w:sz="8" w:color="auto"/>
            </w:tcBorders>
          </w:tcPr>
          <w:p>
            <w:pPr>
              <w:spacing w:after="0"/>
              <w:rPr>
                <w:sz w:val="15"/>
                <w:szCs w:val="15"/>
                <w:color w:val="auto"/>
              </w:rPr>
            </w:pPr>
          </w:p>
        </w:tc>
      </w:tr>
      <w:tr>
        <w:trPr>
          <w:trHeight w:val="169"/>
        </w:trPr>
        <w:tc>
          <w:tcPr>
            <w:tcW w:w="2080" w:type="dxa"/>
            <w:vAlign w:val="bottom"/>
            <w:gridSpan w:val="2"/>
          </w:tcPr>
          <w:p>
            <w:pPr>
              <w:jc w:val="right"/>
              <w:ind w:right="85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2"/>
          </w:tcPr>
          <w:p>
            <w:pPr>
              <w:jc w:val="right"/>
              <w:ind w:right="77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820" w:type="dxa"/>
            <w:vAlign w:val="bottom"/>
          </w:tcPr>
          <w:p>
            <w:pPr>
              <w:spacing w:after="0"/>
              <w:rPr>
                <w:sz w:val="14"/>
                <w:szCs w:val="14"/>
                <w:color w:val="auto"/>
              </w:rPr>
            </w:pPr>
          </w:p>
        </w:tc>
      </w:tr>
      <w:tr>
        <w:trPr>
          <w:trHeight w:val="139"/>
        </w:trPr>
        <w:tc>
          <w:tcPr>
            <w:tcW w:w="10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center"/>
              <w:ind w:left="113"/>
              <w:spacing w:after="0" w:line="139" w:lineRule="exact"/>
              <w:rPr>
                <w:sz w:val="20"/>
                <w:szCs w:val="20"/>
                <w:color w:val="auto"/>
              </w:rPr>
            </w:pPr>
            <w:r>
              <w:rPr>
                <w:rFonts w:ascii="Times New Roman" w:cs="Times New Roman" w:eastAsia="Times New Roman" w:hAnsi="Times New Roman"/>
                <w:sz w:val="13"/>
                <w:szCs w:val="13"/>
                <w:b w:val="1"/>
                <w:bCs w:val="1"/>
                <w:color w:val="auto"/>
              </w:rPr>
              <w:t>% of</w:t>
            </w:r>
          </w:p>
        </w:tc>
        <w:tc>
          <w:tcPr>
            <w:tcW w:w="12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ind w:right="13"/>
              <w:spacing w:after="0" w:line="139" w:lineRule="exact"/>
              <w:rPr>
                <w:sz w:val="20"/>
                <w:szCs w:val="20"/>
                <w:color w:val="auto"/>
              </w:rPr>
            </w:pPr>
            <w:r>
              <w:rPr>
                <w:rFonts w:ascii="Times New Roman" w:cs="Times New Roman" w:eastAsia="Times New Roman" w:hAnsi="Times New Roman"/>
                <w:sz w:val="13"/>
                <w:szCs w:val="13"/>
                <w:b w:val="1"/>
                <w:bCs w:val="1"/>
                <w:color w:val="auto"/>
              </w:rPr>
              <w:t>% of</w:t>
            </w:r>
          </w:p>
        </w:tc>
        <w:tc>
          <w:tcPr>
            <w:tcW w:w="10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ind w:left="33"/>
              <w:spacing w:after="0" w:line="139" w:lineRule="exact"/>
              <w:rPr>
                <w:sz w:val="20"/>
                <w:szCs w:val="20"/>
                <w:color w:val="auto"/>
              </w:rPr>
            </w:pPr>
            <w:r>
              <w:rPr>
                <w:rFonts w:ascii="Times New Roman" w:cs="Times New Roman" w:eastAsia="Times New Roman" w:hAnsi="Times New Roman"/>
                <w:sz w:val="13"/>
                <w:szCs w:val="13"/>
                <w:b w:val="1"/>
                <w:bCs w:val="1"/>
                <w:color w:val="auto"/>
              </w:rPr>
              <w:t>% of</w:t>
            </w:r>
          </w:p>
        </w:tc>
        <w:tc>
          <w:tcPr>
            <w:tcW w:w="10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ind w:right="33"/>
              <w:spacing w:after="0" w:line="139" w:lineRule="exact"/>
              <w:rPr>
                <w:sz w:val="20"/>
                <w:szCs w:val="20"/>
                <w:color w:val="auto"/>
              </w:rPr>
            </w:pPr>
            <w:r>
              <w:rPr>
                <w:rFonts w:ascii="Times New Roman" w:cs="Times New Roman" w:eastAsia="Times New Roman" w:hAnsi="Times New Roman"/>
                <w:sz w:val="13"/>
                <w:szCs w:val="13"/>
                <w:b w:val="1"/>
                <w:bCs w:val="1"/>
                <w:color w:val="auto"/>
              </w:rPr>
              <w:t>% of</w:t>
            </w:r>
          </w:p>
        </w:tc>
      </w:tr>
      <w:tr>
        <w:trPr>
          <w:trHeight w:val="148"/>
        </w:trPr>
        <w:tc>
          <w:tcPr>
            <w:tcW w:w="1020" w:type="dxa"/>
            <w:vAlign w:val="bottom"/>
          </w:tcPr>
          <w:p>
            <w:pPr>
              <w:spacing w:after="0"/>
              <w:rPr>
                <w:sz w:val="12"/>
                <w:szCs w:val="12"/>
                <w:color w:val="auto"/>
              </w:rPr>
            </w:pPr>
          </w:p>
        </w:tc>
        <w:tc>
          <w:tcPr>
            <w:tcW w:w="1060" w:type="dxa"/>
            <w:vAlign w:val="bottom"/>
          </w:tcPr>
          <w:p>
            <w:pPr>
              <w:jc w:val="center"/>
              <w:ind w:left="53"/>
              <w:spacing w:after="0"/>
              <w:rPr>
                <w:sz w:val="20"/>
                <w:szCs w:val="20"/>
                <w:color w:val="auto"/>
              </w:rPr>
            </w:pPr>
            <w:r>
              <w:rPr>
                <w:rFonts w:ascii="Times New Roman" w:cs="Times New Roman" w:eastAsia="Times New Roman" w:hAnsi="Times New Roman"/>
                <w:sz w:val="13"/>
                <w:szCs w:val="13"/>
                <w:b w:val="1"/>
                <w:bCs w:val="1"/>
                <w:color w:val="auto"/>
              </w:rPr>
              <w:t>Segment</w:t>
            </w: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0" w:type="dxa"/>
            <w:vAlign w:val="bottom"/>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rPr>
              <w:t>Segment</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tcPr>
          <w:p>
            <w:pPr>
              <w:jc w:val="center"/>
              <w:ind w:left="13"/>
              <w:spacing w:after="0"/>
              <w:rPr>
                <w:sz w:val="20"/>
                <w:szCs w:val="20"/>
                <w:color w:val="auto"/>
              </w:rPr>
            </w:pPr>
            <w:r>
              <w:rPr>
                <w:rFonts w:ascii="Times New Roman" w:cs="Times New Roman" w:eastAsia="Times New Roman" w:hAnsi="Times New Roman"/>
                <w:sz w:val="13"/>
                <w:szCs w:val="13"/>
                <w:b w:val="1"/>
                <w:bCs w:val="1"/>
                <w:color w:val="auto"/>
              </w:rPr>
              <w:t>Segment</w:t>
            </w: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rPr>
              <w:t>Segment</w:t>
            </w:r>
          </w:p>
        </w:tc>
      </w:tr>
      <w:tr>
        <w:trPr>
          <w:trHeight w:val="148"/>
        </w:trPr>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60" w:type="dxa"/>
            <w:vAlign w:val="bottom"/>
          </w:tcPr>
          <w:p>
            <w:pPr>
              <w:jc w:val="center"/>
              <w:ind w:left="53"/>
              <w:spacing w:after="0"/>
              <w:rPr>
                <w:sz w:val="20"/>
                <w:szCs w:val="20"/>
                <w:color w:val="auto"/>
              </w:rPr>
            </w:pPr>
            <w:r>
              <w:rPr>
                <w:rFonts w:ascii="Times New Roman" w:cs="Times New Roman" w:eastAsia="Times New Roman" w:hAnsi="Times New Roman"/>
                <w:sz w:val="13"/>
                <w:szCs w:val="13"/>
                <w:b w:val="1"/>
                <w:bCs w:val="1"/>
                <w:color w:val="auto"/>
              </w:rPr>
              <w:t>Net Service</w:t>
            </w:r>
          </w:p>
        </w:tc>
        <w:tc>
          <w:tcPr>
            <w:tcW w:w="120" w:type="dxa"/>
            <w:vAlign w:val="bottom"/>
          </w:tcPr>
          <w:p>
            <w:pPr>
              <w:spacing w:after="0"/>
              <w:rPr>
                <w:sz w:val="12"/>
                <w:szCs w:val="12"/>
                <w:color w:val="auto"/>
              </w:rPr>
            </w:pPr>
          </w:p>
        </w:tc>
        <w:tc>
          <w:tcPr>
            <w:tcW w:w="1220" w:type="dxa"/>
            <w:vAlign w:val="bottom"/>
          </w:tcPr>
          <w:p>
            <w:pPr>
              <w:jc w:val="center"/>
              <w:ind w:right="15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0" w:type="dxa"/>
            <w:vAlign w:val="bottom"/>
          </w:tcPr>
          <w:p>
            <w:pPr>
              <w:jc w:val="center"/>
              <w:ind w:right="33"/>
              <w:spacing w:after="0"/>
              <w:rPr>
                <w:sz w:val="20"/>
                <w:szCs w:val="20"/>
                <w:color w:val="auto"/>
              </w:rPr>
            </w:pPr>
            <w:r>
              <w:rPr>
                <w:rFonts w:ascii="Times New Roman" w:cs="Times New Roman" w:eastAsia="Times New Roman" w:hAnsi="Times New Roman"/>
                <w:sz w:val="13"/>
                <w:szCs w:val="13"/>
                <w:b w:val="1"/>
                <w:bCs w:val="1"/>
                <w:color w:val="auto"/>
              </w:rPr>
              <w:t>Net Service</w:t>
            </w:r>
          </w:p>
        </w:tc>
        <w:tc>
          <w:tcPr>
            <w:tcW w:w="100" w:type="dxa"/>
            <w:vAlign w:val="bottom"/>
          </w:tcPr>
          <w:p>
            <w:pPr>
              <w:spacing w:after="0"/>
              <w:rPr>
                <w:sz w:val="12"/>
                <w:szCs w:val="12"/>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80" w:type="dxa"/>
            <w:vAlign w:val="bottom"/>
          </w:tcPr>
          <w:p>
            <w:pPr>
              <w:jc w:val="center"/>
              <w:ind w:left="13"/>
              <w:spacing w:after="0"/>
              <w:rPr>
                <w:sz w:val="20"/>
                <w:szCs w:val="20"/>
                <w:color w:val="auto"/>
              </w:rPr>
            </w:pPr>
            <w:r>
              <w:rPr>
                <w:rFonts w:ascii="Times New Roman" w:cs="Times New Roman" w:eastAsia="Times New Roman" w:hAnsi="Times New Roman"/>
                <w:sz w:val="13"/>
                <w:szCs w:val="13"/>
                <w:b w:val="1"/>
                <w:bCs w:val="1"/>
                <w:color w:val="auto"/>
              </w:rPr>
              <w:t>Net Service</w:t>
            </w:r>
          </w:p>
        </w:tc>
        <w:tc>
          <w:tcPr>
            <w:tcW w:w="100" w:type="dxa"/>
            <w:vAlign w:val="bottom"/>
          </w:tcPr>
          <w:p>
            <w:pPr>
              <w:spacing w:after="0"/>
              <w:rPr>
                <w:sz w:val="12"/>
                <w:szCs w:val="12"/>
                <w:color w:val="auto"/>
              </w:rPr>
            </w:pPr>
          </w:p>
        </w:tc>
        <w:tc>
          <w:tcPr>
            <w:tcW w:w="1240" w:type="dxa"/>
            <w:vAlign w:val="bottom"/>
          </w:tcPr>
          <w:p>
            <w:pPr>
              <w:jc w:val="center"/>
              <w:ind w:right="15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20" w:type="dxa"/>
            <w:vAlign w:val="bottom"/>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rPr>
              <w:t>Net Service</w:t>
            </w:r>
          </w:p>
        </w:tc>
      </w:tr>
      <w:tr>
        <w:trPr>
          <w:trHeight w:val="178"/>
        </w:trPr>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060" w:type="dxa"/>
            <w:vAlign w:val="bottom"/>
          </w:tcPr>
          <w:p>
            <w:pPr>
              <w:jc w:val="center"/>
              <w:ind w:left="93"/>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20" w:type="dxa"/>
            <w:vAlign w:val="bottom"/>
          </w:tcPr>
          <w:p>
            <w:pPr>
              <w:spacing w:after="0"/>
              <w:rPr>
                <w:sz w:val="15"/>
                <w:szCs w:val="15"/>
                <w:color w:val="auto"/>
              </w:rPr>
            </w:pPr>
          </w:p>
        </w:tc>
        <w:tc>
          <w:tcPr>
            <w:tcW w:w="1220" w:type="dxa"/>
            <w:vAlign w:val="bottom"/>
          </w:tcPr>
          <w:p>
            <w:pPr>
              <w:jc w:val="center"/>
              <w:ind w:right="113"/>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980" w:type="dxa"/>
            <w:vAlign w:val="bottom"/>
          </w:tcPr>
          <w:p>
            <w:pPr>
              <w:jc w:val="center"/>
              <w:ind w:left="33"/>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00" w:type="dxa"/>
            <w:vAlign w:val="bottom"/>
          </w:tcPr>
          <w:p>
            <w:pPr>
              <w:spacing w:after="0"/>
              <w:rPr>
                <w:sz w:val="15"/>
                <w:szCs w:val="15"/>
                <w:color w:val="auto"/>
              </w:rPr>
            </w:pPr>
          </w:p>
        </w:tc>
        <w:tc>
          <w:tcPr>
            <w:tcW w:w="1240" w:type="dxa"/>
            <w:vAlign w:val="bottom"/>
          </w:tcPr>
          <w:p>
            <w:pPr>
              <w:jc w:val="center"/>
              <w:ind w:right="113"/>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82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Revenues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-1657985</wp:posOffset>
            </wp:positionH>
            <wp:positionV relativeFrom="paragraph">
              <wp:posOffset>8890</wp:posOffset>
            </wp:positionV>
            <wp:extent cx="7132320" cy="1543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1900" w:space="720"/>
            <w:col w:w="8680"/>
          </w:cols>
          <w:pgMar w:left="320" w:top="765" w:right="279" w:bottom="1440" w:gutter="0" w:footer="0" w:header="0"/>
        </w:sectPr>
      </w:pPr>
    </w:p>
    <w:tbl>
      <w:tblPr>
        <w:tblLayout w:type="fixed"/>
        <w:tblInd w:w="0" w:type="dxa"/>
        <w:tblCellMar>
          <w:top w:w="0" w:type="dxa"/>
          <w:left w:w="0" w:type="dxa"/>
          <w:bottom w:w="0" w:type="dxa"/>
          <w:right w:w="0" w:type="dxa"/>
        </w:tblCellMar>
      </w:tblPr>
      <w:tr>
        <w:trPr>
          <w:trHeight w:val="20"/>
        </w:trPr>
        <w:tc>
          <w:tcPr>
            <w:tcW w:w="26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Medicare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51,122</w:t>
            </w:r>
          </w:p>
        </w:tc>
        <w:tc>
          <w:tcPr>
            <w:tcW w:w="120" w:type="dxa"/>
            <w:vAlign w:val="bottom"/>
          </w:tcPr>
          <w:p>
            <w:pPr>
              <w:spacing w:after="0"/>
              <w:rPr>
                <w:sz w:val="18"/>
                <w:szCs w:val="18"/>
                <w:color w:val="auto"/>
              </w:rPr>
            </w:pP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91.2 %$</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45,566</w:t>
            </w:r>
          </w:p>
        </w:tc>
        <w:tc>
          <w:tcPr>
            <w:tcW w:w="13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90.7 %$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101,774</w:t>
            </w:r>
          </w:p>
        </w:tc>
        <w:tc>
          <w:tcPr>
            <w:tcW w:w="14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91.0 %$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90,122</w:t>
            </w: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90.8 %</w:t>
            </w:r>
          </w:p>
        </w:tc>
        <w:tc>
          <w:tcPr>
            <w:tcW w:w="0" w:type="dxa"/>
            <w:vAlign w:val="bottom"/>
          </w:tcPr>
          <w:p>
            <w:pPr>
              <w:spacing w:after="0"/>
              <w:rPr>
                <w:sz w:val="1"/>
                <w:szCs w:val="1"/>
                <w:color w:val="auto"/>
              </w:rPr>
            </w:pPr>
          </w:p>
        </w:tc>
      </w:tr>
      <w:tr>
        <w:trPr>
          <w:trHeight w:val="24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insurance</w:t>
            </w:r>
          </w:p>
        </w:tc>
        <w:tc>
          <w:tcPr>
            <w:tcW w:w="3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Managed care organizations</w:t>
            </w:r>
          </w:p>
        </w:tc>
        <w:tc>
          <w:tcPr>
            <w:tcW w:w="34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1,567</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3,697</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hospice segment net service</w:t>
            </w: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56,030</w:t>
            </w:r>
          </w:p>
        </w:tc>
        <w:tc>
          <w:tcPr>
            <w:tcW w:w="1440" w:type="dxa"/>
            <w:vAlign w:val="bottom"/>
            <w:gridSpan w:val="4"/>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100.0 %$</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50,210</w:t>
            </w:r>
          </w:p>
        </w:tc>
        <w:tc>
          <w:tcPr>
            <w:tcW w:w="136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100.0 %$</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111,893</w:t>
            </w:r>
          </w:p>
        </w:tc>
        <w:tc>
          <w:tcPr>
            <w:tcW w:w="1400" w:type="dxa"/>
            <w:vAlign w:val="bottom"/>
            <w:gridSpan w:val="4"/>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100.0 %$</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99,293</w:t>
            </w:r>
          </w:p>
        </w:tc>
        <w:tc>
          <w:tcPr>
            <w:tcW w:w="11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7"/>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440" w:type="dxa"/>
            <w:vAlign w:val="bottom"/>
            <w:gridSpan w:val="4"/>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360" w:type="dxa"/>
            <w:vAlign w:val="bottom"/>
            <w:gridSpan w:val="4"/>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400" w:type="dxa"/>
            <w:vAlign w:val="bottom"/>
            <w:gridSpan w:val="4"/>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16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29146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ectPr>
          <w:pgSz w:w="11900" w:h="16838" w:orient="portrait"/>
          <w:cols w:equalWidth="0" w:num="1">
            <w:col w:w="11300"/>
          </w:cols>
          <w:pgMar w:left="320" w:top="765" w:right="279" w:bottom="1440" w:gutter="0" w:footer="0" w:header="0"/>
          <w:type w:val="continuous"/>
        </w:sectPr>
      </w:pP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Home Health Segment</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9"/>
        </w:trPr>
        <w:tc>
          <w:tcPr>
            <w:tcW w:w="100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3"/>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For the Three Months Ended June 30,</w:t>
            </w:r>
          </w:p>
        </w:tc>
        <w:tc>
          <w:tcPr>
            <w:tcW w:w="7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3"/>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rPr>
              <w:t>For the Six Months Ended June 30,</w:t>
            </w:r>
          </w:p>
        </w:tc>
        <w:tc>
          <w:tcPr>
            <w:tcW w:w="760" w:type="dxa"/>
            <w:vAlign w:val="bottom"/>
            <w:tcBorders>
              <w:bottom w:val="single" w:sz="8" w:color="auto"/>
            </w:tcBorders>
          </w:tcPr>
          <w:p>
            <w:pPr>
              <w:spacing w:after="0"/>
              <w:rPr>
                <w:sz w:val="15"/>
                <w:szCs w:val="15"/>
                <w:color w:val="auto"/>
              </w:rPr>
            </w:pPr>
          </w:p>
        </w:tc>
      </w:tr>
      <w:tr>
        <w:trPr>
          <w:trHeight w:val="169"/>
        </w:trPr>
        <w:tc>
          <w:tcPr>
            <w:tcW w:w="1980" w:type="dxa"/>
            <w:vAlign w:val="bottom"/>
            <w:gridSpan w:val="2"/>
          </w:tcPr>
          <w:p>
            <w:pPr>
              <w:jc w:val="right"/>
              <w:ind w:right="79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2"/>
          </w:tcPr>
          <w:p>
            <w:pPr>
              <w:jc w:val="right"/>
              <w:ind w:right="71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760" w:type="dxa"/>
            <w:vAlign w:val="bottom"/>
          </w:tcPr>
          <w:p>
            <w:pPr>
              <w:spacing w:after="0"/>
              <w:rPr>
                <w:sz w:val="14"/>
                <w:szCs w:val="14"/>
                <w:color w:val="auto"/>
              </w:rPr>
            </w:pPr>
          </w:p>
        </w:tc>
      </w:tr>
      <w:tr>
        <w:trPr>
          <w:trHeight w:val="139"/>
        </w:trPr>
        <w:tc>
          <w:tcPr>
            <w:tcW w:w="10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ind w:left="113"/>
              <w:spacing w:after="0" w:line="139" w:lineRule="exact"/>
              <w:rPr>
                <w:sz w:val="20"/>
                <w:szCs w:val="20"/>
                <w:color w:val="auto"/>
              </w:rPr>
            </w:pPr>
            <w:r>
              <w:rPr>
                <w:rFonts w:ascii="Times New Roman" w:cs="Times New Roman" w:eastAsia="Times New Roman" w:hAnsi="Times New Roman"/>
                <w:sz w:val="13"/>
                <w:szCs w:val="13"/>
                <w:b w:val="1"/>
                <w:bCs w:val="1"/>
                <w:color w:val="auto"/>
              </w:rPr>
              <w:t>% of</w:t>
            </w:r>
          </w:p>
        </w:tc>
        <w:tc>
          <w:tcPr>
            <w:tcW w:w="22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 of</w:t>
            </w:r>
          </w:p>
        </w:tc>
        <w:tc>
          <w:tcPr>
            <w:tcW w:w="20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center"/>
              <w:ind w:left="93"/>
              <w:spacing w:after="0" w:line="139" w:lineRule="exact"/>
              <w:rPr>
                <w:sz w:val="20"/>
                <w:szCs w:val="20"/>
                <w:color w:val="auto"/>
              </w:rPr>
            </w:pPr>
            <w:r>
              <w:rPr>
                <w:rFonts w:ascii="Times New Roman" w:cs="Times New Roman" w:eastAsia="Times New Roman" w:hAnsi="Times New Roman"/>
                <w:sz w:val="13"/>
                <w:szCs w:val="13"/>
                <w:b w:val="1"/>
                <w:bCs w:val="1"/>
                <w:color w:val="auto"/>
              </w:rPr>
              <w:t>% of</w:t>
            </w:r>
          </w:p>
        </w:tc>
        <w:tc>
          <w:tcPr>
            <w:tcW w:w="20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 of</w:t>
            </w:r>
          </w:p>
        </w:tc>
      </w:tr>
      <w:tr>
        <w:trPr>
          <w:trHeight w:val="148"/>
        </w:trPr>
        <w:tc>
          <w:tcPr>
            <w:tcW w:w="1000" w:type="dxa"/>
            <w:vAlign w:val="bottom"/>
          </w:tcPr>
          <w:p>
            <w:pPr>
              <w:spacing w:after="0"/>
              <w:rPr>
                <w:sz w:val="12"/>
                <w:szCs w:val="12"/>
                <w:color w:val="auto"/>
              </w:rPr>
            </w:pPr>
          </w:p>
        </w:tc>
        <w:tc>
          <w:tcPr>
            <w:tcW w:w="980" w:type="dxa"/>
            <w:vAlign w:val="bottom"/>
          </w:tcPr>
          <w:p>
            <w:pPr>
              <w:jc w:val="center"/>
              <w:ind w:left="93"/>
              <w:spacing w:after="0"/>
              <w:rPr>
                <w:sz w:val="20"/>
                <w:szCs w:val="20"/>
                <w:color w:val="auto"/>
              </w:rPr>
            </w:pPr>
            <w:r>
              <w:rPr>
                <w:rFonts w:ascii="Times New Roman" w:cs="Times New Roman" w:eastAsia="Times New Roman" w:hAnsi="Times New Roman"/>
                <w:sz w:val="13"/>
                <w:szCs w:val="13"/>
                <w:b w:val="1"/>
                <w:bCs w:val="1"/>
                <w:color w:val="auto"/>
              </w:rPr>
              <w:t>Segment</w:t>
            </w:r>
          </w:p>
        </w:tc>
        <w:tc>
          <w:tcPr>
            <w:tcW w:w="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Segment</w:t>
            </w: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Pr>
          <w:p>
            <w:pPr>
              <w:jc w:val="center"/>
              <w:ind w:left="33"/>
              <w:spacing w:after="0"/>
              <w:rPr>
                <w:sz w:val="20"/>
                <w:szCs w:val="20"/>
                <w:color w:val="auto"/>
              </w:rPr>
            </w:pPr>
            <w:r>
              <w:rPr>
                <w:rFonts w:ascii="Times New Roman" w:cs="Times New Roman" w:eastAsia="Times New Roman" w:hAnsi="Times New Roman"/>
                <w:sz w:val="13"/>
                <w:szCs w:val="13"/>
                <w:b w:val="1"/>
                <w:bCs w:val="1"/>
                <w:color w:val="auto"/>
              </w:rPr>
              <w:t>Segment</w:t>
            </w: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Segment</w:t>
            </w:r>
          </w:p>
        </w:tc>
      </w:tr>
      <w:tr>
        <w:trPr>
          <w:trHeight w:val="148"/>
        </w:trPr>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80" w:type="dxa"/>
            <w:vAlign w:val="bottom"/>
          </w:tcPr>
          <w:p>
            <w:pPr>
              <w:jc w:val="center"/>
              <w:ind w:left="93"/>
              <w:spacing w:after="0"/>
              <w:rPr>
                <w:sz w:val="20"/>
                <w:szCs w:val="20"/>
                <w:color w:val="auto"/>
              </w:rPr>
            </w:pPr>
            <w:r>
              <w:rPr>
                <w:rFonts w:ascii="Times New Roman" w:cs="Times New Roman" w:eastAsia="Times New Roman" w:hAnsi="Times New Roman"/>
                <w:sz w:val="13"/>
                <w:szCs w:val="13"/>
                <w:b w:val="1"/>
                <w:bCs w:val="1"/>
                <w:color w:val="auto"/>
              </w:rPr>
              <w:t>Net Service</w:t>
            </w:r>
          </w:p>
        </w:tc>
        <w:tc>
          <w:tcPr>
            <w:tcW w:w="220" w:type="dxa"/>
            <w:vAlign w:val="bottom"/>
          </w:tcPr>
          <w:p>
            <w:pPr>
              <w:spacing w:after="0"/>
              <w:rPr>
                <w:sz w:val="12"/>
                <w:szCs w:val="12"/>
                <w:color w:val="auto"/>
              </w:rPr>
            </w:pPr>
          </w:p>
        </w:tc>
        <w:tc>
          <w:tcPr>
            <w:tcW w:w="1200" w:type="dxa"/>
            <w:vAlign w:val="bottom"/>
          </w:tcPr>
          <w:p>
            <w:pPr>
              <w:jc w:val="center"/>
              <w:ind w:right="11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Net Service</w:t>
            </w:r>
          </w:p>
        </w:tc>
        <w:tc>
          <w:tcPr>
            <w:tcW w:w="200" w:type="dxa"/>
            <w:vAlign w:val="bottom"/>
          </w:tcPr>
          <w:p>
            <w:pPr>
              <w:spacing w:after="0"/>
              <w:rPr>
                <w:sz w:val="12"/>
                <w:szCs w:val="1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20" w:type="dxa"/>
            <w:vAlign w:val="bottom"/>
          </w:tcPr>
          <w:p>
            <w:pPr>
              <w:jc w:val="center"/>
              <w:ind w:left="33"/>
              <w:spacing w:after="0"/>
              <w:rPr>
                <w:sz w:val="20"/>
                <w:szCs w:val="20"/>
                <w:color w:val="auto"/>
              </w:rPr>
            </w:pPr>
            <w:r>
              <w:rPr>
                <w:rFonts w:ascii="Times New Roman" w:cs="Times New Roman" w:eastAsia="Times New Roman" w:hAnsi="Times New Roman"/>
                <w:sz w:val="13"/>
                <w:szCs w:val="13"/>
                <w:b w:val="1"/>
                <w:bCs w:val="1"/>
                <w:color w:val="auto"/>
              </w:rPr>
              <w:t>Net Service</w:t>
            </w:r>
          </w:p>
        </w:tc>
        <w:tc>
          <w:tcPr>
            <w:tcW w:w="200" w:type="dxa"/>
            <w:vAlign w:val="bottom"/>
          </w:tcPr>
          <w:p>
            <w:pPr>
              <w:spacing w:after="0"/>
              <w:rPr>
                <w:sz w:val="12"/>
                <w:szCs w:val="12"/>
                <w:color w:val="auto"/>
              </w:rPr>
            </w:pPr>
          </w:p>
        </w:tc>
        <w:tc>
          <w:tcPr>
            <w:tcW w:w="1180" w:type="dxa"/>
            <w:vAlign w:val="bottom"/>
          </w:tcPr>
          <w:p>
            <w:pPr>
              <w:jc w:val="center"/>
              <w:ind w:right="9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Net Service</w:t>
            </w:r>
          </w:p>
        </w:tc>
      </w:tr>
      <w:tr>
        <w:trPr>
          <w:trHeight w:val="178"/>
        </w:trPr>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980" w:type="dxa"/>
            <w:vAlign w:val="bottom"/>
          </w:tcPr>
          <w:p>
            <w:pPr>
              <w:jc w:val="center"/>
              <w:ind w:left="113"/>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220" w:type="dxa"/>
            <w:vAlign w:val="bottom"/>
          </w:tcPr>
          <w:p>
            <w:pPr>
              <w:spacing w:after="0"/>
              <w:rPr>
                <w:sz w:val="15"/>
                <w:szCs w:val="15"/>
                <w:color w:val="auto"/>
              </w:rPr>
            </w:pPr>
          </w:p>
        </w:tc>
        <w:tc>
          <w:tcPr>
            <w:tcW w:w="1200" w:type="dxa"/>
            <w:vAlign w:val="bottom"/>
          </w:tcPr>
          <w:p>
            <w:pPr>
              <w:jc w:val="center"/>
              <w:ind w:right="73"/>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2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920" w:type="dxa"/>
            <w:vAlign w:val="bottom"/>
          </w:tcPr>
          <w:p>
            <w:pPr>
              <w:jc w:val="center"/>
              <w:ind w:left="73"/>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200" w:type="dxa"/>
            <w:vAlign w:val="bottom"/>
          </w:tcPr>
          <w:p>
            <w:pPr>
              <w:spacing w:after="0"/>
              <w:rPr>
                <w:sz w:val="15"/>
                <w:szCs w:val="15"/>
                <w:color w:val="auto"/>
              </w:rPr>
            </w:pPr>
          </w:p>
        </w:tc>
        <w:tc>
          <w:tcPr>
            <w:tcW w:w="1180" w:type="dxa"/>
            <w:vAlign w:val="bottom"/>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Revenues</w:t>
            </w:r>
          </w:p>
        </w:tc>
      </w:tr>
    </w:tbl>
    <w:p>
      <w:pPr>
        <w:spacing w:after="0" w:line="20" w:lineRule="exact"/>
        <w:rPr>
          <w:sz w:val="20"/>
          <w:szCs w:val="20"/>
          <w:color w:val="auto"/>
        </w:rPr>
      </w:pPr>
    </w:p>
    <w:p>
      <w:pPr>
        <w:sectPr>
          <w:pgSz w:w="11900" w:h="16838" w:orient="portrait"/>
          <w:cols w:equalWidth="0" w:num="2">
            <w:col w:w="1900" w:space="720"/>
            <w:col w:w="8680"/>
          </w:cols>
          <w:pgMar w:left="320" w:top="765" w:right="27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6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Medicare</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12,517</w:t>
            </w:r>
          </w:p>
        </w:tc>
        <w:tc>
          <w:tcPr>
            <w:tcW w:w="120" w:type="dxa"/>
            <w:vAlign w:val="bottom"/>
            <w:shd w:val="clear" w:color="auto" w:fill="CFF0FC"/>
          </w:tcPr>
          <w:p>
            <w:pPr>
              <w:spacing w:after="0"/>
              <w:rPr>
                <w:sz w:val="18"/>
                <w:szCs w:val="18"/>
                <w:color w:val="auto"/>
              </w:rPr>
            </w:pPr>
          </w:p>
        </w:tc>
        <w:tc>
          <w:tcPr>
            <w:tcW w:w="13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69.3 % $</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8,716</w:t>
            </w:r>
          </w:p>
        </w:tc>
        <w:tc>
          <w:tcPr>
            <w:tcW w:w="1420" w:type="dxa"/>
            <w:vAlign w:val="bottom"/>
            <w:gridSpan w:val="4"/>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76.1 % $</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24,180</w:t>
            </w:r>
          </w:p>
        </w:tc>
        <w:tc>
          <w:tcPr>
            <w:tcW w:w="1400" w:type="dxa"/>
            <w:vAlign w:val="bottom"/>
            <w:gridSpan w:val="4"/>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69.2 % $</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17,988</w:t>
            </w:r>
          </w:p>
        </w:tc>
        <w:tc>
          <w:tcPr>
            <w:tcW w:w="11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75.1 %</w:t>
            </w:r>
          </w:p>
        </w:tc>
        <w:tc>
          <w:tcPr>
            <w:tcW w:w="0" w:type="dxa"/>
            <w:vAlign w:val="bottom"/>
          </w:tcPr>
          <w:p>
            <w:pPr>
              <w:spacing w:after="0"/>
              <w:rPr>
                <w:sz w:val="1"/>
                <w:szCs w:val="1"/>
                <w:color w:val="auto"/>
              </w:rPr>
            </w:pPr>
          </w:p>
        </w:tc>
      </w:tr>
      <w:tr>
        <w:trPr>
          <w:trHeight w:val="239"/>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Managed care organizations</w:t>
            </w: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9,076</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2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1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2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home health segment net</w:t>
            </w: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18,075</w:t>
            </w:r>
          </w:p>
        </w:tc>
        <w:tc>
          <w:tcPr>
            <w:tcW w:w="1480" w:type="dxa"/>
            <w:vAlign w:val="bottom"/>
            <w:gridSpan w:val="4"/>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100.0 % $</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11,456</w:t>
            </w:r>
          </w:p>
        </w:tc>
        <w:tc>
          <w:tcPr>
            <w:tcW w:w="1420" w:type="dxa"/>
            <w:vAlign w:val="bottom"/>
            <w:gridSpan w:val="4"/>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100.0 % $</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34,955</w:t>
            </w:r>
          </w:p>
        </w:tc>
        <w:tc>
          <w:tcPr>
            <w:tcW w:w="140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100.0 % $</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23,941</w:t>
            </w:r>
          </w:p>
        </w:tc>
        <w:tc>
          <w:tcPr>
            <w:tcW w:w="11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7"/>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revenues</w:t>
            </w:r>
          </w:p>
        </w:tc>
        <w:tc>
          <w:tcPr>
            <w:tcW w:w="32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480" w:type="dxa"/>
            <w:vAlign w:val="bottom"/>
            <w:gridSpan w:val="4"/>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420" w:type="dxa"/>
            <w:vAlign w:val="bottom"/>
            <w:gridSpan w:val="4"/>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400" w:type="dxa"/>
            <w:vAlign w:val="bottom"/>
            <w:gridSpan w:val="4"/>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9"/>
        </w:trPr>
        <w:tc>
          <w:tcPr>
            <w:tcW w:w="2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ind w:right="92"/>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5"/>
        </w:trPr>
        <w:tc>
          <w:tcPr>
            <w:tcW w:w="26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-1191260</wp:posOffset>
            </wp:positionV>
            <wp:extent cx="768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-1191260</wp:posOffset>
            </wp:positionV>
            <wp:extent cx="13716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-1191260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-1191260</wp:posOffset>
            </wp:positionV>
            <wp:extent cx="12890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-1191260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-1191260</wp:posOffset>
            </wp:positionV>
            <wp:extent cx="12890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-1191260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-1191260</wp:posOffset>
            </wp:positionV>
            <wp:extent cx="12890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765" w:right="27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three and six months ended June 30, 2024 and 2023, the Company derived a significant amount of its revenue from its operations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Illinois, New Mexico, New York, Ohio and Tennessee. The percentages of segment revenue for each of these significant states were as follows:</w:t>
      </w:r>
    </w:p>
    <w:p>
      <w:pPr>
        <w:sectPr>
          <w:pgSz w:w="11900" w:h="16838" w:orient="portrait"/>
          <w:cols w:equalWidth="0" w:num="1">
            <w:col w:w="11300"/>
          </w:cols>
          <w:pgMar w:left="320" w:top="765" w:right="279" w:bottom="1440" w:gutter="0" w:footer="0" w:header="0"/>
        </w:sectPr>
      </w:pP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Personal Care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Illinois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New Mexico</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New York </w:t>
      </w:r>
      <w:r>
        <w:rPr>
          <w:rFonts w:ascii="Times New Roman" w:cs="Times New Roman" w:eastAsia="Times New Roman" w:hAnsi="Times New Roman"/>
          <w:sz w:val="24"/>
          <w:szCs w:val="24"/>
          <w:color w:val="auto"/>
          <w:vertAlign w:val="superscript"/>
        </w:rPr>
        <w:t>(1)</w:t>
      </w:r>
    </w:p>
    <w:p>
      <w:pPr>
        <w:ind w:left="20"/>
        <w:spacing w:after="0"/>
        <w:rPr>
          <w:sz w:val="20"/>
          <w:szCs w:val="20"/>
          <w:color w:val="auto"/>
        </w:rPr>
      </w:pPr>
      <w:r>
        <w:rPr>
          <w:rFonts w:ascii="Times New Roman" w:cs="Times New Roman" w:eastAsia="Times New Roman" w:hAnsi="Times New Roman"/>
          <w:sz w:val="18"/>
          <w:szCs w:val="18"/>
          <w:color w:val="auto"/>
        </w:rPr>
        <w:t>All other states</w:t>
      </w:r>
    </w:p>
    <w:p>
      <w:pPr>
        <w:spacing w:after="0" w:line="30" w:lineRule="exact"/>
        <w:rPr>
          <w:sz w:val="20"/>
          <w:szCs w:val="20"/>
          <w:color w:val="auto"/>
        </w:rPr>
      </w:pPr>
    </w:p>
    <w:p>
      <w:pPr>
        <w:ind w:left="20"/>
        <w:spacing w:after="0" w:line="282" w:lineRule="auto"/>
        <w:rPr>
          <w:sz w:val="20"/>
          <w:szCs w:val="20"/>
          <w:color w:val="auto"/>
        </w:rPr>
      </w:pPr>
      <w:r>
        <w:rPr>
          <w:rFonts w:ascii="Times New Roman" w:cs="Times New Roman" w:eastAsia="Times New Roman" w:hAnsi="Times New Roman"/>
          <w:sz w:val="18"/>
          <w:szCs w:val="18"/>
          <w:color w:val="auto"/>
        </w:rPr>
        <w:t>Total personal care segment net service revenues</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9"/>
        </w:trPr>
        <w:tc>
          <w:tcPr>
            <w:tcW w:w="20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8"/>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For the Three Months Ended June 30,</w:t>
            </w:r>
          </w:p>
        </w:tc>
        <w:tc>
          <w:tcPr>
            <w:tcW w:w="8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8"/>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For the Six Months Ended June 30,</w:t>
            </w:r>
          </w:p>
        </w:tc>
        <w:tc>
          <w:tcPr>
            <w:tcW w:w="7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69"/>
        </w:trPr>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2024</w:t>
            </w: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2024</w:t>
            </w: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2023</w:t>
            </w: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39"/>
        </w:trPr>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 of</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 of</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 of</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 of</w:t>
            </w:r>
          </w:p>
        </w:tc>
        <w:tc>
          <w:tcPr>
            <w:tcW w:w="160" w:type="dxa"/>
            <w:vAlign w:val="bottom"/>
          </w:tcPr>
          <w:p>
            <w:pPr>
              <w:spacing w:after="0"/>
              <w:rPr>
                <w:sz w:val="12"/>
                <w:szCs w:val="12"/>
                <w:color w:val="auto"/>
              </w:rPr>
            </w:pPr>
          </w:p>
        </w:tc>
      </w:tr>
      <w:tr>
        <w:trPr>
          <w:trHeight w:val="149"/>
        </w:trPr>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Segment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Segment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Segment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2"/>
          </w:tcPr>
          <w:p>
            <w:pPr>
              <w:jc w:val="center"/>
              <w:ind w:right="90"/>
              <w:spacing w:after="0"/>
              <w:rPr>
                <w:sz w:val="20"/>
                <w:szCs w:val="20"/>
                <w:color w:val="auto"/>
              </w:rPr>
            </w:pPr>
            <w:r>
              <w:rPr>
                <w:rFonts w:ascii="Times New Roman" w:cs="Times New Roman" w:eastAsia="Times New Roman" w:hAnsi="Times New Roman"/>
                <w:sz w:val="13"/>
                <w:szCs w:val="13"/>
                <w:b w:val="1"/>
                <w:bCs w:val="1"/>
                <w:color w:val="auto"/>
              </w:rPr>
              <w:t>Segment</w:t>
            </w:r>
          </w:p>
        </w:tc>
      </w:tr>
      <w:tr>
        <w:trPr>
          <w:trHeight w:val="148"/>
        </w:trPr>
        <w:tc>
          <w:tcPr>
            <w:tcW w:w="200" w:type="dxa"/>
            <w:vAlign w:val="bottom"/>
          </w:tcPr>
          <w:p>
            <w:pPr>
              <w:spacing w:after="0"/>
              <w:rPr>
                <w:sz w:val="12"/>
                <w:szCs w:val="12"/>
                <w:color w:val="auto"/>
              </w:rPr>
            </w:pPr>
          </w:p>
        </w:tc>
        <w:tc>
          <w:tcPr>
            <w:tcW w:w="1020" w:type="dxa"/>
            <w:vAlign w:val="bottom"/>
            <w:gridSpan w:val="3"/>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Net Service</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Net Service</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Net Service</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20" w:type="dxa"/>
            <w:vAlign w:val="bottom"/>
            <w:gridSpan w:val="2"/>
          </w:tcPr>
          <w:p>
            <w:pPr>
              <w:jc w:val="center"/>
              <w:ind w:right="90"/>
              <w:spacing w:after="0"/>
              <w:rPr>
                <w:sz w:val="20"/>
                <w:szCs w:val="20"/>
                <w:color w:val="auto"/>
              </w:rPr>
            </w:pPr>
            <w:r>
              <w:rPr>
                <w:rFonts w:ascii="Times New Roman" w:cs="Times New Roman" w:eastAsia="Times New Roman" w:hAnsi="Times New Roman"/>
                <w:sz w:val="13"/>
                <w:szCs w:val="13"/>
                <w:b w:val="1"/>
                <w:bCs w:val="1"/>
                <w:color w:val="auto"/>
              </w:rPr>
              <w:t>Net Service</w:t>
            </w:r>
          </w:p>
        </w:tc>
      </w:tr>
      <w:tr>
        <w:trPr>
          <w:trHeight w:val="179"/>
        </w:trPr>
        <w:tc>
          <w:tcPr>
            <w:tcW w:w="1220" w:type="dxa"/>
            <w:vAlign w:val="bottom"/>
            <w:gridSpan w:val="4"/>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220" w:type="dxa"/>
            <w:vAlign w:val="bottom"/>
          </w:tcPr>
          <w:p>
            <w:pPr>
              <w:spacing w:after="0"/>
              <w:rPr>
                <w:sz w:val="15"/>
                <w:szCs w:val="15"/>
                <w:color w:val="auto"/>
              </w:rPr>
            </w:pPr>
          </w:p>
        </w:tc>
        <w:tc>
          <w:tcPr>
            <w:tcW w:w="118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200" w:type="dxa"/>
            <w:vAlign w:val="bottom"/>
          </w:tcPr>
          <w:p>
            <w:pPr>
              <w:spacing w:after="0"/>
              <w:rPr>
                <w:sz w:val="15"/>
                <w:szCs w:val="15"/>
                <w:color w:val="auto"/>
              </w:rPr>
            </w:pPr>
          </w:p>
        </w:tc>
        <w:tc>
          <w:tcPr>
            <w:tcW w:w="1180" w:type="dxa"/>
            <w:vAlign w:val="bottom"/>
            <w:gridSpan w:val="4"/>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200" w:type="dxa"/>
            <w:vAlign w:val="bottom"/>
          </w:tcPr>
          <w:p>
            <w:pPr>
              <w:spacing w:after="0"/>
              <w:rPr>
                <w:sz w:val="15"/>
                <w:szCs w:val="15"/>
                <w:color w:val="auto"/>
              </w:rPr>
            </w:pPr>
          </w:p>
        </w:tc>
        <w:tc>
          <w:tcPr>
            <w:tcW w:w="1180" w:type="dxa"/>
            <w:vAlign w:val="bottom"/>
            <w:gridSpan w:val="4"/>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920" w:type="dxa"/>
            <w:vAlign w:val="bottom"/>
            <w:gridSpan w:val="2"/>
          </w:tcPr>
          <w:p>
            <w:pPr>
              <w:jc w:val="center"/>
              <w:ind w:right="90"/>
              <w:spacing w:after="0"/>
              <w:rPr>
                <w:sz w:val="20"/>
                <w:szCs w:val="20"/>
                <w:color w:val="auto"/>
              </w:rPr>
            </w:pPr>
            <w:r>
              <w:rPr>
                <w:rFonts w:ascii="Times New Roman" w:cs="Times New Roman" w:eastAsia="Times New Roman" w:hAnsi="Times New Roman"/>
                <w:sz w:val="13"/>
                <w:szCs w:val="13"/>
                <w:b w:val="1"/>
                <w:bCs w:val="1"/>
                <w:color w:val="auto"/>
              </w:rPr>
              <w:t>Revenues</w:t>
            </w:r>
          </w:p>
        </w:tc>
      </w:tr>
      <w:tr>
        <w:trPr>
          <w:trHeight w:val="228"/>
        </w:trPr>
        <w:tc>
          <w:tcPr>
            <w:tcW w:w="20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110,774</w:t>
            </w:r>
          </w:p>
        </w:tc>
        <w:tc>
          <w:tcPr>
            <w:tcW w:w="12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103,864</w:t>
            </w:r>
          </w:p>
        </w:tc>
        <w:tc>
          <w:tcPr>
            <w:tcW w:w="1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218,349</w:t>
            </w:r>
          </w:p>
        </w:tc>
        <w:tc>
          <w:tcPr>
            <w:tcW w:w="1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202,279</w:t>
            </w:r>
          </w:p>
        </w:tc>
        <w:tc>
          <w:tcPr>
            <w:tcW w:w="12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8"/>
        </w:trPr>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28,644</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27,907</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57,611</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56,381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60" w:type="dxa"/>
            <w:vAlign w:val="bottom"/>
          </w:tcPr>
          <w:p>
            <w:pPr>
              <w:spacing w:after="0"/>
              <w:rPr>
                <w:sz w:val="20"/>
                <w:szCs w:val="20"/>
                <w:color w:val="auto"/>
              </w:rPr>
            </w:pPr>
          </w:p>
        </w:tc>
      </w:tr>
      <w:tr>
        <w:trPr>
          <w:trHeight w:val="243"/>
        </w:trPr>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23,299</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23,841</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46,833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45,727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60" w:type="dxa"/>
            <w:vAlign w:val="bottom"/>
          </w:tcPr>
          <w:p>
            <w:pPr>
              <w:spacing w:after="0"/>
              <w:rPr>
                <w:sz w:val="21"/>
                <w:szCs w:val="21"/>
                <w:color w:val="auto"/>
              </w:rPr>
            </w:pPr>
          </w:p>
        </w:tc>
      </w:tr>
      <w:tr>
        <w:trPr>
          <w:trHeight w:val="250"/>
        </w:trPr>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50,100</w:t>
            </w:r>
          </w:p>
        </w:tc>
        <w:tc>
          <w:tcPr>
            <w:tcW w:w="12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42,702</w:t>
            </w:r>
          </w:p>
        </w:tc>
        <w:tc>
          <w:tcPr>
            <w:tcW w:w="120" w:type="dxa"/>
            <w:vAlign w:val="bottom"/>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98,027</w:t>
            </w:r>
          </w:p>
        </w:tc>
        <w:tc>
          <w:tcPr>
            <w:tcW w:w="10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83,959</w:t>
            </w:r>
          </w:p>
        </w:tc>
        <w:tc>
          <w:tcPr>
            <w:tcW w:w="1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60" w:type="dxa"/>
            <w:vAlign w:val="bottom"/>
          </w:tcPr>
          <w:p>
            <w:pPr>
              <w:spacing w:after="0"/>
              <w:rPr>
                <w:sz w:val="21"/>
                <w:szCs w:val="21"/>
                <w:color w:val="auto"/>
              </w:rPr>
            </w:pPr>
          </w:p>
        </w:tc>
      </w:tr>
      <w:tr>
        <w:trPr>
          <w:trHeight w:val="412"/>
        </w:trPr>
        <w:tc>
          <w:tcPr>
            <w:tcW w:w="2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212,817</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100.0 % $</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198,314</w:t>
            </w:r>
          </w:p>
        </w:tc>
        <w:tc>
          <w:tcPr>
            <w:tcW w:w="120" w:type="dxa"/>
            <w:vAlign w:val="bottom"/>
          </w:tcPr>
          <w:p>
            <w:pPr>
              <w:spacing w:after="0"/>
              <w:rPr>
                <w:sz w:val="24"/>
                <w:szCs w:val="24"/>
                <w:color w:val="auto"/>
              </w:rPr>
            </w:pPr>
          </w:p>
        </w:tc>
        <w:tc>
          <w:tcPr>
            <w:tcW w:w="118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100.0 % $</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420,820</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100.0 %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388,346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-1645285</wp:posOffset>
            </wp:positionH>
            <wp:positionV relativeFrom="paragraph">
              <wp:posOffset>-916305</wp:posOffset>
            </wp:positionV>
            <wp:extent cx="7132320" cy="1543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-607695</wp:posOffset>
            </wp:positionV>
            <wp:extent cx="7132320" cy="1543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-290830</wp:posOffset>
            </wp:positionV>
            <wp:extent cx="7132320" cy="2914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89" w:lineRule="exact"/>
        <w:rPr>
          <w:sz w:val="20"/>
          <w:szCs w:val="20"/>
          <w:color w:val="auto"/>
        </w:rPr>
      </w:pPr>
    </w:p>
    <w:p>
      <w:pPr>
        <w:sectPr>
          <w:pgSz w:w="11900" w:h="16838" w:orient="portrait"/>
          <w:cols w:equalWidth="0" w:num="2">
            <w:col w:w="2300" w:space="300"/>
            <w:col w:w="8700"/>
          </w:cols>
          <w:pgMar w:left="320" w:top="765" w:right="279" w:bottom="1440" w:gutter="0" w:footer="0" w:header="0"/>
          <w:type w:val="continuous"/>
        </w:sectPr>
      </w:pPr>
    </w:p>
    <w:p>
      <w:pPr>
        <w:ind w:left="1360" w:right="140" w:hanging="514"/>
        <w:spacing w:after="0" w:line="253" w:lineRule="auto"/>
        <w:tabs>
          <w:tab w:leader="none" w:pos="1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selection process for CDPAP fiscal intermediaries has changed significantly in recent years and the program continues to be an area of focus for New York governmental authorities. The Company was not one of the entities selected through an RFO process to competitively procure fiscal intermediaries that was initiated in 2019 and, in November 2022, decided to suspend materially all of its new fee-for-service patient admissions through County Social Service Departments. The Company received a contract award in June 2023 and resumed new fee-for-service patient admissions. However, the New York fiscal year 2025 budget will replace the CDPAP fiscal intermediaries with a single statewide fiscal intermediary with a stated deadline of April 1, 2025. All service providers seeking to offer services under CDPAP will be required to contract with the statewide fiscal intermediary or its contractors in order to offer services. The Company does not believe it is likely to be selected as the single statewide fiscal intermediary, and it is difficult to predict the details of the implementation of these modifications and their final timeline and, thus, their impact on the Company’s business and operations. As a result of the changes and uncertainty in the state, the Company determined that its New York personal care operations no longer fit its growth strategy and reached an agreement to divest these operations. See Note 4 to the Notes to Unaudited Condensed Consolidated Financial Statements, </w:t>
      </w:r>
      <w:r>
        <w:rPr>
          <w:rFonts w:ascii="Times New Roman" w:cs="Times New Roman" w:eastAsia="Times New Roman" w:hAnsi="Times New Roman"/>
          <w:sz w:val="18"/>
          <w:szCs w:val="18"/>
          <w:i w:val="1"/>
          <w:iCs w:val="1"/>
          <w:color w:val="auto"/>
        </w:rPr>
        <w:t>Acquisition and Divestiture</w:t>
      </w:r>
      <w:r>
        <w:rPr>
          <w:rFonts w:ascii="Times New Roman" w:cs="Times New Roman" w:eastAsia="Times New Roman" w:hAnsi="Times New Roman"/>
          <w:sz w:val="18"/>
          <w:szCs w:val="18"/>
          <w:color w:val="auto"/>
        </w:rPr>
        <w:t>, for additional details regarding our divestiture.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-1659255</wp:posOffset>
            </wp:positionV>
            <wp:extent cx="143129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ectPr>
          <w:pgSz w:w="11900" w:h="16838" w:orient="portrait"/>
          <w:cols w:equalWidth="0" w:num="1">
            <w:col w:w="11300"/>
          </w:cols>
          <w:pgMar w:left="320" w:top="765" w:right="279" w:bottom="1440" w:gutter="0" w:footer="0" w:header="0"/>
          <w:type w:val="continuous"/>
        </w:sectPr>
      </w:pPr>
    </w:p>
    <w:p>
      <w:pPr>
        <w:spacing w:after="0" w:line="1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Hospice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Ohio</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Illinois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New Mexico</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All other states</w:t>
      </w:r>
    </w:p>
    <w:p>
      <w:pPr>
        <w:spacing w:after="0" w:line="36" w:lineRule="exact"/>
        <w:rPr>
          <w:sz w:val="20"/>
          <w:szCs w:val="20"/>
          <w:color w:val="auto"/>
        </w:rPr>
      </w:pPr>
    </w:p>
    <w:p>
      <w:pPr>
        <w:ind w:left="20"/>
        <w:spacing w:after="0" w:line="282" w:lineRule="auto"/>
        <w:rPr>
          <w:sz w:val="20"/>
          <w:szCs w:val="20"/>
          <w:color w:val="auto"/>
        </w:rPr>
      </w:pPr>
      <w:r>
        <w:rPr>
          <w:rFonts w:ascii="Times New Roman" w:cs="Times New Roman" w:eastAsia="Times New Roman" w:hAnsi="Times New Roman"/>
          <w:sz w:val="18"/>
          <w:szCs w:val="18"/>
          <w:color w:val="auto"/>
        </w:rPr>
        <w:t>Total hospice segment net service revenues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Home Health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New Mexico</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Illinois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Tennessee</w:t>
      </w:r>
    </w:p>
    <w:p>
      <w:pPr>
        <w:spacing w:after="0" w:line="36" w:lineRule="exact"/>
        <w:rPr>
          <w:sz w:val="20"/>
          <w:szCs w:val="20"/>
          <w:color w:val="auto"/>
        </w:rPr>
      </w:pPr>
    </w:p>
    <w:p>
      <w:pPr>
        <w:ind w:left="20" w:right="220"/>
        <w:spacing w:after="0" w:line="282" w:lineRule="auto"/>
        <w:rPr>
          <w:sz w:val="20"/>
          <w:szCs w:val="20"/>
          <w:color w:val="auto"/>
        </w:rPr>
      </w:pPr>
      <w:r>
        <w:rPr>
          <w:rFonts w:ascii="Times New Roman" w:cs="Times New Roman" w:eastAsia="Times New Roman" w:hAnsi="Times New Roman"/>
          <w:sz w:val="18"/>
          <w:szCs w:val="18"/>
          <w:color w:val="auto"/>
        </w:rPr>
        <w:t>Total home health segment net service revenues</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9"/>
        </w:trPr>
        <w:tc>
          <w:tcPr>
            <w:tcW w:w="20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1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For the Three Months Ended June 30,</w:t>
            </w:r>
          </w:p>
        </w:tc>
        <w:tc>
          <w:tcPr>
            <w:tcW w:w="7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10"/>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For the Six Months Ended June 30,</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69"/>
        </w:trPr>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2024</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2023</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39"/>
        </w:trPr>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 of</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 of</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center"/>
              <w:ind w:right="1"/>
              <w:spacing w:after="0" w:line="139" w:lineRule="exact"/>
              <w:rPr>
                <w:sz w:val="20"/>
                <w:szCs w:val="20"/>
                <w:color w:val="auto"/>
              </w:rPr>
            </w:pPr>
            <w:r>
              <w:rPr>
                <w:rFonts w:ascii="Times New Roman" w:cs="Times New Roman" w:eastAsia="Times New Roman" w:hAnsi="Times New Roman"/>
                <w:sz w:val="13"/>
                <w:szCs w:val="13"/>
                <w:b w:val="1"/>
                <w:bCs w:val="1"/>
                <w:color w:val="auto"/>
              </w:rPr>
              <w:t>%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4"/>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Segment</w:t>
            </w: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4"/>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Segment</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3"/>
          </w:tcPr>
          <w:p>
            <w:pPr>
              <w:jc w:val="center"/>
              <w:ind w:right="170"/>
              <w:spacing w:after="0"/>
              <w:rPr>
                <w:sz w:val="20"/>
                <w:szCs w:val="20"/>
                <w:color w:val="auto"/>
              </w:rPr>
            </w:pPr>
            <w:r>
              <w:rPr>
                <w:rFonts w:ascii="Times New Roman" w:cs="Times New Roman" w:eastAsia="Times New Roman" w:hAnsi="Times New Roman"/>
                <w:sz w:val="13"/>
                <w:szCs w:val="13"/>
                <w:b w:val="1"/>
                <w:bCs w:val="1"/>
                <w:color w:val="auto"/>
              </w:rPr>
              <w:t>Segment</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3"/>
          </w:tcPr>
          <w:p>
            <w:pPr>
              <w:jc w:val="center"/>
              <w:ind w:right="230"/>
              <w:spacing w:after="0"/>
              <w:rPr>
                <w:sz w:val="20"/>
                <w:szCs w:val="20"/>
                <w:color w:val="auto"/>
              </w:rPr>
            </w:pPr>
            <w:r>
              <w:rPr>
                <w:rFonts w:ascii="Times New Roman" w:cs="Times New Roman" w:eastAsia="Times New Roman" w:hAnsi="Times New Roman"/>
                <w:sz w:val="13"/>
                <w:szCs w:val="13"/>
                <w:b w:val="1"/>
                <w:bCs w:val="1"/>
                <w:color w:val="auto"/>
              </w:rPr>
              <w:t>Segment</w:t>
            </w:r>
          </w:p>
        </w:tc>
      </w:tr>
      <w:tr>
        <w:trPr>
          <w:trHeight w:val="149"/>
        </w:trPr>
        <w:tc>
          <w:tcPr>
            <w:tcW w:w="200" w:type="dxa"/>
            <w:vAlign w:val="bottom"/>
          </w:tcPr>
          <w:p>
            <w:pPr>
              <w:spacing w:after="0"/>
              <w:rPr>
                <w:sz w:val="12"/>
                <w:szCs w:val="12"/>
                <w:color w:val="auto"/>
              </w:rPr>
            </w:pPr>
          </w:p>
        </w:tc>
        <w:tc>
          <w:tcPr>
            <w:tcW w:w="980" w:type="dxa"/>
            <w:vAlign w:val="bottom"/>
            <w:gridSpan w:val="2"/>
          </w:tcPr>
          <w:p>
            <w:pPr>
              <w:jc w:val="center"/>
              <w:ind w:right="27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20" w:type="dxa"/>
            <w:vAlign w:val="bottom"/>
            <w:gridSpan w:val="4"/>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Net Service</w:t>
            </w:r>
          </w:p>
        </w:tc>
        <w:tc>
          <w:tcPr>
            <w:tcW w:w="180" w:type="dxa"/>
            <w:vAlign w:val="bottom"/>
          </w:tcPr>
          <w:p>
            <w:pPr>
              <w:spacing w:after="0"/>
              <w:rPr>
                <w:sz w:val="12"/>
                <w:szCs w:val="12"/>
                <w:color w:val="auto"/>
              </w:rPr>
            </w:pPr>
          </w:p>
        </w:tc>
        <w:tc>
          <w:tcPr>
            <w:tcW w:w="1060" w:type="dxa"/>
            <w:vAlign w:val="bottom"/>
            <w:gridSpan w:val="5"/>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40" w:type="dxa"/>
            <w:vAlign w:val="bottom"/>
            <w:gridSpan w:val="4"/>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Net Service</w:t>
            </w:r>
          </w:p>
        </w:tc>
        <w:tc>
          <w:tcPr>
            <w:tcW w:w="100" w:type="dxa"/>
            <w:vAlign w:val="bottom"/>
          </w:tcPr>
          <w:p>
            <w:pPr>
              <w:spacing w:after="0"/>
              <w:rPr>
                <w:sz w:val="12"/>
                <w:szCs w:val="12"/>
                <w:color w:val="auto"/>
              </w:rPr>
            </w:pPr>
          </w:p>
        </w:tc>
        <w:tc>
          <w:tcPr>
            <w:tcW w:w="1100" w:type="dxa"/>
            <w:vAlign w:val="bottom"/>
            <w:gridSpan w:val="5"/>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20" w:type="dxa"/>
            <w:vAlign w:val="bottom"/>
            <w:gridSpan w:val="3"/>
          </w:tcPr>
          <w:p>
            <w:pPr>
              <w:jc w:val="center"/>
              <w:ind w:right="170"/>
              <w:spacing w:after="0"/>
              <w:rPr>
                <w:sz w:val="20"/>
                <w:szCs w:val="20"/>
                <w:color w:val="auto"/>
              </w:rPr>
            </w:pPr>
            <w:r>
              <w:rPr>
                <w:rFonts w:ascii="Times New Roman" w:cs="Times New Roman" w:eastAsia="Times New Roman" w:hAnsi="Times New Roman"/>
                <w:sz w:val="13"/>
                <w:szCs w:val="13"/>
                <w:b w:val="1"/>
                <w:bCs w:val="1"/>
                <w:color w:val="auto"/>
              </w:rPr>
              <w:t>Net Service</w:t>
            </w:r>
          </w:p>
        </w:tc>
        <w:tc>
          <w:tcPr>
            <w:tcW w:w="200" w:type="dxa"/>
            <w:vAlign w:val="bottom"/>
          </w:tcPr>
          <w:p>
            <w:pPr>
              <w:spacing w:after="0"/>
              <w:rPr>
                <w:sz w:val="12"/>
                <w:szCs w:val="12"/>
                <w:color w:val="auto"/>
              </w:rPr>
            </w:pPr>
          </w:p>
        </w:tc>
        <w:tc>
          <w:tcPr>
            <w:tcW w:w="1020" w:type="dxa"/>
            <w:vAlign w:val="bottom"/>
            <w:gridSpan w:val="3"/>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80" w:type="dxa"/>
            <w:vAlign w:val="bottom"/>
            <w:gridSpan w:val="3"/>
          </w:tcPr>
          <w:p>
            <w:pPr>
              <w:jc w:val="center"/>
              <w:ind w:right="230"/>
              <w:spacing w:after="0"/>
              <w:rPr>
                <w:sz w:val="20"/>
                <w:szCs w:val="20"/>
                <w:color w:val="auto"/>
              </w:rPr>
            </w:pPr>
            <w:r>
              <w:rPr>
                <w:rFonts w:ascii="Times New Roman" w:cs="Times New Roman" w:eastAsia="Times New Roman" w:hAnsi="Times New Roman"/>
                <w:sz w:val="13"/>
                <w:szCs w:val="13"/>
                <w:b w:val="1"/>
                <w:bCs w:val="1"/>
                <w:color w:val="auto"/>
              </w:rPr>
              <w:t>Net Service</w:t>
            </w:r>
          </w:p>
        </w:tc>
      </w:tr>
      <w:tr>
        <w:trPr>
          <w:trHeight w:val="179"/>
        </w:trPr>
        <w:tc>
          <w:tcPr>
            <w:tcW w:w="1180" w:type="dxa"/>
            <w:vAlign w:val="bottom"/>
            <w:gridSpan w:val="3"/>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020" w:type="dxa"/>
            <w:vAlign w:val="bottom"/>
            <w:gridSpan w:val="4"/>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240" w:type="dxa"/>
            <w:vAlign w:val="bottom"/>
            <w:gridSpan w:val="6"/>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940" w:type="dxa"/>
            <w:vAlign w:val="bottom"/>
            <w:gridSpan w:val="4"/>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200" w:type="dxa"/>
            <w:vAlign w:val="bottom"/>
            <w:gridSpan w:val="6"/>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920" w:type="dxa"/>
            <w:vAlign w:val="bottom"/>
            <w:gridSpan w:val="3"/>
          </w:tcPr>
          <w:p>
            <w:pPr>
              <w:jc w:val="center"/>
              <w:ind w:right="170"/>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220" w:type="dxa"/>
            <w:vAlign w:val="bottom"/>
            <w:gridSpan w:val="4"/>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980" w:type="dxa"/>
            <w:vAlign w:val="bottom"/>
            <w:gridSpan w:val="3"/>
          </w:tcPr>
          <w:p>
            <w:pPr>
              <w:jc w:val="center"/>
              <w:ind w:right="230"/>
              <w:spacing w:after="0"/>
              <w:rPr>
                <w:sz w:val="20"/>
                <w:szCs w:val="20"/>
                <w:color w:val="auto"/>
              </w:rPr>
            </w:pPr>
            <w:r>
              <w:rPr>
                <w:rFonts w:ascii="Times New Roman" w:cs="Times New Roman" w:eastAsia="Times New Roman" w:hAnsi="Times New Roman"/>
                <w:sz w:val="13"/>
                <w:szCs w:val="13"/>
                <w:b w:val="1"/>
                <w:bCs w:val="1"/>
                <w:color w:val="auto"/>
              </w:rPr>
              <w:t>Revenues</w:t>
            </w:r>
          </w:p>
        </w:tc>
      </w:tr>
      <w:tr>
        <w:trPr>
          <w:trHeight w:val="228"/>
        </w:trPr>
        <w:tc>
          <w:tcPr>
            <w:tcW w:w="20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20,633</w:t>
            </w:r>
          </w:p>
        </w:tc>
        <w:tc>
          <w:tcPr>
            <w:tcW w:w="1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19"/>
                <w:szCs w:val="19"/>
                <w:color w:val="auto"/>
              </w:rPr>
            </w:pPr>
          </w:p>
        </w:tc>
        <w:tc>
          <w:tcPr>
            <w:tcW w:w="180" w:type="dxa"/>
            <w:vAlign w:val="bottom"/>
            <w:tcBorders>
              <w:top w:val="single" w:sz="8" w:color="auto"/>
            </w:tcBorders>
          </w:tcPr>
          <w:p>
            <w:pPr>
              <w:jc w:val="right"/>
              <w:ind w:right="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40,869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top w:val="single" w:sz="8" w:color="auto"/>
            </w:tcBorders>
          </w:tcPr>
          <w:p>
            <w:pPr>
              <w:jc w:val="right"/>
              <w:ind w:right="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37,783</w:t>
            </w:r>
          </w:p>
        </w:tc>
        <w:tc>
          <w:tcPr>
            <w:tcW w:w="1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r>
      <w:tr>
        <w:trPr>
          <w:trHeight w:val="238"/>
        </w:trPr>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13,003</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11,606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25,255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23,087</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3"/>
        </w:trPr>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6,895</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6,540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14,410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13,026</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50"/>
        </w:trPr>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15,499</w:t>
            </w:r>
          </w:p>
        </w:tc>
        <w:tc>
          <w:tcPr>
            <w:tcW w:w="120" w:type="dxa"/>
            <w:vAlign w:val="bottom"/>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31,359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25,397</w:t>
            </w:r>
          </w:p>
        </w:tc>
        <w:tc>
          <w:tcPr>
            <w:tcW w:w="12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419"/>
        </w:trPr>
        <w:tc>
          <w:tcPr>
            <w:tcW w:w="2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56,030</w:t>
            </w:r>
          </w:p>
        </w:tc>
        <w:tc>
          <w:tcPr>
            <w:tcW w:w="120" w:type="dxa"/>
            <w:vAlign w:val="bottom"/>
          </w:tcPr>
          <w:p>
            <w:pPr>
              <w:spacing w:after="0"/>
              <w:rPr>
                <w:sz w:val="24"/>
                <w:szCs w:val="24"/>
                <w:color w:val="auto"/>
              </w:rPr>
            </w:pPr>
          </w:p>
        </w:tc>
        <w:tc>
          <w:tcPr>
            <w:tcW w:w="1200" w:type="dxa"/>
            <w:vAlign w:val="bottom"/>
            <w:gridSpan w:val="5"/>
          </w:tcPr>
          <w:p>
            <w:pPr>
              <w:jc w:val="right"/>
              <w:ind w:right="5"/>
              <w:spacing w:after="0"/>
              <w:rPr>
                <w:sz w:val="20"/>
                <w:szCs w:val="20"/>
                <w:color w:val="auto"/>
              </w:rPr>
            </w:pPr>
            <w:r>
              <w:rPr>
                <w:rFonts w:ascii="Times New Roman" w:cs="Times New Roman" w:eastAsia="Times New Roman" w:hAnsi="Times New Roman"/>
                <w:sz w:val="18"/>
                <w:szCs w:val="18"/>
                <w:color w:val="auto"/>
              </w:rPr>
              <w:t>100.0 % $</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50,210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100.0 % $</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111,893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gridSpan w:val="4"/>
          </w:tcPr>
          <w:p>
            <w:pPr>
              <w:jc w:val="right"/>
              <w:ind w:right="5"/>
              <w:spacing w:after="0"/>
              <w:rPr>
                <w:sz w:val="20"/>
                <w:szCs w:val="20"/>
                <w:color w:val="auto"/>
              </w:rPr>
            </w:pPr>
            <w:r>
              <w:rPr>
                <w:rFonts w:ascii="Times New Roman" w:cs="Times New Roman" w:eastAsia="Times New Roman" w:hAnsi="Times New Roman"/>
                <w:sz w:val="18"/>
                <w:szCs w:val="18"/>
                <w:color w:val="auto"/>
              </w:rPr>
              <w:t>100.0 %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99,293</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99"/>
        </w:trPr>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11"/>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For the Three Months Ended June 30,</w:t>
            </w: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10"/>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For the Six Months Ended June 30,</w:t>
            </w: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69"/>
        </w:trPr>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2023</w:t>
            </w: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2024</w:t>
            </w: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2023</w:t>
            </w: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39"/>
        </w:trPr>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 of</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 of</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center"/>
              <w:ind w:right="10"/>
              <w:spacing w:after="0" w:line="139" w:lineRule="exact"/>
              <w:rPr>
                <w:sz w:val="20"/>
                <w:szCs w:val="20"/>
                <w:color w:val="auto"/>
              </w:rPr>
            </w:pPr>
            <w:r>
              <w:rPr>
                <w:rFonts w:ascii="Times New Roman" w:cs="Times New Roman" w:eastAsia="Times New Roman" w:hAnsi="Times New Roman"/>
                <w:sz w:val="13"/>
                <w:szCs w:val="13"/>
                <w:b w:val="1"/>
                <w:bCs w:val="1"/>
                <w:color w:val="auto"/>
              </w:rPr>
              <w:t>% of</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rPr>
              <w:t>% of</w:t>
            </w:r>
          </w:p>
        </w:tc>
        <w:tc>
          <w:tcPr>
            <w:tcW w:w="160" w:type="dxa"/>
            <w:vAlign w:val="bottom"/>
          </w:tcPr>
          <w:p>
            <w:pPr>
              <w:spacing w:after="0"/>
              <w:rPr>
                <w:sz w:val="12"/>
                <w:szCs w:val="12"/>
                <w:color w:val="auto"/>
              </w:rPr>
            </w:pPr>
          </w:p>
        </w:tc>
      </w:tr>
      <w:tr>
        <w:trPr>
          <w:trHeight w:val="148"/>
        </w:trPr>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4"/>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Segment</w:t>
            </w: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4"/>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Segment</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3"/>
          </w:tcPr>
          <w:p>
            <w:pPr>
              <w:jc w:val="center"/>
              <w:ind w:right="90"/>
              <w:spacing w:after="0"/>
              <w:rPr>
                <w:sz w:val="20"/>
                <w:szCs w:val="20"/>
                <w:color w:val="auto"/>
              </w:rPr>
            </w:pPr>
            <w:r>
              <w:rPr>
                <w:rFonts w:ascii="Times New Roman" w:cs="Times New Roman" w:eastAsia="Times New Roman" w:hAnsi="Times New Roman"/>
                <w:sz w:val="13"/>
                <w:szCs w:val="13"/>
                <w:b w:val="1"/>
                <w:bCs w:val="1"/>
                <w:color w:val="auto"/>
              </w:rPr>
              <w:t>Segment</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3"/>
          </w:tcPr>
          <w:p>
            <w:pPr>
              <w:jc w:val="center"/>
              <w:ind w:right="150"/>
              <w:spacing w:after="0"/>
              <w:rPr>
                <w:sz w:val="20"/>
                <w:szCs w:val="20"/>
                <w:color w:val="auto"/>
              </w:rPr>
            </w:pPr>
            <w:r>
              <w:rPr>
                <w:rFonts w:ascii="Times New Roman" w:cs="Times New Roman" w:eastAsia="Times New Roman" w:hAnsi="Times New Roman"/>
                <w:sz w:val="13"/>
                <w:szCs w:val="13"/>
                <w:b w:val="1"/>
                <w:bCs w:val="1"/>
                <w:color w:val="auto"/>
              </w:rPr>
              <w:t>Segment</w:t>
            </w:r>
          </w:p>
        </w:tc>
      </w:tr>
      <w:tr>
        <w:trPr>
          <w:trHeight w:val="148"/>
        </w:trPr>
        <w:tc>
          <w:tcPr>
            <w:tcW w:w="200" w:type="dxa"/>
            <w:vAlign w:val="bottom"/>
          </w:tcPr>
          <w:p>
            <w:pPr>
              <w:spacing w:after="0"/>
              <w:rPr>
                <w:sz w:val="12"/>
                <w:szCs w:val="12"/>
                <w:color w:val="auto"/>
              </w:rPr>
            </w:pPr>
          </w:p>
        </w:tc>
        <w:tc>
          <w:tcPr>
            <w:tcW w:w="980" w:type="dxa"/>
            <w:vAlign w:val="bottom"/>
            <w:gridSpan w:val="2"/>
          </w:tcPr>
          <w:p>
            <w:pPr>
              <w:jc w:val="center"/>
              <w:ind w:right="27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20" w:type="dxa"/>
            <w:vAlign w:val="bottom"/>
            <w:gridSpan w:val="4"/>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Net Service</w:t>
            </w:r>
          </w:p>
        </w:tc>
        <w:tc>
          <w:tcPr>
            <w:tcW w:w="180" w:type="dxa"/>
            <w:vAlign w:val="bottom"/>
          </w:tcPr>
          <w:p>
            <w:pPr>
              <w:spacing w:after="0"/>
              <w:rPr>
                <w:sz w:val="12"/>
                <w:szCs w:val="12"/>
                <w:color w:val="auto"/>
              </w:rPr>
            </w:pPr>
          </w:p>
        </w:tc>
        <w:tc>
          <w:tcPr>
            <w:tcW w:w="1060" w:type="dxa"/>
            <w:vAlign w:val="bottom"/>
            <w:gridSpan w:val="5"/>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40" w:type="dxa"/>
            <w:vAlign w:val="bottom"/>
            <w:gridSpan w:val="4"/>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Net Service</w:t>
            </w:r>
          </w:p>
        </w:tc>
        <w:tc>
          <w:tcPr>
            <w:tcW w:w="100" w:type="dxa"/>
            <w:vAlign w:val="bottom"/>
          </w:tcPr>
          <w:p>
            <w:pPr>
              <w:spacing w:after="0"/>
              <w:rPr>
                <w:sz w:val="12"/>
                <w:szCs w:val="12"/>
                <w:color w:val="auto"/>
              </w:rPr>
            </w:pPr>
          </w:p>
        </w:tc>
        <w:tc>
          <w:tcPr>
            <w:tcW w:w="1100" w:type="dxa"/>
            <w:vAlign w:val="bottom"/>
            <w:gridSpan w:val="5"/>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20" w:type="dxa"/>
            <w:vAlign w:val="bottom"/>
            <w:gridSpan w:val="3"/>
          </w:tcPr>
          <w:p>
            <w:pPr>
              <w:jc w:val="center"/>
              <w:ind w:right="90"/>
              <w:spacing w:after="0"/>
              <w:rPr>
                <w:sz w:val="20"/>
                <w:szCs w:val="20"/>
                <w:color w:val="auto"/>
              </w:rPr>
            </w:pPr>
            <w:r>
              <w:rPr>
                <w:rFonts w:ascii="Times New Roman" w:cs="Times New Roman" w:eastAsia="Times New Roman" w:hAnsi="Times New Roman"/>
                <w:sz w:val="13"/>
                <w:szCs w:val="13"/>
                <w:b w:val="1"/>
                <w:bCs w:val="1"/>
                <w:color w:val="auto"/>
              </w:rPr>
              <w:t>Net Service</w:t>
            </w:r>
          </w:p>
        </w:tc>
        <w:tc>
          <w:tcPr>
            <w:tcW w:w="200" w:type="dxa"/>
            <w:vAlign w:val="bottom"/>
          </w:tcPr>
          <w:p>
            <w:pPr>
              <w:spacing w:after="0"/>
              <w:rPr>
                <w:sz w:val="12"/>
                <w:szCs w:val="12"/>
                <w:color w:val="auto"/>
              </w:rPr>
            </w:pPr>
          </w:p>
        </w:tc>
        <w:tc>
          <w:tcPr>
            <w:tcW w:w="1020" w:type="dxa"/>
            <w:vAlign w:val="bottom"/>
            <w:gridSpan w:val="3"/>
          </w:tcPr>
          <w:p>
            <w:pPr>
              <w:jc w:val="center"/>
              <w:ind w:right="4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80" w:type="dxa"/>
            <w:vAlign w:val="bottom"/>
            <w:gridSpan w:val="3"/>
          </w:tcPr>
          <w:p>
            <w:pPr>
              <w:jc w:val="center"/>
              <w:ind w:right="150"/>
              <w:spacing w:after="0"/>
              <w:rPr>
                <w:sz w:val="20"/>
                <w:szCs w:val="20"/>
                <w:color w:val="auto"/>
              </w:rPr>
            </w:pPr>
            <w:r>
              <w:rPr>
                <w:rFonts w:ascii="Times New Roman" w:cs="Times New Roman" w:eastAsia="Times New Roman" w:hAnsi="Times New Roman"/>
                <w:sz w:val="13"/>
                <w:szCs w:val="13"/>
                <w:b w:val="1"/>
                <w:bCs w:val="1"/>
                <w:color w:val="auto"/>
              </w:rPr>
              <w:t>Net Service</w:t>
            </w:r>
          </w:p>
        </w:tc>
      </w:tr>
      <w:tr>
        <w:trPr>
          <w:trHeight w:val="179"/>
        </w:trPr>
        <w:tc>
          <w:tcPr>
            <w:tcW w:w="10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20" w:type="dxa"/>
            <w:vAlign w:val="bottom"/>
          </w:tcPr>
          <w:p>
            <w:pPr>
              <w:spacing w:after="0"/>
              <w:rPr>
                <w:sz w:val="15"/>
                <w:szCs w:val="15"/>
                <w:color w:val="auto"/>
              </w:rPr>
            </w:pPr>
          </w:p>
        </w:tc>
        <w:tc>
          <w:tcPr>
            <w:tcW w:w="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20" w:type="dxa"/>
            <w:vAlign w:val="bottom"/>
            <w:gridSpan w:val="2"/>
          </w:tcPr>
          <w:p>
            <w:pPr>
              <w:spacing w:after="0"/>
              <w:rPr>
                <w:sz w:val="15"/>
                <w:szCs w:val="15"/>
                <w:color w:val="auto"/>
              </w:rPr>
            </w:pPr>
          </w:p>
        </w:tc>
        <w:tc>
          <w:tcPr>
            <w:tcW w:w="60" w:type="dxa"/>
            <w:vAlign w:val="bottom"/>
            <w:tcBorders>
              <w:bottom w:val="single" w:sz="8" w:color="auto"/>
            </w:tcBorders>
            <w:gridSpan w:val="2"/>
          </w:tcPr>
          <w:p>
            <w:pPr>
              <w:spacing w:after="0"/>
              <w:rPr>
                <w:sz w:val="15"/>
                <w:szCs w:val="15"/>
                <w:color w:val="auto"/>
              </w:rPr>
            </w:pPr>
          </w:p>
        </w:tc>
        <w:tc>
          <w:tcPr>
            <w:tcW w:w="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20" w:type="dxa"/>
            <w:vAlign w:val="bottom"/>
            <w:gridSpan w:val="2"/>
          </w:tcPr>
          <w:p>
            <w:pPr>
              <w:spacing w:after="0"/>
              <w:rPr>
                <w:sz w:val="15"/>
                <w:szCs w:val="15"/>
                <w:color w:val="auto"/>
              </w:rPr>
            </w:pPr>
          </w:p>
        </w:tc>
        <w:tc>
          <w:tcPr>
            <w:tcW w:w="80" w:type="dxa"/>
            <w:vAlign w:val="bottom"/>
            <w:tcBorders>
              <w:bottom w:val="single" w:sz="8" w:color="auto"/>
            </w:tcBorders>
            <w:gridSpan w:val="2"/>
          </w:tcPr>
          <w:p>
            <w:pPr>
              <w:spacing w:after="0"/>
              <w:rPr>
                <w:sz w:val="15"/>
                <w:szCs w:val="15"/>
                <w:color w:val="auto"/>
              </w:rPr>
            </w:pPr>
          </w:p>
        </w:tc>
        <w:tc>
          <w:tcPr>
            <w:tcW w:w="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00" w:type="dxa"/>
            <w:vAlign w:val="bottom"/>
          </w:tcPr>
          <w:p>
            <w:pPr>
              <w:spacing w:after="0"/>
              <w:rPr>
                <w:sz w:val="15"/>
                <w:szCs w:val="15"/>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60" w:type="dxa"/>
            <w:vAlign w:val="bottom"/>
          </w:tcPr>
          <w:p>
            <w:pPr>
              <w:spacing w:after="0"/>
              <w:rPr>
                <w:sz w:val="15"/>
                <w:szCs w:val="15"/>
                <w:color w:val="auto"/>
              </w:rPr>
            </w:pPr>
          </w:p>
        </w:tc>
      </w:tr>
      <w:tr>
        <w:trPr>
          <w:trHeight w:val="228"/>
        </w:trPr>
        <w:tc>
          <w:tcPr>
            <w:tcW w:w="2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8,300</w:t>
            </w:r>
          </w:p>
        </w:tc>
        <w:tc>
          <w:tcPr>
            <w:tcW w:w="1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320" w:type="dxa"/>
            <w:vAlign w:val="bottom"/>
            <w:gridSpan w:val="3"/>
          </w:tcPr>
          <w:p>
            <w:pPr>
              <w:jc w:val="right"/>
              <w:ind w:right="5"/>
              <w:spacing w:after="0"/>
              <w:rPr>
                <w:sz w:val="20"/>
                <w:szCs w:val="20"/>
                <w:color w:val="auto"/>
              </w:rPr>
            </w:pPr>
            <w:r>
              <w:rPr>
                <w:rFonts w:ascii="Times New Roman" w:cs="Times New Roman" w:eastAsia="Times New Roman" w:hAnsi="Times New Roman"/>
                <w:sz w:val="18"/>
                <w:szCs w:val="18"/>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8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300" w:type="dxa"/>
            <w:vAlign w:val="bottom"/>
            <w:gridSpan w:val="2"/>
          </w:tcPr>
          <w:p>
            <w:pPr>
              <w:jc w:val="right"/>
              <w:ind w:right="5"/>
              <w:spacing w:after="0"/>
              <w:rPr>
                <w:sz w:val="20"/>
                <w:szCs w:val="20"/>
                <w:color w:val="auto"/>
              </w:rPr>
            </w:pPr>
            <w:r>
              <w:rPr>
                <w:rFonts w:ascii="Times New Roman" w:cs="Times New Roman" w:eastAsia="Times New Roman" w:hAnsi="Times New Roman"/>
                <w:sz w:val="18"/>
                <w:szCs w:val="18"/>
                <w:color w:val="auto"/>
                <w:w w:val="8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8"/>
        </w:trPr>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1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60" w:type="dxa"/>
            <w:vAlign w:val="bottom"/>
          </w:tcPr>
          <w:p>
            <w:pPr>
              <w:spacing w:after="0"/>
              <w:rPr>
                <w:sz w:val="20"/>
                <w:szCs w:val="20"/>
                <w:color w:val="auto"/>
              </w:rPr>
            </w:pPr>
          </w:p>
        </w:tc>
      </w:tr>
      <w:tr>
        <w:trPr>
          <w:trHeight w:val="250"/>
        </w:trPr>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6,733</w:t>
            </w:r>
          </w:p>
        </w:tc>
        <w:tc>
          <w:tcPr>
            <w:tcW w:w="120" w:type="dxa"/>
            <w:vAlign w:val="bottom"/>
          </w:tcPr>
          <w:p>
            <w:pPr>
              <w:spacing w:after="0"/>
              <w:rPr>
                <w:sz w:val="21"/>
                <w:szCs w:val="21"/>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spacing w:after="0"/>
              <w:rPr>
                <w:sz w:val="21"/>
                <w:szCs w:val="21"/>
                <w:color w:val="auto"/>
              </w:rPr>
            </w:pPr>
          </w:p>
        </w:tc>
        <w:tc>
          <w:tcPr>
            <w:tcW w:w="60" w:type="dxa"/>
            <w:vAlign w:val="bottom"/>
            <w:tcBorders>
              <w:bottom w:val="single" w:sz="8" w:color="auto"/>
            </w:tcBorders>
            <w:gridSpan w:val="2"/>
          </w:tcPr>
          <w:p>
            <w:pPr>
              <w:spacing w:after="0"/>
              <w:rPr>
                <w:sz w:val="21"/>
                <w:szCs w:val="21"/>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r>
      <w:tr>
        <w:trPr>
          <w:trHeight w:val="412"/>
        </w:trPr>
        <w:tc>
          <w:tcPr>
            <w:tcW w:w="2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18,075</w:t>
            </w:r>
          </w:p>
        </w:tc>
        <w:tc>
          <w:tcPr>
            <w:tcW w:w="120" w:type="dxa"/>
            <w:vAlign w:val="bottom"/>
          </w:tcPr>
          <w:p>
            <w:pPr>
              <w:spacing w:after="0"/>
              <w:rPr>
                <w:sz w:val="24"/>
                <w:szCs w:val="24"/>
                <w:color w:val="auto"/>
              </w:rPr>
            </w:pPr>
          </w:p>
        </w:tc>
        <w:tc>
          <w:tcPr>
            <w:tcW w:w="1200" w:type="dxa"/>
            <w:vAlign w:val="bottom"/>
            <w:gridSpan w:val="5"/>
          </w:tcPr>
          <w:p>
            <w:pPr>
              <w:jc w:val="right"/>
              <w:ind w:right="5"/>
              <w:spacing w:after="0"/>
              <w:rPr>
                <w:sz w:val="20"/>
                <w:szCs w:val="20"/>
                <w:color w:val="auto"/>
              </w:rPr>
            </w:pPr>
            <w:r>
              <w:rPr>
                <w:rFonts w:ascii="Times New Roman" w:cs="Times New Roman" w:eastAsia="Times New Roman" w:hAnsi="Times New Roman"/>
                <w:sz w:val="18"/>
                <w:szCs w:val="18"/>
                <w:color w:val="auto"/>
              </w:rPr>
              <w:t>100.0 %$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11,456</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34,955</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gridSpan w:val="4"/>
          </w:tcPr>
          <w:p>
            <w:pPr>
              <w:jc w:val="right"/>
              <w:ind w:right="5"/>
              <w:spacing w:after="0"/>
              <w:rPr>
                <w:sz w:val="20"/>
                <w:szCs w:val="20"/>
                <w:color w:val="auto"/>
              </w:rPr>
            </w:pPr>
            <w:r>
              <w:rPr>
                <w:rFonts w:ascii="Times New Roman" w:cs="Times New Roman" w:eastAsia="Times New Roman" w:hAnsi="Times New Roman"/>
                <w:sz w:val="18"/>
                <w:szCs w:val="18"/>
                <w:color w:val="auto"/>
              </w:rPr>
              <w:t>100.0 %$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23,941</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-1645285</wp:posOffset>
            </wp:positionH>
            <wp:positionV relativeFrom="paragraph">
              <wp:posOffset>-2476500</wp:posOffset>
            </wp:positionV>
            <wp:extent cx="7132320" cy="1543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-2167890</wp:posOffset>
            </wp:positionV>
            <wp:extent cx="7132320" cy="1543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-1851025</wp:posOffset>
            </wp:positionV>
            <wp:extent cx="7132320" cy="2914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-762000</wp:posOffset>
            </wp:positionV>
            <wp:extent cx="7132320" cy="1543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-1645285</wp:posOffset>
            </wp:positionH>
            <wp:positionV relativeFrom="paragraph">
              <wp:posOffset>-453390</wp:posOffset>
            </wp:positionV>
            <wp:extent cx="7132320" cy="1625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2440" w:space="160"/>
            <w:col w:w="8700"/>
          </w:cols>
          <w:pgMar w:left="320" w:top="765" w:right="279" w:bottom="1440" w:gutter="0" w:footer="0" w:header="0"/>
          <w:type w:val="continuous"/>
        </w:sectPr>
      </w:pPr>
    </w:p>
    <w:p>
      <w:pPr>
        <w:spacing w:after="0" w:line="26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5" w:right="27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3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A substantial portion of the Company’s revenue and accounts receivable are derived from services performed for federal, state and local governmental agencies. The personal care segment derives a significant amount of its net service revenues in Illinois, which represented 38.6%, and 40.0% of our net service revenues for the three months ended June 30, 2024, and 2023, respectively, and accounted for 38.5% and 39.5% of our net service revenues for the six months ended June 30, 2024 and 2023, respectively. The Illinois Department on Aging, the largest payor program for the Company’s Illinois personal care operations, accounted for 21.1% and 21.5% of the Company’s net service revenues for the three months ended June 30, 2024 and 2023, respectively, and accounted for 20.9% and 21.5% of the Company’s net service revenues for the six months ended June 30, 2024 and 2023, respectively.</w:t>
      </w:r>
    </w:p>
    <w:p>
      <w:pPr>
        <w:spacing w:after="0" w:line="18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related receivables due from the Illinois Department on Aging represented 21.7% and 20.7% of the Company’s net accounts receivable at June 30, 2024 and December 31,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3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together with our unaudited condensed consolidated financial statements and the related notes included elsewhere in this quarterly report on Form 10-Q. This discussion contains forward-looking statements about our business and operations. Statements that are predictive in nature, that depend upon or refer to future events or conditions or that include words like “believes,” “belief,” “expects,” “plans,” “anticipates,” “intends,” “projects,” “estimates,” “may,” “might,” “would,” “should” and similar expressions are intended to be forward-looking statements as defined by the Private Securities Litigation Reform Act of 1995.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These risks and uncertainties include, but are not limited to: the impact of macroeconomic conditions, including significant global inflation and elevated interest rates, legislative and political developments, trade disruptions and the potential adverse effects of current geopolitical conditions; business disruptions due to inclement weather, natural disasters, acts of terrorism, pandemics, riots, civil insurrection or social unrest, looting, protests, strikes or street demonstrations; changes in operational and reimbursement processes and payment structures at the state or federal levels; changes in Medicaid, Medicare, other government program and managed care organizations policies and payment rates, and the timeliness of reimbursements received under government programs; changes in, or our failure to comply with, existing, federal and state laws or regulations, or our failure to comply with new government laws or regulations on a timely basis; competition in the healthcare industry; the geographical concentration of our operations; changes in the case mix of consumers and payment methodologies; operational changes resulting from the assumption by managed care organizations of responsibility for managing and paying for our services to consumers; the nature and success of future financial and/or delivery system reforms; changes in estimates and judgments associated with critical accounting policies; our ability to maintain or establish new referral sources; our ability to renew significant agreements or groups of agreements; our ability to attract and retain qualified personnel; federal, state and city minimum wage pressure, including any failure of any governmental entity to enact a minimum wage offset and/or the timing of any such enactment; changes in payments and covered services due to the overall economic conditions and deficit reduction measures by federal and state governments, and our expectations regarding these changes; cost containment initiatives undertaken by federal and state governmental and other third-party payors; our ability to access financing through the capital and credit markets; our ability to meet debt service requirements and comply with covenants in debt agreements; our ability to integrate and manage our information systems; any security breaches, cyber-attacks, loss of data, or cybersecurity threats or incidents, and any actual or perceived failures to comply with legal requirements related to the privacy of confidential consumer data and other sensitive information; the size and growth of the markets for our services, including our expectations regarding the markets for our services; eligibility standards and limits on services imposed by state governmental agencies; the potential for litigation, audits and investigations; discretionary determinations by government officials; our ability to successfully implement our business model to grow our business; our ability to continue identifying, pursuing, consummating and integrating acquisition opportunities, including our ability to complete the Gentiva Acquisition and to realize the anticipated benefits from such acquisition, and expanding into new geographic markets; our ability to complete the New York Asset Sale; the impact of acquisitions and dispositions on our business, including the potential inability to realize the benefits of potential acquisitions; the effectiveness, quality and cost of our services; our ability to successfully execute our growth strategy; changes in tax rates; and various other matters, many of which are beyond our control. In addition, these forward-looking statements are subject to the risk factors set forth in Part I, Item 1A of our Annual Report on Form 10-K for the period ended December 31, 2023, filed with the SEC on February 27, 2024. You should carefully review all of these factors. Moreover, our business may be materially adversely affected by factors that are not currently known to us, by factors that we currently consider immaterial or by factors that are not specific to us, such as general economic conditions. These forward-looking statements were based on information, plans and estimates at the date of this report, and we assume no obligation to update any forward-looking statements to reflect changes in underlying assumptions or factors, new information, future events or other changes, except as may be required by law.</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are a home care services provider operating three segments: personal care, hospice and home health. Our services are principally provided in-home under agreements with federal, state and local government agencies, managed care organizations, commercial insurers and private individuals. Our consumers are predominantly “dual eligible,” meaning they are eligible to receive both Medicare and Medicaid benefits. Managed care organizations accounted for 35.1% and 36.6% of our net service revenues during the three months ended June 30, 2024 and 2023, respectively, and 35.4% and 36.6% of our net service revenues during the six months ended June 30, 2024 and 2023, respectively.</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certain consolidated financial results is provided in the table below.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gridSpan w:val="4"/>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169"/>
        </w:trPr>
        <w:tc>
          <w:tcPr>
            <w:tcW w:w="58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service revenues by segment:</w:t>
            </w:r>
          </w:p>
        </w:tc>
        <w:tc>
          <w:tcPr>
            <w:tcW w:w="100" w:type="dxa"/>
            <w:vAlign w:val="bottom"/>
          </w:tcPr>
          <w:p>
            <w:pPr>
              <w:spacing w:after="0"/>
              <w:rPr>
                <w:sz w:val="20"/>
                <w:szCs w:val="20"/>
                <w:color w:val="auto"/>
              </w:rPr>
            </w:pPr>
          </w:p>
        </w:tc>
        <w:tc>
          <w:tcPr>
            <w:tcW w:w="2460" w:type="dxa"/>
            <w:vAlign w:val="bottom"/>
            <w:gridSpan w:val="4"/>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8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r>
      <w:tr>
        <w:trPr>
          <w:trHeight w:val="243"/>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Personal care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212,817</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198,314</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420,820</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388,346</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Hospice</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56,030</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50,210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111,893</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99,292</w:t>
            </w:r>
          </w:p>
        </w:tc>
        <w:tc>
          <w:tcPr>
            <w:tcW w:w="100" w:type="dxa"/>
            <w:vAlign w:val="bottom"/>
          </w:tcPr>
          <w:p>
            <w:pPr>
              <w:spacing w:after="0"/>
              <w:rPr>
                <w:sz w:val="20"/>
                <w:szCs w:val="20"/>
                <w:color w:val="auto"/>
              </w:rPr>
            </w:pPr>
          </w:p>
        </w:tc>
      </w:tr>
      <w:tr>
        <w:trPr>
          <w:trHeight w:val="243"/>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Home health</w:t>
            </w:r>
          </w:p>
        </w:tc>
        <w:tc>
          <w:tcPr>
            <w:tcW w:w="1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18,075</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11,456</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34,955</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23,941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service revenues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286,922</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259,980</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567,668</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511,579</w:t>
            </w:r>
          </w:p>
        </w:tc>
        <w:tc>
          <w:tcPr>
            <w:tcW w:w="100" w:type="dxa"/>
            <w:vAlign w:val="bottom"/>
          </w:tcPr>
          <w:p>
            <w:pPr>
              <w:spacing w:after="0"/>
              <w:rPr>
                <w:sz w:val="20"/>
                <w:szCs w:val="20"/>
                <w:color w:val="auto"/>
              </w:rPr>
            </w:pPr>
          </w:p>
        </w:tc>
      </w:tr>
      <w:tr>
        <w:trPr>
          <w:trHeight w:val="20"/>
        </w:trPr>
        <w:tc>
          <w:tcPr>
            <w:tcW w:w="5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5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18,079</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14,852</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33,909</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27,527</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-490855</wp:posOffset>
            </wp:positionV>
            <wp:extent cx="7747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-490855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-490855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-490855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As of June 30, 2024, we provided our services in 22 states through 214 offices. We served approximately 70,000 and 62,000 discrete individuals, respectively, during the six months ended June 30, 2024 and 2023. Our personal care segment also includes staffing services, with clients including assisted living facilities, nursing homes and hospice facilities.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addition to our organic growth, we have grown through acquisitions that have expanded our presence in current markets, with the goal of having all three levels of in-home care in our markets or facilitating our entry into new markets where in-home care has been moving to managed care organizations.</w:t>
      </w:r>
    </w:p>
    <w:p>
      <w:pPr>
        <w:spacing w:after="0" w:line="176"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On January 1, 2023, we completed the acquisition of CareStaff for approximately $1.0 million, with funding provided by available cash. With the purchase of CareStaff, the Company expanded its personal care services in Florida.</w:t>
      </w:r>
    </w:p>
    <w:p>
      <w:pPr>
        <w:spacing w:after="0" w:line="162"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On August 1, 2023, we completed the acquisition of Tennessee Quality Care for approximately $111.2 million, with funding primarily provided by drawing on the Company’s revolving credit facility. The purchase price is subject to the completion of working capital and related adjustments. With the purchase of Tennessee Quality Care, the Company expanded its services within its hospice and home health segment to Tennessee.</w:t>
      </w:r>
    </w:p>
    <w:p>
      <w:pPr>
        <w:spacing w:after="0" w:line="176"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On March 9, 2024, we completed our acquisition of the operations of Upstate for $0.4 million, with funding provided by available cash. With the purchase of Upstate, the Company expanded its personal care services segment in South Carolina.</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June 8, 2024, we entered into the Gentiva Purchase Agreement to acquire the personal care operations of Gentiva, consisting of equity interests and certain assets and liabilities, for a purchase price of approximately $350.0 million, payable in full in cash at the closing, subject to typical adjustments for working capital and other customary items. The acquired business operates in Arizona, Arkansas, California, Missouri, North Carolina, Tennessee and Texas, and serve approximately 16,000 patients. The Company expects to close this acquisition following completion of regulatory approvals and subject to customary closing conditions and will fund this acquisition through the Company’s existing revolving credit facility and a portion of the net proceeds from the Public Offering.</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York Asset Sale</w:t>
      </w:r>
    </w:p>
    <w:p>
      <w:pPr>
        <w:spacing w:after="0" w:line="12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On May 21, 2024, we entered into the New York Asset Sale. The Company entered into a consulting agreement as the transfer of clients and caregivers and payment for assets pursuant to the New York Asset Sale is occurring over time as regulatory approvals are received, coordination of the transfer of clients and caregivers occurs, and the change of control takes place. In connection with this transaction, the Company will cease operations in New York.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Recruiting</w:t>
      </w:r>
    </w:p>
    <w:p>
      <w:pPr>
        <w:spacing w:after="0" w:line="121" w:lineRule="exact"/>
        <w:rPr>
          <w:sz w:val="20"/>
          <w:szCs w:val="20"/>
          <w:color w:val="auto"/>
        </w:rPr>
      </w:pPr>
    </w:p>
    <w:p>
      <w:pPr>
        <w:jc w:val="both"/>
        <w:ind w:right="100" w:firstLine="509"/>
        <w:spacing w:after="0" w:line="261" w:lineRule="auto"/>
        <w:rPr>
          <w:sz w:val="20"/>
          <w:szCs w:val="20"/>
          <w:color w:val="auto"/>
        </w:rPr>
      </w:pPr>
      <w:r>
        <w:rPr>
          <w:rFonts w:ascii="Times New Roman" w:cs="Times New Roman" w:eastAsia="Times New Roman" w:hAnsi="Times New Roman"/>
          <w:sz w:val="18"/>
          <w:szCs w:val="18"/>
          <w:color w:val="auto"/>
        </w:rPr>
        <w:t>As the labor market continues to be tight and unemployment remains at low levels, the competition for new caregivers, including skilled healthcare staff, and support staff continues to be significant. In addition, the United States economy continues to experience significant inflationary pressures. To the extent that we continue to experience a shortage of caregivers, it may hinder our ability to fully meet the continuing demand for both our non-clinical and clinical services.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Payor and Significant States</w:t>
      </w:r>
    </w:p>
    <w:p>
      <w:pPr>
        <w:spacing w:after="0" w:line="121"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Our payors are principally federal, state and local governmental agencies and managed care organizations. The federal, state and local programs under which the agencies operate are subject to legislative and budgetary changes and other risks that can influence reimbursement rates. We are experiencing a transition of business from government payors to managed care organizations, which we believe aligns with our emphasis on coordinated care and the reduction of the need for acute care.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revenue by payor and significant states by segment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Personal Care Segment</w:t>
            </w:r>
          </w:p>
        </w:tc>
        <w:tc>
          <w:tcPr>
            <w:tcW w:w="14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gridSpan w:val="7"/>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7"/>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1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4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11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0" w:type="dxa"/>
            <w:vAlign w:val="bottom"/>
          </w:tcPr>
          <w:p>
            <w:pPr>
              <w:spacing w:after="0"/>
              <w:rPr>
                <w:sz w:val="1"/>
                <w:szCs w:val="1"/>
                <w:color w:val="auto"/>
              </w:rPr>
            </w:pPr>
          </w:p>
        </w:tc>
      </w:tr>
      <w:tr>
        <w:trPr>
          <w:trHeight w:val="148"/>
        </w:trPr>
        <w:tc>
          <w:tcPr>
            <w:tcW w:w="2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4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1140" w:type="dxa"/>
            <w:vAlign w:val="bottom"/>
            <w:gridSpan w:val="2"/>
            <w:vMerge w:val="continue"/>
          </w:tcPr>
          <w:p>
            <w:pPr>
              <w:spacing w:after="0"/>
              <w:rPr>
                <w:sz w:val="12"/>
                <w:szCs w:val="12"/>
                <w:color w:val="auto"/>
              </w:rPr>
            </w:pPr>
          </w:p>
        </w:tc>
        <w:tc>
          <w:tcPr>
            <w:tcW w:w="104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1120" w:type="dxa"/>
            <w:vAlign w:val="bottom"/>
            <w:gridSpan w:val="2"/>
            <w:vMerge w:val="continue"/>
          </w:tcPr>
          <w:p>
            <w:pPr>
              <w:spacing w:after="0"/>
              <w:rPr>
                <w:sz w:val="12"/>
                <w:szCs w:val="12"/>
                <w:color w:val="auto"/>
              </w:rPr>
            </w:pPr>
          </w:p>
        </w:tc>
        <w:tc>
          <w:tcPr>
            <w:tcW w:w="10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1140" w:type="dxa"/>
            <w:vAlign w:val="bottom"/>
            <w:gridSpan w:val="2"/>
            <w:vMerge w:val="continue"/>
          </w:tcPr>
          <w:p>
            <w:pPr>
              <w:spacing w:after="0"/>
              <w:rPr>
                <w:sz w:val="12"/>
                <w:szCs w:val="12"/>
                <w:color w:val="auto"/>
              </w:rPr>
            </w:pPr>
          </w:p>
        </w:tc>
        <w:tc>
          <w:tcPr>
            <w:tcW w:w="96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0" w:type="dxa"/>
            <w:vAlign w:val="bottom"/>
          </w:tcPr>
          <w:p>
            <w:pPr>
              <w:spacing w:after="0"/>
              <w:rPr>
                <w:sz w:val="1"/>
                <w:szCs w:val="1"/>
                <w:color w:val="auto"/>
              </w:rPr>
            </w:pPr>
          </w:p>
        </w:tc>
      </w:tr>
      <w:tr>
        <w:trPr>
          <w:trHeight w:val="187"/>
        </w:trPr>
        <w:tc>
          <w:tcPr>
            <w:tcW w:w="2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05"/>
        </w:trPr>
        <w:tc>
          <w:tcPr>
            <w:tcW w:w="22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State, local and other</w:t>
            </w: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governmental programs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113,002</w:t>
            </w:r>
          </w:p>
        </w:tc>
        <w:tc>
          <w:tcPr>
            <w:tcW w:w="120" w:type="dxa"/>
            <w:vAlign w:val="bottom"/>
          </w:tcPr>
          <w:p>
            <w:pPr>
              <w:spacing w:after="0"/>
              <w:rPr>
                <w:sz w:val="20"/>
                <w:szCs w:val="20"/>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53.1 %$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100,399</w:t>
            </w:r>
          </w:p>
        </w:tc>
        <w:tc>
          <w:tcPr>
            <w:tcW w:w="12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50.6 %$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220,756</w:t>
            </w:r>
          </w:p>
        </w:tc>
        <w:tc>
          <w:tcPr>
            <w:tcW w:w="10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52.5 %$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195,721</w:t>
            </w:r>
          </w:p>
        </w:tc>
        <w:tc>
          <w:tcPr>
            <w:tcW w:w="12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50.4 %</w:t>
            </w:r>
          </w:p>
        </w:tc>
        <w:tc>
          <w:tcPr>
            <w:tcW w:w="0" w:type="dxa"/>
            <w:vAlign w:val="bottom"/>
          </w:tcPr>
          <w:p>
            <w:pPr>
              <w:spacing w:after="0"/>
              <w:rPr>
                <w:sz w:val="1"/>
                <w:szCs w:val="1"/>
                <w:color w:val="auto"/>
              </w:rPr>
            </w:pPr>
          </w:p>
        </w:tc>
      </w:tr>
      <w:tr>
        <w:trPr>
          <w:trHeight w:val="250"/>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Managed care organizations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94,135</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91,276</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188,411</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179,176</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Private pay</w:t>
            </w: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4,137</w:t>
            </w: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7,595</w:t>
            </w: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8,363</w:t>
            </w: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insurance</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2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10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12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2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Total personal care segment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212,817</w:t>
            </w:r>
          </w:p>
        </w:tc>
        <w:tc>
          <w:tcPr>
            <w:tcW w:w="120" w:type="dxa"/>
            <w:vAlign w:val="bottom"/>
          </w:tcPr>
          <w:p>
            <w:pPr>
              <w:spacing w:after="0"/>
              <w:rPr>
                <w:sz w:val="17"/>
                <w:szCs w:val="17"/>
                <w:color w:val="auto"/>
              </w:rPr>
            </w:pPr>
          </w:p>
        </w:tc>
        <w:tc>
          <w:tcPr>
            <w:tcW w:w="1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198,314</w:t>
            </w:r>
          </w:p>
        </w:tc>
        <w:tc>
          <w:tcPr>
            <w:tcW w:w="120" w:type="dxa"/>
            <w:vAlign w:val="bottom"/>
          </w:tcPr>
          <w:p>
            <w:pPr>
              <w:spacing w:after="0"/>
              <w:rPr>
                <w:sz w:val="17"/>
                <w:szCs w:val="17"/>
                <w:color w:val="auto"/>
              </w:rPr>
            </w:pPr>
          </w:p>
        </w:tc>
        <w:tc>
          <w:tcPr>
            <w:tcW w:w="10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420,820</w:t>
            </w:r>
          </w:p>
        </w:tc>
        <w:tc>
          <w:tcPr>
            <w:tcW w:w="100" w:type="dxa"/>
            <w:vAlign w:val="bottom"/>
          </w:tcPr>
          <w:p>
            <w:pPr>
              <w:spacing w:after="0"/>
              <w:rPr>
                <w:sz w:val="17"/>
                <w:szCs w:val="17"/>
                <w:color w:val="auto"/>
              </w:rPr>
            </w:pPr>
          </w:p>
        </w:tc>
        <w:tc>
          <w:tcPr>
            <w:tcW w:w="10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388,346</w:t>
            </w:r>
          </w:p>
        </w:tc>
        <w:tc>
          <w:tcPr>
            <w:tcW w:w="120" w:type="dxa"/>
            <w:vAlign w:val="bottom"/>
          </w:tcPr>
          <w:p>
            <w:pPr>
              <w:spacing w:after="0"/>
              <w:rPr>
                <w:sz w:val="17"/>
                <w:szCs w:val="17"/>
                <w:color w:val="auto"/>
              </w:rPr>
            </w:pPr>
          </w:p>
        </w:tc>
        <w:tc>
          <w:tcPr>
            <w:tcW w:w="9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7"/>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service revenues</w:t>
            </w:r>
          </w:p>
        </w:tc>
        <w:tc>
          <w:tcPr>
            <w:tcW w:w="14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26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110,774</w:t>
            </w:r>
          </w:p>
        </w:tc>
        <w:tc>
          <w:tcPr>
            <w:tcW w:w="1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52.1 %$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103,864</w:t>
            </w:r>
          </w:p>
        </w:tc>
        <w:tc>
          <w:tcPr>
            <w:tcW w:w="12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52.4 %$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218,349</w:t>
            </w:r>
          </w:p>
        </w:tc>
        <w:tc>
          <w:tcPr>
            <w:tcW w:w="10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51.9 %$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202,279</w:t>
            </w:r>
          </w:p>
        </w:tc>
        <w:tc>
          <w:tcPr>
            <w:tcW w:w="1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52.1 %</w:t>
            </w:r>
          </w:p>
        </w:tc>
        <w:tc>
          <w:tcPr>
            <w:tcW w:w="0" w:type="dxa"/>
            <w:vAlign w:val="bottom"/>
          </w:tcPr>
          <w:p>
            <w:pPr>
              <w:spacing w:after="0"/>
              <w:rPr>
                <w:sz w:val="1"/>
                <w:szCs w:val="1"/>
                <w:color w:val="auto"/>
              </w:rPr>
            </w:pPr>
          </w:p>
        </w:tc>
      </w:tr>
      <w:tr>
        <w:trPr>
          <w:trHeight w:val="245"/>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Mexico</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28,644</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27,907</w:t>
            </w: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57,611</w:t>
            </w: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56,381</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260" w:type="dxa"/>
            <w:vAlign w:val="bottom"/>
            <w:shd w:val="clear" w:color="auto" w:fill="CFF0FC"/>
          </w:tcPr>
          <w:p>
            <w:pPr>
              <w:ind w:left="20"/>
              <w:spacing w:after="0" w:line="250" w:lineRule="exact"/>
              <w:rPr>
                <w:sz w:val="20"/>
                <w:szCs w:val="20"/>
                <w:color w:val="auto"/>
              </w:rPr>
            </w:pPr>
            <w:r>
              <w:rPr>
                <w:rFonts w:ascii="Times New Roman" w:cs="Times New Roman" w:eastAsia="Times New Roman" w:hAnsi="Times New Roman"/>
                <w:sz w:val="18"/>
                <w:szCs w:val="18"/>
                <w:color w:val="auto"/>
              </w:rPr>
              <w:t xml:space="preserve">New York </w:t>
            </w:r>
            <w:r>
              <w:rPr>
                <w:rFonts w:ascii="Times New Roman" w:cs="Times New Roman" w:eastAsia="Times New Roman" w:hAnsi="Times New Roman"/>
                <w:sz w:val="24"/>
                <w:szCs w:val="24"/>
                <w:color w:val="auto"/>
                <w:vertAlign w:val="superscript"/>
              </w:rPr>
              <w:t>(1)</w:t>
            </w: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23,299</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23,841</w:t>
            </w: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46,833</w:t>
            </w:r>
          </w:p>
        </w:tc>
        <w:tc>
          <w:tcPr>
            <w:tcW w:w="1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45,727</w:t>
            </w:r>
          </w:p>
        </w:tc>
        <w:tc>
          <w:tcPr>
            <w:tcW w:w="1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states</w:t>
            </w: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50,100</w:t>
            </w:r>
          </w:p>
        </w:tc>
        <w:tc>
          <w:tcPr>
            <w:tcW w:w="12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42,702</w:t>
            </w:r>
          </w:p>
        </w:tc>
        <w:tc>
          <w:tcPr>
            <w:tcW w:w="120" w:type="dxa"/>
            <w:vAlign w:val="bottom"/>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98,027</w:t>
            </w:r>
          </w:p>
        </w:tc>
        <w:tc>
          <w:tcPr>
            <w:tcW w:w="100" w:type="dxa"/>
            <w:vAlign w:val="bottom"/>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83,959</w:t>
            </w:r>
          </w:p>
        </w:tc>
        <w:tc>
          <w:tcPr>
            <w:tcW w:w="120" w:type="dxa"/>
            <w:vAlign w:val="bottom"/>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personal care segment</w:t>
            </w:r>
          </w:p>
        </w:tc>
        <w:tc>
          <w:tcPr>
            <w:tcW w:w="14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212,817</w:t>
            </w:r>
          </w:p>
        </w:tc>
        <w:tc>
          <w:tcPr>
            <w:tcW w:w="120" w:type="dxa"/>
            <w:vAlign w:val="bottom"/>
          </w:tcPr>
          <w:p>
            <w:pPr>
              <w:spacing w:after="0"/>
              <w:rPr>
                <w:sz w:val="17"/>
                <w:szCs w:val="17"/>
                <w:color w:val="auto"/>
              </w:rPr>
            </w:pPr>
          </w:p>
        </w:tc>
        <w:tc>
          <w:tcPr>
            <w:tcW w:w="1240" w:type="dxa"/>
            <w:vAlign w:val="bottom"/>
            <w:gridSpan w:val="3"/>
            <w:vMerge w:val="restart"/>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100.0 %</w:t>
            </w:r>
          </w:p>
        </w:tc>
        <w:tc>
          <w:tcPr>
            <w:tcW w:w="102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198,314</w:t>
            </w:r>
          </w:p>
        </w:tc>
        <w:tc>
          <w:tcPr>
            <w:tcW w:w="120" w:type="dxa"/>
            <w:vAlign w:val="bottom"/>
          </w:tcPr>
          <w:p>
            <w:pPr>
              <w:spacing w:after="0"/>
              <w:rPr>
                <w:sz w:val="17"/>
                <w:szCs w:val="17"/>
                <w:color w:val="auto"/>
              </w:rPr>
            </w:pPr>
          </w:p>
        </w:tc>
        <w:tc>
          <w:tcPr>
            <w:tcW w:w="1040" w:type="dxa"/>
            <w:vAlign w:val="bottom"/>
            <w:gridSpan w:val="3"/>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100.0 %$</w:t>
            </w:r>
          </w:p>
        </w:tc>
        <w:tc>
          <w:tcPr>
            <w:tcW w:w="102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420,820</w:t>
            </w:r>
          </w:p>
        </w:tc>
        <w:tc>
          <w:tcPr>
            <w:tcW w:w="100" w:type="dxa"/>
            <w:vAlign w:val="bottom"/>
          </w:tcPr>
          <w:p>
            <w:pPr>
              <w:spacing w:after="0"/>
              <w:rPr>
                <w:sz w:val="17"/>
                <w:szCs w:val="17"/>
                <w:color w:val="auto"/>
              </w:rPr>
            </w:pPr>
          </w:p>
        </w:tc>
        <w:tc>
          <w:tcPr>
            <w:tcW w:w="1020" w:type="dxa"/>
            <w:vAlign w:val="bottom"/>
            <w:gridSpan w:val="3"/>
            <w:vMerge w:val="restart"/>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100.0 %</w:t>
            </w:r>
          </w:p>
        </w:tc>
        <w:tc>
          <w:tcPr>
            <w:tcW w:w="102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388,346</w:t>
            </w:r>
          </w:p>
        </w:tc>
        <w:tc>
          <w:tcPr>
            <w:tcW w:w="120" w:type="dxa"/>
            <w:vAlign w:val="bottom"/>
          </w:tcPr>
          <w:p>
            <w:pPr>
              <w:spacing w:after="0"/>
              <w:rPr>
                <w:sz w:val="17"/>
                <w:szCs w:val="17"/>
                <w:color w:val="auto"/>
              </w:rPr>
            </w:pPr>
          </w:p>
        </w:tc>
        <w:tc>
          <w:tcPr>
            <w:tcW w:w="960" w:type="dxa"/>
            <w:vAlign w:val="bottom"/>
            <w:gridSpan w:val="3"/>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0"/>
        </w:trPr>
        <w:tc>
          <w:tcPr>
            <w:tcW w:w="2260" w:type="dxa"/>
            <w:vAlign w:val="bottom"/>
          </w:tcPr>
          <w:p>
            <w:pPr>
              <w:ind w:left="20"/>
              <w:spacing w:after="0" w:line="1" w:lineRule="exact"/>
              <w:rPr>
                <w:sz w:val="20"/>
                <w:szCs w:val="20"/>
                <w:color w:val="auto"/>
              </w:rPr>
            </w:pPr>
            <w:r>
              <w:rPr>
                <w:rFonts w:ascii="Times New Roman" w:cs="Times New Roman" w:eastAsia="Times New Roman" w:hAnsi="Times New Roman"/>
                <w:sz w:val="1"/>
                <w:szCs w:val="1"/>
                <w:color w:val="auto"/>
              </w:rPr>
              <w:t>net service revenues</w:t>
            </w:r>
          </w:p>
        </w:tc>
        <w:tc>
          <w:tcPr>
            <w:tcW w:w="140" w:type="dxa"/>
            <w:vAlign w:val="bottom"/>
            <w:vMerge w:val="continue"/>
          </w:tcPr>
          <w:p>
            <w:pPr>
              <w:spacing w:after="0" w:line="20" w:lineRule="exact"/>
              <w:rPr>
                <w:sz w:val="1"/>
                <w:szCs w:val="1"/>
                <w:color w:val="auto"/>
              </w:rPr>
            </w:pPr>
          </w:p>
        </w:tc>
        <w:tc>
          <w:tcPr>
            <w:tcW w:w="11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3"/>
            <w:vMerge w:val="continue"/>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3"/>
            <w:vMerge w:val="continue"/>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gridSpan w:val="3"/>
            <w:vMerge w:val="continue"/>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spacing w:after="0" w:line="215" w:lineRule="exact"/>
              <w:rPr>
                <w:sz w:val="20"/>
                <w:szCs w:val="20"/>
                <w:color w:val="auto"/>
              </w:rPr>
            </w:pPr>
            <w:r>
              <w:rPr>
                <w:rFonts w:ascii="Calibri" w:cs="Calibri" w:eastAsia="Calibri" w:hAnsi="Calibri"/>
                <w:sz w:val="18"/>
                <w:szCs w:val="18"/>
                <w:color w:val="auto"/>
              </w:rPr>
              <w: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-2125345</wp:posOffset>
            </wp:positionV>
            <wp:extent cx="7132320" cy="29146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-916940</wp:posOffset>
            </wp:positionV>
            <wp:extent cx="7132320" cy="1543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-1216660</wp:posOffset>
            </wp:positionV>
            <wp:extent cx="7683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-1216660</wp:posOffset>
            </wp:positionV>
            <wp:extent cx="7683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-1216660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-1216660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-1216660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-1216660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-1216660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2914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124" w:lineRule="exact"/>
        <w:rPr>
          <w:sz w:val="20"/>
          <w:szCs w:val="20"/>
          <w:color w:val="auto"/>
        </w:rPr>
      </w:pPr>
    </w:p>
    <w:p>
      <w:pPr>
        <w:ind w:left="1360" w:right="100" w:hanging="514"/>
        <w:spacing w:after="0" w:line="253" w:lineRule="auto"/>
        <w:tabs>
          <w:tab w:leader="none" w:pos="1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selection process for CDPAP fiscal intermediaries has changed significantly in recent years, and the program continues to be an area of focus for New York governmental authorities. The Company was not one of the entities selected through an RFO process to competitively procure fiscal intermediaries that was initiated in 2019 and, in November 2022, decided to suspend materially all of its new fee-for-service patient admissions through County Social Service Departments. The Company received a contract award in June 2023 and resumed new fee-for-service patient admissions. However, the New York fiscal year 2025 budget will replace the CDPAP fiscal intermediaries with a single statewide fiscal intermediary with a stated deadline of April 1, 2025. All service providers seeking to offer services under CDPAP will be required to contract with the statewide fiscal intermediary or its contractors in order to offer services. The Company does not believe it is likely to be selected as the single statewide fiscal intermediary, and it is difficult to predict the details of the implementation of these modifications and their final timeline and, thus, their impact on the Company’s business and operations. As a result of the changes and uncertainty in the state, the Company determined that its New York personal care operations no longer fit its growth strategy and reached an agreement to divest these operations. See Note 4 to the Notes to Unaudited Condensed Consolidated Financial Statements, </w:t>
      </w:r>
      <w:r>
        <w:rPr>
          <w:rFonts w:ascii="Times New Roman" w:cs="Times New Roman" w:eastAsia="Times New Roman" w:hAnsi="Times New Roman"/>
          <w:sz w:val="18"/>
          <w:szCs w:val="18"/>
          <w:i w:val="1"/>
          <w:iCs w:val="1"/>
          <w:color w:val="auto"/>
        </w:rPr>
        <w:t>Acquisition and Divestiture</w:t>
      </w:r>
      <w:r>
        <w:rPr>
          <w:rFonts w:ascii="Times New Roman" w:cs="Times New Roman" w:eastAsia="Times New Roman" w:hAnsi="Times New Roman"/>
          <w:sz w:val="18"/>
          <w:szCs w:val="18"/>
          <w:color w:val="auto"/>
        </w:rPr>
        <w:t>, for additional details regarding our divestiture.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-1659255</wp:posOffset>
            </wp:positionV>
            <wp:extent cx="149161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39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5" w:right="2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Hospice Segment</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1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1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gridSpan w:val="2"/>
          </w:tcPr>
          <w:p>
            <w:pPr>
              <w:jc w:val="center"/>
              <w:ind w:right="40"/>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1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5"/>
            <w:vMerge w:val="restart"/>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4"/>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4"/>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4"/>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2"/>
                <w:szCs w:val="12"/>
                <w:color w:val="auto"/>
              </w:rPr>
            </w:pPr>
          </w:p>
        </w:tc>
        <w:tc>
          <w:tcPr>
            <w:tcW w:w="9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0" w:type="dxa"/>
            <w:vAlign w:val="bottom"/>
          </w:tcPr>
          <w:p>
            <w:pPr>
              <w:spacing w:after="0"/>
              <w:rPr>
                <w:sz w:val="1"/>
                <w:szCs w:val="1"/>
                <w:color w:val="auto"/>
              </w:rPr>
            </w:pPr>
          </w:p>
        </w:tc>
      </w:tr>
      <w:tr>
        <w:trPr>
          <w:trHeight w:val="149"/>
        </w:trPr>
        <w:tc>
          <w:tcPr>
            <w:tcW w:w="2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5"/>
            <w:vMerge w:val="continue"/>
          </w:tcPr>
          <w:p>
            <w:pPr>
              <w:spacing w:after="0"/>
              <w:rPr>
                <w:sz w:val="12"/>
                <w:szCs w:val="12"/>
                <w:color w:val="auto"/>
              </w:rPr>
            </w:pPr>
          </w:p>
        </w:tc>
        <w:tc>
          <w:tcPr>
            <w:tcW w:w="9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0" w:type="dxa"/>
            <w:vAlign w:val="bottom"/>
          </w:tcPr>
          <w:p>
            <w:pPr>
              <w:spacing w:after="0"/>
              <w:rPr>
                <w:sz w:val="1"/>
                <w:szCs w:val="1"/>
                <w:color w:val="auto"/>
              </w:rPr>
            </w:pPr>
          </w:p>
        </w:tc>
      </w:tr>
      <w:tr>
        <w:trPr>
          <w:trHeight w:val="187"/>
        </w:trPr>
        <w:tc>
          <w:tcPr>
            <w:tcW w:w="2260" w:type="dxa"/>
            <w:vAlign w:val="bottom"/>
          </w:tcPr>
          <w:p>
            <w:pPr>
              <w:spacing w:after="0"/>
              <w:rPr>
                <w:sz w:val="16"/>
                <w:szCs w:val="16"/>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Medicare</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51,122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91.2 %$</w:t>
            </w: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45,566</w:t>
            </w:r>
          </w:p>
        </w:tc>
        <w:tc>
          <w:tcPr>
            <w:tcW w:w="40" w:type="dxa"/>
            <w:vAlign w:val="bottom"/>
          </w:tcPr>
          <w:p>
            <w:pPr>
              <w:spacing w:after="0"/>
              <w:rPr>
                <w:sz w:val="19"/>
                <w:szCs w:val="19"/>
                <w:color w:val="auto"/>
              </w:rPr>
            </w:pPr>
          </w:p>
        </w:tc>
        <w:tc>
          <w:tcPr>
            <w:tcW w:w="10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90.7 %$</w:t>
            </w: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101,774</w:t>
            </w:r>
          </w:p>
        </w:tc>
        <w:tc>
          <w:tcPr>
            <w:tcW w:w="60" w:type="dxa"/>
            <w:vAlign w:val="bottom"/>
          </w:tcPr>
          <w:p>
            <w:pPr>
              <w:spacing w:after="0"/>
              <w:rPr>
                <w:sz w:val="19"/>
                <w:szCs w:val="19"/>
                <w:color w:val="auto"/>
              </w:rPr>
            </w:pPr>
          </w:p>
        </w:tc>
        <w:tc>
          <w:tcPr>
            <w:tcW w:w="10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91.0 %$</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90,122</w:t>
            </w:r>
          </w:p>
        </w:tc>
        <w:tc>
          <w:tcPr>
            <w:tcW w:w="60" w:type="dxa"/>
            <w:vAlign w:val="bottom"/>
          </w:tcPr>
          <w:p>
            <w:pPr>
              <w:spacing w:after="0"/>
              <w:rPr>
                <w:sz w:val="19"/>
                <w:szCs w:val="19"/>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90.8 %</w:t>
            </w:r>
          </w:p>
        </w:tc>
        <w:tc>
          <w:tcPr>
            <w:tcW w:w="0" w:type="dxa"/>
            <w:vAlign w:val="bottom"/>
          </w:tcPr>
          <w:p>
            <w:pPr>
              <w:spacing w:after="0"/>
              <w:rPr>
                <w:sz w:val="1"/>
                <w:szCs w:val="1"/>
                <w:color w:val="auto"/>
              </w:rPr>
            </w:pPr>
          </w:p>
        </w:tc>
      </w:tr>
      <w:tr>
        <w:trPr>
          <w:trHeight w:val="245"/>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insurance</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2,844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2,726</w:t>
            </w:r>
          </w:p>
        </w:tc>
        <w:tc>
          <w:tcPr>
            <w:tcW w:w="40" w:type="dxa"/>
            <w:vAlign w:val="bottom"/>
          </w:tcPr>
          <w:p>
            <w:pPr>
              <w:spacing w:after="0"/>
              <w:rPr>
                <w:sz w:val="21"/>
                <w:szCs w:val="21"/>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5,978</w:t>
            </w:r>
          </w:p>
        </w:tc>
        <w:tc>
          <w:tcPr>
            <w:tcW w:w="60" w:type="dxa"/>
            <w:vAlign w:val="bottom"/>
          </w:tcPr>
          <w:p>
            <w:pPr>
              <w:spacing w:after="0"/>
              <w:rPr>
                <w:sz w:val="21"/>
                <w:szCs w:val="21"/>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5,273</w:t>
            </w:r>
          </w:p>
        </w:tc>
        <w:tc>
          <w:tcPr>
            <w:tcW w:w="6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Managed care organizations</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1,880</w:t>
            </w: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1,567</w:t>
            </w:r>
          </w:p>
        </w:tc>
        <w:tc>
          <w:tcPr>
            <w:tcW w:w="40" w:type="dxa"/>
            <w:vAlign w:val="bottom"/>
            <w:shd w:val="clear" w:color="auto" w:fill="CFF0FC"/>
          </w:tcPr>
          <w:p>
            <w:pPr>
              <w:spacing w:after="0"/>
              <w:rPr>
                <w:sz w:val="21"/>
                <w:szCs w:val="21"/>
                <w:color w:val="auto"/>
              </w:rPr>
            </w:pPr>
          </w:p>
        </w:tc>
        <w:tc>
          <w:tcPr>
            <w:tcW w:w="8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3,697</w:t>
            </w:r>
          </w:p>
        </w:tc>
        <w:tc>
          <w:tcPr>
            <w:tcW w:w="60" w:type="dxa"/>
            <w:vAlign w:val="bottom"/>
            <w:shd w:val="clear" w:color="auto" w:fill="CFF0FC"/>
          </w:tcPr>
          <w:p>
            <w:pPr>
              <w:spacing w:after="0"/>
              <w:rPr>
                <w:sz w:val="21"/>
                <w:szCs w:val="21"/>
                <w:color w:val="auto"/>
              </w:rPr>
            </w:pPr>
          </w:p>
        </w:tc>
        <w:tc>
          <w:tcPr>
            <w:tcW w:w="8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6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351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444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2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Total hospice segment net</w:t>
            </w:r>
          </w:p>
        </w:tc>
        <w:tc>
          <w:tcPr>
            <w:tcW w:w="280" w:type="dxa"/>
            <w:vAlign w:val="bottom"/>
            <w:vMerge w:val="restart"/>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7"/>
                <w:szCs w:val="17"/>
                <w:color w:val="auto"/>
              </w:rPr>
            </w:pPr>
          </w:p>
        </w:tc>
        <w:tc>
          <w:tcPr>
            <w:tcW w:w="9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56,030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gridSpan w:val="5"/>
            <w:vMerge w:val="restart"/>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50,210</w:t>
            </w:r>
          </w:p>
        </w:tc>
        <w:tc>
          <w:tcPr>
            <w:tcW w:w="40" w:type="dxa"/>
            <w:vAlign w:val="bottom"/>
          </w:tcPr>
          <w:p>
            <w:pPr>
              <w:spacing w:after="0"/>
              <w:rPr>
                <w:sz w:val="17"/>
                <w:szCs w:val="17"/>
                <w:color w:val="auto"/>
              </w:rPr>
            </w:pPr>
          </w:p>
        </w:tc>
        <w:tc>
          <w:tcPr>
            <w:tcW w:w="1080" w:type="dxa"/>
            <w:vAlign w:val="bottom"/>
            <w:gridSpan w:val="5"/>
            <w:vMerge w:val="restart"/>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111,893</w:t>
            </w:r>
          </w:p>
        </w:tc>
        <w:tc>
          <w:tcPr>
            <w:tcW w:w="60" w:type="dxa"/>
            <w:vAlign w:val="bottom"/>
          </w:tcPr>
          <w:p>
            <w:pPr>
              <w:spacing w:after="0"/>
              <w:rPr>
                <w:sz w:val="17"/>
                <w:szCs w:val="17"/>
                <w:color w:val="auto"/>
              </w:rPr>
            </w:pPr>
          </w:p>
        </w:tc>
        <w:tc>
          <w:tcPr>
            <w:tcW w:w="1060" w:type="dxa"/>
            <w:vAlign w:val="bottom"/>
            <w:gridSpan w:val="6"/>
            <w:vMerge w:val="restart"/>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99,293</w:t>
            </w:r>
          </w:p>
        </w:tc>
        <w:tc>
          <w:tcPr>
            <w:tcW w:w="60" w:type="dxa"/>
            <w:vAlign w:val="bottom"/>
          </w:tcPr>
          <w:p>
            <w:pPr>
              <w:spacing w:after="0"/>
              <w:rPr>
                <w:sz w:val="17"/>
                <w:szCs w:val="17"/>
                <w:color w:val="auto"/>
              </w:rPr>
            </w:pPr>
          </w:p>
        </w:tc>
        <w:tc>
          <w:tcPr>
            <w:tcW w:w="10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7"/>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revenues</w:t>
            </w:r>
          </w:p>
        </w:tc>
        <w:tc>
          <w:tcPr>
            <w:tcW w:w="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5"/>
            <w:vMerge w:val="continue"/>
          </w:tcPr>
          <w:p>
            <w:pPr>
              <w:spacing w:after="0"/>
              <w:rPr>
                <w:sz w:val="18"/>
                <w:szCs w:val="18"/>
                <w:color w:val="auto"/>
              </w:rPr>
            </w:pPr>
          </w:p>
        </w:tc>
        <w:tc>
          <w:tcPr>
            <w:tcW w:w="106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5"/>
            <w:vMerge w:val="continue"/>
          </w:tcPr>
          <w:p>
            <w:pPr>
              <w:spacing w:after="0"/>
              <w:rPr>
                <w:sz w:val="18"/>
                <w:szCs w:val="18"/>
                <w:color w:val="auto"/>
              </w:rPr>
            </w:pPr>
          </w:p>
        </w:tc>
        <w:tc>
          <w:tcPr>
            <w:tcW w:w="102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6"/>
            <w:vMerge w:val="continue"/>
          </w:tcPr>
          <w:p>
            <w:pPr>
              <w:spacing w:after="0"/>
              <w:rPr>
                <w:sz w:val="18"/>
                <w:szCs w:val="18"/>
                <w:color w:val="auto"/>
              </w:rPr>
            </w:pPr>
          </w:p>
        </w:tc>
        <w:tc>
          <w:tcPr>
            <w:tcW w:w="102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260" w:type="dxa"/>
            <w:vAlign w:val="bottom"/>
            <w:vMerge w:val="continue"/>
          </w:tcPr>
          <w:p>
            <w:pPr>
              <w:spacing w:after="0"/>
              <w:rPr>
                <w:sz w:val="19"/>
                <w:szCs w:val="19"/>
                <w:color w:val="auto"/>
              </w:rPr>
            </w:pP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20,633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36.8 %$</w:t>
            </w: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19,332</w:t>
            </w:r>
          </w:p>
        </w:tc>
        <w:tc>
          <w:tcPr>
            <w:tcW w:w="40" w:type="dxa"/>
            <w:vAlign w:val="bottom"/>
          </w:tcPr>
          <w:p>
            <w:pPr>
              <w:spacing w:after="0"/>
              <w:rPr>
                <w:sz w:val="19"/>
                <w:szCs w:val="19"/>
                <w:color w:val="auto"/>
              </w:rPr>
            </w:pPr>
          </w:p>
        </w:tc>
        <w:tc>
          <w:tcPr>
            <w:tcW w:w="10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38.5 %$</w:t>
            </w: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40,869</w:t>
            </w:r>
          </w:p>
        </w:tc>
        <w:tc>
          <w:tcPr>
            <w:tcW w:w="60" w:type="dxa"/>
            <w:vAlign w:val="bottom"/>
          </w:tcPr>
          <w:p>
            <w:pPr>
              <w:spacing w:after="0"/>
              <w:rPr>
                <w:sz w:val="19"/>
                <w:szCs w:val="19"/>
                <w:color w:val="auto"/>
              </w:rPr>
            </w:pPr>
          </w:p>
        </w:tc>
        <w:tc>
          <w:tcPr>
            <w:tcW w:w="10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36.5 %$</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37,783</w:t>
            </w:r>
          </w:p>
        </w:tc>
        <w:tc>
          <w:tcPr>
            <w:tcW w:w="60" w:type="dxa"/>
            <w:vAlign w:val="bottom"/>
          </w:tcPr>
          <w:p>
            <w:pPr>
              <w:spacing w:after="0"/>
              <w:rPr>
                <w:sz w:val="19"/>
                <w:szCs w:val="19"/>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38.1 %</w:t>
            </w:r>
          </w:p>
        </w:tc>
        <w:tc>
          <w:tcPr>
            <w:tcW w:w="0" w:type="dxa"/>
            <w:vAlign w:val="bottom"/>
          </w:tcPr>
          <w:p>
            <w:pPr>
              <w:spacing w:after="0"/>
              <w:rPr>
                <w:sz w:val="1"/>
                <w:szCs w:val="1"/>
                <w:color w:val="auto"/>
              </w:rPr>
            </w:pPr>
          </w:p>
        </w:tc>
      </w:tr>
      <w:tr>
        <w:trPr>
          <w:trHeight w:val="247"/>
        </w:trPr>
        <w:tc>
          <w:tcPr>
            <w:tcW w:w="2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13,003</w:t>
            </w:r>
          </w:p>
        </w:tc>
        <w:tc>
          <w:tcPr>
            <w:tcW w:w="1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11,606</w:t>
            </w:r>
          </w:p>
        </w:tc>
        <w:tc>
          <w:tcPr>
            <w:tcW w:w="40" w:type="dxa"/>
            <w:vAlign w:val="bottom"/>
            <w:shd w:val="clear" w:color="auto" w:fill="CFF0FC"/>
          </w:tcPr>
          <w:p>
            <w:pPr>
              <w:spacing w:after="0"/>
              <w:rPr>
                <w:sz w:val="21"/>
                <w:szCs w:val="21"/>
                <w:color w:val="auto"/>
              </w:rPr>
            </w:pPr>
          </w:p>
        </w:tc>
        <w:tc>
          <w:tcPr>
            <w:tcW w:w="8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25,255</w:t>
            </w:r>
          </w:p>
        </w:tc>
        <w:tc>
          <w:tcPr>
            <w:tcW w:w="60" w:type="dxa"/>
            <w:vAlign w:val="bottom"/>
            <w:shd w:val="clear" w:color="auto" w:fill="CFF0FC"/>
          </w:tcPr>
          <w:p>
            <w:pPr>
              <w:spacing w:after="0"/>
              <w:rPr>
                <w:sz w:val="21"/>
                <w:szCs w:val="21"/>
                <w:color w:val="auto"/>
              </w:rPr>
            </w:pPr>
          </w:p>
        </w:tc>
        <w:tc>
          <w:tcPr>
            <w:tcW w:w="8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23,087</w:t>
            </w:r>
          </w:p>
        </w:tc>
        <w:tc>
          <w:tcPr>
            <w:tcW w:w="6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Mexico</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6,895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6,540</w:t>
            </w:r>
          </w:p>
        </w:tc>
        <w:tc>
          <w:tcPr>
            <w:tcW w:w="40" w:type="dxa"/>
            <w:vAlign w:val="bottom"/>
          </w:tcPr>
          <w:p>
            <w:pPr>
              <w:spacing w:after="0"/>
              <w:rPr>
                <w:sz w:val="20"/>
                <w:szCs w:val="20"/>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14,410</w:t>
            </w:r>
          </w:p>
        </w:tc>
        <w:tc>
          <w:tcPr>
            <w:tcW w:w="60" w:type="dxa"/>
            <w:vAlign w:val="bottom"/>
          </w:tcPr>
          <w:p>
            <w:pPr>
              <w:spacing w:after="0"/>
              <w:rPr>
                <w:sz w:val="20"/>
                <w:szCs w:val="20"/>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13,026</w:t>
            </w:r>
          </w:p>
        </w:tc>
        <w:tc>
          <w:tcPr>
            <w:tcW w:w="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 other states</w:t>
            </w:r>
          </w:p>
        </w:tc>
        <w:tc>
          <w:tcPr>
            <w:tcW w:w="28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15,499</w:t>
            </w:r>
          </w:p>
        </w:tc>
        <w:tc>
          <w:tcPr>
            <w:tcW w:w="1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27.7</w:t>
            </w:r>
          </w:p>
        </w:tc>
        <w:tc>
          <w:tcPr>
            <w:tcW w:w="8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12,732</w:t>
            </w:r>
          </w:p>
        </w:tc>
        <w:tc>
          <w:tcPr>
            <w:tcW w:w="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31,359</w:t>
            </w:r>
          </w:p>
        </w:tc>
        <w:tc>
          <w:tcPr>
            <w:tcW w:w="6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25,397</w:t>
            </w:r>
          </w:p>
        </w:tc>
        <w:tc>
          <w:tcPr>
            <w:tcW w:w="6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hospice segment net</w:t>
            </w:r>
          </w:p>
        </w:tc>
        <w:tc>
          <w:tcPr>
            <w:tcW w:w="280" w:type="dxa"/>
            <w:vAlign w:val="bottom"/>
            <w:vMerge w:val="restart"/>
          </w:tcPr>
          <w:p>
            <w:pPr>
              <w:jc w:val="right"/>
              <w:ind w:right="9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7"/>
                <w:szCs w:val="17"/>
                <w:color w:val="auto"/>
              </w:rPr>
            </w:pPr>
          </w:p>
        </w:tc>
        <w:tc>
          <w:tcPr>
            <w:tcW w:w="940" w:type="dxa"/>
            <w:vAlign w:val="bottom"/>
            <w:gridSpan w:val="2"/>
            <w:vMerge w:val="restart"/>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56,030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gridSpan w:val="5"/>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100.0 %</w:t>
            </w:r>
          </w:p>
        </w:tc>
        <w:tc>
          <w:tcPr>
            <w:tcW w:w="1060" w:type="dxa"/>
            <w:vAlign w:val="bottom"/>
            <w:gridSpan w:val="3"/>
            <w:vMerge w:val="restart"/>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50,210</w:t>
            </w:r>
          </w:p>
        </w:tc>
        <w:tc>
          <w:tcPr>
            <w:tcW w:w="40" w:type="dxa"/>
            <w:vAlign w:val="bottom"/>
          </w:tcPr>
          <w:p>
            <w:pPr>
              <w:spacing w:after="0"/>
              <w:rPr>
                <w:sz w:val="17"/>
                <w:szCs w:val="17"/>
                <w:color w:val="auto"/>
              </w:rPr>
            </w:pPr>
          </w:p>
        </w:tc>
        <w:tc>
          <w:tcPr>
            <w:tcW w:w="1080" w:type="dxa"/>
            <w:vAlign w:val="bottom"/>
            <w:gridSpan w:val="5"/>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100.0 %$</w:t>
            </w:r>
          </w:p>
        </w:tc>
        <w:tc>
          <w:tcPr>
            <w:tcW w:w="1020" w:type="dxa"/>
            <w:vAlign w:val="bottom"/>
            <w:gridSpan w:val="3"/>
            <w:vMerge w:val="restart"/>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111,893</w:t>
            </w:r>
          </w:p>
        </w:tc>
        <w:tc>
          <w:tcPr>
            <w:tcW w:w="60" w:type="dxa"/>
            <w:vAlign w:val="bottom"/>
          </w:tcPr>
          <w:p>
            <w:pPr>
              <w:spacing w:after="0"/>
              <w:rPr>
                <w:sz w:val="17"/>
                <w:szCs w:val="17"/>
                <w:color w:val="auto"/>
              </w:rPr>
            </w:pPr>
          </w:p>
        </w:tc>
        <w:tc>
          <w:tcPr>
            <w:tcW w:w="1060" w:type="dxa"/>
            <w:vAlign w:val="bottom"/>
            <w:gridSpan w:val="6"/>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100.0 %</w:t>
            </w:r>
          </w:p>
        </w:tc>
        <w:tc>
          <w:tcPr>
            <w:tcW w:w="1020" w:type="dxa"/>
            <w:vAlign w:val="bottom"/>
            <w:gridSpan w:val="3"/>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99,293</w:t>
            </w:r>
          </w:p>
        </w:tc>
        <w:tc>
          <w:tcPr>
            <w:tcW w:w="60" w:type="dxa"/>
            <w:vAlign w:val="bottom"/>
          </w:tcPr>
          <w:p>
            <w:pPr>
              <w:spacing w:after="0"/>
              <w:rPr>
                <w:sz w:val="17"/>
                <w:szCs w:val="17"/>
                <w:color w:val="auto"/>
              </w:rPr>
            </w:pPr>
          </w:p>
        </w:tc>
        <w:tc>
          <w:tcPr>
            <w:tcW w:w="1020" w:type="dxa"/>
            <w:vAlign w:val="bottom"/>
            <w:gridSpan w:val="4"/>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0"/>
        </w:trPr>
        <w:tc>
          <w:tcPr>
            <w:tcW w:w="2260" w:type="dxa"/>
            <w:vAlign w:val="bottom"/>
          </w:tcPr>
          <w:p>
            <w:pPr>
              <w:ind w:left="20"/>
              <w:spacing w:after="0" w:line="1" w:lineRule="exact"/>
              <w:rPr>
                <w:sz w:val="20"/>
                <w:szCs w:val="20"/>
                <w:color w:val="auto"/>
              </w:rPr>
            </w:pPr>
            <w:r>
              <w:rPr>
                <w:rFonts w:ascii="Times New Roman" w:cs="Times New Roman" w:eastAsia="Times New Roman" w:hAnsi="Times New Roman"/>
                <w:sz w:val="1"/>
                <w:szCs w:val="1"/>
                <w:color w:val="auto"/>
              </w:rPr>
              <w:t>service revenues</w:t>
            </w:r>
          </w:p>
        </w:tc>
        <w:tc>
          <w:tcPr>
            <w:tcW w:w="28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5"/>
            <w:vMerge w:val="continue"/>
          </w:tcPr>
          <w:p>
            <w:pPr>
              <w:spacing w:after="0" w:line="20" w:lineRule="exact"/>
              <w:rPr>
                <w:sz w:val="1"/>
                <w:szCs w:val="1"/>
                <w:color w:val="auto"/>
              </w:rPr>
            </w:pPr>
          </w:p>
        </w:tc>
        <w:tc>
          <w:tcPr>
            <w:tcW w:w="1060" w:type="dxa"/>
            <w:vAlign w:val="bottom"/>
            <w:gridSpan w:val="3"/>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5"/>
            <w:vMerge w:val="continue"/>
          </w:tcPr>
          <w:p>
            <w:pPr>
              <w:spacing w:after="0" w:line="20" w:lineRule="exact"/>
              <w:rPr>
                <w:sz w:val="1"/>
                <w:szCs w:val="1"/>
                <w:color w:val="auto"/>
              </w:rPr>
            </w:pPr>
          </w:p>
        </w:tc>
        <w:tc>
          <w:tcPr>
            <w:tcW w:w="1020" w:type="dxa"/>
            <w:vAlign w:val="bottom"/>
            <w:gridSpan w:val="3"/>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6"/>
            <w:vMerge w:val="continue"/>
          </w:tcPr>
          <w:p>
            <w:pPr>
              <w:spacing w:after="0" w:line="20" w:lineRule="exact"/>
              <w:rPr>
                <w:sz w:val="1"/>
                <w:szCs w:val="1"/>
                <w:color w:val="auto"/>
              </w:rPr>
            </w:pPr>
          </w:p>
        </w:tc>
        <w:tc>
          <w:tcPr>
            <w:tcW w:w="1020" w:type="dxa"/>
            <w:vAlign w:val="bottom"/>
            <w:gridSpan w:val="3"/>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gridSpan w:val="2"/>
          </w:tcPr>
          <w:p>
            <w:pPr>
              <w:spacing w:after="0"/>
              <w:rPr>
                <w:sz w:val="18"/>
                <w:szCs w:val="18"/>
                <w:color w:val="auto"/>
              </w:rPr>
            </w:pPr>
          </w:p>
        </w:tc>
        <w:tc>
          <w:tcPr>
            <w:tcW w:w="100" w:type="dxa"/>
            <w:vAlign w:val="bottom"/>
            <w:tcBorders>
              <w:bottom w:val="single" w:sz="8" w:color="auto"/>
            </w:tcBorders>
          </w:tcPr>
          <w:p>
            <w:pPr>
              <w:spacing w:after="0" w:line="215" w:lineRule="exact"/>
              <w:rPr>
                <w:sz w:val="20"/>
                <w:szCs w:val="20"/>
                <w:color w:val="auto"/>
              </w:rPr>
            </w:pPr>
            <w:r>
              <w:rPr>
                <w:rFonts w:ascii="Calibri" w:cs="Calibri" w:eastAsia="Calibri" w:hAnsi="Calibri"/>
                <w:sz w:val="18"/>
                <w:szCs w:val="18"/>
                <w:color w:val="auto"/>
                <w:w w:val="87"/>
              </w:rPr>
              <w:t>$</w:t>
            </w: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gridSpan w:val="2"/>
          </w:tcPr>
          <w:p>
            <w:pPr>
              <w:spacing w:after="0"/>
              <w:rPr>
                <w:sz w:val="18"/>
                <w:szCs w:val="18"/>
                <w:color w:val="auto"/>
              </w:rPr>
            </w:pPr>
          </w:p>
        </w:tc>
        <w:tc>
          <w:tcPr>
            <w:tcW w:w="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Home Health Segment</w:t>
            </w:r>
          </w:p>
        </w:tc>
        <w:tc>
          <w:tcPr>
            <w:tcW w:w="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1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1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center"/>
              <w:ind w:right="63"/>
              <w:spacing w:after="0" w:line="131" w:lineRule="exact"/>
              <w:rPr>
                <w:sz w:val="20"/>
                <w:szCs w:val="20"/>
                <w:color w:val="auto"/>
              </w:rPr>
            </w:pPr>
            <w:r>
              <w:rPr>
                <w:rFonts w:ascii="Times New Roman" w:cs="Times New Roman" w:eastAsia="Times New Roman" w:hAnsi="Times New Roman"/>
                <w:sz w:val="14"/>
                <w:szCs w:val="14"/>
                <w:b w:val="1"/>
                <w:bCs w:val="1"/>
                <w:color w:val="auto"/>
                <w:w w:val="95"/>
              </w:rPr>
              <w:t>% of</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jc w:val="center"/>
              <w:ind w:right="64"/>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center"/>
              <w:ind w:right="63"/>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1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5"/>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4"/>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4"/>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4"/>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2"/>
                <w:szCs w:val="12"/>
                <w:color w:val="auto"/>
              </w:rPr>
            </w:pPr>
          </w:p>
        </w:tc>
        <w:tc>
          <w:tcPr>
            <w:tcW w:w="96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0" w:type="dxa"/>
            <w:vAlign w:val="bottom"/>
          </w:tcPr>
          <w:p>
            <w:pPr>
              <w:spacing w:after="0"/>
              <w:rPr>
                <w:sz w:val="1"/>
                <w:szCs w:val="1"/>
                <w:color w:val="auto"/>
              </w:rPr>
            </w:pPr>
          </w:p>
        </w:tc>
      </w:tr>
      <w:tr>
        <w:trPr>
          <w:trHeight w:val="148"/>
        </w:trPr>
        <w:tc>
          <w:tcPr>
            <w:tcW w:w="2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5"/>
            <w:vMerge w:val="continue"/>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8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Net Service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8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1020" w:type="dxa"/>
            <w:vAlign w:val="bottom"/>
            <w:gridSpan w:val="4"/>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Net Service</w:t>
            </w:r>
          </w:p>
        </w:tc>
        <w:tc>
          <w:tcPr>
            <w:tcW w:w="0" w:type="dxa"/>
            <w:vAlign w:val="bottom"/>
          </w:tcPr>
          <w:p>
            <w:pPr>
              <w:spacing w:after="0"/>
              <w:rPr>
                <w:sz w:val="1"/>
                <w:szCs w:val="1"/>
                <w:color w:val="auto"/>
              </w:rPr>
            </w:pPr>
          </w:p>
        </w:tc>
      </w:tr>
      <w:tr>
        <w:trPr>
          <w:trHeight w:val="187"/>
        </w:trPr>
        <w:tc>
          <w:tcPr>
            <w:tcW w:w="2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gridSpan w:val="2"/>
          </w:tcPr>
          <w:p>
            <w:pPr>
              <w:spacing w:after="0"/>
              <w:rPr>
                <w:sz w:val="16"/>
                <w:szCs w:val="16"/>
                <w:color w:val="auto"/>
              </w:rPr>
            </w:pPr>
          </w:p>
        </w:tc>
        <w:tc>
          <w:tcPr>
            <w:tcW w:w="60" w:type="dxa"/>
            <w:vAlign w:val="bottom"/>
            <w:tcBorders>
              <w:bottom w:val="single" w:sz="8" w:color="auto"/>
            </w:tcBorders>
            <w:gridSpan w:val="2"/>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80" w:type="dxa"/>
            <w:vAlign w:val="bottom"/>
            <w:tcBorders>
              <w:bottom w:val="single" w:sz="8" w:color="auto"/>
            </w:tcBorders>
            <w:gridSpan w:val="2"/>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80" w:type="dxa"/>
            <w:vAlign w:val="bottom"/>
            <w:tcBorders>
              <w:bottom w:val="single" w:sz="8" w:color="auto"/>
            </w:tcBorders>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80" w:type="dxa"/>
            <w:vAlign w:val="bottom"/>
            <w:tcBorders>
              <w:bottom w:val="single" w:sz="8" w:color="auto"/>
            </w:tcBorders>
            <w:gridSpan w:val="2"/>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Medicare</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69.3 %$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8,716</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76.1 %$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69.2 %$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75.1 %</w:t>
            </w:r>
          </w:p>
        </w:tc>
        <w:tc>
          <w:tcPr>
            <w:tcW w:w="0" w:type="dxa"/>
            <w:vAlign w:val="bottom"/>
          </w:tcPr>
          <w:p>
            <w:pPr>
              <w:spacing w:after="0"/>
              <w:rPr>
                <w:sz w:val="1"/>
                <w:szCs w:val="1"/>
                <w:color w:val="auto"/>
              </w:rPr>
            </w:pPr>
          </w:p>
        </w:tc>
      </w:tr>
      <w:tr>
        <w:trPr>
          <w:trHeight w:val="245"/>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Managed care organizations</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1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2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w w:val="99"/>
              </w:rPr>
              <w:t>Total home health segment net</w:t>
            </w:r>
          </w:p>
        </w:tc>
        <w:tc>
          <w:tcPr>
            <w:tcW w:w="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18,075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gridSpan w:val="5"/>
            <w:vMerge w:val="restart"/>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11,456</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gridSpan w:val="5"/>
            <w:vMerge w:val="restart"/>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34,955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gridSpan w:val="6"/>
            <w:vMerge w:val="restart"/>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23,941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7"/>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revenues</w:t>
            </w:r>
          </w:p>
        </w:tc>
        <w:tc>
          <w:tcPr>
            <w:tcW w:w="40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5"/>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5"/>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6"/>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New Mexico</w:t>
            </w: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260" w:type="dxa"/>
            <w:vAlign w:val="bottom"/>
            <w:vMerge w:val="continue"/>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45.9 %$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70.6 %$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46.0 %$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71.9 %</w:t>
            </w:r>
          </w:p>
        </w:tc>
        <w:tc>
          <w:tcPr>
            <w:tcW w:w="0" w:type="dxa"/>
            <w:vAlign w:val="bottom"/>
          </w:tcPr>
          <w:p>
            <w:pPr>
              <w:spacing w:after="0"/>
              <w:rPr>
                <w:sz w:val="1"/>
                <w:szCs w:val="1"/>
                <w:color w:val="auto"/>
              </w:rPr>
            </w:pPr>
          </w:p>
        </w:tc>
      </w:tr>
      <w:tr>
        <w:trPr>
          <w:trHeight w:val="238"/>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Illinois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5,984</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Tennessee</w:t>
            </w:r>
          </w:p>
        </w:tc>
        <w:tc>
          <w:tcPr>
            <w:tcW w:w="2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6,733</w:t>
            </w:r>
          </w:p>
        </w:tc>
        <w:tc>
          <w:tcPr>
            <w:tcW w:w="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auto"/>
            </w:tcBorders>
            <w:shd w:val="clear" w:color="auto" w:fill="CFF0FC"/>
          </w:tcPr>
          <w:p>
            <w:pPr>
              <w:spacing w:after="0"/>
              <w:rPr>
                <w:sz w:val="22"/>
                <w:szCs w:val="22"/>
                <w:color w:val="auto"/>
              </w:rPr>
            </w:pPr>
          </w:p>
        </w:tc>
        <w:tc>
          <w:tcPr>
            <w:tcW w:w="4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4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40" w:type="dxa"/>
            <w:vAlign w:val="bottom"/>
            <w:tcBorders>
              <w:bottom w:val="single" w:sz="8" w:color="auto"/>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auto"/>
            </w:tcBorders>
            <w:gridSpan w:val="2"/>
            <w:shd w:val="clear" w:color="auto" w:fill="CFF0FC"/>
          </w:tcPr>
          <w:p>
            <w:pPr>
              <w:spacing w:after="0"/>
              <w:rPr>
                <w:sz w:val="22"/>
                <w:szCs w:val="22"/>
                <w:color w:val="auto"/>
              </w:rPr>
            </w:pPr>
          </w:p>
        </w:tc>
        <w:tc>
          <w:tcPr>
            <w:tcW w:w="6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12,894</w:t>
            </w:r>
          </w:p>
        </w:tc>
        <w:tc>
          <w:tcPr>
            <w:tcW w:w="12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auto"/>
            </w:tcBorders>
            <w:shd w:val="clear" w:color="auto" w:fill="CFF0FC"/>
          </w:tcPr>
          <w:p>
            <w:pPr>
              <w:spacing w:after="0"/>
              <w:rPr>
                <w:sz w:val="22"/>
                <w:szCs w:val="22"/>
                <w:color w:val="auto"/>
              </w:rPr>
            </w:pPr>
          </w:p>
        </w:tc>
        <w:tc>
          <w:tcPr>
            <w:tcW w:w="60" w:type="dxa"/>
            <w:vAlign w:val="bottom"/>
            <w:tcBorders>
              <w:bottom w:val="single" w:sz="8" w:color="auto"/>
            </w:tcBorders>
            <w:shd w:val="clear" w:color="auto" w:fill="CFF0FC"/>
          </w:tcPr>
          <w:p>
            <w:pPr>
              <w:spacing w:after="0"/>
              <w:rPr>
                <w:sz w:val="22"/>
                <w:szCs w:val="22"/>
                <w:color w:val="auto"/>
              </w:rPr>
            </w:pPr>
          </w:p>
        </w:tc>
        <w:tc>
          <w:tcPr>
            <w:tcW w:w="8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auto"/>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auto"/>
            </w:tcBorders>
            <w:gridSpan w:val="2"/>
            <w:shd w:val="clear" w:color="auto" w:fill="CFF0FC"/>
          </w:tcPr>
          <w:p>
            <w:pPr>
              <w:spacing w:after="0"/>
              <w:rPr>
                <w:sz w:val="22"/>
                <w:szCs w:val="22"/>
                <w:color w:val="auto"/>
              </w:rPr>
            </w:pPr>
          </w:p>
        </w:tc>
        <w:tc>
          <w:tcPr>
            <w:tcW w:w="60" w:type="dxa"/>
            <w:vAlign w:val="bottom"/>
            <w:tcBorders>
              <w:bottom w:val="single" w:sz="8" w:color="auto"/>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2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w w:val="99"/>
              </w:rPr>
              <w:t>Total home health segment net</w:t>
            </w:r>
          </w:p>
        </w:tc>
        <w:tc>
          <w:tcPr>
            <w:tcW w:w="40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18,075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20" w:type="dxa"/>
            <w:vAlign w:val="bottom"/>
            <w:gridSpan w:val="5"/>
            <w:vMerge w:val="restart"/>
          </w:tcPr>
          <w:p>
            <w:pPr>
              <w:jc w:val="right"/>
              <w:ind w:right="19"/>
              <w:spacing w:after="0" w:line="196" w:lineRule="exact"/>
              <w:rPr>
                <w:sz w:val="20"/>
                <w:szCs w:val="20"/>
                <w:color w:val="auto"/>
              </w:rPr>
            </w:pPr>
            <w:r>
              <w:rPr>
                <w:rFonts w:ascii="Times New Roman" w:cs="Times New Roman" w:eastAsia="Times New Roman" w:hAnsi="Times New Roman"/>
                <w:sz w:val="18"/>
                <w:szCs w:val="18"/>
                <w:color w:val="auto"/>
              </w:rPr>
              <w:t>100.0 %</w:t>
            </w:r>
          </w:p>
        </w:tc>
        <w:tc>
          <w:tcPr>
            <w:tcW w:w="90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11,456</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gridSpan w:val="5"/>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100.0 %$</w:t>
            </w:r>
          </w:p>
        </w:tc>
        <w:tc>
          <w:tcPr>
            <w:tcW w:w="8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34,955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gridSpan w:val="6"/>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100.0 %</w:t>
            </w:r>
          </w:p>
        </w:tc>
        <w:tc>
          <w:tcPr>
            <w:tcW w:w="90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23,941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gridSpan w:val="4"/>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0"/>
        </w:trPr>
        <w:tc>
          <w:tcPr>
            <w:tcW w:w="2260" w:type="dxa"/>
            <w:vAlign w:val="bottom"/>
          </w:tcPr>
          <w:p>
            <w:pPr>
              <w:ind w:left="20"/>
              <w:spacing w:after="0" w:line="1" w:lineRule="exact"/>
              <w:rPr>
                <w:sz w:val="20"/>
                <w:szCs w:val="20"/>
                <w:color w:val="auto"/>
              </w:rPr>
            </w:pPr>
            <w:r>
              <w:rPr>
                <w:rFonts w:ascii="Times New Roman" w:cs="Times New Roman" w:eastAsia="Times New Roman" w:hAnsi="Times New Roman"/>
                <w:sz w:val="1"/>
                <w:szCs w:val="1"/>
                <w:color w:val="auto"/>
              </w:rPr>
              <w:t>service revenues</w:t>
            </w:r>
          </w:p>
        </w:tc>
        <w:tc>
          <w:tcPr>
            <w:tcW w:w="400" w:type="dxa"/>
            <w:vAlign w:val="bottom"/>
            <w:gridSpan w:val="2"/>
            <w:vMerge w:val="continue"/>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5"/>
            <w:vMerge w:val="continue"/>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5"/>
            <w:vMerge w:val="continue"/>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6"/>
            <w:vMerge w:val="continue"/>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gridSpan w:val="3"/>
          </w:tcPr>
          <w:p>
            <w:pPr>
              <w:jc w:val="right"/>
              <w:spacing w:after="0" w:line="215" w:lineRule="exact"/>
              <w:rPr>
                <w:sz w:val="20"/>
                <w:szCs w:val="20"/>
                <w:color w:val="auto"/>
              </w:rPr>
            </w:pPr>
            <w:r>
              <w:rPr>
                <w:rFonts w:ascii="Calibri" w:cs="Calibri" w:eastAsia="Calibri" w:hAnsi="Calibri"/>
                <w:sz w:val="18"/>
                <w:szCs w:val="18"/>
                <w:color w:val="auto"/>
              </w:rPr>
              <w:t>$</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gridSpan w:val="3"/>
          </w:tcPr>
          <w:p>
            <w:pPr>
              <w:jc w:val="right"/>
              <w:spacing w:after="0" w:line="215" w:lineRule="exact"/>
              <w:rPr>
                <w:sz w:val="20"/>
                <w:szCs w:val="20"/>
                <w:color w:val="auto"/>
              </w:rPr>
            </w:pPr>
            <w:r>
              <w:rPr>
                <w:rFonts w:ascii="Calibri" w:cs="Calibri" w:eastAsia="Calibri" w:hAnsi="Calibri"/>
                <w:sz w:val="18"/>
                <w:szCs w:val="18"/>
                <w:color w:val="auto"/>
              </w:rPr>
              <w:t>$</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-4148455</wp:posOffset>
            </wp:positionV>
            <wp:extent cx="7132320" cy="1543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-3522345</wp:posOffset>
            </wp:positionV>
            <wp:extent cx="7132320" cy="29146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-2613660</wp:posOffset>
            </wp:positionV>
            <wp:extent cx="7683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-2613660</wp:posOffset>
            </wp:positionV>
            <wp:extent cx="7683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-2613660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-2613660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-2613660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-2613660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-2613660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-2613660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-1525270</wp:posOffset>
            </wp:positionV>
            <wp:extent cx="7132320" cy="1543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-762000</wp:posOffset>
            </wp:positionV>
            <wp:extent cx="7132320" cy="1543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-1062355</wp:posOffset>
            </wp:positionV>
            <wp:extent cx="7683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-1062355</wp:posOffset>
            </wp:positionV>
            <wp:extent cx="7747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-1062355</wp:posOffset>
            </wp:positionV>
            <wp:extent cx="7683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-1062355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-1062355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-1062355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-1062355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2276475</wp:posOffset>
            </wp:positionH>
            <wp:positionV relativeFrom="paragraph">
              <wp:posOffset>-299720</wp:posOffset>
            </wp:positionV>
            <wp:extent cx="7683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-299720</wp:posOffset>
            </wp:positionV>
            <wp:extent cx="7747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-299720</wp:posOffset>
            </wp:positionV>
            <wp:extent cx="7683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-299720</wp:posOffset>
            </wp:positionV>
            <wp:extent cx="685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-299720</wp:posOffset>
            </wp:positionV>
            <wp:extent cx="685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-299720</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-299720</wp:posOffset>
            </wp:positionV>
            <wp:extent cx="685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4"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personal care segment derives a significant amount of its net service revenues in Illinois, which represented 38.6% and 40.0% of our net service revenues for the three months ended June 30, 2024 and 2023, respectively, and accounted for 38.5% and 39.5% of our net service revenues for the six months ended June 30, 2024 and 2023, respectively.</w:t>
      </w:r>
    </w:p>
    <w:p>
      <w:pPr>
        <w:spacing w:after="0" w:line="176" w:lineRule="exact"/>
        <w:rPr>
          <w:sz w:val="20"/>
          <w:szCs w:val="20"/>
          <w:color w:val="auto"/>
        </w:rPr>
      </w:pPr>
    </w:p>
    <w:p>
      <w:pPr>
        <w:jc w:val="both"/>
        <w:ind w:right="320" w:firstLine="509"/>
        <w:spacing w:after="0" w:line="289" w:lineRule="auto"/>
        <w:rPr>
          <w:sz w:val="20"/>
          <w:szCs w:val="20"/>
          <w:color w:val="auto"/>
        </w:rPr>
      </w:pPr>
      <w:r>
        <w:rPr>
          <w:rFonts w:ascii="Times New Roman" w:cs="Times New Roman" w:eastAsia="Times New Roman" w:hAnsi="Times New Roman"/>
          <w:sz w:val="17"/>
          <w:szCs w:val="17"/>
          <w:color w:val="auto"/>
        </w:rPr>
        <w:t>A significant amount of our net service revenues are derived from one payor, the Illinois Department on Aging, the largest payor program for our Illinois personal care operations, which accounted for 21.1% and 21.5% of our net service revenues for the three months ended June 30, 2024 and 2023, respectively, and accounted for 20.9% and 21.5% of the Company’s net service revenues for the six months ended June 30, 2024 and 2023, respectively.</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Reimbursement Rates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Illinois</w:t>
      </w:r>
    </w:p>
    <w:p>
      <w:pPr>
        <w:spacing w:after="0" w:line="119"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On November 26, 2019, the City of Chicago voted to approve additional increases in the Chicago minimum wage to $14 per hour beginning July 1, 2020 and to $15 per hour beginning July 1, 2021. In each subsequent year, the City is required to raise the wage based on increases in the Consumer Price Index (“CPI”) subject to a cap and other requirements. On July 1, 2023, the rate was adjusted to $15.80 based on the increase in the CPI.</w:t>
      </w:r>
    </w:p>
    <w:p>
      <w:pPr>
        <w:spacing w:after="0" w:line="176"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The Illinois fiscal year 2023 budget included an increase of hourly rates for in-home care services to $25.66, to be effective January 1, 2023. This increase offsets the $0.40 increase in Chicago minimum wage that occurred on July 1, 2022. In addition, CMS approved a waiver amendment proposal submitted by the Illinois Department of Healthcare and Family Services with regard to its Persons who are Elderly program, further increasing in-home care rates to $26.92, effective March 1, 2023.</w:t>
      </w:r>
    </w:p>
    <w:p>
      <w:pPr>
        <w:sectPr>
          <w:pgSz w:w="11900" w:h="16838" w:orient="portrait"/>
          <w:cols w:equalWidth="0" w:num="1">
            <w:col w:w="11300"/>
          </w:cols>
          <w:pgMar w:left="320" w:top="765" w:right="279" w:bottom="1440" w:gutter="0" w:footer="0" w:header="0"/>
        </w:sectPr>
      </w:pPr>
    </w:p>
    <w:p>
      <w:pPr>
        <w:spacing w:after="0" w:line="18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5" w:right="27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Illinois Medicaid omnibus legislation passed in June 2023 included an increase in hourly rates for in-home care services to $28.07, which took effect on January 1, 2024 and required a minimum wage rate of $17.00 per hour. CMS approved an amendment to the Illinois HCBS Waiver for Persons Who are Elderly, which included the rate increase for in-home care services to $28.07, effective January 1, 2024.</w:t>
      </w:r>
    </w:p>
    <w:p>
      <w:pPr>
        <w:spacing w:after="0" w:line="176"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Illinois fiscal year 2025 budget includes an increase in hourly rates for in-home care services to $29.63, to take effect January 1, 2025, subject to federal approval. This rate supports the required minimum wage of $18.00 per hour for direct service workers.</w:t>
      </w:r>
    </w:p>
    <w:p>
      <w:pPr>
        <w:spacing w:after="0" w:line="162"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Our business will benefit from the rate increases noted above as planned for 2025, but there is no assurance that there will be additional offsetting rate increases in Illinois for fiscal years beyond fiscal year 2025, and our financial performance will be adversely impacted for any periods in which an additional offsetting reimbursement rate increase is not in effect.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Changes in Medicare and Medicaid Reimbursement</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Hospice</w:t>
      </w:r>
    </w:p>
    <w:p>
      <w:pPr>
        <w:spacing w:after="0" w:line="119"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Hospice services provided to Medicare beneficiaries are paid under the Medicare Hospice Prospective Payment System, under which CMS sets a daily rate for each day a patient is enrolled in the hospice benefit. CMS updates these rates each federal fiscal year. Effective October 1, 2023, CMS increased hospice payment rates by 3.1%. This reflects a 3.3% market basket increase and a negative 0.2 percentage point productivity adjustment. Hospices that do not satisfy quality reporting requirements will be subject to a 4-percentage point reduction to the market basket update.</w:t>
      </w:r>
    </w:p>
    <w:p>
      <w:pPr>
        <w:spacing w:after="0" w:line="7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Overall payments made by Medicare to each hospice provider number are subject to an inpatient cap and an aggregate cap, which is set each federal fiscal year. The inpatient cap limits the number of days of inpatient care to no more than 20% of total patient care days. The aggregate cap, which limits the total Medicare reimbursement that a hospice may receive based on an annual per-beneficiary cap amount and the number of Medicare patients served, was updated to $33,494.01 for federal fiscal year 2024. If a hospice’s Medicare payments exceed its inpatient or aggregate caps, it must repay Medicare the excess amount.</w:t>
      </w:r>
    </w:p>
    <w:p>
      <w:pPr>
        <w:spacing w:after="0" w:line="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Home Health</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Home health services provided to Medicare beneficiaries are paid under the Medicare Home Health Prospective Payment System (“HHPPS”), which uses national, standardized 30-day period payment rates for periods of care that meet a certain threshold of home health visits (periods of care that do not meet the visit threshold are paid a per-visit payment rate for providing care). Although payment is made for each 30-day period, the HHPPS permits continuous 60-day certification periods through which beneficiaries are verified as eligible for the home health benefit. The daily home health payment rate is adjusted for case-mix and area wage levels. CMS uses the Patient-Driven Groupings Model (“PDGM”) as the case-mix classification model to place periods of care into payment categories, classifying patients based on clinical characteristics and their resource needs. An outlier adjustment may be paid for periods of care where costs exceed a specific threshold amount.</w:t>
      </w:r>
    </w:p>
    <w:p>
      <w:pPr>
        <w:spacing w:after="0" w:line="18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CMS updates the HHPPS payment rates each calendar year. For calendar year 2024, CMS estimates that Medicare payments to home health agencies will increase by 0.8%. This is based on a home health payment update percentage of 3.0, which reflects a 3.3% market basket update reduced by a productivity adjustment of negative 0.3 percentage points, and an estimated 2.6% decrease associated with the transition to the PDGM, among other changes. Home health providers that do not comply with quality data reporting requirements are subject to a 2-percentage point reduction to their market basket update. In addition, Medicare requires home health agencies to submit a one-time Notice of Admission (“NOA”) for each patient that establishes that the beneficiary is under a Medicare home health period of care. Failure to submit the NOA within five calendar days from the start of care will result in a reduction to the 30-day period payment amount for each day from the start of care date until the date the NOA is submitted.</w:t>
      </w:r>
    </w:p>
    <w:p>
      <w:pPr>
        <w:spacing w:after="0" w:line="18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CMS began implementing a nationwide expansion of the Home Health Value-Based Purchasing (“HHVBP”) Model in 2022. Under the HHVBP Model, home health agencies receive increases or decreases to their Medicare fee-for-service payments of up to 5% based on performance against specific quality measures relative to the performance of other home health providers. Data collected in each performance year will impact Medicare payments two years later. Calendar year 2023 was the first performance year under the expanded HHVBP Model, which will affect payments in calendar year 2025.</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In certain states, payment of claims may be impacted by the Review Choice Demonstration for Home Health Services, a program intended to identify and prevent fraud, reduce the number of Medicare appeals and improve provider compliance with Medicare program requirements. The program currently applies to home health agencies in certain states, including Illinois, Ohio, Oklahoma, North Carolina, Florida and Texas. Providers in states subject to the Review Choice Demonstration may initially select either pre-claim review or post-payment review. Previously, providers could also opt for minimal post-payment review with a 25% payment reduction, but CMS has removed this option. Providers that had selected the minimal post-payment review option will transition to pre-claim or post-payment review in mid-July. Home health agencies that maintain high compliance levels are eligible for additional options that may be less burdensome. This program has not had a material impact on our results of operations or financial position.</w:t>
      </w:r>
    </w:p>
    <w:p>
      <w:pPr>
        <w:spacing w:after="0" w:line="189" w:lineRule="exact"/>
        <w:rPr>
          <w:sz w:val="20"/>
          <w:szCs w:val="20"/>
          <w:color w:val="auto"/>
        </w:rPr>
      </w:pPr>
    </w:p>
    <w:p>
      <w:pPr>
        <w:ind w:right="60" w:firstLine="509"/>
        <w:spacing w:after="0" w:line="270" w:lineRule="auto"/>
        <w:rPr>
          <w:sz w:val="20"/>
          <w:szCs w:val="20"/>
          <w:color w:val="auto"/>
        </w:rPr>
      </w:pPr>
      <w:r>
        <w:rPr>
          <w:rFonts w:ascii="Times New Roman" w:cs="Times New Roman" w:eastAsia="Times New Roman" w:hAnsi="Times New Roman"/>
          <w:sz w:val="17"/>
          <w:szCs w:val="17"/>
          <w:color w:val="auto"/>
        </w:rPr>
        <w:t>The IMPACT Act required the Department of Health and Human Services (“HHS”), together with the Medicare Payment Advisory Commission (“MedPAC”), to consider and propose a unified payment system for post-acute care services provided by home health agencies, inpatient rehabilitation facilities, skilled nursing facilities and long-term care hospitals. A unified post-acute care payment system would pay post-acute care providers under a single framework according to a patient’s characteristics, rather than based on the post-acute care setting where the patient receives treatment. As required under the statute, CMS and the HHS Office of the Assistant Secretary for Planning and Evaluation issued a report in July 2022 presenting a prototype for a unified post-acute care payment model, and MedPAC submitted a report to Congress in June 2023 evaluating a prototype design. Although both CMS and MedPAC concluded that designing a unified payment system is feasible, CMS noted that universal implementation of a unified payment system would require congressional action and MedPAC cautioned that implementation would be complex. Due to the agency resources required to implement a unified model, MedPAC noted that CMS may consider smaller-scale site-neutral policies to address some of the overlap in patients treated in different settings and highlighted that recent changes to various post-acute care payment systems address some of the concerns underlying the push for a unified model.</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York Consumer Directed Personal Assistance Program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CDPAP</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CDPAP is a self-directed care alternative program that allows eligible individuals who need help with activities of daily living or skilled nursing services to choose their caregivers. We provide support services as a CDPAP fiscal intermediary. The Company recognized approximately $10.6 million and $21.0 million in revenue from the program for the three and six months ended June 30, 2024 and $10.3 million and $20.4 million in revenue from the program for the three and six months ended June 30, 2023, respectively.</w:t>
      </w:r>
    </w:p>
    <w:p>
      <w:pPr>
        <w:spacing w:after="0" w:line="18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 xml:space="preserve">The selection process for CDPAP fiscal intermediaries has changed significantly in recent years and the program continues to be an area of focus for New York governmental authorities. The Company was not one of the entities selected through an RFO process to competitively procure fiscal intermediaries that was initiated in 2019 and, in November 2022, decided to suspend materially all of its new fee-for-service patient admissions through County Social Service Departments. The Company received a contract award in June 2023 and resumed new fee-for-service patient admissions. However, the New York fiscal year 2025 budget will replace the CDPAP fiscal intermediaries with a single statewide fiscal intermediary with a stated deadline of April 1, 2025. All service providers seeking to offer services under CDPAP will be required to contract with the statewide fiscal intermediary or its contractors in order to offer services. The Company does not believe it is likely to be selected as the single statewide fiscal intermediary, and it is difficult to predict the details of the implementation of these modifications and their final timeline and, thus, their impact on the Company’s business and operations. As a result of the changes and uncertainty in the state, the Company determined that its New York personal care operations no longer fit its growth strategy and reached an agreement to divest these operations. See Note 4 to the Notes to Unaudited Condensed Consolidated Financial Statements, </w:t>
      </w:r>
      <w:r>
        <w:rPr>
          <w:rFonts w:ascii="Times New Roman" w:cs="Times New Roman" w:eastAsia="Times New Roman" w:hAnsi="Times New Roman"/>
          <w:sz w:val="18"/>
          <w:szCs w:val="18"/>
          <w:i w:val="1"/>
          <w:iCs w:val="1"/>
          <w:color w:val="auto"/>
        </w:rPr>
        <w:t>Acquisition and Divestiture</w:t>
      </w:r>
      <w:r>
        <w:rPr>
          <w:rFonts w:ascii="Times New Roman" w:cs="Times New Roman" w:eastAsia="Times New Roman" w:hAnsi="Times New Roman"/>
          <w:sz w:val="18"/>
          <w:szCs w:val="18"/>
          <w:color w:val="auto"/>
        </w:rPr>
        <w:t>, for additional details regarding our divestiture.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CMS Final Rule: “Ensuring Access to Medicaid Services”</w:t>
      </w:r>
    </w:p>
    <w:p>
      <w:pPr>
        <w:spacing w:after="0" w:line="22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On April 22, 2024, CMS announced a final rule intended to improve access to services and quality of care for Medicaid beneficiaries across fee-for-service and managed care delivery systems. The final rule includes significant provisions related to HCBS, including the “80/20” or “payment adequacy” requirement, which will require states to ensure that at least 80% of all Medicaid payments a provider receives for homemaker, home health aide, and personal care services, less certain excluded costs, under specified programs are spent on total compensation (including benefits) for direct care workers furnishing these services, rather than administrative overhead or profit, subject to limited exceptions. States are required to ensure compliance with the 80/20 requirement by mid-2030. The final rule made a number of technical changes to the definitions used in calculating compliance that clarified or narrowed the revenue covered by the calculation and clarified or expanded the payments to workers that are counted in satisfying the requirement, which combined to make compliance less onerous to providers.</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both"/>
        <w:ind w:right="160" w:firstLine="554"/>
        <w:spacing w:after="0" w:line="289" w:lineRule="auto"/>
        <w:rPr>
          <w:sz w:val="20"/>
          <w:szCs w:val="20"/>
          <w:color w:val="auto"/>
        </w:rPr>
      </w:pPr>
      <w:r>
        <w:rPr>
          <w:rFonts w:ascii="Times New Roman" w:cs="Times New Roman" w:eastAsia="Times New Roman" w:hAnsi="Times New Roman"/>
          <w:sz w:val="17"/>
          <w:szCs w:val="17"/>
          <w:color w:val="auto"/>
        </w:rPr>
        <w:t>The final rule includes several other measures intended to promote transparency and enhance quality and access to services, including a variety of reporting requirements for States. Given the very long implementation period and the likelihood of further changes as a result of litigation, administration changes, further rule-making and state changes in response to the final rule, it is premature to predict the ultimate impact of the final rule on our business.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Components of our Statements of Income</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Net Service Revenues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generate net service revenues by providing our services directly to consumers and primarily on an hourly basis in our personal care segment, on a daily basis in our hospice segment and on an episodic basis in our home health segment. We receive payment for providing such services from our private consumers and payors, including federal, state and local governmental agencies, managed care organizations and commercial insurers.</w:t>
      </w:r>
    </w:p>
    <w:p>
      <w:pPr>
        <w:spacing w:after="0" w:line="176"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In our personal care segment, net service revenues are principally provided based on authorized hours, determined by the relevant agency, at an hourly rate, which is either contractual or fixed by legislation, and are recognized at the time services are rendered. In our hospice segment, net service revenues are provided based on daily rates for each of the levels of care and are recognized as services are provided. In our home health segment, net service revenues are based on an episodic basis at a stated rate and recognized based on the number of days elapsed during a period of care within the reporting period. We also record estimated implicit price concessions (based primarily on historical collection experience) related to uninsured accounts to record revenues.</w:t>
      </w:r>
    </w:p>
    <w:p>
      <w:pPr>
        <w:spacing w:after="0" w:line="2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Cost of Service Revenues</w:t>
      </w:r>
    </w:p>
    <w:p>
      <w:pPr>
        <w:spacing w:after="0" w:line="119" w:lineRule="exact"/>
        <w:rPr>
          <w:sz w:val="20"/>
          <w:szCs w:val="20"/>
          <w:color w:val="auto"/>
        </w:rPr>
      </w:pPr>
    </w:p>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We incur direct care wages, payroll taxes and benefit-related costs in connection with providing our services. We also provide workers’ compensation and general liability coverage for our employees. Employees are also reimbursed for their travel time and related travel costs in certain instances.</w:t>
      </w:r>
    </w:p>
    <w:p>
      <w:pPr>
        <w:spacing w:after="0" w:line="2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Our general and administrative expenses include our costs for operating our network of local agencies and our administrative offices. Our agency expenses consist of costs for supervisory personnel, our community care supervisors and office administrative costs. Personnel costs include wages, payroll taxes and employee benefits. Facility costs include rents, utilities, and postage, telephone and office expenses. Our corporate and support center expenses include costs for accounting, information systems, human resources, billing and collections, contracting, marketing and executive leadership. These expenses consist of compensation, including stock-based compensation, payroll taxes, employee benefits, legal, accounting and other professional fees, travel, general insurance, rents, provision for doubtful accounts and related facility costs. Expenses related to streamlining our operations such as costs related to terminated employees, termination of professional services relationships, other contract termination costs and asset write-offs are also included in general and administrative expenses.</w:t>
      </w:r>
    </w:p>
    <w:p>
      <w:pPr>
        <w:spacing w:after="0" w:line="2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Expenses</w:t>
      </w:r>
    </w:p>
    <w:p>
      <w:pPr>
        <w:spacing w:after="0" w:line="11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Depreciable assets consist principally of furniture and equipment, network administration and telephone equipment and operating system software. Depreciable and leasehold assets are depreciated or amortized on a straight-line method over their useful lives or, if less and if applicable, their lease terms. We amortize our intangible assets with finite lives, consisting of customer and referral relationships, trade names, trademarks and non-competition agreements, using straight line or accelerated methods based upon their estimated useful lives.</w:t>
      </w:r>
    </w:p>
    <w:p>
      <w:pPr>
        <w:spacing w:after="0" w:line="2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expense is reported when incurred and principally consists of interest and unused credit line fees on the credit facility.</w:t>
      </w:r>
    </w:p>
    <w:p>
      <w:pPr>
        <w:spacing w:after="0" w:line="3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All of our income is from domestic sources. We incur state and local taxes in the states in which we operate. The effective income tax rates were 26.3% and 23.8% for the three months ended June 30, 2024 and 2023, respectively. The effective income tax rates were 26.0% and 23.0% for the six months ended June 30, 2024 and 2023, respectively. The difference between our federal statutory rate of 21% and our effective income tax rates is principally due to the inclusion of state taxes and non-deductible compensation, partially offset by the use of federal employment tax credits.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 Consolidated</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Three Months Ended June 30, 2024 Compared to Three Months Ended June 30, 2023</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our unaudited condensed consolidated results of operations.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7"/>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83"/>
        </w:trPr>
        <w:tc>
          <w:tcPr>
            <w:tcW w:w="44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5"/>
        </w:trPr>
        <w:tc>
          <w:tcPr>
            <w:tcW w:w="4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 Of</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 Of</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75"/>
        </w:trPr>
        <w:tc>
          <w:tcPr>
            <w:tcW w:w="4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Net Service</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Net Service</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7"/>
        </w:trPr>
        <w:tc>
          <w:tcPr>
            <w:tcW w:w="44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6"/>
        </w:trPr>
        <w:tc>
          <w:tcPr>
            <w:tcW w:w="4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0" w:type="dxa"/>
            <w:vAlign w:val="bottom"/>
            <w:gridSpan w:val="10"/>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(Amounts in Thousands, Except Percentages)</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43"/>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service revenues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286,922</w:t>
            </w:r>
          </w:p>
        </w:tc>
        <w:tc>
          <w:tcPr>
            <w:tcW w:w="300" w:type="dxa"/>
            <w:vAlign w:val="bottom"/>
            <w:tcBorders>
              <w:right w:val="single" w:sz="8" w:color="CFF0FC"/>
            </w:tcBorders>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259,980</w:t>
            </w:r>
          </w:p>
        </w:tc>
        <w:tc>
          <w:tcPr>
            <w:tcW w:w="280" w:type="dxa"/>
            <w:vAlign w:val="bottom"/>
            <w:tcBorders>
              <w:right w:val="single" w:sz="8" w:color="CFF0FC"/>
            </w:tcBorders>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26,942</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 revenues</w:t>
            </w: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193,764</w:t>
            </w:r>
          </w:p>
        </w:tc>
        <w:tc>
          <w:tcPr>
            <w:tcW w:w="30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177,662</w:t>
            </w:r>
          </w:p>
        </w:tc>
        <w:tc>
          <w:tcPr>
            <w:tcW w:w="28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41"/>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93,158</w:t>
            </w:r>
          </w:p>
        </w:tc>
        <w:tc>
          <w:tcPr>
            <w:tcW w:w="300" w:type="dxa"/>
            <w:vAlign w:val="bottom"/>
            <w:tcBorders>
              <w:right w:val="single" w:sz="8" w:color="CFF0FC"/>
            </w:tcBorders>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82,318</w:t>
            </w:r>
          </w:p>
        </w:tc>
        <w:tc>
          <w:tcPr>
            <w:tcW w:w="280" w:type="dxa"/>
            <w:vAlign w:val="bottom"/>
            <w:tcBorders>
              <w:right w:val="single" w:sz="8" w:color="CFF0FC"/>
            </w:tcBorders>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10,840</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3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63,576</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57,397</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43"/>
        </w:trPr>
        <w:tc>
          <w:tcPr>
            <w:tcW w:w="4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300" w:type="dxa"/>
            <w:vAlign w:val="bottom"/>
            <w:tcBorders>
              <w:bottom w:val="single" w:sz="8" w:color="CFF0FC"/>
              <w:right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3,382</w:t>
            </w:r>
          </w:p>
        </w:tc>
        <w:tc>
          <w:tcPr>
            <w:tcW w:w="280" w:type="dxa"/>
            <w:vAlign w:val="bottom"/>
            <w:tcBorders>
              <w:bottom w:val="single" w:sz="8" w:color="CFF0FC"/>
              <w:right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r>
      <w:tr>
        <w:trPr>
          <w:trHeight w:val="241"/>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66,977</w:t>
            </w:r>
          </w:p>
        </w:tc>
        <w:tc>
          <w:tcPr>
            <w:tcW w:w="30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60,779</w:t>
            </w:r>
          </w:p>
        </w:tc>
        <w:tc>
          <w:tcPr>
            <w:tcW w:w="28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6,198</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32"/>
        </w:trPr>
        <w:tc>
          <w:tcPr>
            <w:tcW w:w="4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26,181</w:t>
            </w:r>
          </w:p>
        </w:tc>
        <w:tc>
          <w:tcPr>
            <w:tcW w:w="300" w:type="dxa"/>
            <w:vAlign w:val="bottom"/>
            <w:tcBorders>
              <w:bottom w:val="single" w:sz="8" w:color="CFF0FC"/>
              <w:right w:val="single" w:sz="8" w:color="CFF0FC"/>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21,539</w:t>
            </w:r>
          </w:p>
        </w:tc>
        <w:tc>
          <w:tcPr>
            <w:tcW w:w="280" w:type="dxa"/>
            <w:vAlign w:val="bottom"/>
            <w:tcBorders>
              <w:bottom w:val="single" w:sz="8" w:color="CFF0FC"/>
              <w:right w:val="single" w:sz="8" w:color="CFF0FC"/>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4,642</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r>
      <w:tr>
        <w:trPr>
          <w:trHeight w:val="236"/>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20"/>
                <w:szCs w:val="20"/>
                <w:color w:val="auto"/>
              </w:rPr>
            </w:pPr>
          </w:p>
        </w:tc>
        <w:tc>
          <w:tcPr>
            <w:tcW w:w="10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(474 )</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(0.2 )</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(291 )</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(0.1 )</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(183 )</w:t>
            </w: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43"/>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300" w:type="dxa"/>
            <w:vAlign w:val="bottom"/>
            <w:tcBorders>
              <w:right w:val="single" w:sz="8" w:color="CFF0FC"/>
            </w:tcBorders>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280" w:type="dxa"/>
            <w:vAlign w:val="bottom"/>
            <w:tcBorders>
              <w:right w:val="single" w:sz="8" w:color="CFF0FC"/>
            </w:tcBorders>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(217 )</w:t>
            </w:r>
          </w:p>
        </w:tc>
        <w:tc>
          <w:tcPr>
            <w:tcW w:w="24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(9.3 )</w:t>
            </w:r>
          </w:p>
        </w:tc>
        <w:tc>
          <w:tcPr>
            <w:tcW w:w="180" w:type="dxa"/>
            <w:vAlign w:val="bottom"/>
            <w:shd w:val="clear" w:color="auto" w:fill="CFF0FC"/>
          </w:tcPr>
          <w:p>
            <w:pPr>
              <w:spacing w:after="0"/>
              <w:rPr>
                <w:sz w:val="21"/>
                <w:szCs w:val="21"/>
                <w:color w:val="auto"/>
              </w:rPr>
            </w:pPr>
          </w:p>
        </w:tc>
      </w:tr>
      <w:tr>
        <w:trPr>
          <w:trHeight w:val="20"/>
        </w:trPr>
        <w:tc>
          <w:tcPr>
            <w:tcW w:w="44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37"/>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(400 )</w:t>
            </w:r>
          </w:p>
        </w:tc>
        <w:tc>
          <w:tcPr>
            <w:tcW w:w="24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(19.6 )</w:t>
            </w:r>
          </w:p>
        </w:tc>
        <w:tc>
          <w:tcPr>
            <w:tcW w:w="180" w:type="dxa"/>
            <w:vAlign w:val="bottom"/>
          </w:tcPr>
          <w:p>
            <w:pPr>
              <w:spacing w:after="0"/>
              <w:rPr>
                <w:sz w:val="20"/>
                <w:szCs w:val="20"/>
                <w:color w:val="auto"/>
              </w:rPr>
            </w:pPr>
          </w:p>
        </w:tc>
      </w:tr>
      <w:tr>
        <w:trPr>
          <w:trHeight w:val="241"/>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Borders>
              <w:top w:val="single" w:sz="8" w:color="auto"/>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24,541</w:t>
            </w:r>
          </w:p>
        </w:tc>
        <w:tc>
          <w:tcPr>
            <w:tcW w:w="300" w:type="dxa"/>
            <w:vAlign w:val="bottom"/>
            <w:tcBorders>
              <w:right w:val="single" w:sz="8" w:color="CFF0FC"/>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19,499</w:t>
            </w:r>
          </w:p>
        </w:tc>
        <w:tc>
          <w:tcPr>
            <w:tcW w:w="280" w:type="dxa"/>
            <w:vAlign w:val="bottom"/>
            <w:tcBorders>
              <w:right w:val="single" w:sz="8" w:color="CFF0FC"/>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5,042</w:t>
            </w:r>
          </w:p>
        </w:tc>
        <w:tc>
          <w:tcPr>
            <w:tcW w:w="22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3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6,462</w:t>
            </w:r>
          </w:p>
        </w:tc>
        <w:tc>
          <w:tcPr>
            <w:tcW w:w="30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4,647</w:t>
            </w:r>
          </w:p>
        </w:tc>
        <w:tc>
          <w:tcPr>
            <w:tcW w:w="28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81"/>
        </w:trPr>
        <w:tc>
          <w:tcPr>
            <w:tcW w:w="4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18,079</w:t>
            </w:r>
          </w:p>
        </w:tc>
        <w:tc>
          <w:tcPr>
            <w:tcW w:w="300" w:type="dxa"/>
            <w:vAlign w:val="bottom"/>
            <w:tcBorders>
              <w:bottom w:val="single" w:sz="8" w:color="CFF0FC"/>
              <w:right w:val="single" w:sz="8" w:color="CFF0FC"/>
            </w:tcBorders>
            <w:shd w:val="clear" w:color="auto" w:fill="CFF0FC"/>
          </w:tcPr>
          <w:p>
            <w:pPr>
              <w:spacing w:after="0"/>
              <w:rPr>
                <w:sz w:val="24"/>
                <w:szCs w:val="2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14,852</w:t>
            </w:r>
          </w:p>
        </w:tc>
        <w:tc>
          <w:tcPr>
            <w:tcW w:w="280" w:type="dxa"/>
            <w:vAlign w:val="bottom"/>
            <w:tcBorders>
              <w:bottom w:val="single" w:sz="8" w:color="CFF0FC"/>
              <w:right w:val="single" w:sz="8" w:color="CFF0FC"/>
            </w:tcBorders>
            <w:shd w:val="clear" w:color="auto" w:fill="CFF0FC"/>
          </w:tcPr>
          <w:p>
            <w:pPr>
              <w:spacing w:after="0"/>
              <w:rPr>
                <w:sz w:val="24"/>
                <w:szCs w:val="2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3,227</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spacing w:after="0"/>
              <w:rPr>
                <w:sz w:val="24"/>
                <w:szCs w:val="2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-1310640</wp:posOffset>
            </wp:positionV>
            <wp:extent cx="7683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-1310640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-1310640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-1310640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-1310640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-1310640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-984885</wp:posOffset>
            </wp:positionV>
            <wp:extent cx="7683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-984885</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-984885</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-984885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-984885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-984885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-668020</wp:posOffset>
            </wp:positionV>
            <wp:extent cx="7683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-668020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-668020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-668020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-668020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-668020</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-24765</wp:posOffset>
            </wp:positionV>
            <wp:extent cx="7683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-7620</wp:posOffset>
            </wp:positionV>
            <wp:extent cx="7683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-24765</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-7620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-24765</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-7620</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-24765</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-24765</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-7620</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-24765</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-7620</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Net service revenues increased by 10.4% to $286.9 million for the three months ended June 30, 2024 compared to $260.0 million for the three months ended June 30, 2023. Revenue increased by $14.5 million in our personal care segment, $5.8 million in our hospice segment and $6.6 million in our home health segment during the three months ended June 30, 2023, compared to the same period in 2022. The increase in our personal care segment was mainly due to an increase in revenues per billable hour for the three months ended June 30, 2023. The increase in our hospice and home health segment was primarily due to the acquisition of the operations of Tennessee Quality Care on August 1, 2023.</w:t>
      </w:r>
    </w:p>
    <w:p>
      <w:pPr>
        <w:spacing w:after="0" w:line="183"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Gross profit, expressed as a percentage of net service revenues, increased to 32.5% for the three months ended June 30, 2024, compared to 31.7% for the same period in 2023, due to an increase in revenue and higher margin in our home health and hospice segments due to the acquisition of the operations of Tennessee Quality Care on August 1, 2023.</w:t>
      </w:r>
    </w:p>
    <w:p>
      <w:pPr>
        <w:spacing w:after="0" w:line="17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to $63.6 million for the three months ended June 30, 2024, as compared to $57.4 million for the three months ended June 30, 2023. The increase in general and administrative expenses was primarily due to the Tennessee Quality Care acquisition that resulted in an increase in administrative employee wages, bonus, taxes and benefit costs of $3.7 million and an increase in acquisition-related expense of $1.1 million. General and administrative expenses, expressed as a percentage of net service revenues, increased to 22.2% for the three months ended June 30, 2024, from 22.1% for the three months ended June 30, 2023.</w:t>
      </w:r>
    </w:p>
    <w:p>
      <w:pPr>
        <w:spacing w:after="0" w:line="183"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Interest expense decreased to $2.1 million for the three months ended June 30, 2024 from $2.3 million for the three months ended June 30, 2023. The decrease in interest expense was primarily due to decreased amounts held under our credit facility for the three months ended June 30, 2024 compared to the three months ended June 30, 2023.</w:t>
      </w:r>
    </w:p>
    <w:p>
      <w:pPr>
        <w:spacing w:after="0" w:line="17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All of our income is from domestic sources. We incur state and local taxes in states in which we operate. The effective income tax rate was 26.3% and 23.8% for the three months ended June 30, 2024 and 2023, respectively. Our higher effective income tax rate for the three months ended June 30, 2024 was principally due to a lower excess tax benefit as well as a lower benefit from the use of federal employment tax credits. For the three months ended June 30, 2024 and 2023, the excess tax benefit and federal employment tax credits were 2.8% and 5.6%, respectively.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Six Months Ended June 30, 2024 Compared to Six Months Ended June 30, 2023</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our unaudited condensed consolidated results of operations.</w:t>
      </w:r>
    </w:p>
    <w:p>
      <w:pPr>
        <w:spacing w:after="0" w:line="30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4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2023</w:t>
            </w:r>
          </w:p>
        </w:tc>
        <w:tc>
          <w:tcPr>
            <w:tcW w:w="78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60"/>
        </w:trPr>
        <w:tc>
          <w:tcPr>
            <w:tcW w:w="4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 Of</w:t>
            </w: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 Of</w:t>
            </w: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176"/>
        </w:trPr>
        <w:tc>
          <w:tcPr>
            <w:tcW w:w="4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Net Service</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Net Service</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9"/>
        </w:trPr>
        <w:tc>
          <w:tcPr>
            <w:tcW w:w="44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63"/>
        </w:trPr>
        <w:tc>
          <w:tcPr>
            <w:tcW w:w="4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40" w:type="dxa"/>
            <w:vAlign w:val="bottom"/>
            <w:gridSpan w:val="10"/>
          </w:tcPr>
          <w:p>
            <w:pPr>
              <w:jc w:val="right"/>
              <w:spacing w:after="0"/>
              <w:rPr>
                <w:sz w:val="20"/>
                <w:szCs w:val="20"/>
                <w:color w:val="auto"/>
              </w:rPr>
            </w:pPr>
            <w:r>
              <w:rPr>
                <w:rFonts w:ascii="Times New Roman" w:cs="Times New Roman" w:eastAsia="Times New Roman" w:hAnsi="Times New Roman"/>
                <w:sz w:val="13"/>
                <w:szCs w:val="13"/>
                <w:b w:val="1"/>
                <w:bCs w:val="1"/>
                <w:color w:val="auto"/>
              </w:rPr>
              <w:t>(Amounts in Thousands, Except Percentages)</w:t>
            </w: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43"/>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service revenues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567,668</w:t>
            </w:r>
          </w:p>
        </w:tc>
        <w:tc>
          <w:tcPr>
            <w:tcW w:w="2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511,579</w:t>
            </w:r>
          </w:p>
        </w:tc>
        <w:tc>
          <w:tcPr>
            <w:tcW w:w="2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56,089</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 revenues</w:t>
            </w: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386,333</w:t>
            </w: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350,846</w:t>
            </w:r>
          </w:p>
        </w:tc>
        <w:tc>
          <w:tcPr>
            <w:tcW w:w="2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35,487</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41"/>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181,335</w:t>
            </w: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160,733</w:t>
            </w: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20,602</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3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124,639</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113,757</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43"/>
        </w:trPr>
        <w:tc>
          <w:tcPr>
            <w:tcW w:w="4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6,870</w:t>
            </w:r>
          </w:p>
        </w:tc>
        <w:tc>
          <w:tcPr>
            <w:tcW w:w="2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6,829</w:t>
            </w:r>
          </w:p>
        </w:tc>
        <w:tc>
          <w:tcPr>
            <w:tcW w:w="22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r>
      <w:tr>
        <w:trPr>
          <w:trHeight w:val="241"/>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131,509</w:t>
            </w: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120,586</w:t>
            </w:r>
          </w:p>
        </w:tc>
        <w:tc>
          <w:tcPr>
            <w:tcW w:w="2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32"/>
        </w:trPr>
        <w:tc>
          <w:tcPr>
            <w:tcW w:w="4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49,826</w:t>
            </w:r>
          </w:p>
        </w:tc>
        <w:tc>
          <w:tcPr>
            <w:tcW w:w="2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40,147</w:t>
            </w:r>
          </w:p>
        </w:tc>
        <w:tc>
          <w:tcPr>
            <w:tcW w:w="22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9,679</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r>
      <w:tr>
        <w:trPr>
          <w:trHeight w:val="236"/>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(897 )</w:t>
            </w:r>
          </w:p>
        </w:tc>
        <w:tc>
          <w:tcPr>
            <w:tcW w:w="8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(0.2 )</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(397 )</w:t>
            </w:r>
          </w:p>
        </w:tc>
        <w:tc>
          <w:tcPr>
            <w:tcW w:w="6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(0.1 )</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(500 )</w:t>
            </w: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43"/>
        </w:trPr>
        <w:tc>
          <w:tcPr>
            <w:tcW w:w="4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4,872</w:t>
            </w:r>
          </w:p>
        </w:tc>
        <w:tc>
          <w:tcPr>
            <w:tcW w:w="2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4,792</w:t>
            </w:r>
          </w:p>
        </w:tc>
        <w:tc>
          <w:tcPr>
            <w:tcW w:w="22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r>
      <w:tr>
        <w:trPr>
          <w:trHeight w:val="237"/>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interest expense, net</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4,395</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(420 )</w:t>
            </w:r>
          </w:p>
        </w:tc>
        <w:tc>
          <w:tcPr>
            <w:tcW w:w="24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(9.6 )</w:t>
            </w:r>
          </w:p>
        </w:tc>
        <w:tc>
          <w:tcPr>
            <w:tcW w:w="180" w:type="dxa"/>
            <w:vAlign w:val="bottom"/>
          </w:tcPr>
          <w:p>
            <w:pPr>
              <w:spacing w:after="0"/>
              <w:rPr>
                <w:sz w:val="20"/>
                <w:szCs w:val="20"/>
                <w:color w:val="auto"/>
              </w:rPr>
            </w:pPr>
          </w:p>
        </w:tc>
      </w:tr>
      <w:tr>
        <w:trPr>
          <w:trHeight w:val="241"/>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Borders>
              <w:top w:val="single" w:sz="8" w:color="auto"/>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45,851</w:t>
            </w:r>
          </w:p>
        </w:tc>
        <w:tc>
          <w:tcPr>
            <w:tcW w:w="240" w:type="dxa"/>
            <w:vAlign w:val="bottom"/>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35,752</w:t>
            </w:r>
          </w:p>
        </w:tc>
        <w:tc>
          <w:tcPr>
            <w:tcW w:w="220" w:type="dxa"/>
            <w:vAlign w:val="bottom"/>
            <w:shd w:val="clear" w:color="auto" w:fill="CFF0FC"/>
          </w:tcPr>
          <w:p>
            <w:pPr>
              <w:spacing w:after="0"/>
              <w:rPr>
                <w:sz w:val="20"/>
                <w:szCs w:val="20"/>
                <w:color w:val="auto"/>
              </w:rPr>
            </w:pPr>
          </w:p>
        </w:tc>
        <w:tc>
          <w:tcPr>
            <w:tcW w:w="6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10,099</w:t>
            </w:r>
          </w:p>
        </w:tc>
        <w:tc>
          <w:tcPr>
            <w:tcW w:w="22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3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11,942</w:t>
            </w: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8,225</w:t>
            </w:r>
          </w:p>
        </w:tc>
        <w:tc>
          <w:tcPr>
            <w:tcW w:w="2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3,717</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81"/>
        </w:trPr>
        <w:tc>
          <w:tcPr>
            <w:tcW w:w="4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33,909</w:t>
            </w:r>
          </w:p>
        </w:tc>
        <w:tc>
          <w:tcPr>
            <w:tcW w:w="24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auto"/>
            </w:tcBorders>
            <w:shd w:val="clear" w:color="auto" w:fill="CFF0FC"/>
          </w:tcPr>
          <w:p>
            <w:pPr>
              <w:spacing w:after="0"/>
              <w:rPr>
                <w:sz w:val="24"/>
                <w:szCs w:val="2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27,527</w:t>
            </w:r>
          </w:p>
        </w:tc>
        <w:tc>
          <w:tcPr>
            <w:tcW w:w="220" w:type="dxa"/>
            <w:vAlign w:val="bottom"/>
            <w:tcBorders>
              <w:bottom w:val="single" w:sz="8" w:color="CFF0FC"/>
            </w:tcBorders>
            <w:shd w:val="clear" w:color="auto" w:fill="CFF0FC"/>
          </w:tcPr>
          <w:p>
            <w:pPr>
              <w:spacing w:after="0"/>
              <w:rPr>
                <w:sz w:val="24"/>
                <w:szCs w:val="24"/>
                <w:color w:val="auto"/>
              </w:rPr>
            </w:pPr>
          </w:p>
        </w:tc>
        <w:tc>
          <w:tcPr>
            <w:tcW w:w="60" w:type="dxa"/>
            <w:vAlign w:val="bottom"/>
            <w:tcBorders>
              <w:bottom w:val="single" w:sz="8" w:color="auto"/>
            </w:tcBorders>
            <w:shd w:val="clear" w:color="auto" w:fill="CFF0FC"/>
          </w:tcPr>
          <w:p>
            <w:pPr>
              <w:spacing w:after="0"/>
              <w:rPr>
                <w:sz w:val="24"/>
                <w:szCs w:val="2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6,382</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spacing w:after="0"/>
              <w:rPr>
                <w:sz w:val="24"/>
                <w:szCs w:val="2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-1310640</wp:posOffset>
            </wp:positionV>
            <wp:extent cx="7683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-1310640</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-1310640</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-1310640</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-1310640</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-1310640</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-984885</wp:posOffset>
            </wp:positionV>
            <wp:extent cx="7683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-984885</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-984885</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-984885</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-984885</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-984885</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-668020</wp:posOffset>
            </wp:positionV>
            <wp:extent cx="7683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-668020</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-668020</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-668020</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-668020</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-668020</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-24765</wp:posOffset>
            </wp:positionV>
            <wp:extent cx="7683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-7620</wp:posOffset>
            </wp:positionV>
            <wp:extent cx="7683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-24765</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-7620</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-24765</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-7620</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-24765</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-24765</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-7620</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-24765</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-7620</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Net service revenues increased by 11.0% to $567.7 million for the six months ended June 30, 2024 compared to $511.6 million for the six months ended June 30, 2023. Net service revenue increased by $32.5 million in our personal care segment, by $12.6 million in our hospice segment and by $11.0 million in our home health segment during the six months ended June 30, 2024, compared to the same period in 2023. During the six months ended June 30, 2024, the increase in our personal care segment net service revenues was primarily due to an increase in revenue per billable hour, attributable to the rate increases discussed above, compared to the same period in 2023. The increase in net service revenues in our hospice and home health segments is primarily attributable to the acquisition of the operations of Tennessee Quality Care on August 1, 2023.</w:t>
      </w:r>
    </w:p>
    <w:p>
      <w:pPr>
        <w:spacing w:after="0" w:line="18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Gross profit, expressed as a percentage of net service revenues, increased to 31.9% for the six months ended June 30, 2024 compared to 31.4% for the six months ended June 30, 2023 due to an increase in net service revenues and gross profit in our personal care segment and higher margin in our home health and hospice segments due to the acquisition of the operations of Tennessee Quality Care on August 1, 2023.</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General and administrative expenses increased to $124.6 million for the six months ended June 30, 2024 as compared to $113.8 million for the six</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June 30, 2023. The increase in general and administrative expenses was primarily due to the Tennessee Quality Care acquisitions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resulted in an increase in administrative employee wages, bonus, taxes and benefit costs of $5.9 million and an increase in acquisition-related expense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 million. General and administrative expenses, expressed as a percentage of net service revenues, decreased to 22.0% for the six months ended June 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from 22.2% for the six months ended June 30, 2023.</w:t>
      </w:r>
    </w:p>
    <w:p>
      <w:pPr>
        <w:spacing w:after="0" w:line="20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Interest expense increased to $4.9 for the six months ended June 30, 2024, as compared to $4.8 million for the six months ended June 30, 2023. The increase in interest expense was primarily due to increased interest rates under our credit facility for the six months ended June 30, 2024, compared to the six months ended June 30, 2023.</w:t>
      </w:r>
    </w:p>
    <w:p>
      <w:pPr>
        <w:spacing w:after="0" w:line="17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All of our income is from domestic sources. We incur state and local taxes in states in which we operate. The effective income tax rate was 26.0% and 23.0% for the six months ended June 30, 2024 and 2023, respectively. Our higher effective income tax rate for the six months ended June 30, 2024 was principally due to a lower excess tax benefit as well as a lower benefit from the use of federal employment tax credits. For the six months ended June 30, 2024 and 2023, the excess tax benefit and federal employment tax credits were 3.1% and 6.2%, respectively.</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 Segments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and related analysis summarize our operating results and business metrics by segment:</w:t>
      </w:r>
    </w:p>
    <w:p>
      <w:pPr>
        <w:spacing w:after="0" w:line="3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Personal Care Segment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9"/>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For the Three Months Ended June 30,</w:t>
            </w: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9"/>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For the Six Months Ended June 30,</w:t>
            </w: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7"/>
        </w:trPr>
        <w:tc>
          <w:tcPr>
            <w:tcW w:w="2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6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3"/>
          </w:tcPr>
          <w:p>
            <w:pPr>
              <w:jc w:val="right"/>
              <w:ind w:right="557"/>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3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3"/>
          </w:tcPr>
          <w:p>
            <w:pPr>
              <w:jc w:val="right"/>
              <w:ind w:right="537"/>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w w:val="92"/>
              </w:rPr>
              <w:t>2023</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w w:val="93"/>
              </w:rPr>
              <w:t>Change</w:t>
            </w:r>
          </w:p>
        </w:tc>
        <w:tc>
          <w:tcPr>
            <w:tcW w:w="4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22"/>
        </w:trPr>
        <w:tc>
          <w:tcPr>
            <w:tcW w:w="2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 of</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 of</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 of</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 of</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5"/>
        </w:trPr>
        <w:tc>
          <w:tcPr>
            <w:tcW w:w="2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3"/>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Segment</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Segment</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6"/>
              </w:rPr>
              <w:t>Segment</w:t>
            </w: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Segment</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3"/>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Net Service</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Net Service</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3"/>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8"/>
              </w:rPr>
              <w:t>Net Service</w:t>
            </w: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Net Service</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7"/>
        </w:trPr>
        <w:tc>
          <w:tcPr>
            <w:tcW w:w="2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Revenues</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Revenues</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Amount</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Revenues</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2"/>
              </w:rPr>
              <w:t>Amount</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Revenues</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4"/>
                <w:szCs w:val="14"/>
                <w:color w:val="auto"/>
              </w:rPr>
            </w:pPr>
          </w:p>
        </w:tc>
        <w:tc>
          <w:tcPr>
            <w:tcW w:w="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7"/>
        </w:trPr>
        <w:tc>
          <w:tcPr>
            <w:tcW w:w="2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(Amounts</w:t>
            </w:r>
          </w:p>
        </w:tc>
        <w:tc>
          <w:tcPr>
            <w:tcW w:w="760" w:type="dxa"/>
            <w:vAlign w:val="bottom"/>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w w:val="81"/>
              </w:rPr>
              <w:t>in Thousands,</w:t>
            </w:r>
          </w:p>
        </w:tc>
        <w:tc>
          <w:tcPr>
            <w:tcW w:w="120" w:type="dxa"/>
            <w:vAlign w:val="bottom"/>
          </w:tcPr>
          <w:p>
            <w:pPr>
              <w:spacing w:after="0"/>
              <w:rPr>
                <w:sz w:val="13"/>
                <w:szCs w:val="13"/>
                <w:color w:val="auto"/>
              </w:rPr>
            </w:pPr>
          </w:p>
        </w:tc>
        <w:tc>
          <w:tcPr>
            <w:tcW w:w="1740" w:type="dxa"/>
            <w:vAlign w:val="bottom"/>
            <w:gridSpan w:val="6"/>
          </w:tcPr>
          <w:p>
            <w:pPr>
              <w:spacing w:after="0"/>
              <w:rPr>
                <w:sz w:val="20"/>
                <w:szCs w:val="20"/>
                <w:color w:val="auto"/>
              </w:rPr>
            </w:pPr>
            <w:r>
              <w:rPr>
                <w:rFonts w:ascii="Times New Roman" w:cs="Times New Roman" w:eastAsia="Times New Roman" w:hAnsi="Times New Roman"/>
                <w:sz w:val="13"/>
                <w:szCs w:val="13"/>
                <w:b w:val="1"/>
                <w:bCs w:val="1"/>
                <w:color w:val="auto"/>
              </w:rPr>
              <w:t>Except Percentages)</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(Amounts</w:t>
            </w:r>
          </w:p>
        </w:tc>
        <w:tc>
          <w:tcPr>
            <w:tcW w:w="100" w:type="dxa"/>
            <w:vAlign w:val="bottom"/>
          </w:tcPr>
          <w:p>
            <w:pPr>
              <w:spacing w:after="0"/>
              <w:rPr>
                <w:sz w:val="13"/>
                <w:szCs w:val="13"/>
                <w:color w:val="auto"/>
              </w:rPr>
            </w:pPr>
          </w:p>
        </w:tc>
        <w:tc>
          <w:tcPr>
            <w:tcW w:w="2380" w:type="dxa"/>
            <w:vAlign w:val="bottom"/>
            <w:gridSpan w:val="9"/>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 Except Percentages)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2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Results</w:t>
            </w: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service revenues</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212,817</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100.0 % $</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198,314</w:t>
            </w:r>
          </w:p>
        </w:tc>
        <w:tc>
          <w:tcPr>
            <w:tcW w:w="108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auto"/>
              </w:rPr>
              <w:t>100.0 % $</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14,503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7.3 %$</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420,820</w:t>
            </w:r>
          </w:p>
        </w:tc>
        <w:tc>
          <w:tcPr>
            <w:tcW w:w="104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388,346</w:t>
            </w:r>
          </w:p>
        </w:tc>
        <w:tc>
          <w:tcPr>
            <w:tcW w:w="1060" w:type="dxa"/>
            <w:vAlign w:val="bottom"/>
            <w:gridSpan w:val="5"/>
          </w:tcPr>
          <w:p>
            <w:pPr>
              <w:jc w:val="right"/>
              <w:ind w:right="20"/>
              <w:spacing w:after="0"/>
              <w:rPr>
                <w:sz w:val="20"/>
                <w:szCs w:val="20"/>
                <w:color w:val="auto"/>
              </w:rPr>
            </w:pPr>
            <w:r>
              <w:rPr>
                <w:rFonts w:ascii="Times New Roman" w:cs="Times New Roman" w:eastAsia="Times New Roman" w:hAnsi="Times New Roman"/>
                <w:sz w:val="13"/>
                <w:szCs w:val="13"/>
                <w:color w:val="auto"/>
              </w:rPr>
              <w:t>100.0 %$</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32,474</w:t>
            </w:r>
          </w:p>
        </w:tc>
        <w:tc>
          <w:tcPr>
            <w:tcW w:w="10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8.4 %</w:t>
            </w:r>
          </w:p>
        </w:tc>
        <w:tc>
          <w:tcPr>
            <w:tcW w:w="20" w:type="dxa"/>
            <w:vAlign w:val="bottom"/>
          </w:tcPr>
          <w:p>
            <w:pPr>
              <w:spacing w:after="0"/>
              <w:rPr>
                <w:sz w:val="14"/>
                <w:szCs w:val="14"/>
                <w:color w:val="auto"/>
              </w:rPr>
            </w:pPr>
          </w:p>
        </w:tc>
      </w:tr>
      <w:tr>
        <w:trPr>
          <w:trHeight w:val="162"/>
        </w:trPr>
        <w:tc>
          <w:tcPr>
            <w:tcW w:w="2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Cost of services revenues</w:t>
            </w:r>
          </w:p>
        </w:tc>
        <w:tc>
          <w:tcPr>
            <w:tcW w:w="10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152,755</w:t>
            </w:r>
          </w:p>
        </w:tc>
        <w:tc>
          <w:tcPr>
            <w:tcW w:w="12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71.8</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143,972</w:t>
            </w:r>
          </w:p>
        </w:tc>
        <w:tc>
          <w:tcPr>
            <w:tcW w:w="2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72.6</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8,783</w:t>
            </w: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305,291</w:t>
            </w:r>
          </w:p>
        </w:tc>
        <w:tc>
          <w:tcPr>
            <w:tcW w:w="2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72.5</w:t>
            </w: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282,355</w:t>
            </w:r>
          </w:p>
        </w:tc>
        <w:tc>
          <w:tcPr>
            <w:tcW w:w="2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72.7</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22,936</w:t>
            </w:r>
          </w:p>
        </w:tc>
        <w:tc>
          <w:tcPr>
            <w:tcW w:w="100" w:type="dxa"/>
            <w:vAlign w:val="bottom"/>
            <w:tcBorders>
              <w:bottom w:val="single" w:sz="8" w:color="CFF0FC"/>
            </w:tcBorders>
            <w:shd w:val="clear" w:color="auto" w:fill="CFF0FC"/>
          </w:tcPr>
          <w:p>
            <w:pPr>
              <w:spacing w:after="0"/>
              <w:rPr>
                <w:sz w:val="14"/>
                <w:szCs w:val="14"/>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100" w:type="dxa"/>
            <w:vAlign w:val="bottom"/>
            <w:tcBorders>
              <w:bottom w:val="single" w:sz="8" w:color="CFF0FC"/>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2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Gross profit</w:t>
            </w: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60,062</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54,342</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27.4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5,720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115,529</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105,991</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27.3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9,538</w:t>
            </w: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2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General and administrative expenses</w:t>
            </w:r>
          </w:p>
        </w:tc>
        <w:tc>
          <w:tcPr>
            <w:tcW w:w="10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16,973</w:t>
            </w:r>
          </w:p>
        </w:tc>
        <w:tc>
          <w:tcPr>
            <w:tcW w:w="12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16,267</w:t>
            </w:r>
          </w:p>
        </w:tc>
        <w:tc>
          <w:tcPr>
            <w:tcW w:w="2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706</w:t>
            </w: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32,418</w:t>
            </w:r>
          </w:p>
        </w:tc>
        <w:tc>
          <w:tcPr>
            <w:tcW w:w="2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32,202</w:t>
            </w:r>
          </w:p>
        </w:tc>
        <w:tc>
          <w:tcPr>
            <w:tcW w:w="2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216</w:t>
            </w:r>
          </w:p>
        </w:tc>
        <w:tc>
          <w:tcPr>
            <w:tcW w:w="100" w:type="dxa"/>
            <w:vAlign w:val="bottom"/>
            <w:tcBorders>
              <w:bottom w:val="single" w:sz="8" w:color="CFF0FC"/>
            </w:tcBorders>
            <w:shd w:val="clear" w:color="auto" w:fill="CFF0FC"/>
          </w:tcPr>
          <w:p>
            <w:pPr>
              <w:spacing w:after="0"/>
              <w:rPr>
                <w:sz w:val="14"/>
                <w:szCs w:val="14"/>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100" w:type="dxa"/>
            <w:vAlign w:val="bottom"/>
            <w:tcBorders>
              <w:bottom w:val="single" w:sz="8" w:color="CFF0FC"/>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212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auto"/>
              </w:rPr>
              <w:t>Segment operating income</w:t>
            </w:r>
          </w:p>
        </w:tc>
        <w:tc>
          <w:tcPr>
            <w:tcW w:w="1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43,089</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3"/>
                <w:szCs w:val="13"/>
                <w:color w:val="auto"/>
              </w:rPr>
              <w:t>20.2 % $</w:t>
            </w: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38,075</w:t>
            </w:r>
          </w:p>
        </w:tc>
        <w:tc>
          <w:tcPr>
            <w:tcW w:w="1080" w:type="dxa"/>
            <w:vAlign w:val="bottom"/>
            <w:gridSpan w:val="5"/>
          </w:tcPr>
          <w:p>
            <w:pPr>
              <w:jc w:val="right"/>
              <w:spacing w:after="0" w:line="142" w:lineRule="exact"/>
              <w:rPr>
                <w:sz w:val="20"/>
                <w:szCs w:val="20"/>
                <w:color w:val="auto"/>
              </w:rPr>
            </w:pPr>
            <w:r>
              <w:rPr>
                <w:rFonts w:ascii="Times New Roman" w:cs="Times New Roman" w:eastAsia="Times New Roman" w:hAnsi="Times New Roman"/>
                <w:sz w:val="13"/>
                <w:szCs w:val="13"/>
                <w:color w:val="auto"/>
              </w:rPr>
              <w:t>19.2 % $</w:t>
            </w: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5,014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13.2 %$</w:t>
            </w:r>
          </w:p>
        </w:tc>
        <w:tc>
          <w:tcPr>
            <w:tcW w:w="5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83,111</w:t>
            </w:r>
          </w:p>
        </w:tc>
        <w:tc>
          <w:tcPr>
            <w:tcW w:w="1040" w:type="dxa"/>
            <w:vAlign w:val="bottom"/>
            <w:gridSpan w:val="5"/>
          </w:tcPr>
          <w:p>
            <w:pPr>
              <w:jc w:val="right"/>
              <w:spacing w:after="0" w:line="142" w:lineRule="exact"/>
              <w:rPr>
                <w:sz w:val="20"/>
                <w:szCs w:val="20"/>
                <w:color w:val="auto"/>
              </w:rPr>
            </w:pPr>
            <w:r>
              <w:rPr>
                <w:rFonts w:ascii="Times New Roman" w:cs="Times New Roman" w:eastAsia="Times New Roman" w:hAnsi="Times New Roman"/>
                <w:sz w:val="13"/>
                <w:szCs w:val="13"/>
                <w:color w:val="auto"/>
              </w:rPr>
              <w:t>19.8 %$</w:t>
            </w: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73,789</w:t>
            </w:r>
          </w:p>
        </w:tc>
        <w:tc>
          <w:tcPr>
            <w:tcW w:w="1060" w:type="dxa"/>
            <w:vAlign w:val="bottom"/>
            <w:gridSpan w:val="5"/>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19.0 %$</w:t>
            </w: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9,322</w:t>
            </w:r>
          </w:p>
        </w:tc>
        <w:tc>
          <w:tcPr>
            <w:tcW w:w="100" w:type="dxa"/>
            <w:vAlign w:val="bottom"/>
          </w:tcPr>
          <w:p>
            <w:pPr>
              <w:spacing w:after="0"/>
              <w:rPr>
                <w:sz w:val="13"/>
                <w:szCs w:val="13"/>
                <w:color w:val="auto"/>
              </w:rPr>
            </w:pPr>
          </w:p>
        </w:tc>
        <w:tc>
          <w:tcPr>
            <w:tcW w:w="5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12.6 %</w:t>
            </w:r>
          </w:p>
        </w:tc>
        <w:tc>
          <w:tcPr>
            <w:tcW w:w="20" w:type="dxa"/>
            <w:vAlign w:val="bottom"/>
          </w:tcPr>
          <w:p>
            <w:pPr>
              <w:spacing w:after="0"/>
              <w:rPr>
                <w:sz w:val="13"/>
                <w:szCs w:val="13"/>
                <w:color w:val="auto"/>
              </w:rPr>
            </w:pPr>
          </w:p>
        </w:tc>
      </w:tr>
      <w:tr>
        <w:trPr>
          <w:trHeight w:val="20"/>
        </w:trPr>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9"/>
        </w:trPr>
        <w:tc>
          <w:tcPr>
            <w:tcW w:w="2120" w:type="dxa"/>
            <w:vAlign w:val="bottom"/>
            <w:shd w:val="clear" w:color="auto" w:fill="CFF0FC"/>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Business Metrics (Actual Numbers,</w:t>
            </w:r>
          </w:p>
        </w:tc>
        <w:tc>
          <w:tcPr>
            <w:tcW w:w="10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0" w:type="dxa"/>
            <w:vAlign w:val="bottom"/>
          </w:tcPr>
          <w:p>
            <w:pPr>
              <w:spacing w:after="0"/>
              <w:rPr>
                <w:sz w:val="9"/>
                <w:szCs w:val="9"/>
                <w:color w:val="auto"/>
              </w:rPr>
            </w:pPr>
          </w:p>
        </w:tc>
      </w:tr>
      <w:tr>
        <w:trPr>
          <w:trHeight w:val="169"/>
        </w:trPr>
        <w:tc>
          <w:tcPr>
            <w:tcW w:w="2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Except Billable Hours in Thousands)</w:t>
            </w: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Locations at period end</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12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Average billable census * </w:t>
            </w:r>
            <w:r>
              <w:rPr>
                <w:rFonts w:ascii="Times New Roman" w:cs="Times New Roman" w:eastAsia="Times New Roman" w:hAnsi="Times New Roman"/>
                <w:sz w:val="16"/>
                <w:szCs w:val="16"/>
                <w:color w:val="auto"/>
                <w:vertAlign w:val="superscript"/>
              </w:rPr>
              <w:t>(1)</w:t>
            </w: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37,993</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39,099</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(1,106)</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(2.8) %</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37,854</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38,707</w:t>
            </w: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(853)</w:t>
            </w:r>
          </w:p>
        </w:tc>
        <w:tc>
          <w:tcPr>
            <w:tcW w:w="100" w:type="dxa"/>
            <w:vAlign w:val="bottom"/>
            <w:shd w:val="clear" w:color="auto" w:fill="CFF0FC"/>
          </w:tcPr>
          <w:p>
            <w:pPr>
              <w:spacing w:after="0"/>
              <w:rPr>
                <w:sz w:val="14"/>
                <w:szCs w:val="14"/>
                <w:color w:val="auto"/>
              </w:rPr>
            </w:pPr>
          </w:p>
        </w:tc>
        <w:tc>
          <w:tcPr>
            <w:tcW w:w="5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w w:val="87"/>
              </w:rPr>
              <w:t>(2.2) %</w:t>
            </w:r>
          </w:p>
        </w:tc>
        <w:tc>
          <w:tcPr>
            <w:tcW w:w="20" w:type="dxa"/>
            <w:vAlign w:val="bottom"/>
          </w:tcPr>
          <w:p>
            <w:pPr>
              <w:spacing w:after="0"/>
              <w:rPr>
                <w:sz w:val="14"/>
                <w:szCs w:val="14"/>
                <w:color w:val="auto"/>
              </w:rPr>
            </w:pPr>
          </w:p>
        </w:tc>
      </w:tr>
      <w:tr>
        <w:trPr>
          <w:trHeight w:val="162"/>
        </w:trPr>
        <w:tc>
          <w:tcPr>
            <w:tcW w:w="2120" w:type="dxa"/>
            <w:vAlign w:val="bottom"/>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Billable hours * </w:t>
            </w:r>
            <w:r>
              <w:rPr>
                <w:rFonts w:ascii="Times New Roman" w:cs="Times New Roman" w:eastAsia="Times New Roman" w:hAnsi="Times New Roman"/>
                <w:sz w:val="16"/>
                <w:szCs w:val="16"/>
                <w:color w:val="auto"/>
                <w:vertAlign w:val="superscript"/>
              </w:rPr>
              <w:t>(2)</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7,732</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7,681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15,322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15,274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22"/>
        </w:trPr>
        <w:tc>
          <w:tcPr>
            <w:tcW w:w="212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3"/>
                <w:szCs w:val="13"/>
                <w:color w:val="auto"/>
              </w:rPr>
              <w:t>Average billable hours per census per</w:t>
            </w: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20" w:type="dxa"/>
            <w:vAlign w:val="bottom"/>
          </w:tcPr>
          <w:p>
            <w:pPr>
              <w:spacing w:after="0"/>
              <w:rPr>
                <w:sz w:val="10"/>
                <w:szCs w:val="10"/>
                <w:color w:val="auto"/>
              </w:rPr>
            </w:pPr>
          </w:p>
        </w:tc>
      </w:tr>
      <w:tr>
        <w:trPr>
          <w:trHeight w:val="176"/>
        </w:trPr>
        <w:tc>
          <w:tcPr>
            <w:tcW w:w="212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3"/>
                <w:szCs w:val="13"/>
                <w:color w:val="auto"/>
              </w:rPr>
              <w:t xml:space="preserve">month * </w:t>
            </w:r>
            <w:r>
              <w:rPr>
                <w:rFonts w:ascii="Times New Roman" w:cs="Times New Roman" w:eastAsia="Times New Roman" w:hAnsi="Times New Roman"/>
                <w:sz w:val="16"/>
                <w:szCs w:val="16"/>
                <w:color w:val="auto"/>
                <w:vertAlign w:val="superscript"/>
              </w:rPr>
              <w:t>(2)</w:t>
            </w:r>
          </w:p>
        </w:tc>
        <w:tc>
          <w:tcPr>
            <w:tcW w:w="10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67.7</w:t>
            </w: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65.3</w:t>
            </w:r>
          </w:p>
        </w:tc>
        <w:tc>
          <w:tcPr>
            <w:tcW w:w="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67.4</w:t>
            </w: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65.6</w:t>
            </w: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shd w:val="clear" w:color="auto" w:fill="CFF0FC"/>
          </w:tcPr>
          <w:p>
            <w:pPr>
              <w:spacing w:after="0"/>
              <w:rPr>
                <w:sz w:val="15"/>
                <w:szCs w:val="15"/>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62"/>
        </w:trPr>
        <w:tc>
          <w:tcPr>
            <w:tcW w:w="2120" w:type="dxa"/>
            <w:vAlign w:val="bottom"/>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Billable hours per business day * </w:t>
            </w:r>
            <w:r>
              <w:rPr>
                <w:rFonts w:ascii="Times New Roman" w:cs="Times New Roman" w:eastAsia="Times New Roman" w:hAnsi="Times New Roman"/>
                <w:sz w:val="16"/>
                <w:szCs w:val="16"/>
                <w:color w:val="auto"/>
                <w:vertAlign w:val="superscript"/>
              </w:rPr>
              <w:t>(2)</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118,956</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118,177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117,862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117,491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w:t>
            </w: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12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Revenues per billable hour * </w:t>
            </w:r>
            <w:r>
              <w:rPr>
                <w:rFonts w:ascii="Times New Roman" w:cs="Times New Roman" w:eastAsia="Times New Roman" w:hAnsi="Times New Roman"/>
                <w:sz w:val="16"/>
                <w:szCs w:val="16"/>
                <w:color w:val="auto"/>
                <w:vertAlign w:val="superscript"/>
              </w:rPr>
              <w:t>(2)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27.47</w:t>
            </w: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25.57</w:t>
            </w:r>
          </w:p>
        </w:tc>
        <w:tc>
          <w:tcPr>
            <w:tcW w:w="108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1.90</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7.4 %$</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27.41</w:t>
            </w:r>
          </w:p>
        </w:tc>
        <w:tc>
          <w:tcPr>
            <w:tcW w:w="104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25.27</w:t>
            </w:r>
          </w:p>
        </w:tc>
        <w:tc>
          <w:tcPr>
            <w:tcW w:w="1060" w:type="dxa"/>
            <w:vAlign w:val="bottom"/>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2.14</w:t>
            </w:r>
          </w:p>
        </w:tc>
        <w:tc>
          <w:tcPr>
            <w:tcW w:w="10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8.5 %</w:t>
            </w:r>
          </w:p>
        </w:tc>
        <w:tc>
          <w:tcPr>
            <w:tcW w:w="20" w:type="dxa"/>
            <w:vAlign w:val="bottom"/>
          </w:tcPr>
          <w:p>
            <w:pPr>
              <w:spacing w:after="0"/>
              <w:rPr>
                <w:sz w:val="14"/>
                <w:szCs w:val="14"/>
                <w:color w:val="auto"/>
              </w:rPr>
            </w:pPr>
          </w:p>
        </w:tc>
      </w:tr>
      <w:tr>
        <w:trPr>
          <w:trHeight w:val="220"/>
        </w:trPr>
        <w:tc>
          <w:tcPr>
            <w:tcW w:w="2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xml:space="preserve">Same store growth revenue % * </w:t>
            </w:r>
            <w:r>
              <w:rPr>
                <w:rFonts w:ascii="Times New Roman" w:cs="Times New Roman" w:eastAsia="Times New Roman" w:hAnsi="Times New Roman"/>
                <w:sz w:val="16"/>
                <w:szCs w:val="16"/>
                <w:color w:val="auto"/>
                <w:vertAlign w:val="superscript"/>
              </w:rPr>
              <w:t>(3)</w:t>
            </w: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8.8 %</w:t>
            </w: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12.6 %</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4"/>
          </w:tcPr>
          <w:p>
            <w:pPr>
              <w:jc w:val="right"/>
              <w:ind w:right="657"/>
              <w:spacing w:after="0"/>
              <w:rPr>
                <w:sz w:val="20"/>
                <w:szCs w:val="20"/>
                <w:color w:val="auto"/>
              </w:rPr>
            </w:pPr>
            <w:r>
              <w:rPr>
                <w:rFonts w:ascii="Times New Roman" w:cs="Times New Roman" w:eastAsia="Times New Roman" w:hAnsi="Times New Roman"/>
                <w:sz w:val="13"/>
                <w:szCs w:val="13"/>
                <w:color w:val="auto"/>
              </w:rPr>
              <w:t>9.3 %</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4"/>
          </w:tcPr>
          <w:p>
            <w:pPr>
              <w:jc w:val="right"/>
              <w:ind w:right="637"/>
              <w:spacing w:after="0"/>
              <w:rPr>
                <w:sz w:val="20"/>
                <w:szCs w:val="20"/>
                <w:color w:val="auto"/>
              </w:rPr>
            </w:pPr>
            <w:r>
              <w:rPr>
                <w:rFonts w:ascii="Times New Roman" w:cs="Times New Roman" w:eastAsia="Times New Roman" w:hAnsi="Times New Roman"/>
                <w:sz w:val="13"/>
                <w:szCs w:val="13"/>
                <w:color w:val="auto"/>
              </w:rPr>
              <w:t>11.7 %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-1381760</wp:posOffset>
            </wp:positionV>
            <wp:extent cx="7683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-1381760</wp:posOffset>
            </wp:positionV>
            <wp:extent cx="7683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-1381760</wp:posOffset>
            </wp:positionV>
            <wp:extent cx="7747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-1381760</wp:posOffset>
            </wp:positionV>
            <wp:extent cx="7747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-1381760</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-1381760</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-1381760</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-1381760</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-1381760</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-1381760</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-1381760</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-1381760</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1813560</wp:posOffset>
            </wp:positionH>
            <wp:positionV relativeFrom="paragraph">
              <wp:posOffset>-1167765</wp:posOffset>
            </wp:positionV>
            <wp:extent cx="7683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-1167765</wp:posOffset>
            </wp:positionV>
            <wp:extent cx="7683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-1167765</wp:posOffset>
            </wp:positionV>
            <wp:extent cx="7747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-1167765</wp:posOffset>
            </wp:positionV>
            <wp:extent cx="7747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-1167765</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-1167765</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-1167765</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-1167765</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-1167765</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-1167765</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6751320</wp:posOffset>
            </wp:positionH>
            <wp:positionV relativeFrom="paragraph">
              <wp:posOffset>-1167765</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-1167765</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1" w:lineRule="exact"/>
        <w:rPr>
          <w:sz w:val="20"/>
          <w:szCs w:val="20"/>
          <w:color w:val="auto"/>
        </w:rPr>
      </w:pPr>
    </w:p>
    <w:p>
      <w:pPr>
        <w:ind w:left="520" w:right="140" w:hanging="512"/>
        <w:spacing w:after="0" w:line="298" w:lineRule="auto"/>
        <w:tabs>
          <w:tab w:leader="none" w:pos="5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billable census is the number of unique clients receiving a billable service during the year and is the total census divided by months in operation during the period.</w:t>
      </w:r>
    </w:p>
    <w:p>
      <w:pPr>
        <w:spacing w:after="0" w:line="29" w:lineRule="exact"/>
        <w:rPr>
          <w:rFonts w:ascii="Times New Roman" w:cs="Times New Roman" w:eastAsia="Times New Roman" w:hAnsi="Times New Roman"/>
          <w:sz w:val="16"/>
          <w:szCs w:val="16"/>
          <w:color w:val="auto"/>
        </w:rPr>
      </w:pPr>
    </w:p>
    <w:p>
      <w:pPr>
        <w:ind w:left="520" w:right="180" w:hanging="512"/>
        <w:spacing w:after="0" w:line="281" w:lineRule="auto"/>
        <w:tabs>
          <w:tab w:leader="none" w:pos="5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Billable hours is the total number of hours served to clients during the period. Average billable hours per census per month is billable hours divided by average billable census. Billable hours per day is total billable hours divided by the number of business days in the period. Revenues per billable hour is revenue, attributed to billable bonus hours, divided by billable hours.</w:t>
      </w:r>
    </w:p>
    <w:p>
      <w:pPr>
        <w:spacing w:after="0" w:line="42" w:lineRule="exact"/>
        <w:rPr>
          <w:rFonts w:ascii="Times New Roman" w:cs="Times New Roman" w:eastAsia="Times New Roman" w:hAnsi="Times New Roman"/>
          <w:sz w:val="16"/>
          <w:szCs w:val="16"/>
          <w:color w:val="auto"/>
        </w:rPr>
      </w:pPr>
    </w:p>
    <w:p>
      <w:pPr>
        <w:ind w:left="520" w:right="240" w:hanging="512"/>
        <w:spacing w:after="0" w:line="281" w:lineRule="auto"/>
        <w:tabs>
          <w:tab w:leader="none" w:pos="5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Same store growth reflects the change in year-over-year revenue for the same store base. We define the same store base to include those stores open for at least 52 full weeks. This measure highlights the performance of existing stores, while excluding the impact of acquisitions, new store openings and closures and ARPA associated revenue from this calculation.</w:t>
      </w:r>
    </w:p>
    <w:p>
      <w:pPr>
        <w:spacing w:after="0" w:line="42" w:lineRule="exact"/>
        <w:rPr>
          <w:sz w:val="20"/>
          <w:szCs w:val="20"/>
          <w:color w:val="auto"/>
        </w:rPr>
      </w:pPr>
    </w:p>
    <w:p>
      <w:pPr>
        <w:ind w:right="100" w:firstLine="8"/>
        <w:spacing w:after="0" w:line="269" w:lineRule="auto"/>
        <w:tabs>
          <w:tab w:leader="none" w:pos="121"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deems these metrics to be key performance indicators. Management uses these metrics to monitor our performance, both in our existing operations and acquisitions. Many of these metrics serve as the basis of reported revenues and assessment of these provide direct correlation to the results of operations from period to period and facilitate comparison with the results of our peers. Historical trends established in these metrics can be used to evaluate current operating results, identify trends affecting our business, determine the allocation of resources and assess the quality and potential variability of our cash flows and earnings. We believe they are useful to investors in evaluating and understanding our business but should not be used solely in assessing the Company’s performance. These key performance indicators should not be considered superior to, as a substitute for or as an alternative to, and should be considered in conjunction with, the GAAP financial measures presented herein to fully evaluate and understand the business as a whole. These measures may not be comparable to similarly titled performance indicators used by other companies.</w:t>
      </w:r>
    </w:p>
    <w:p>
      <w:pPr>
        <w:spacing w:after="0" w:line="185"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The personal care segment derives a significant amount of its net service revenues from operations in Illinois, which represented 38.6% and 40.0% of our net service revenues for the three months ended June 30, 2024 and 2023, respectively, and accounted for 38.5% and 39.5% of our net service revenues for the six months ended June 30, 2024 and 2023, respectively. One payor, the Illinois Department on Aging, accounted for 21.1% and 21.5% of net service revenues for the three months ended June 30, 2024 and 2023, respectively, and accounted for 20.9% and 21.5% of net service revenues for the six months ended June 30, 2024 and 2023, respectively.</w:t>
      </w:r>
    </w:p>
    <w:p>
      <w:pPr>
        <w:spacing w:after="0" w:line="183" w:lineRule="exact"/>
        <w:rPr>
          <w:sz w:val="20"/>
          <w:szCs w:val="20"/>
          <w:color w:val="auto"/>
        </w:rPr>
      </w:pPr>
    </w:p>
    <w:p>
      <w:pPr>
        <w:ind w:right="280" w:firstLine="509"/>
        <w:spacing w:after="0" w:line="255" w:lineRule="auto"/>
        <w:rPr>
          <w:sz w:val="20"/>
          <w:szCs w:val="20"/>
          <w:color w:val="auto"/>
        </w:rPr>
      </w:pPr>
      <w:r>
        <w:rPr>
          <w:rFonts w:ascii="Times New Roman" w:cs="Times New Roman" w:eastAsia="Times New Roman" w:hAnsi="Times New Roman"/>
          <w:sz w:val="18"/>
          <w:szCs w:val="18"/>
          <w:color w:val="auto"/>
        </w:rPr>
        <w:t>Net service revenues from state, local and other governmental programs accounted for 53.1% and 50.6% of personal care segment net service revenues for the three months ended June 30, 2024 and 2023, respectively. Managed care organizations accounted for 44.2% and 46.0% of personal care segment net service revenues for the three months ended June 30, 2024 and 2023, respectively, with commercial insurance, private pay and other payors accounting for the remainder of personal care segment net service revenues. Net service revenues from state, local and other governmental programs accounted for 52.5% and 50.4% of net service revenues for the six months ended June 30, 2024 and 2023, respectively. Managed care organizations accounted for 44.8% and 46.1% of personal care segment net service revenues for the six months ended June 30, 2024 and 2023, respectively, with commercial insurance, private pay and other payors accounting for the remainder of net service revenues.</w:t>
      </w:r>
    </w:p>
    <w:p>
      <w:pPr>
        <w:spacing w:after="0" w:line="1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765"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Personal care segment net service revenues increased by 7.3% and 8.4% for the three and six months ended June 30, 2024, respectively, compared to the three and six months ended June 30, 2023. Net service revenues included a 7.4% and 8.5% increase in revenues per billable hour for the three and six months ended June 30, 2024, respectively, mainly attributed to rate increases discussed above, as compared to the three and six months ended June 30, 2023.</w:t>
      </w:r>
    </w:p>
    <w:p>
      <w:pPr>
        <w:spacing w:after="0" w:line="18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Gross profit, expressed as a percentage of net service revenues, increased to 28.2% for the three months ended June 30, 2024 from 27.4% for the three months ended June 30, 2023. This increase was primarily due to an increase in revenues per billable hours of 7.4% resulting in decreases in direct payroll and benefits as a percentage of net service revenues for the three months ended June 30, 2024. Gross profit, expressed as a percentage of net service revenues, increased to 27.5% for the six months ended June 30, 2024 from 27.3% for the six months ended June 30, 2023.This increase was primarily due to an increase in revenues per billable hour of 8.5% resulting in decreases in direct payroll and benefits as a percentage of net service revenues for the six months ended June 30, 2024 as compared to the six months ended June 30, 2023.</w:t>
      </w:r>
    </w:p>
    <w:p>
      <w:pPr>
        <w:spacing w:after="0" w:line="187"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expressed as a percentage of net service revenues, were 7.7% and 8.3% for the six months ended June 30, 2024 and 2023,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Hospice Segment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7"/>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For the Three Months Ended June 30,</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9"/>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For the Six Months Ended June 30,</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7"/>
        </w:trPr>
        <w:tc>
          <w:tcPr>
            <w:tcW w:w="20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jc w:val="right"/>
              <w:ind w:right="61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6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3"/>
                <w:szCs w:val="13"/>
                <w:b w:val="1"/>
                <w:bCs w:val="1"/>
                <w:color w:val="auto"/>
                <w:w w:val="98"/>
              </w:rPr>
              <w:t>Change</w:t>
            </w:r>
          </w:p>
        </w:tc>
        <w:tc>
          <w:tcPr>
            <w:tcW w:w="2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4"/>
          </w:tcPr>
          <w:p>
            <w:pPr>
              <w:jc w:val="right"/>
              <w:ind w:right="57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4"/>
          </w:tcPr>
          <w:p>
            <w:pPr>
              <w:jc w:val="right"/>
              <w:ind w:right="57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3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22"/>
        </w:trPr>
        <w:tc>
          <w:tcPr>
            <w:tcW w:w="2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 of</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center"/>
              <w:ind w:right="57"/>
              <w:spacing w:after="0" w:line="122" w:lineRule="exact"/>
              <w:rPr>
                <w:sz w:val="20"/>
                <w:szCs w:val="20"/>
                <w:color w:val="auto"/>
              </w:rPr>
            </w:pPr>
            <w:r>
              <w:rPr>
                <w:rFonts w:ascii="Times New Roman" w:cs="Times New Roman" w:eastAsia="Times New Roman" w:hAnsi="Times New Roman"/>
                <w:sz w:val="13"/>
                <w:szCs w:val="13"/>
                <w:b w:val="1"/>
                <w:bCs w:val="1"/>
                <w:color w:val="auto"/>
                <w:w w:val="95"/>
              </w:rPr>
              <w:t>% of</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 of</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 of</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5"/>
        </w:trPr>
        <w:tc>
          <w:tcPr>
            <w:tcW w:w="2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3"/>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Segment</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Segment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3"/>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Segment</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3"/>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Segment</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3"/>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Net Service</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Net Service</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Net Service</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3"/>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Net Service</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7"/>
        </w:trPr>
        <w:tc>
          <w:tcPr>
            <w:tcW w:w="2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Revenues</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4"/>
              </w:rPr>
              <w:t>Revenues</w:t>
            </w:r>
          </w:p>
        </w:tc>
        <w:tc>
          <w:tcPr>
            <w:tcW w:w="120" w:type="dxa"/>
            <w:vAlign w:val="bottom"/>
          </w:tcPr>
          <w:p>
            <w:pPr>
              <w:spacing w:after="0"/>
              <w:rPr>
                <w:sz w:val="14"/>
                <w:szCs w:val="14"/>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2"/>
              </w:rPr>
              <w:t>Amount</w:t>
            </w: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Revenues</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Revenues</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2"/>
              </w:rPr>
              <w:t>Amount</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0" w:type="dxa"/>
            <w:vAlign w:val="bottom"/>
            <w:gridSpan w:val="9"/>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(Amounts in Thousands, Except Percentages)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360" w:type="dxa"/>
            <w:vAlign w:val="bottom"/>
            <w:gridSpan w:val="12"/>
          </w:tcPr>
          <w:p>
            <w:pPr>
              <w:ind w:left="280"/>
              <w:spacing w:after="0"/>
              <w:rPr>
                <w:sz w:val="20"/>
                <w:szCs w:val="20"/>
                <w:color w:val="auto"/>
              </w:rPr>
            </w:pPr>
            <w:r>
              <w:rPr>
                <w:rFonts w:ascii="Times New Roman" w:cs="Times New Roman" w:eastAsia="Times New Roman" w:hAnsi="Times New Roman"/>
                <w:sz w:val="13"/>
                <w:szCs w:val="13"/>
                <w:b w:val="1"/>
                <w:bCs w:val="1"/>
                <w:color w:val="auto"/>
              </w:rPr>
              <w:t>(Amounts in Thousands, Except Percentages)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3"/>
        </w:trPr>
        <w:tc>
          <w:tcPr>
            <w:tcW w:w="2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Results</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service revenues</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56,030</w:t>
            </w:r>
          </w:p>
        </w:tc>
        <w:tc>
          <w:tcPr>
            <w:tcW w:w="120" w:type="dxa"/>
            <w:vAlign w:val="bottom"/>
          </w:tcPr>
          <w:p>
            <w:pPr>
              <w:spacing w:after="0"/>
              <w:rPr>
                <w:sz w:val="14"/>
                <w:szCs w:val="14"/>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100.0 % $</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50,210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tcPr>
          <w:p>
            <w:pPr>
              <w:jc w:val="right"/>
              <w:ind w:right="17"/>
              <w:spacing w:after="0"/>
              <w:rPr>
                <w:sz w:val="20"/>
                <w:szCs w:val="20"/>
                <w:color w:val="auto"/>
              </w:rPr>
            </w:pPr>
            <w:r>
              <w:rPr>
                <w:rFonts w:ascii="Times New Roman" w:cs="Times New Roman" w:eastAsia="Times New Roman" w:hAnsi="Times New Roman"/>
                <w:sz w:val="13"/>
                <w:szCs w:val="13"/>
                <w:color w:val="auto"/>
              </w:rPr>
              <w:t>100.0 % $</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5,820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11.6 %$</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111,893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99,292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100.0 %$</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12,601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12.7 %</w:t>
            </w:r>
          </w:p>
        </w:tc>
        <w:tc>
          <w:tcPr>
            <w:tcW w:w="20" w:type="dxa"/>
            <w:vAlign w:val="bottom"/>
          </w:tcPr>
          <w:p>
            <w:pPr>
              <w:spacing w:after="0"/>
              <w:rPr>
                <w:sz w:val="14"/>
                <w:szCs w:val="14"/>
                <w:color w:val="auto"/>
              </w:rPr>
            </w:pPr>
          </w:p>
        </w:tc>
      </w:tr>
      <w:tr>
        <w:trPr>
          <w:trHeight w:val="162"/>
        </w:trPr>
        <w:tc>
          <w:tcPr>
            <w:tcW w:w="2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Cost of services revenues</w:t>
            </w:r>
          </w:p>
        </w:tc>
        <w:tc>
          <w:tcPr>
            <w:tcW w:w="10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29,730</w:t>
            </w:r>
          </w:p>
        </w:tc>
        <w:tc>
          <w:tcPr>
            <w:tcW w:w="12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53.1</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26,606</w:t>
            </w:r>
          </w:p>
        </w:tc>
        <w:tc>
          <w:tcPr>
            <w:tcW w:w="1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53.0</w:t>
            </w: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3,124</w:t>
            </w:r>
          </w:p>
        </w:tc>
        <w:tc>
          <w:tcPr>
            <w:tcW w:w="10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58,697</w:t>
            </w:r>
          </w:p>
        </w:tc>
        <w:tc>
          <w:tcPr>
            <w:tcW w:w="10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52.5</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53,873</w:t>
            </w:r>
          </w:p>
        </w:tc>
        <w:tc>
          <w:tcPr>
            <w:tcW w:w="10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54.3</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4,824</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00" w:type="dxa"/>
            <w:vAlign w:val="bottom"/>
            <w:tcBorders>
              <w:bottom w:val="single" w:sz="8" w:color="CFF0FC"/>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2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Gross profit</w:t>
            </w: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26,300</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23,604</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2,696</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53,196</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45,419</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7,777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2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General and administrative expenses</w:t>
            </w:r>
          </w:p>
        </w:tc>
        <w:tc>
          <w:tcPr>
            <w:tcW w:w="10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13,466</w:t>
            </w:r>
          </w:p>
        </w:tc>
        <w:tc>
          <w:tcPr>
            <w:tcW w:w="12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24.0</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12,768</w:t>
            </w:r>
          </w:p>
        </w:tc>
        <w:tc>
          <w:tcPr>
            <w:tcW w:w="1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25.4</w:t>
            </w: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698</w:t>
            </w:r>
          </w:p>
        </w:tc>
        <w:tc>
          <w:tcPr>
            <w:tcW w:w="10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26,905</w:t>
            </w:r>
          </w:p>
        </w:tc>
        <w:tc>
          <w:tcPr>
            <w:tcW w:w="10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24.0</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25,783</w:t>
            </w:r>
          </w:p>
        </w:tc>
        <w:tc>
          <w:tcPr>
            <w:tcW w:w="10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26.0</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1,122</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tcBorders>
              <w:bottom w:val="single" w:sz="8" w:color="CFF0FC"/>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2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Segment operating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12,834</w:t>
            </w:r>
          </w:p>
        </w:tc>
        <w:tc>
          <w:tcPr>
            <w:tcW w:w="120" w:type="dxa"/>
            <w:vAlign w:val="bottom"/>
          </w:tcPr>
          <w:p>
            <w:pPr>
              <w:spacing w:after="0"/>
              <w:rPr>
                <w:sz w:val="13"/>
                <w:szCs w:val="13"/>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22.9 % $</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10,836</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3"/>
          </w:tcPr>
          <w:p>
            <w:pPr>
              <w:jc w:val="right"/>
              <w:ind w:right="17"/>
              <w:spacing w:after="0"/>
              <w:rPr>
                <w:sz w:val="20"/>
                <w:szCs w:val="20"/>
                <w:color w:val="auto"/>
              </w:rPr>
            </w:pPr>
            <w:r>
              <w:rPr>
                <w:rFonts w:ascii="Times New Roman" w:cs="Times New Roman" w:eastAsia="Times New Roman" w:hAnsi="Times New Roman"/>
                <w:sz w:val="13"/>
                <w:szCs w:val="13"/>
                <w:color w:val="auto"/>
              </w:rPr>
              <w:t>21.6 % $</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1,998</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18.4 %$</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26,291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23.5 %$</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19,636</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19.8 %$</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6,655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33.9 %</w:t>
            </w:r>
          </w:p>
        </w:tc>
        <w:tc>
          <w:tcPr>
            <w:tcW w:w="20" w:type="dxa"/>
            <w:vAlign w:val="bottom"/>
          </w:tcPr>
          <w:p>
            <w:pPr>
              <w:spacing w:after="0"/>
              <w:rPr>
                <w:sz w:val="13"/>
                <w:szCs w:val="13"/>
                <w:color w:val="auto"/>
              </w:rPr>
            </w:pPr>
          </w:p>
        </w:tc>
      </w:tr>
      <w:tr>
        <w:trPr>
          <w:trHeight w:val="20"/>
        </w:trPr>
        <w:tc>
          <w:tcPr>
            <w:tcW w:w="2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3"/>
        </w:trPr>
        <w:tc>
          <w:tcPr>
            <w:tcW w:w="2040" w:type="dxa"/>
            <w:vAlign w:val="bottom"/>
            <w:shd w:val="clear" w:color="auto" w:fill="CFF0FC"/>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Business Metrics (Actual Numbers)</w:t>
            </w: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62"/>
        </w:trPr>
        <w:tc>
          <w:tcPr>
            <w:tcW w:w="2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Locations at period end</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04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Admissions * </w:t>
            </w:r>
            <w:r>
              <w:rPr>
                <w:rFonts w:ascii="Times New Roman" w:cs="Times New Roman" w:eastAsia="Times New Roman" w:hAnsi="Times New Roman"/>
                <w:sz w:val="16"/>
                <w:szCs w:val="16"/>
                <w:color w:val="auto"/>
                <w:vertAlign w:val="superscript"/>
              </w:rPr>
              <w:t>(1)</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3,194</w:t>
            </w: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3,076</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3.8 %</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6,666</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6,400</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266</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4.2 %</w:t>
            </w:r>
          </w:p>
        </w:tc>
        <w:tc>
          <w:tcPr>
            <w:tcW w:w="20" w:type="dxa"/>
            <w:vAlign w:val="bottom"/>
          </w:tcPr>
          <w:p>
            <w:pPr>
              <w:spacing w:after="0"/>
              <w:rPr>
                <w:sz w:val="14"/>
                <w:szCs w:val="14"/>
                <w:color w:val="auto"/>
              </w:rPr>
            </w:pPr>
          </w:p>
        </w:tc>
      </w:tr>
      <w:tr>
        <w:trPr>
          <w:trHeight w:val="162"/>
        </w:trPr>
        <w:tc>
          <w:tcPr>
            <w:tcW w:w="2040" w:type="dxa"/>
            <w:vAlign w:val="bottom"/>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Average daily census * </w:t>
            </w:r>
            <w:r>
              <w:rPr>
                <w:rFonts w:ascii="Times New Roman" w:cs="Times New Roman" w:eastAsia="Times New Roman" w:hAnsi="Times New Roman"/>
                <w:sz w:val="16"/>
                <w:szCs w:val="16"/>
                <w:color w:val="auto"/>
                <w:vertAlign w:val="superscript"/>
              </w:rPr>
              <w:t>(2)</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3,477</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04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Average discharge length of stay * </w:t>
            </w:r>
            <w:r>
              <w:rPr>
                <w:rFonts w:ascii="Times New Roman" w:cs="Times New Roman" w:eastAsia="Times New Roman" w:hAnsi="Times New Roman"/>
                <w:sz w:val="16"/>
                <w:szCs w:val="16"/>
                <w:color w:val="auto"/>
                <w:vertAlign w:val="superscript"/>
              </w:rPr>
              <w:t>(3)</w:t>
            </w: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6"/>
              </w:rPr>
              <w:t>(1.1)</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w:t>
            </w: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040" w:type="dxa"/>
            <w:vAlign w:val="bottom"/>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Patient days * </w:t>
            </w:r>
            <w:r>
              <w:rPr>
                <w:rFonts w:ascii="Times New Roman" w:cs="Times New Roman" w:eastAsia="Times New Roman" w:hAnsi="Times New Roman"/>
                <w:sz w:val="16"/>
                <w:szCs w:val="16"/>
                <w:color w:val="auto"/>
                <w:vertAlign w:val="superscript"/>
              </w:rPr>
              <w:t>(4)</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316,451</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293,502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22,949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622,081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581,053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41,028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04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Revenue per patient day * </w:t>
            </w:r>
            <w:r>
              <w:rPr>
                <w:rFonts w:ascii="Times New Roman" w:cs="Times New Roman" w:eastAsia="Times New Roman" w:hAnsi="Times New Roman"/>
                <w:sz w:val="16"/>
                <w:szCs w:val="16"/>
                <w:color w:val="auto"/>
                <w:vertAlign w:val="superscript"/>
              </w:rPr>
              <w:t>(5)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179.47</w:t>
            </w:r>
          </w:p>
        </w:tc>
        <w:tc>
          <w:tcPr>
            <w:tcW w:w="120" w:type="dxa"/>
            <w:vAlign w:val="bottom"/>
            <w:shd w:val="clear" w:color="auto" w:fill="CFF0FC"/>
          </w:tcPr>
          <w:p>
            <w:pPr>
              <w:spacing w:after="0"/>
              <w:rPr>
                <w:sz w:val="14"/>
                <w:szCs w:val="14"/>
                <w:color w:val="auto"/>
              </w:rPr>
            </w:pPr>
          </w:p>
        </w:tc>
        <w:tc>
          <w:tcPr>
            <w:tcW w:w="10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174.32</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5.15</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3.0 % $</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181.10</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175.26</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9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5.84</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3.3 %</w:t>
            </w:r>
          </w:p>
        </w:tc>
        <w:tc>
          <w:tcPr>
            <w:tcW w:w="20" w:type="dxa"/>
            <w:vAlign w:val="bottom"/>
          </w:tcPr>
          <w:p>
            <w:pPr>
              <w:spacing w:after="0"/>
              <w:rPr>
                <w:sz w:val="14"/>
                <w:szCs w:val="14"/>
                <w:color w:val="auto"/>
              </w:rPr>
            </w:pPr>
          </w:p>
        </w:tc>
      </w:tr>
      <w:tr>
        <w:trPr>
          <w:trHeight w:val="162"/>
        </w:trPr>
        <w:tc>
          <w:tcPr>
            <w:tcW w:w="2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Organic growth</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040" w:type="dxa"/>
            <w:vAlign w:val="bottom"/>
            <w:shd w:val="clear" w:color="auto" w:fill="CFF0FC"/>
          </w:tcPr>
          <w:p>
            <w:pPr>
              <w:ind w:left="120"/>
              <w:spacing w:after="0" w:line="162" w:lineRule="exact"/>
              <w:rPr>
                <w:sz w:val="20"/>
                <w:szCs w:val="20"/>
                <w:color w:val="auto"/>
              </w:rPr>
            </w:pPr>
            <w:r>
              <w:rPr>
                <w:rFonts w:ascii="Times New Roman" w:cs="Times New Roman" w:eastAsia="Times New Roman" w:hAnsi="Times New Roman"/>
                <w:sz w:val="13"/>
                <w:szCs w:val="13"/>
                <w:color w:val="auto"/>
              </w:rPr>
              <w:t xml:space="preserve">- Revenue * </w:t>
            </w:r>
            <w:r>
              <w:rPr>
                <w:rFonts w:ascii="Times New Roman" w:cs="Times New Roman" w:eastAsia="Times New Roman" w:hAnsi="Times New Roman"/>
                <w:sz w:val="16"/>
                <w:szCs w:val="16"/>
                <w:color w:val="auto"/>
                <w:vertAlign w:val="superscript"/>
              </w:rPr>
              <w:t>(6)</w:t>
            </w: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6.3 %</w:t>
            </w: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(1.1) %</w:t>
            </w: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6.1 %</w:t>
            </w: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0.5 %</w:t>
            </w: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220"/>
        </w:trPr>
        <w:tc>
          <w:tcPr>
            <w:tcW w:w="20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 xml:space="preserve">- Average daily census * </w:t>
            </w:r>
            <w:r>
              <w:rPr>
                <w:rFonts w:ascii="Times New Roman" w:cs="Times New Roman" w:eastAsia="Times New Roman" w:hAnsi="Times New Roman"/>
                <w:sz w:val="16"/>
                <w:szCs w:val="16"/>
                <w:color w:val="auto"/>
                <w:vertAlign w:val="superscript"/>
              </w:rPr>
              <w:t>(6)</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1.7 %</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(3.2) %</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0.4 %</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1.4 %</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-1416050</wp:posOffset>
            </wp:positionV>
            <wp:extent cx="7683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-1416050</wp:posOffset>
            </wp:positionV>
            <wp:extent cx="7683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-1416050</wp:posOffset>
            </wp:positionV>
            <wp:extent cx="7683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-1416050</wp:posOffset>
            </wp:positionV>
            <wp:extent cx="7747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-1416050</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-1416050</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-1416050</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-1416050</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-1416050</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-1416050</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-1416050</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-1416050</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-1202055</wp:posOffset>
            </wp:positionV>
            <wp:extent cx="7683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-1202055</wp:posOffset>
            </wp:positionV>
            <wp:extent cx="7683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-1202055</wp:posOffset>
            </wp:positionV>
            <wp:extent cx="7683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-1202055</wp:posOffset>
            </wp:positionV>
            <wp:extent cx="7747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-1202055</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-1202055</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-1202055</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-1202055</wp:posOffset>
            </wp:positionV>
            <wp:extent cx="685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-1202055</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-1202055</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-1202055</wp:posOffset>
            </wp:positionV>
            <wp:extent cx="685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-1202055</wp:posOffset>
            </wp:positionV>
            <wp:extent cx="685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1"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referral process and new patients on service during the period.</w:t>
      </w:r>
    </w:p>
    <w:p>
      <w:pPr>
        <w:spacing w:after="0" w:line="99"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daily census is total patient days divided by the number of days in the period.</w:t>
      </w:r>
    </w:p>
    <w:p>
      <w:pPr>
        <w:spacing w:after="0" w:line="99" w:lineRule="exact"/>
        <w:rPr>
          <w:rFonts w:ascii="Times New Roman" w:cs="Times New Roman" w:eastAsia="Times New Roman" w:hAnsi="Times New Roman"/>
          <w:sz w:val="16"/>
          <w:szCs w:val="16"/>
          <w:color w:val="auto"/>
        </w:rPr>
      </w:pPr>
    </w:p>
    <w:p>
      <w:pPr>
        <w:ind w:left="520" w:right="300" w:hanging="512"/>
        <w:spacing w:after="0" w:line="298" w:lineRule="auto"/>
        <w:tabs>
          <w:tab w:leader="none" w:pos="5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length of stay is the average number of days a patient is on service, calculated upon discharge, and is total patient days divided by total discharges in the period.</w:t>
      </w:r>
    </w:p>
    <w:p>
      <w:pPr>
        <w:spacing w:after="0" w:line="29"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Patient days is days of service for all patients in the period.</w:t>
      </w:r>
    </w:p>
    <w:p>
      <w:pPr>
        <w:spacing w:after="0" w:line="99"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per patient day is hospice revenue divided by the number of patient days in the period.</w:t>
      </w:r>
    </w:p>
    <w:p>
      <w:pPr>
        <w:spacing w:after="0" w:line="99" w:lineRule="exact"/>
        <w:rPr>
          <w:rFonts w:ascii="Times New Roman" w:cs="Times New Roman" w:eastAsia="Times New Roman" w:hAnsi="Times New Roman"/>
          <w:sz w:val="16"/>
          <w:szCs w:val="16"/>
          <w:color w:val="auto"/>
        </w:rPr>
      </w:pPr>
    </w:p>
    <w:p>
      <w:pPr>
        <w:ind w:left="520" w:right="100" w:hanging="512"/>
        <w:spacing w:after="0" w:line="281" w:lineRule="auto"/>
        <w:tabs>
          <w:tab w:leader="none" w:pos="52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organic growth and average daily census organic growth reflect the change in year-over-year revenue and average daily census for the same store base. We define the same store base to include those stores open for at least 52 full weeks. These measures highlight the performance of existing stores, while excluding the impact of acquisitions, new store openings and closures.</w:t>
      </w:r>
    </w:p>
    <w:p>
      <w:pPr>
        <w:spacing w:after="0" w:line="42" w:lineRule="exact"/>
        <w:rPr>
          <w:sz w:val="20"/>
          <w:szCs w:val="20"/>
          <w:color w:val="auto"/>
        </w:rPr>
      </w:pPr>
    </w:p>
    <w:p>
      <w:pPr>
        <w:ind w:right="100" w:firstLine="8"/>
        <w:spacing w:after="0" w:line="269" w:lineRule="auto"/>
        <w:tabs>
          <w:tab w:leader="none" w:pos="121"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deems these metrics to be key performance indicators. Management uses these metrics to monitor our performance, both in our existing operations and acquisitions. Many of these metrics serve as the basis of reported revenues and assessment of these provide direct correlation to the results of operations from period to period and facilitate comparison with the results of our peers. Historical trends established in these metrics can be used to evaluate current operating results, identify trends affecting our business, determine the allocation of resources and assess the quality and potential variability of our cash flows and earnings. We believe they are useful to investors in evaluating and understanding our business but should not be used solely in assessing the Company’s performance. These key performance indicators should not be considered superior to, as a substitute for or as an alternative to, and should be considered in conjunction with, the GAAP financial measures presented herein to fully evaluate and understand the business as a whole. These measures may not be comparable to similarly titled performance indicators used by other companies.</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765"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The hospice segment generates net service revenues by providing care to patients with a life expectancy of six months or less, as well as related services for their families. Hospice offers four levels of care, as defined by Medicare, to meet the varying needs of patients and their families. The four levels of hospice include routine home care, continuous home care, general inpatient care and respite care. Our hospice segment principally provides routine home care and continuous home care services, and with the JourneyCare acquisition, expanded into providing general inpatient care services. In our hospice segment, net service revenues from Medicare accounted for 91.2% and 90.7% of total hospice segment net service revenues for the three months ended June 30, 2024 and 2023, respectively, and 91.0% for both the six months ended June 30, 2024 and 2023. Net service revenues from managed care organizations accounted for 3.1% and 3.8% of total hospice segment net service revenues for each the three months ended June 30, 2024 and 2023, respectively, and 3.3% and 3.2% for the six months ended June 30, 2024 and 2023, respectively.</w:t>
      </w:r>
    </w:p>
    <w:p>
      <w:pPr>
        <w:spacing w:after="0" w:line="192"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Hospice net service revenues increased by $5.8 million and $12.6 million for the three and six months ended June 30, 2024, respectively, compared to the three and six months ended June 30, 2023, primarily attributed to organic growth and the acquisitions of the operations of Tennessee Quality Care on August 1, 2023.</w:t>
      </w:r>
    </w:p>
    <w:p>
      <w:pPr>
        <w:spacing w:after="0" w:line="176"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Gross profit, expressed as a percentage of net service revenues, was 46.9% and 47.0% for the three months ended June 30, 2024 and 2023, respectively, and 47.5% and 45.7% for the six months ended June 30, 2024 and 2023, respectively. For the three months ended June 30, 2024, gross profit was relatively consistent with the prior period, and for the six months ended June 30, 2024, the increase was mainly attributed to a decrease in direct employee wages, taxes and benefit costs as a percentage of net service revenues.</w:t>
      </w:r>
    </w:p>
    <w:p>
      <w:pPr>
        <w:spacing w:after="0" w:line="18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hospice segment’s general and administrative expenses primarily consist of administrative employee wages, taxes and benefit costs, rent, information technology and office expenses. General and administrative expenses, expressed as a percentage of net service revenues, were 24.0% and 25.4% for the three months ended June 30, 2024 and 2023, respectively, and 24.0% and 26.0% for the six months ended June 30, 2024 and 2023, respectively. The decrease in general and administrative expenses as a percentage of net service revenues was primarily due to more efficient operations for administrative employees for the three and six months ended June 30, 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Home Health Segment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8"/>
          </w:tcPr>
          <w:p>
            <w:pPr>
              <w:ind w:left="500"/>
              <w:spacing w:after="0"/>
              <w:rPr>
                <w:sz w:val="20"/>
                <w:szCs w:val="20"/>
                <w:color w:val="auto"/>
              </w:rPr>
            </w:pPr>
            <w:r>
              <w:rPr>
                <w:rFonts w:ascii="Times New Roman" w:cs="Times New Roman" w:eastAsia="Times New Roman" w:hAnsi="Times New Roman"/>
                <w:sz w:val="13"/>
                <w:szCs w:val="13"/>
                <w:b w:val="1"/>
                <w:bCs w:val="1"/>
                <w:color w:val="auto"/>
                <w:w w:val="99"/>
              </w:rPr>
              <w:t>For the Three Months Ended June 30,</w:t>
            </w:r>
          </w:p>
        </w:tc>
        <w:tc>
          <w:tcPr>
            <w:tcW w:w="1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9"/>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For the Six Months Ended June 30,</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7"/>
        </w:trPr>
        <w:tc>
          <w:tcPr>
            <w:tcW w:w="20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ind w:right="57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6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3"/>
                <w:szCs w:val="13"/>
                <w:b w:val="1"/>
                <w:bCs w:val="1"/>
                <w:color w:val="auto"/>
                <w:w w:val="98"/>
              </w:rPr>
              <w:t>Change</w:t>
            </w:r>
          </w:p>
        </w:tc>
        <w:tc>
          <w:tcPr>
            <w:tcW w:w="3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4"/>
          </w:tcPr>
          <w:p>
            <w:pPr>
              <w:jc w:val="right"/>
              <w:ind w:right="57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4"/>
          </w:tcPr>
          <w:p>
            <w:pPr>
              <w:jc w:val="right"/>
              <w:ind w:right="57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3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22"/>
        </w:trPr>
        <w:tc>
          <w:tcPr>
            <w:tcW w:w="2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 of</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center"/>
              <w:ind w:right="57"/>
              <w:spacing w:after="0" w:line="122" w:lineRule="exact"/>
              <w:rPr>
                <w:sz w:val="20"/>
                <w:szCs w:val="20"/>
                <w:color w:val="auto"/>
              </w:rPr>
            </w:pPr>
            <w:r>
              <w:rPr>
                <w:rFonts w:ascii="Times New Roman" w:cs="Times New Roman" w:eastAsia="Times New Roman" w:hAnsi="Times New Roman"/>
                <w:sz w:val="13"/>
                <w:szCs w:val="13"/>
                <w:b w:val="1"/>
                <w:bCs w:val="1"/>
                <w:color w:val="auto"/>
                <w:w w:val="95"/>
              </w:rPr>
              <w:t>% of</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 of</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5"/>
              </w:rPr>
              <w:t>% of</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5"/>
        </w:trPr>
        <w:tc>
          <w:tcPr>
            <w:tcW w:w="2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Segment</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Segment</w:t>
            </w: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3"/>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Segment</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3"/>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Segment</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2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Net Service</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Net Service</w:t>
            </w: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Net Service</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3"/>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Net Service</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7"/>
        </w:trPr>
        <w:tc>
          <w:tcPr>
            <w:tcW w:w="2040" w:type="dxa"/>
            <w:vAlign w:val="bottom"/>
          </w:tcPr>
          <w:p>
            <w:pPr>
              <w:spacing w:after="0"/>
              <w:rPr>
                <w:sz w:val="14"/>
                <w:szCs w:val="14"/>
                <w:color w:val="auto"/>
              </w:rPr>
            </w:pPr>
          </w:p>
        </w:tc>
        <w:tc>
          <w:tcPr>
            <w:tcW w:w="580" w:type="dxa"/>
            <w:vAlign w:val="bottom"/>
            <w:tcBorders>
              <w:bottom w:val="single" w:sz="8" w:color="auto"/>
            </w:tcBorders>
            <w:gridSpan w:val="2"/>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Revenues</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8"/>
              </w:rPr>
              <w:t>Revenues</w:t>
            </w:r>
          </w:p>
        </w:tc>
        <w:tc>
          <w:tcPr>
            <w:tcW w:w="120" w:type="dxa"/>
            <w:vAlign w:val="bottom"/>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Revenues</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Revenues</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2"/>
              </w:rPr>
              <w:t>Amount</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20" w:type="dxa"/>
            <w:vAlign w:val="bottom"/>
            <w:gridSpan w:val="9"/>
          </w:tcPr>
          <w:p>
            <w:pPr>
              <w:jc w:val="right"/>
              <w:spacing w:after="0"/>
              <w:rPr>
                <w:sz w:val="20"/>
                <w:szCs w:val="20"/>
                <w:color w:val="auto"/>
              </w:rPr>
            </w:pPr>
            <w:r>
              <w:rPr>
                <w:rFonts w:ascii="Times New Roman" w:cs="Times New Roman" w:eastAsia="Times New Roman" w:hAnsi="Times New Roman"/>
                <w:sz w:val="13"/>
                <w:szCs w:val="13"/>
                <w:b w:val="1"/>
                <w:bCs w:val="1"/>
                <w:color w:val="auto"/>
              </w:rPr>
              <w:t>(Amounts in Thousands, Except Percentages)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360" w:type="dxa"/>
            <w:vAlign w:val="bottom"/>
            <w:gridSpan w:val="12"/>
          </w:tcPr>
          <w:p>
            <w:pPr>
              <w:ind w:left="280"/>
              <w:spacing w:after="0"/>
              <w:rPr>
                <w:sz w:val="20"/>
                <w:szCs w:val="20"/>
                <w:color w:val="auto"/>
              </w:rPr>
            </w:pPr>
            <w:r>
              <w:rPr>
                <w:rFonts w:ascii="Times New Roman" w:cs="Times New Roman" w:eastAsia="Times New Roman" w:hAnsi="Times New Roman"/>
                <w:sz w:val="13"/>
                <w:szCs w:val="13"/>
                <w:b w:val="1"/>
                <w:bCs w:val="1"/>
                <w:color w:val="auto"/>
              </w:rPr>
              <w:t>(Amounts in Thousands, Except Percentages)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3"/>
        </w:trPr>
        <w:tc>
          <w:tcPr>
            <w:tcW w:w="2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Results</w:t>
            </w:r>
          </w:p>
        </w:tc>
        <w:tc>
          <w:tcPr>
            <w:tcW w:w="1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service revenues</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18,075</w:t>
            </w:r>
          </w:p>
        </w:tc>
        <w:tc>
          <w:tcPr>
            <w:tcW w:w="120" w:type="dxa"/>
            <w:vAlign w:val="bottom"/>
          </w:tcPr>
          <w:p>
            <w:pPr>
              <w:spacing w:after="0"/>
              <w:rPr>
                <w:sz w:val="14"/>
                <w:szCs w:val="14"/>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100.0 % $</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11,456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rPr>
              <w:t>100.0 % $</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6,619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57.8 %$</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34,955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100.0 %$</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23,941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100.0 %$</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11,014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46.0 %</w:t>
            </w:r>
          </w:p>
        </w:tc>
        <w:tc>
          <w:tcPr>
            <w:tcW w:w="20" w:type="dxa"/>
            <w:vAlign w:val="bottom"/>
          </w:tcPr>
          <w:p>
            <w:pPr>
              <w:spacing w:after="0"/>
              <w:rPr>
                <w:sz w:val="14"/>
                <w:szCs w:val="14"/>
                <w:color w:val="auto"/>
              </w:rPr>
            </w:pPr>
          </w:p>
        </w:tc>
      </w:tr>
      <w:tr>
        <w:trPr>
          <w:trHeight w:val="162"/>
        </w:trPr>
        <w:tc>
          <w:tcPr>
            <w:tcW w:w="2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Cost of services revenues</w:t>
            </w:r>
          </w:p>
        </w:tc>
        <w:tc>
          <w:tcPr>
            <w:tcW w:w="120" w:type="dxa"/>
            <w:vAlign w:val="bottom"/>
            <w:tcBorders>
              <w:bottom w:val="single" w:sz="8" w:color="auto"/>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11,279</w:t>
            </w:r>
          </w:p>
        </w:tc>
        <w:tc>
          <w:tcPr>
            <w:tcW w:w="12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62.4</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7,084</w:t>
            </w: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61.8</w:t>
            </w: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4,195</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59.2</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22,345</w:t>
            </w:r>
          </w:p>
        </w:tc>
        <w:tc>
          <w:tcPr>
            <w:tcW w:w="10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63.9</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14,618</w:t>
            </w:r>
          </w:p>
        </w:tc>
        <w:tc>
          <w:tcPr>
            <w:tcW w:w="10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61.1</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7,727</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52.9</w:t>
            </w:r>
          </w:p>
        </w:tc>
        <w:tc>
          <w:tcPr>
            <w:tcW w:w="100" w:type="dxa"/>
            <w:vAlign w:val="bottom"/>
            <w:tcBorders>
              <w:bottom w:val="single" w:sz="8" w:color="CFF0FC"/>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2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Gross profit</w:t>
            </w: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6,796</w:t>
            </w: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4,372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38.2</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12,610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9,323</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2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General and administrative expenses</w:t>
            </w:r>
          </w:p>
        </w:tc>
        <w:tc>
          <w:tcPr>
            <w:tcW w:w="120" w:type="dxa"/>
            <w:vAlign w:val="bottom"/>
            <w:tcBorders>
              <w:bottom w:val="single" w:sz="8" w:color="auto"/>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4,572</w:t>
            </w:r>
          </w:p>
        </w:tc>
        <w:tc>
          <w:tcPr>
            <w:tcW w:w="12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25.3</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2,641</w:t>
            </w: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23.1</w:t>
            </w: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1,931</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73.1</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9,109</w:t>
            </w:r>
          </w:p>
        </w:tc>
        <w:tc>
          <w:tcPr>
            <w:tcW w:w="10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26.1</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5,521</w:t>
            </w:r>
          </w:p>
        </w:tc>
        <w:tc>
          <w:tcPr>
            <w:tcW w:w="10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23.1</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3,588</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65.0</w:t>
            </w:r>
          </w:p>
        </w:tc>
        <w:tc>
          <w:tcPr>
            <w:tcW w:w="100" w:type="dxa"/>
            <w:vAlign w:val="bottom"/>
            <w:tcBorders>
              <w:bottom w:val="single" w:sz="8" w:color="CFF0FC"/>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2040" w:type="dxa"/>
            <w:vAlign w:val="bottom"/>
          </w:tcPr>
          <w:p>
            <w:pPr>
              <w:ind w:left="20"/>
              <w:spacing w:after="0" w:line="142" w:lineRule="exact"/>
              <w:rPr>
                <w:sz w:val="20"/>
                <w:szCs w:val="20"/>
                <w:color w:val="auto"/>
              </w:rPr>
            </w:pPr>
            <w:r>
              <w:rPr>
                <w:rFonts w:ascii="Times New Roman" w:cs="Times New Roman" w:eastAsia="Times New Roman" w:hAnsi="Times New Roman"/>
                <w:sz w:val="13"/>
                <w:szCs w:val="13"/>
                <w:color w:val="auto"/>
              </w:rPr>
              <w:t>Segment operating income</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0"/>
                <w:szCs w:val="10"/>
                <w:color w:val="auto"/>
                <w:w w:val="79"/>
              </w:rPr>
              <w:t>$</w:t>
            </w: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2,224</w:t>
            </w:r>
          </w:p>
        </w:tc>
        <w:tc>
          <w:tcPr>
            <w:tcW w:w="120" w:type="dxa"/>
            <w:vAlign w:val="bottom"/>
          </w:tcPr>
          <w:p>
            <w:pPr>
              <w:spacing w:after="0"/>
              <w:rPr>
                <w:sz w:val="13"/>
                <w:szCs w:val="13"/>
                <w:color w:val="auto"/>
              </w:rPr>
            </w:pPr>
          </w:p>
        </w:tc>
        <w:tc>
          <w:tcPr>
            <w:tcW w:w="1020" w:type="dxa"/>
            <w:vAlign w:val="bottom"/>
            <w:gridSpan w:val="3"/>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12.3 % $</w:t>
            </w: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1,731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3"/>
          </w:tcPr>
          <w:p>
            <w:pPr>
              <w:jc w:val="right"/>
              <w:ind w:right="37"/>
              <w:spacing w:after="0" w:line="142" w:lineRule="exact"/>
              <w:rPr>
                <w:sz w:val="20"/>
                <w:szCs w:val="20"/>
                <w:color w:val="auto"/>
              </w:rPr>
            </w:pPr>
            <w:r>
              <w:rPr>
                <w:rFonts w:ascii="Times New Roman" w:cs="Times New Roman" w:eastAsia="Times New Roman" w:hAnsi="Times New Roman"/>
                <w:sz w:val="13"/>
                <w:szCs w:val="13"/>
                <w:color w:val="auto"/>
              </w:rPr>
              <w:t>15.1 % $</w:t>
            </w:r>
          </w:p>
        </w:tc>
        <w:tc>
          <w:tcPr>
            <w:tcW w:w="3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493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3"/>
                <w:szCs w:val="13"/>
                <w:color w:val="auto"/>
              </w:rPr>
              <w:t>28.5 %$</w:t>
            </w: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3,501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3"/>
                <w:szCs w:val="13"/>
                <w:color w:val="auto"/>
              </w:rPr>
              <w:t>10.0 %$</w:t>
            </w:r>
          </w:p>
        </w:tc>
        <w:tc>
          <w:tcPr>
            <w:tcW w:w="5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3,802</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15.8 %$</w:t>
            </w: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(301)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color w:val="auto"/>
              </w:rPr>
              <w:t>(7.9) %</w:t>
            </w:r>
          </w:p>
        </w:tc>
        <w:tc>
          <w:tcPr>
            <w:tcW w:w="20" w:type="dxa"/>
            <w:vAlign w:val="bottom"/>
          </w:tcPr>
          <w:p>
            <w:pPr>
              <w:spacing w:after="0"/>
              <w:rPr>
                <w:sz w:val="13"/>
                <w:szCs w:val="13"/>
                <w:color w:val="auto"/>
              </w:rPr>
            </w:pPr>
          </w:p>
        </w:tc>
      </w:tr>
      <w:tr>
        <w:trPr>
          <w:trHeight w:val="20"/>
        </w:trPr>
        <w:tc>
          <w:tcPr>
            <w:tcW w:w="2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43"/>
        </w:trPr>
        <w:tc>
          <w:tcPr>
            <w:tcW w:w="2040" w:type="dxa"/>
            <w:vAlign w:val="bottom"/>
            <w:shd w:val="clear" w:color="auto" w:fill="CFF0FC"/>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Business Metrics (Actual Numbers)</w:t>
            </w:r>
          </w:p>
        </w:tc>
        <w:tc>
          <w:tcPr>
            <w:tcW w:w="12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r>
      <w:tr>
        <w:trPr>
          <w:trHeight w:val="162"/>
        </w:trPr>
        <w:tc>
          <w:tcPr>
            <w:tcW w:w="2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Locations at period end</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04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New admissions * </w:t>
            </w:r>
            <w:r>
              <w:rPr>
                <w:rFonts w:ascii="Times New Roman" w:cs="Times New Roman" w:eastAsia="Times New Roman" w:hAnsi="Times New Roman"/>
                <w:sz w:val="16"/>
                <w:szCs w:val="16"/>
                <w:color w:val="auto"/>
                <w:vertAlign w:val="superscript"/>
              </w:rPr>
              <w:t>(1)</w:t>
            </w:r>
          </w:p>
        </w:tc>
        <w:tc>
          <w:tcPr>
            <w:tcW w:w="12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4,933</w:t>
            </w: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3,439</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1,494</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43.4 %</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9,820</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7,332</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2,488</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33.9 %</w:t>
            </w:r>
          </w:p>
        </w:tc>
        <w:tc>
          <w:tcPr>
            <w:tcW w:w="20" w:type="dxa"/>
            <w:vAlign w:val="bottom"/>
          </w:tcPr>
          <w:p>
            <w:pPr>
              <w:spacing w:after="0"/>
              <w:rPr>
                <w:sz w:val="14"/>
                <w:szCs w:val="14"/>
                <w:color w:val="auto"/>
              </w:rPr>
            </w:pPr>
          </w:p>
        </w:tc>
      </w:tr>
      <w:tr>
        <w:trPr>
          <w:trHeight w:val="162"/>
        </w:trPr>
        <w:tc>
          <w:tcPr>
            <w:tcW w:w="2040" w:type="dxa"/>
            <w:vAlign w:val="bottom"/>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Recertifications * </w:t>
            </w:r>
            <w:r>
              <w:rPr>
                <w:rFonts w:ascii="Times New Roman" w:cs="Times New Roman" w:eastAsia="Times New Roman" w:hAnsi="Times New Roman"/>
                <w:sz w:val="16"/>
                <w:szCs w:val="16"/>
                <w:color w:val="auto"/>
                <w:vertAlign w:val="superscript"/>
              </w:rPr>
              <w:t>(2)</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3,277</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6,445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04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Total volume * </w:t>
            </w:r>
            <w:r>
              <w:rPr>
                <w:rFonts w:ascii="Times New Roman" w:cs="Times New Roman" w:eastAsia="Times New Roman" w:hAnsi="Times New Roman"/>
                <w:sz w:val="16"/>
                <w:szCs w:val="16"/>
                <w:color w:val="auto"/>
                <w:vertAlign w:val="superscript"/>
              </w:rPr>
              <w:t>(3)</w:t>
            </w:r>
          </w:p>
        </w:tc>
        <w:tc>
          <w:tcPr>
            <w:tcW w:w="120" w:type="dxa"/>
            <w:vAlign w:val="bottom"/>
            <w:shd w:val="clear" w:color="auto" w:fill="CFF0FC"/>
          </w:tcPr>
          <w:p>
            <w:pPr>
              <w:spacing w:after="0"/>
              <w:rPr>
                <w:sz w:val="14"/>
                <w:szCs w:val="14"/>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8,210</w:t>
            </w: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5,034</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3,176</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63.1</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16,265</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10,476</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5,789</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55.3</w:t>
            </w: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040" w:type="dxa"/>
            <w:vAlign w:val="bottom"/>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Visits * </w:t>
            </w:r>
            <w:r>
              <w:rPr>
                <w:rFonts w:ascii="Times New Roman" w:cs="Times New Roman" w:eastAsia="Times New Roman" w:hAnsi="Times New Roman"/>
                <w:sz w:val="16"/>
                <w:szCs w:val="16"/>
                <w:color w:val="auto"/>
                <w:vertAlign w:val="superscript"/>
              </w:rPr>
              <w:t>(4)</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111,053</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68,293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42,760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62.6 %</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217,984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146,121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71,863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49.2 %</w:t>
            </w:r>
          </w:p>
        </w:tc>
        <w:tc>
          <w:tcPr>
            <w:tcW w:w="20" w:type="dxa"/>
            <w:vAlign w:val="bottom"/>
          </w:tcPr>
          <w:p>
            <w:pPr>
              <w:spacing w:after="0"/>
              <w:rPr>
                <w:sz w:val="14"/>
                <w:szCs w:val="14"/>
                <w:color w:val="auto"/>
              </w:rPr>
            </w:pPr>
          </w:p>
        </w:tc>
      </w:tr>
      <w:tr>
        <w:trPr>
          <w:trHeight w:val="162"/>
        </w:trPr>
        <w:tc>
          <w:tcPr>
            <w:tcW w:w="2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Organic growth</w:t>
            </w:r>
          </w:p>
        </w:tc>
        <w:tc>
          <w:tcPr>
            <w:tcW w:w="12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040" w:type="dxa"/>
            <w:vAlign w:val="bottom"/>
          </w:tcPr>
          <w:p>
            <w:pPr>
              <w:ind w:left="120"/>
              <w:spacing w:after="0" w:line="162" w:lineRule="exact"/>
              <w:rPr>
                <w:sz w:val="20"/>
                <w:szCs w:val="20"/>
                <w:color w:val="auto"/>
              </w:rPr>
            </w:pPr>
            <w:r>
              <w:rPr>
                <w:rFonts w:ascii="Times New Roman" w:cs="Times New Roman" w:eastAsia="Times New Roman" w:hAnsi="Times New Roman"/>
                <w:sz w:val="13"/>
                <w:szCs w:val="13"/>
                <w:color w:val="auto"/>
              </w:rPr>
              <w:t xml:space="preserve">- Revenue * </w:t>
            </w:r>
            <w:r>
              <w:rPr>
                <w:rFonts w:ascii="Times New Roman" w:cs="Times New Roman" w:eastAsia="Times New Roman" w:hAnsi="Times New Roman"/>
                <w:sz w:val="16"/>
                <w:szCs w:val="16"/>
                <w:color w:val="auto"/>
                <w:vertAlign w:val="superscript"/>
              </w:rPr>
              <w:t>(5)</w:t>
            </w:r>
          </w:p>
        </w:tc>
        <w:tc>
          <w:tcPr>
            <w:tcW w:w="12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1.6 %</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(10.9) %</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(7.1) %</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0.7 %</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040" w:type="dxa"/>
            <w:vAlign w:val="bottom"/>
            <w:shd w:val="clear" w:color="auto" w:fill="CFF0FC"/>
          </w:tcPr>
          <w:p>
            <w:pPr>
              <w:ind w:left="120"/>
              <w:spacing w:after="0" w:line="162" w:lineRule="exact"/>
              <w:rPr>
                <w:sz w:val="20"/>
                <w:szCs w:val="20"/>
                <w:color w:val="auto"/>
              </w:rPr>
            </w:pPr>
            <w:r>
              <w:rPr>
                <w:rFonts w:ascii="Times New Roman" w:cs="Times New Roman" w:eastAsia="Times New Roman" w:hAnsi="Times New Roman"/>
                <w:sz w:val="13"/>
                <w:szCs w:val="13"/>
                <w:color w:val="auto"/>
              </w:rPr>
              <w:t xml:space="preserve">- Admissions * </w:t>
            </w:r>
            <w:r>
              <w:rPr>
                <w:rFonts w:ascii="Times New Roman" w:cs="Times New Roman" w:eastAsia="Times New Roman" w:hAnsi="Times New Roman"/>
                <w:sz w:val="16"/>
                <w:szCs w:val="16"/>
                <w:color w:val="auto"/>
                <w:vertAlign w:val="superscript"/>
              </w:rPr>
              <w:t>(5)</w:t>
            </w:r>
          </w:p>
        </w:tc>
        <w:tc>
          <w:tcPr>
            <w:tcW w:w="120" w:type="dxa"/>
            <w:vAlign w:val="bottom"/>
            <w:shd w:val="clear" w:color="auto" w:fill="CFF0FC"/>
          </w:tcPr>
          <w:p>
            <w:pPr>
              <w:spacing w:after="0"/>
              <w:rPr>
                <w:sz w:val="14"/>
                <w:szCs w:val="14"/>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9.4 %</w:t>
            </w: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(17.5) %</w:t>
            </w: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2.3 %</w:t>
            </w: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(10.5) %</w:t>
            </w: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1659255</wp:posOffset>
            </wp:positionH>
            <wp:positionV relativeFrom="paragraph">
              <wp:posOffset>-1276350</wp:posOffset>
            </wp:positionV>
            <wp:extent cx="7683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-1276350</wp:posOffset>
            </wp:positionV>
            <wp:extent cx="7683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-1276350</wp:posOffset>
            </wp:positionV>
            <wp:extent cx="7683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-1276350</wp:posOffset>
            </wp:positionV>
            <wp:extent cx="7683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-1276350</wp:posOffset>
            </wp:positionV>
            <wp:extent cx="6858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-1276350</wp:posOffset>
            </wp:positionV>
            <wp:extent cx="6858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-1276350</wp:posOffset>
            </wp:positionV>
            <wp:extent cx="6858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-1276350</wp:posOffset>
            </wp:positionV>
            <wp:extent cx="6858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-1276350</wp:posOffset>
            </wp:positionV>
            <wp:extent cx="6858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-1276350</wp:posOffset>
            </wp:positionV>
            <wp:extent cx="6858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-1276350</wp:posOffset>
            </wp:positionV>
            <wp:extent cx="6858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-1276350</wp:posOffset>
            </wp:positionV>
            <wp:extent cx="6858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1659255</wp:posOffset>
            </wp:positionH>
            <wp:positionV relativeFrom="paragraph">
              <wp:posOffset>-1062355</wp:posOffset>
            </wp:positionV>
            <wp:extent cx="7683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-1062355</wp:posOffset>
            </wp:positionV>
            <wp:extent cx="7683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-1062355</wp:posOffset>
            </wp:positionV>
            <wp:extent cx="7683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-1062355</wp:posOffset>
            </wp:positionV>
            <wp:extent cx="7683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-1062355</wp:posOffset>
            </wp:positionV>
            <wp:extent cx="685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-1062355</wp:posOffset>
            </wp:positionV>
            <wp:extent cx="685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-1062355</wp:posOffset>
            </wp:positionV>
            <wp:extent cx="685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-1062355</wp:posOffset>
            </wp:positionV>
            <wp:extent cx="6858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-1062355</wp:posOffset>
            </wp:positionV>
            <wp:extent cx="6858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-1062355</wp:posOffset>
            </wp:positionV>
            <wp:extent cx="6858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-1062355</wp:posOffset>
            </wp:positionV>
            <wp:extent cx="6858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9"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new patients during the period.</w:t>
      </w:r>
    </w:p>
    <w:p>
      <w:pPr>
        <w:spacing w:after="0" w:line="99" w:lineRule="exact"/>
        <w:rPr>
          <w:rFonts w:ascii="Times New Roman" w:cs="Times New Roman" w:eastAsia="Times New Roman" w:hAnsi="Times New Roman"/>
          <w:sz w:val="16"/>
          <w:szCs w:val="16"/>
          <w:color w:val="auto"/>
        </w:rPr>
      </w:pPr>
    </w:p>
    <w:p>
      <w:pPr>
        <w:ind w:left="520" w:right="140" w:hanging="512"/>
        <w:spacing w:after="0" w:line="298" w:lineRule="auto"/>
        <w:tabs>
          <w:tab w:leader="none" w:pos="5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home health certification period is an episode of care that begins with a start of care visit and continues for 60 days. If at the end of the initial episode of care, the patient continues to require home health services, a recertification is required. This represents the number of recertifications during the period.</w:t>
      </w:r>
    </w:p>
    <w:p>
      <w:pPr>
        <w:spacing w:after="0" w:line="29"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volume is total admissions and total recertifications in the period.</w:t>
      </w:r>
    </w:p>
    <w:p>
      <w:pPr>
        <w:spacing w:after="0" w:line="99"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number of services to patients in the period.</w:t>
      </w:r>
    </w:p>
    <w:p>
      <w:pPr>
        <w:spacing w:after="0" w:line="99" w:lineRule="exact"/>
        <w:rPr>
          <w:rFonts w:ascii="Times New Roman" w:cs="Times New Roman" w:eastAsia="Times New Roman" w:hAnsi="Times New Roman"/>
          <w:sz w:val="16"/>
          <w:szCs w:val="16"/>
          <w:color w:val="auto"/>
        </w:rPr>
      </w:pPr>
    </w:p>
    <w:p>
      <w:pPr>
        <w:ind w:left="520" w:right="280" w:hanging="512"/>
        <w:spacing w:after="0" w:line="281" w:lineRule="auto"/>
        <w:tabs>
          <w:tab w:leader="none" w:pos="5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organic growth and admissions organic growth reflect the change in year-over-year revenue and admissions for the same store base. We define the same store base to include those stores open for at least 52 full weeks. These measures highlight the performance of existing stores, while excluding the impact of acquisitions, new store openings and closures.</w:t>
      </w:r>
    </w:p>
    <w:p>
      <w:pPr>
        <w:spacing w:after="0" w:line="1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765"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349" w:lineRule="exact"/>
        <w:rPr>
          <w:sz w:val="20"/>
          <w:szCs w:val="20"/>
          <w:color w:val="auto"/>
        </w:rPr>
      </w:pPr>
    </w:p>
    <w:p>
      <w:pPr>
        <w:ind w:right="60" w:firstLine="8"/>
        <w:spacing w:after="0" w:line="269" w:lineRule="auto"/>
        <w:tabs>
          <w:tab w:leader="none" w:pos="121"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deems these metrics to be key performance indicators. Management uses these metrics to monitor our performance, both in our existing operations and acquisitions. Many of these metrics serve as the basis of reported revenues and assessment of these provide direct correlation to the results of operations from period to period and facilitate comparison with the results of our peers. Historical trends established in these metrics can be used to evaluate current operating results, identify trends affecting our business, determine the allocation of resources and assess the quality and potential variability of our cash flows and earnings. We believe they are useful to investors in evaluating and understanding our business but should not be used solely in assessing the Company’s performance. These key performance indicators should not be considered superior to, as a substitute for or as an alternative to, and should be considered in conjunction with, the GAAP financial measures presented herein to fully evaluate and understand the business as a whole. These measures may not be comparable to similarly titled performance indicators used by other companies.</w:t>
      </w:r>
    </w:p>
    <w:p>
      <w:pPr>
        <w:spacing w:after="0" w:line="18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home health segment generates net service revenues by providing home health services on a short-term, intermittent or episodic basis to individuals, generally to treat an illness or injury. Net service revenues from Medicare accounted for 69.3% and 76.1%, managed care organizations accounted for 25.9% and 19.6% and other accounted for 4.3% and 6.4% of total home health segment net service revenues for the three months ended June 30, 2024 and 2023, respectively. Net service revenues from Medicare accounted for 69.2% and 75.1%, managed care organizations accounted for 26.0% and 20.0% and other accounted for 4.9% and 6.3% of total home health segment net service revenues for the six months ended June 30, 2024 and 2023, respectively. Home health services provided to Medicare beneficiaries are paid under the Medicare Home Health Prospective Payment System, which uses national, standardized 30-day period payment rates for periods of care. CMS uses the PDGM as the case-mix classification model to place periods of care into payment categories, classifying patients based on clinical characteristics. An outlier adjustment may be paid for periods of care in which costs exceed a specific threshold amount.</w:t>
      </w:r>
    </w:p>
    <w:p>
      <w:pPr>
        <w:spacing w:after="0" w:line="188" w:lineRule="exact"/>
        <w:rPr>
          <w:sz w:val="20"/>
          <w:szCs w:val="20"/>
          <w:color w:val="auto"/>
        </w:rPr>
      </w:pPr>
    </w:p>
    <w:p>
      <w:pPr>
        <w:jc w:val="both"/>
        <w:ind w:right="600" w:firstLine="509"/>
        <w:spacing w:after="0" w:line="266" w:lineRule="auto"/>
        <w:rPr>
          <w:sz w:val="20"/>
          <w:szCs w:val="20"/>
          <w:color w:val="auto"/>
        </w:rPr>
      </w:pPr>
      <w:r>
        <w:rPr>
          <w:rFonts w:ascii="Times New Roman" w:cs="Times New Roman" w:eastAsia="Times New Roman" w:hAnsi="Times New Roman"/>
          <w:sz w:val="18"/>
          <w:szCs w:val="18"/>
          <w:color w:val="auto"/>
        </w:rPr>
        <w:t>Home health net service revenues increased by $6.6 million and $4.1 million for the three and six months ended June 30, 2024, respectively, compared to the three and six months ended June 30, 2023. Total visits increased for the three months and six months ended June 30, 2024, mainly attributed to the acquisition of Tennessee Quality Care on August 1, 2023.</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Gross profit, expressed as a percentage of net service revenues, was 37.6% and 38.2% for the three months ended June 30, 2024 and 2023, respectively, and 36.1% and 38.9% for the six months ended June 30, 2024 and 2023, respectively. For the three and six months ended June 30, 2024, the decrease was primarily due to an increase in cost of service revenues, which more than offset the increase in net service revenues compared to the three and six months ended June 30, 2023.</w:t>
      </w:r>
    </w:p>
    <w:p>
      <w:pPr>
        <w:spacing w:after="0" w:line="180"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The home health segment’s general and administrative expenses primarily consist of administrative employee wages, taxes and benefit costs, rent, information technology and office expenses. General and administrative expenses, expressed as a percentage of net service revenues, were 25.3% and 23.1% for the three months ended June 30, 2024 and 2023, respectively, and 26.1% and 23.1% for the six months ended June 30, 2024 and 2023, respectively. The increase in general and administrative expenses as a percentage of net service revenues was primarily due to increases in administrative employee wages, taxes and benefit costs for the three and six months ended June 30, 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Our primary sources of liquidity are cash on hand and cash from operations and borrowings under our credit facility. At June 30, 2024 and December 31, 2023, we had cash balances of $173.3 million and $64.8 million, respectively. At June 30, 2024, we had a $600.0 million revolving credit facility and a $125.0 million incremental loan facility, which may be for term loans or an increase to the revolving loan commitments. The maturity of this credit facility is July 30, 2026.</w:t>
      </w:r>
    </w:p>
    <w:p>
      <w:pPr>
        <w:spacing w:after="0" w:line="180"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During the six months ended June 30, 2024, we used $0.4 million in cash to fund the Upstate acquisition and repaid $126.4 million under our revolving credit facility. As of June 30, 2024, we had no revolving loans outstanding on our credit facility and after giving effect to the amount drawn on our credit facility, approximately $8.0 million of outstanding letters of credit and borrowing limits based on an advance multiple of adjusted EBITDA (as defined in the Credit Agreement), we had $504.4 million of capacity and $496.4 million available for borrowing under our credit facility. At December 31, 2023, we had a total of $126.4 million revolving credit loans, with an interest rate of 7.21%, outstanding on our credit facility.</w:t>
      </w:r>
    </w:p>
    <w:p>
      <w:pPr>
        <w:spacing w:after="0" w:line="183" w:lineRule="exact"/>
        <w:rPr>
          <w:sz w:val="20"/>
          <w:szCs w:val="20"/>
          <w:color w:val="auto"/>
        </w:rPr>
      </w:pPr>
    </w:p>
    <w:p>
      <w:pPr>
        <w:ind w:right="180" w:firstLine="509"/>
        <w:spacing w:after="0" w:line="281" w:lineRule="auto"/>
        <w:rPr>
          <w:sz w:val="20"/>
          <w:szCs w:val="20"/>
          <w:color w:val="auto"/>
        </w:rPr>
      </w:pPr>
      <w:r>
        <w:rPr>
          <w:rFonts w:ascii="Times New Roman" w:cs="Times New Roman" w:eastAsia="Times New Roman" w:hAnsi="Times New Roman"/>
          <w:sz w:val="17"/>
          <w:szCs w:val="17"/>
          <w:color w:val="auto"/>
        </w:rPr>
        <w:t>Our credit facility requires us to maintain a total net leverage ratio not exceeding 3.75:1.00. At June 30, 2024, we were in compliance with our financial covenants under the Credit Agreement. Although we believe our liquidity position remains strong, we can provide no assurance that we will remain in compliance with the covenants in our Credit Agreement, and in the future, it may prove necessary to seek an amendment with the bank lending group under our credit facility. Additionally, there can be no assurance that we will be able to raise additional funds on terms acceptable to us, if at all.</w:t>
      </w:r>
    </w:p>
    <w:p>
      <w:pPr>
        <w:spacing w:after="0" w:line="164"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See Note 9 to the Notes to Unaudited Condensed Consolidated Financial Statements, Long-Term Debt, for additional details of our long-term debt.</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5915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Public Offering</w:t>
      </w:r>
    </w:p>
    <w:p>
      <w:pPr>
        <w:spacing w:after="0" w:line="22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On June 28, 2024, the Company completed a public offering of an aggregate 1,725,000 shares of common stock, par value $0.001 per share, including 225,000 shares of common stock sold pursuant to the exercise in full by the underwriters of their option to purchase additional shares, at a public offering price of $108.00 per share (the “Public Offering”). The Company received net proceeds of approximately $175.6 million, after deducting underwriting discounts and estimated offering expenses of approximately $10.7 million. The Company used approximately $81.4 million from the net proceeds of the Public Offering for the repayment of indebtedness outstanding under its credit facility and may use any remaining net proceeds of the Public Offering for general corporate purposes, including the Company’s previously announced planned acquisition of the personal care assets of Gentiva and any future acquisitions or investments. The Public Offering resulted in an increase to additional paid in capital of approximately $175.6 million on the Company’s Unaudited Condensed Consolidated Balance Sheet at June 30, 2024.</w:t>
      </w:r>
    </w:p>
    <w:p>
      <w:pPr>
        <w:spacing w:after="0" w:line="2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Current Macroeconomic Conditions and COVID-19 Relief Funding</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Economic conditions in the United States continue to be challenging in various respects. For example, the United States economy continues to experience significant inflationary pressures, elevated interest rates and challenging labor market conditions. Any resulting economic downturn would pose a risk to states’ revenues, which in turn could affect our reimbursements and collections received for services rendered. Depending on the severity and length of any potential economic downturn as well as the extent of any federal support, states could face significant fiscal challenges and revise their revenue forecasts and adjust their budgets, and sales tax collections and income tax withholdings could be depressed. For example, Illinois, New Mexico and New York, our top three personal care markets, previously revised revenue estimates downward for the 2022 fiscal year as the result of earlier negative economic conditions arising from the COVID-19 pandemic. Also, in response to reduced revenues, the state of New York authorized the issuance of short-term bonds and implemented uniform reductions to Medicaid payments, applicable to home health and personal care services (hospice services were exempt).</w:t>
      </w:r>
    </w:p>
    <w:p>
      <w:pPr>
        <w:spacing w:after="0" w:line="2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i w:val="1"/>
          <w:iCs w:val="1"/>
          <w:color w:val="auto"/>
        </w:rPr>
        <w:t>ARPA Spending Plans</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ARPA provides for $350 billion in relief funding for eligible state, local, territorial, and Tribal governments to mitigate the fiscal effects of the COVID-19 public health emergency. Additionally, the law provided for a 10 percentage point increase in federal matching funds for Medicaid HCBS from April 1, 2021, through March 31, 2022, provided the state satisfied certain conditions. States are permitted to use the state funds equivalent to the additional federal funds through March 31, 2025. States must use the monies attributable to this matching fund increase to supplement, not supplant, their level of state spending for the implementation of activities enhanced under the Medicaid HCBS in effect as of April 1, 2021.</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HCBS spending plans for the additional matching funds vary by state, but common initiatives in which the Company is participating</w:t>
      </w:r>
    </w:p>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include those aimed at strengthening the provider workforce (e.g., efforts to recruit, retain, and train direct service providers). The Company is required to properly and fully document the use of such funds in reports to the state in which the funds originated. Funds may be subject to recoupment if not expended or if they are expended on non-approved uses.</w:t>
      </w:r>
    </w:p>
    <w:p>
      <w:pPr>
        <w:spacing w:after="0" w:line="29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received additional state funding provided by the ARPA in an aggregate amount of $2.0 million and $12.2 million, respectively. The Company did not record revenue and related costs of service revenue during the three and six months ended June 30, 2024, because revenue recognition criteria were not met. Instead, the Company deferred recognition of the entire $12.2 million, which was received from states with specific spending plans and reporting requirements. Of the total state funding received by the Company pursuant to the ARPA through June 30, 2024, the Company utilized $2.5 million and $4.9 million during the three and six months ended June 30, 2024, respectively, primarily for caregivers and adding support to recruiting and retention efforts, included as a reduction of cost of service revenues in the Company’s Unaudited Condensed Consolidated Statements of Income. As of June 30, 2024, the deferred portion of ARPA funding of $13.0 million is included within Government stimulus advances on the Company’s Unaudited Condensed Consolidated Balance Sheets.</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Medicare sequester</w:t>
      </w:r>
    </w:p>
    <w:p>
      <w:pPr>
        <w:spacing w:after="0" w:line="119"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CARES Act and related laws temporarily lifted the Medicare sequester, which would have otherwise reduced payments to Medicare providers by 2% as required by the Budget Control Act of 2011, from May 1, 2020, through March 31, 2022. The sequestration payment adjustment was phased back in with a 1% reduction beginning April 1, 2022, and returned to 2% on July 1, 2022. These sequestration cuts have been extended through April 2032.</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However, the ARPA increased the federal budget deficit in a manner that triggers an additional statutorily mandated sequestration under the PAYGO Act. As a result, an additional Medicare payment reduction of up to 4% was required to take effect in January 2022. However, Congress has delayed implementation of this payment reduction until 2025. We cannot currently determine if, or to what extent, our business, results of operations, financial condition or liquidity will ultimately be impacted by mandated sequestration triggers under the PAYGO Act, or if or when the mandated sequestration will occur. Further, we anticipate that the federal deficit will continue to place pressure on government healthcare programs, and it is possible that future deficit reduction legislation will impose additional Medicare spending reductions.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changes in our cash flows: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2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50"/>
        </w:trPr>
        <w:tc>
          <w:tcPr>
            <w:tcW w:w="77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69"/>
        </w:trPr>
        <w:tc>
          <w:tcPr>
            <w:tcW w:w="772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w:t>
            </w:r>
          </w:p>
        </w:tc>
        <w:tc>
          <w:tcPr>
            <w:tcW w:w="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40" w:type="dxa"/>
            <w:vAlign w:val="bottom"/>
            <w:shd w:val="clear" w:color="auto" w:fill="CFF0FC"/>
          </w:tcPr>
          <w:p>
            <w:pPr>
              <w:jc w:val="right"/>
              <w:ind w:right="74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57,491</w:t>
            </w:r>
          </w:p>
        </w:tc>
        <w:tc>
          <w:tcPr>
            <w:tcW w:w="124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60,413</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9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(2,711 )</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9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49,225</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6"/>
              </w:rPr>
              <w:t>(53,475 )</w:t>
            </w:r>
          </w:p>
        </w:tc>
      </w:tr>
    </w:tbl>
    <w:p>
      <w:pPr>
        <w:spacing w:after="0" w:line="3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Six Months Ended June 30, 2024 Compared to Six Months Ended June 30, 2023</w:t>
      </w:r>
    </w:p>
    <w:p>
      <w:pPr>
        <w:spacing w:after="0" w:line="11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Cash flows from operating activities represent the inflow of cash from our payors and the outflow of cash for payroll and payroll taxes, operating expenses, interest and taxes. Net cash provided by operating activities was $57.5 million for the six months ended June 30, 2024, compared to net cash provided by operating activities of $60.4 million for the same period in 2023. The decrease in cash provided by operations was primarily due to the timing of receipts on accounts receivable and the timing of government stimulus funds. The changes in accounts receivable were primarily related to the growth in revenue and a decrease in days sales outstanding (“DSO”) during the six months ended June 30, 2024 compared to 2023, as described below. The related receivables due from the Illinois Department on Aging represented 21.7% and 13.0% of the Company’s net accounts receivable at June 30, 2024 and June 30, 2023, respectively, as discussed below.</w:t>
      </w:r>
    </w:p>
    <w:p>
      <w:pPr>
        <w:spacing w:after="0" w:line="18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Net cash provided by investing activities for the six months ended June 30, 2024 primarily consisted of $0.4 million of net cash used for the Upstate acquisition and $2.4 million for property and equipment purchases, which were primarily related to our ongoing investments in our technology infrastructure, offset by $4.6 million in proceeds received as a deposit on the sale of our New York business. Net cash used in investing activities for the six months ended June 30, 2023 primarily consisted of $0.9 million of net cash used for the CareStaff acquisition and $1.8 million of cash used for the purchase of property and equipment.</w:t>
      </w:r>
    </w:p>
    <w:p>
      <w:pPr>
        <w:spacing w:after="0" w:line="183"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for the six months ended June 30, 2024 primarily related to a $126.4 million payment on the revolver portion of our credit facility, offset by $175.6 million in net proceeds received from the Public Offering. Net cash used in financing activities for the six months ended June 30, 2023 primarily related to a $53.5 million payment on the revolver portion of our credit facility. For the six months ended June 30, 2023, net cash provided by financing activities included cash received from the exercise of stock options of $0.25 million.</w:t>
      </w:r>
    </w:p>
    <w:p>
      <w:pPr>
        <w:spacing w:after="0" w:line="2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Outstanding Accounts Receivable</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Gross accounts receivable as of June 30, 2024 and December 31, 2023 were approximately $111.5 million and $117.8 million, respectively. Outstanding accounts receivable, net of allowance for credit losses, decreased by $6.3 million as of June 30, 2024 as compared to December 31, 2023. Accounts receivable for the Illinois Department on Aging decreased approximately $5.2 million during the six months ended June 30, 2024. Our collection procedures include review of account aging and direct contact with our payors. We have historically not used collection agencies. An uncollectible amount is written off to the allowance account after reasonable collection efforts have been exhausted.</w:t>
      </w:r>
    </w:p>
    <w:p>
      <w:pPr>
        <w:spacing w:after="0" w:line="183"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We calculate our DSO by taking the trade accounts receivable outstanding, net of allowance for credit losses for doubtful accounts, divided by the net service revenues for the last quarter, multiplied by the number of days in that quarter. Our DSOs were 36 days and 39 days at June 30, 2024 and December 31, 2023, respectively. The DSOs for our largest payor, the Illinois Department on Aging, were 37 days and 50 days at June 30, 2024 and December 31, 2023, respectively.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June 30, 2024, we did not have any off-balance sheet guarantees or arrangements with unconsolidated entities.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previously disclosed under the caption “Management’s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Discussion and Analysis of Financial Condition and Results of Operations — Critical Accounting Policies and Estimates” set forth in Part II, Item 7 of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Report on Form 10-K for the period ended December 31, 2023, filed on February 27, 2024.</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Refer to Note 2 to the Notes to Unaudited Condensed Consolidated Financial Statements for further discussion.</w:t>
      </w:r>
    </w:p>
    <w:p>
      <w:pPr>
        <w:spacing w:after="0" w:line="2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5" w:right="4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are exposed to market risk associated with changes in interest rates on our variable rate long-term debt. As of June 30, 2024, however, we had no outstanding borrowings on our credit facility. We do not currently have any derivative or hedging arrangements, or other known exposures, to changes in interest rates.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the effectiveness of our disclosure controls and procedures as of June 30, 2024. The term “disclosure controls and procedures,” as defined in Rules 13a-15(e) and 15d-15(e) under the Securities Exchange Act of 1934, as amended (the “Exchange Act”) means controls and other procedures of an issuer that are designed to ensure that information required to be disclosed by an issuer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94"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our Chief Executive Officer and Chief Financial Officer concluded that our disclosure controls and procedures were effective as of June 30,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required by Rule 13a-15(d) and 15d-15(d) of the Exchange Act that occurred during the fiscal quarter ended June 30, 2024 that have materially affected, or are reasonably likely to materially affect, our internal control over financial reporting.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disclosed in Note 11 to the Condensed Consolidated Financial Statements in Part I, Item 1—“Financial Statements (Unaudited),” which is incorporated herein by reference, from time to time, we are subject to legal and/or administrative proceedings incidental to our business. It is the opinion of management that the outcome of pending legal and/or administrative proceedings will not have a material effect on our financial position and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You should carefully consider the risk factors discussed under the caption “Risk Factors” set forth in Part I, Item 1A, of our Annual Report on Form 10-K for the year ended December 31, 2023, filed on February 27, 2024. Except as set forth below, there have been no material changes to the risk factors previously disclosed under the caption “Risk Factors” in our Annual Report on Form 10-K. Additional risks and uncertainties not currently known to us or that we currently deem to be immaterial also may materially adversely affect our business, financial condition or operating results.</w:t>
      </w:r>
    </w:p>
    <w:p>
      <w:pPr>
        <w:spacing w:after="0" w:line="179"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complete the acquisition of Gentiva on a timely basis or at all and may not realize the benefits that are anticipated from the Gentiva Acquisition.</w:t>
      </w:r>
    </w:p>
    <w:p>
      <w:pPr>
        <w:spacing w:after="0" w:line="51"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We have entered into the Gentiva Purchase Agreement to acquire the personal care business of Gentiva, for a purchase price of approximately $350.0 million, payable in full in cash at the closing, subject to customary adjustments for working capital and other items. The Gentiva Acquisition is expected to close upon the completion of regulatory approvals and subject to the satisfaction of other closing conditions.</w:t>
      </w:r>
    </w:p>
    <w:p>
      <w:pPr>
        <w:spacing w:after="0" w:line="6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cannot provide any assurance that we will be able to successfully consummate the Gentiva Acquisition as provided for under the Gentiva Purchase Agreement, or, if such acquisition is completed, we cannot predict the timing of such closing. In addition, we have incurred, and will continue to incur, significant costs, expenses and fees for professional services and other transaction costs in connection with the Gentiva Acquisition, and these fees and costs are payable by us regardless of whether the Gentiva Acquisition is consummated. If we fail to consummate the Gentiva Acquisition or should the completion be significantly delayed, we could fail to realize all or a portion of the intended economic benefits of such acquisition. Any failure to complete the Gentiva Acquisition could have a negative impact on our business, financial condition and the market price of our common stock.</w:t>
      </w:r>
    </w:p>
    <w:p>
      <w:pPr>
        <w:spacing w:after="0" w:line="7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benefits that are expected to result from the Gentiva Acquisition will depend, in part, on our ability to realize the growth opportunities we anticipate from the Gentiva Acquisition, which is contingent, in part, on successful integration and Gentiva performing in accordance with our expectations. Even a successful integration and meeting performance expectations may not result in the realization of the full benefits we currently expect, nor can we give assurances that these benefits will be achieved when expected or at all. Moreover, we expect to incur expenses in connection with the integration of Gentiva, and as such, the benefits may be offset by costs incurred or delays in integrating the businesses. Further, our due diligence review of Gentiva may not have successfully identified all potential issues. In addition, the integration of Gentiva may result in material unanticipated problems, expenses, liabilities, regulatory risks, and diversion of management’s attention.</w:t>
      </w:r>
    </w:p>
    <w:p>
      <w:pPr>
        <w:spacing w:after="0" w:line="8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pendency of the Gentiva Acquisition could cause disruptions and create uncertainty surrounding our business and affect our relationships with our customers and employees. We have diverted, and will continue to divert, significant management resources to complete the Gentiva Acquisition, which could have a negative impact on our ability to manage existing operations or pursue alternative strategic transactions, which could adversely affect our business, financial condition and results of operations. Until the completion of the Gentiva Acquisition, holders of shares of our common stock will be exposed to the risks faced by our existing business without any of the potential benefits from the Gentiva Acquisition. As a result of investor perceptions about the terms, conditions, risks or benefits of the Gentiva Acquisition, the market price of shares of our common stock may decline.</w:t>
      </w:r>
    </w:p>
    <w:p>
      <w:pPr>
        <w:spacing w:after="0" w:line="29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During the quarter ending June 30, 2024, each of the following directors and Section 16 officers adopted a Rule 10b5-1 Trading Arrangement (as defined in Item 408(a) of Regulation S-K) to sell common shares: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00" w:type="dxa"/>
            <w:vAlign w:val="bottom"/>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Name</w:t>
            </w:r>
          </w:p>
        </w:tc>
        <w:tc>
          <w:tcPr>
            <w:tcW w:w="322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Title</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Adoption Date</w:t>
            </w: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 xml:space="preserve">Expiration Date </w:t>
            </w:r>
            <w:r>
              <w:rPr>
                <w:rFonts w:ascii="Times New Roman" w:cs="Times New Roman" w:eastAsia="Times New Roman" w:hAnsi="Times New Roman"/>
                <w:sz w:val="21"/>
                <w:szCs w:val="21"/>
                <w:b w:val="1"/>
                <w:bCs w:val="1"/>
                <w:color w:val="auto"/>
                <w:w w:val="98"/>
                <w:vertAlign w:val="superscript"/>
              </w:rPr>
              <w:t>(1)</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Vesting</w:t>
            </w: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Other Shares Being</w:t>
            </w:r>
          </w:p>
        </w:tc>
      </w:tr>
      <w:tr>
        <w:trPr>
          <w:trHeight w:val="203"/>
        </w:trPr>
        <w:tc>
          <w:tcPr>
            <w:tcW w:w="200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and Subject to</w:t>
            </w: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Sold (Subject to</w:t>
            </w:r>
          </w:p>
        </w:tc>
      </w:tr>
      <w:tr>
        <w:trPr>
          <w:trHeight w:val="164"/>
        </w:trPr>
        <w:tc>
          <w:tcPr>
            <w:tcW w:w="20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32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9"/>
              </w:rPr>
              <w:t>Sell-To-Cover</w:t>
            </w:r>
          </w:p>
        </w:tc>
        <w:tc>
          <w:tcPr>
            <w:tcW w:w="166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Certain Conditions)</w:t>
            </w:r>
          </w:p>
        </w:tc>
      </w:tr>
      <w:tr>
        <w:trPr>
          <w:trHeight w:val="143"/>
        </w:trPr>
        <w:tc>
          <w:tcPr>
            <w:tcW w:w="20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(2)</w:t>
            </w:r>
          </w:p>
        </w:tc>
        <w:tc>
          <w:tcPr>
            <w:tcW w:w="1660" w:type="dxa"/>
            <w:vAlign w:val="bottom"/>
          </w:tcPr>
          <w:p>
            <w:pPr>
              <w:spacing w:after="0"/>
              <w:rPr>
                <w:sz w:val="12"/>
                <w:szCs w:val="12"/>
                <w:color w:val="auto"/>
              </w:rPr>
            </w:pPr>
          </w:p>
        </w:tc>
      </w:tr>
      <w:tr>
        <w:trPr>
          <w:trHeight w:val="46"/>
        </w:trPr>
        <w:tc>
          <w:tcPr>
            <w:tcW w:w="2000" w:type="dxa"/>
            <w:vAlign w:val="bottom"/>
            <w:tcBorders>
              <w:bottom w:val="single" w:sz="8" w:color="auto"/>
            </w:tcBorders>
          </w:tcPr>
          <w:p>
            <w:pPr>
              <w:spacing w:after="0"/>
              <w:rPr>
                <w:sz w:val="4"/>
                <w:szCs w:val="4"/>
                <w:color w:val="auto"/>
              </w:rPr>
            </w:pPr>
          </w:p>
        </w:tc>
        <w:tc>
          <w:tcPr>
            <w:tcW w:w="32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r>
      <w:tr>
        <w:trPr>
          <w:trHeight w:val="223"/>
        </w:trPr>
        <w:tc>
          <w:tcPr>
            <w:tcW w:w="2000" w:type="dxa"/>
            <w:vAlign w:val="bottom"/>
            <w:shd w:val="clear" w:color="auto" w:fill="CCEEFF"/>
          </w:tcPr>
          <w:p>
            <w:pPr>
              <w:jc w:val="center"/>
              <w:ind w:left="59"/>
              <w:spacing w:after="0"/>
              <w:rPr>
                <w:sz w:val="20"/>
                <w:szCs w:val="20"/>
                <w:color w:val="auto"/>
              </w:rPr>
            </w:pPr>
            <w:r>
              <w:rPr>
                <w:rFonts w:ascii="Times New Roman" w:cs="Times New Roman" w:eastAsia="Times New Roman" w:hAnsi="Times New Roman"/>
                <w:sz w:val="16"/>
                <w:szCs w:val="16"/>
                <w:color w:val="auto"/>
              </w:rPr>
              <w:t>Roberton Stevenson</w:t>
            </w:r>
          </w:p>
        </w:tc>
        <w:tc>
          <w:tcPr>
            <w:tcW w:w="3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EVP and Chief Human Resources Officer</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June 12, 2024</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June 14, 2025</w:t>
            </w:r>
          </w:p>
        </w:tc>
        <w:tc>
          <w:tcPr>
            <w:tcW w:w="1320" w:type="dxa"/>
            <w:vAlign w:val="bottom"/>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9"/>
              </w:rPr>
              <w:t>3,330</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220"/>
        </w:trPr>
        <w:tc>
          <w:tcPr>
            <w:tcW w:w="200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Michael Wattenbarger</w:t>
            </w:r>
          </w:p>
        </w:tc>
        <w:tc>
          <w:tcPr>
            <w:tcW w:w="3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EVP and Chief Information Officer</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12, 2024</w:t>
            </w: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24, 2025</w:t>
            </w:r>
          </w:p>
        </w:tc>
        <w:tc>
          <w:tcPr>
            <w:tcW w:w="1320" w:type="dxa"/>
            <w:vAlign w:val="bottom"/>
          </w:tcPr>
          <w:p>
            <w:pPr>
              <w:jc w:val="center"/>
              <w:ind w:left="1"/>
              <w:spacing w:after="0"/>
              <w:rPr>
                <w:sz w:val="20"/>
                <w:szCs w:val="20"/>
                <w:color w:val="auto"/>
              </w:rPr>
            </w:pPr>
            <w:r>
              <w:rPr>
                <w:rFonts w:ascii="Times New Roman" w:cs="Times New Roman" w:eastAsia="Times New Roman" w:hAnsi="Times New Roman"/>
                <w:sz w:val="16"/>
                <w:szCs w:val="16"/>
                <w:color w:val="auto"/>
                <w:w w:val="99"/>
              </w:rPr>
              <w:t>3,539</w:t>
            </w: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212"/>
        </w:trPr>
        <w:tc>
          <w:tcPr>
            <w:tcW w:w="2000" w:type="dxa"/>
            <w:vAlign w:val="bottom"/>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R. Dirk Allison</w:t>
            </w:r>
          </w:p>
        </w:tc>
        <w:tc>
          <w:tcPr>
            <w:tcW w:w="3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Chief Executive Officer and Chairman of</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June 12, 2024</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February 24, 2025</w:t>
            </w:r>
          </w:p>
        </w:tc>
        <w:tc>
          <w:tcPr>
            <w:tcW w:w="1320" w:type="dxa"/>
            <w:vAlign w:val="bottom"/>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9"/>
              </w:rPr>
              <w:t>26,609</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230"/>
        </w:trPr>
        <w:tc>
          <w:tcPr>
            <w:tcW w:w="2000" w:type="dxa"/>
            <w:vAlign w:val="bottom"/>
            <w:shd w:val="clear" w:color="auto" w:fill="CCEEFF"/>
          </w:tcPr>
          <w:p>
            <w:pPr>
              <w:spacing w:after="0"/>
              <w:rPr>
                <w:sz w:val="19"/>
                <w:szCs w:val="19"/>
                <w:color w:val="auto"/>
              </w:rPr>
            </w:pPr>
          </w:p>
        </w:tc>
        <w:tc>
          <w:tcPr>
            <w:tcW w:w="3220" w:type="dxa"/>
            <w:vAlign w:val="bottom"/>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the Board</w:t>
            </w:r>
          </w:p>
        </w:tc>
        <w:tc>
          <w:tcPr>
            <w:tcW w:w="13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02"/>
        </w:trPr>
        <w:tc>
          <w:tcPr>
            <w:tcW w:w="200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w w:val="99"/>
              </w:rPr>
              <w:t>Darby Anderson</w:t>
            </w:r>
          </w:p>
        </w:tc>
        <w:tc>
          <w:tcPr>
            <w:tcW w:w="3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EVP and Chief Government Affairs &amp;</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12, 2024</w:t>
            </w: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February 24, 2025</w:t>
            </w:r>
          </w:p>
        </w:tc>
        <w:tc>
          <w:tcPr>
            <w:tcW w:w="1320" w:type="dxa"/>
            <w:vAlign w:val="bottom"/>
          </w:tcPr>
          <w:p>
            <w:pPr>
              <w:jc w:val="center"/>
              <w:ind w:left="1"/>
              <w:spacing w:after="0"/>
              <w:rPr>
                <w:sz w:val="20"/>
                <w:szCs w:val="20"/>
                <w:color w:val="auto"/>
              </w:rPr>
            </w:pPr>
            <w:r>
              <w:rPr>
                <w:rFonts w:ascii="Times New Roman" w:cs="Times New Roman" w:eastAsia="Times New Roman" w:hAnsi="Times New Roman"/>
                <w:sz w:val="16"/>
                <w:szCs w:val="16"/>
                <w:color w:val="auto"/>
                <w:w w:val="99"/>
              </w:rPr>
              <w:t>4,823</w:t>
            </w: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220"/>
        </w:trPr>
        <w:tc>
          <w:tcPr>
            <w:tcW w:w="2000" w:type="dxa"/>
            <w:vAlign w:val="bottom"/>
          </w:tcPr>
          <w:p>
            <w:pPr>
              <w:spacing w:after="0"/>
              <w:rPr>
                <w:sz w:val="19"/>
                <w:szCs w:val="19"/>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Community Relations Officer</w:t>
            </w:r>
          </w:p>
        </w:tc>
        <w:tc>
          <w:tcPr>
            <w:tcW w:w="13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9"/>
        </w:trPr>
        <w:tc>
          <w:tcPr>
            <w:tcW w:w="2000" w:type="dxa"/>
            <w:vAlign w:val="bottom"/>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W. Bradley Bickham</w:t>
            </w:r>
          </w:p>
        </w:tc>
        <w:tc>
          <w:tcPr>
            <w:tcW w:w="3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President and Chief Operating Officer</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June 13, 2024</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February 24, 2025</w:t>
            </w:r>
          </w:p>
        </w:tc>
        <w:tc>
          <w:tcPr>
            <w:tcW w:w="1320" w:type="dxa"/>
            <w:vAlign w:val="bottom"/>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9"/>
              </w:rPr>
              <w:t>14,308</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220"/>
        </w:trPr>
        <w:tc>
          <w:tcPr>
            <w:tcW w:w="200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Cliff Blessing</w:t>
            </w:r>
          </w:p>
        </w:tc>
        <w:tc>
          <w:tcPr>
            <w:tcW w:w="322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rPr>
              <w:t>EVP and Chief Development Officer</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12, 2024</w:t>
            </w: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April 20, 2025</w:t>
            </w:r>
          </w:p>
        </w:tc>
        <w:tc>
          <w:tcPr>
            <w:tcW w:w="1320" w:type="dxa"/>
            <w:vAlign w:val="bottom"/>
          </w:tcPr>
          <w:p>
            <w:pPr>
              <w:jc w:val="center"/>
              <w:ind w:left="1"/>
              <w:spacing w:after="0"/>
              <w:rPr>
                <w:sz w:val="20"/>
                <w:szCs w:val="20"/>
                <w:color w:val="auto"/>
              </w:rPr>
            </w:pPr>
            <w:r>
              <w:rPr>
                <w:rFonts w:ascii="Times New Roman" w:cs="Times New Roman" w:eastAsia="Times New Roman" w:hAnsi="Times New Roman"/>
                <w:sz w:val="16"/>
                <w:szCs w:val="16"/>
                <w:color w:val="auto"/>
                <w:w w:val="99"/>
              </w:rPr>
              <w:t>2,752</w:t>
            </w: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212"/>
        </w:trPr>
        <w:tc>
          <w:tcPr>
            <w:tcW w:w="2000" w:type="dxa"/>
            <w:vAlign w:val="bottom"/>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Brian Poff</w:t>
            </w:r>
          </w:p>
        </w:tc>
        <w:tc>
          <w:tcPr>
            <w:tcW w:w="3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EVP, Chief Financial Officer, Secretary and</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June 12, 2024</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February 24, 2025</w:t>
            </w:r>
          </w:p>
        </w:tc>
        <w:tc>
          <w:tcPr>
            <w:tcW w:w="1320" w:type="dxa"/>
            <w:vAlign w:val="bottom"/>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9"/>
              </w:rPr>
              <w:t>13,207</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230"/>
        </w:trPr>
        <w:tc>
          <w:tcPr>
            <w:tcW w:w="2000" w:type="dxa"/>
            <w:vAlign w:val="bottom"/>
            <w:shd w:val="clear" w:color="auto" w:fill="CCEEFF"/>
          </w:tcPr>
          <w:p>
            <w:pPr>
              <w:spacing w:after="0"/>
              <w:rPr>
                <w:sz w:val="19"/>
                <w:szCs w:val="19"/>
                <w:color w:val="auto"/>
              </w:rPr>
            </w:pPr>
          </w:p>
        </w:tc>
        <w:tc>
          <w:tcPr>
            <w:tcW w:w="3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Treasurer</w:t>
            </w:r>
          </w:p>
        </w:tc>
        <w:tc>
          <w:tcPr>
            <w:tcW w:w="13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02"/>
        </w:trPr>
        <w:tc>
          <w:tcPr>
            <w:tcW w:w="200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Monica Raines</w:t>
            </w:r>
          </w:p>
        </w:tc>
        <w:tc>
          <w:tcPr>
            <w:tcW w:w="3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EVP and Chief Compliance and Quality</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13, 2024</w:t>
            </w: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March 1, 2025</w:t>
            </w:r>
          </w:p>
        </w:tc>
        <w:tc>
          <w:tcPr>
            <w:tcW w:w="1320" w:type="dxa"/>
            <w:vAlign w:val="bottom"/>
          </w:tcPr>
          <w:p>
            <w:pPr>
              <w:jc w:val="center"/>
              <w:ind w:left="1"/>
              <w:spacing w:after="0"/>
              <w:rPr>
                <w:sz w:val="20"/>
                <w:szCs w:val="20"/>
                <w:color w:val="auto"/>
              </w:rPr>
            </w:pPr>
            <w:r>
              <w:rPr>
                <w:rFonts w:ascii="Times New Roman" w:cs="Times New Roman" w:eastAsia="Times New Roman" w:hAnsi="Times New Roman"/>
                <w:sz w:val="16"/>
                <w:szCs w:val="16"/>
                <w:color w:val="auto"/>
                <w:w w:val="99"/>
              </w:rPr>
              <w:t>3,168</w:t>
            </w: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220"/>
        </w:trPr>
        <w:tc>
          <w:tcPr>
            <w:tcW w:w="2000" w:type="dxa"/>
            <w:vAlign w:val="bottom"/>
          </w:tcPr>
          <w:p>
            <w:pPr>
              <w:spacing w:after="0"/>
              <w:rPr>
                <w:sz w:val="19"/>
                <w:szCs w:val="19"/>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Officer</w:t>
            </w:r>
          </w:p>
        </w:tc>
        <w:tc>
          <w:tcPr>
            <w:tcW w:w="13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9"/>
        </w:trPr>
        <w:tc>
          <w:tcPr>
            <w:tcW w:w="2000" w:type="dxa"/>
            <w:vAlign w:val="bottom"/>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Sean Gaffney</w:t>
            </w:r>
          </w:p>
        </w:tc>
        <w:tc>
          <w:tcPr>
            <w:tcW w:w="3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EVP and Chief Legal Officer</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June 14, 2024</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February 24, 2025</w:t>
            </w:r>
          </w:p>
        </w:tc>
        <w:tc>
          <w:tcPr>
            <w:tcW w:w="1320" w:type="dxa"/>
            <w:vAlign w:val="bottom"/>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9"/>
              </w:rPr>
              <w:t>4,823</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202"/>
        </w:trPr>
        <w:tc>
          <w:tcPr>
            <w:tcW w:w="200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Brian Poff</w:t>
            </w:r>
          </w:p>
        </w:tc>
        <w:tc>
          <w:tcPr>
            <w:tcW w:w="3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EVP, Chief Financial Officer, Secretary and</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13, 2024</w:t>
            </w: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December 13, 2024</w:t>
            </w:r>
          </w:p>
        </w:tc>
        <w:tc>
          <w:tcPr>
            <w:tcW w:w="132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n/a</w:t>
            </w:r>
          </w:p>
        </w:tc>
        <w:tc>
          <w:tcPr>
            <w:tcW w:w="1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6,839</w:t>
            </w:r>
          </w:p>
        </w:tc>
      </w:tr>
      <w:tr>
        <w:trPr>
          <w:trHeight w:val="220"/>
        </w:trPr>
        <w:tc>
          <w:tcPr>
            <w:tcW w:w="2000" w:type="dxa"/>
            <w:vAlign w:val="bottom"/>
          </w:tcPr>
          <w:p>
            <w:pPr>
              <w:spacing w:after="0"/>
              <w:rPr>
                <w:sz w:val="19"/>
                <w:szCs w:val="19"/>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Treasurer</w:t>
            </w:r>
          </w:p>
        </w:tc>
        <w:tc>
          <w:tcPr>
            <w:tcW w:w="13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9"/>
        </w:trPr>
        <w:tc>
          <w:tcPr>
            <w:tcW w:w="2000" w:type="dxa"/>
            <w:vAlign w:val="bottom"/>
            <w:shd w:val="clear" w:color="auto" w:fill="CCEEFF"/>
          </w:tcPr>
          <w:p>
            <w:pPr>
              <w:jc w:val="center"/>
              <w:ind w:left="59"/>
              <w:spacing w:after="0"/>
              <w:rPr>
                <w:sz w:val="20"/>
                <w:szCs w:val="20"/>
                <w:color w:val="auto"/>
              </w:rPr>
            </w:pPr>
            <w:r>
              <w:rPr>
                <w:rFonts w:ascii="Times New Roman" w:cs="Times New Roman" w:eastAsia="Times New Roman" w:hAnsi="Times New Roman"/>
                <w:sz w:val="16"/>
                <w:szCs w:val="16"/>
                <w:color w:val="auto"/>
              </w:rPr>
              <w:t>David Tucker</w:t>
            </w:r>
          </w:p>
        </w:tc>
        <w:tc>
          <w:tcPr>
            <w:tcW w:w="3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EVP and Chief Strategy Officer</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June 14, 2024</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February 24, 2025</w:t>
            </w:r>
          </w:p>
        </w:tc>
        <w:tc>
          <w:tcPr>
            <w:tcW w:w="1320" w:type="dxa"/>
            <w:vAlign w:val="bottom"/>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9"/>
              </w:rPr>
              <w:t>4,142</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n/a</w:t>
            </w: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 xml:space="preserve"> Each plan will expire on the date represented in the table or upon the earlier completion of all transactions contemplated by the arrangement.</w:t>
      </w:r>
    </w:p>
    <w:p>
      <w:pPr>
        <w:spacing w:after="0" w:line="2" w:lineRule="exact"/>
        <w:rPr>
          <w:sz w:val="20"/>
          <w:szCs w:val="20"/>
          <w:color w:val="auto"/>
        </w:rPr>
      </w:pPr>
    </w:p>
    <w:p>
      <w:pPr>
        <w:ind w:right="280" w:firstLine="8"/>
        <w:spacing w:after="0" w:line="306" w:lineRule="auto"/>
        <w:tabs>
          <w:tab w:leader="none" w:pos="153" w:val="left"/>
        </w:tabs>
        <w:numPr>
          <w:ilvl w:val="0"/>
          <w:numId w:val="1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This column indicates the total number of shares vesting in connection with equity awards, not the number of shares to be sold. The actual number of shares to be sold will be a smaller number based on whatever is required to satisfy payment of applicable withholding taxes under sell-to-cover arrangements.</w:t>
      </w:r>
    </w:p>
    <w:p>
      <w:pPr>
        <w:spacing w:after="0" w:line="242" w:lineRule="exact"/>
        <w:rPr>
          <w:sz w:val="20"/>
          <w:szCs w:val="20"/>
          <w:color w:val="auto"/>
        </w:rPr>
      </w:pPr>
    </w:p>
    <w:p>
      <w:pPr>
        <w:ind w:right="500" w:firstLine="509"/>
        <w:spacing w:after="0" w:line="266" w:lineRule="auto"/>
        <w:rPr>
          <w:sz w:val="20"/>
          <w:szCs w:val="20"/>
          <w:color w:val="auto"/>
        </w:rPr>
      </w:pPr>
      <w:r>
        <w:rPr>
          <w:rFonts w:ascii="Times New Roman" w:cs="Times New Roman" w:eastAsia="Times New Roman" w:hAnsi="Times New Roman"/>
          <w:sz w:val="18"/>
          <w:szCs w:val="18"/>
          <w:color w:val="auto"/>
        </w:rPr>
        <w:t>Each trading arrangement noted above is intended to satisfy the affirmative defense in Rule 10b5- 1(c). No other director or Section 16 officer adopted or terminated any Rule 10b5-1 trading arrangements or non-Rule 10b5-1 trading arrangements, as such terms are defined in Item 408(a) of Regulation S-K, during the quarter ending June 30, 2024.</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563C1"/>
              </w:rPr>
              <w:t>Table of Contents</w:t>
            </w:r>
          </w:p>
        </w:tc>
        <w:tc>
          <w:tcPr>
            <w:tcW w:w="27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
        </w:trPr>
        <w:tc>
          <w:tcPr>
            <w:tcW w:w="1360" w:type="dxa"/>
            <w:vAlign w:val="bottom"/>
            <w:shd w:val="clear" w:color="auto" w:fill="0563C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80"/>
        </w:trPr>
        <w:tc>
          <w:tcPr>
            <w:tcW w:w="2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27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18"/>
        </w:trPr>
        <w:tc>
          <w:tcPr>
            <w:tcW w:w="1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9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39"/>
        </w:trPr>
        <w:tc>
          <w:tcPr>
            <w:tcW w:w="1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960" w:type="dxa"/>
            <w:vAlign w:val="bottom"/>
            <w:tcBorders>
              <w:bottom w:val="single" w:sz="8" w:color="auto"/>
            </w:tcBorders>
          </w:tcPr>
          <w:p>
            <w:pPr>
              <w:spacing w:after="0"/>
              <w:rPr>
                <w:sz w:val="24"/>
                <w:szCs w:val="24"/>
                <w:color w:val="auto"/>
              </w:rPr>
            </w:pPr>
          </w:p>
        </w:tc>
      </w:tr>
      <w:tr>
        <w:trPr>
          <w:trHeight w:val="207"/>
        </w:trPr>
        <w:tc>
          <w:tcPr>
            <w:tcW w:w="2140" w:type="dxa"/>
            <w:vAlign w:val="bottom"/>
            <w:gridSpan w:val="2"/>
          </w:tcPr>
          <w:p>
            <w:pPr>
              <w:jc w:val="center"/>
              <w:ind w:right="13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7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r>
      <w:tr>
        <w:trPr>
          <w:trHeight w:val="245"/>
        </w:trPr>
        <w:tc>
          <w:tcPr>
            <w:tcW w:w="2140" w:type="dxa"/>
            <w:vAlign w:val="bottom"/>
            <w:tcBorders>
              <w:bottom w:val="single" w:sz="8" w:color="auto"/>
            </w:tcBorders>
            <w:gridSpan w:val="2"/>
          </w:tcPr>
          <w:p>
            <w:pPr>
              <w:jc w:val="center"/>
              <w:ind w:right="13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7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c>
          <w:tcPr>
            <w:tcW w:w="20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1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3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Date Filing</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r>
    </w:tbl>
    <w:p>
      <w:pPr>
        <w:spacing w:after="0" w:line="144" w:lineRule="exact"/>
        <w:rPr>
          <w:sz w:val="20"/>
          <w:szCs w:val="20"/>
          <w:color w:val="auto"/>
        </w:rPr>
      </w:pPr>
    </w:p>
    <w:p>
      <w:pPr>
        <w:sectPr>
          <w:pgSz w:w="11900" w:h="16838" w:orient="portrait"/>
          <w:cols w:equalWidth="0" w:num="1">
            <w:col w:w="11240"/>
          </w:cols>
          <w:pgMar w:left="320" w:top="756" w:right="339" w:bottom="1440" w:gutter="0" w:footer="0" w:header="0"/>
        </w:sectPr>
      </w:pPr>
    </w:p>
    <w:p>
      <w:pPr>
        <w:ind w:left="960" w:hanging="658"/>
        <w:spacing w:after="0" w:line="282" w:lineRule="auto"/>
        <w:tabs>
          <w:tab w:leader="none" w:pos="940" w:val="left"/>
        </w:tabs>
        <w:rPr>
          <w:rFonts w:ascii="Times New Roman" w:cs="Times New Roman" w:eastAsia="Times New Roman" w:hAnsi="Times New Roman"/>
          <w:sz w:val="18"/>
          <w:szCs w:val="18"/>
          <w:u w:val="single" w:color="auto"/>
          <w:color w:val="0000FF"/>
        </w:rPr>
      </w:pPr>
      <w:hyperlink r:id="rId463">
        <w:r>
          <w:rPr>
            <w:rFonts w:ascii="Times New Roman" w:cs="Times New Roman" w:eastAsia="Times New Roman" w:hAnsi="Times New Roman"/>
            <w:sz w:val="18"/>
            <w:szCs w:val="18"/>
            <w:u w:val="single" w:color="auto"/>
            <w:color w:val="0000FF"/>
          </w:rPr>
          <w:t>3.1</w:t>
        </w:r>
      </w:hyperlink>
      <w:r>
        <w:rPr>
          <w:rFonts w:ascii="Times New Roman" w:cs="Times New Roman" w:eastAsia="Times New Roman" w:hAnsi="Times New Roman"/>
          <w:sz w:val="18"/>
          <w:szCs w:val="18"/>
          <w:u w:val="single" w:color="auto"/>
          <w:color w:val="0000FF"/>
        </w:rPr>
        <w:tab/>
      </w:r>
      <w:hyperlink r:id="rId463">
        <w:r>
          <w:rPr>
            <w:rFonts w:ascii="Times New Roman" w:cs="Times New Roman" w:eastAsia="Times New Roman" w:hAnsi="Times New Roman"/>
            <w:sz w:val="18"/>
            <w:szCs w:val="18"/>
            <w:u w:val="single" w:color="auto"/>
            <w:color w:val="0000FF"/>
          </w:rPr>
          <w:t>Amended and Restated Certificate of Incorporation of the Company dated as of</w:t>
        </w:r>
      </w:hyperlink>
      <w:r>
        <w:rPr>
          <w:rFonts w:ascii="Times New Roman" w:cs="Times New Roman" w:eastAsia="Times New Roman" w:hAnsi="Times New Roman"/>
          <w:sz w:val="18"/>
          <w:szCs w:val="18"/>
          <w:u w:val="single" w:color="auto"/>
          <w:color w:val="0000FF"/>
        </w:rPr>
        <w:t xml:space="preserve"> </w:t>
      </w:r>
      <w:hyperlink r:id="rId463">
        <w:r>
          <w:rPr>
            <w:rFonts w:ascii="Times New Roman" w:cs="Times New Roman" w:eastAsia="Times New Roman" w:hAnsi="Times New Roman"/>
            <w:sz w:val="18"/>
            <w:szCs w:val="18"/>
            <w:u w:val="single" w:color="auto"/>
            <w:color w:val="0000FF"/>
          </w:rPr>
          <w:t>October 27, 2009.</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194945</wp:posOffset>
            </wp:positionH>
            <wp:positionV relativeFrom="paragraph">
              <wp:posOffset>-185420</wp:posOffset>
            </wp:positionV>
            <wp:extent cx="407987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4">
                      <a:extLst>
                        <a:ext uri="{28A0092B-C50C-407E-A947-70E740481C1C}"/>
                      </a:extLst>
                    </a:blip>
                    <a:srcRect/>
                    <a:stretch>
                      <a:fillRect/>
                    </a:stretch>
                  </pic:blipFill>
                  <pic:spPr bwMode="auto">
                    <a:xfrm>
                      <a:off x="0" y="0"/>
                      <a:ext cx="407987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-48260</wp:posOffset>
            </wp:positionV>
            <wp:extent cx="82486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5">
                      <a:extLst>
                        <a:ext uri="{28A0092B-C50C-407E-A947-70E740481C1C}"/>
                      </a:extLst>
                    </a:blip>
                    <a:srcRect/>
                    <a:stretch>
                      <a:fillRect/>
                    </a:stretch>
                  </pic:blipFill>
                  <pic:spPr bwMode="auto">
                    <a:xfrm>
                      <a:off x="0" y="0"/>
                      <a:ext cx="824865" cy="8255"/>
                    </a:xfrm>
                    <a:prstGeom prst="rect">
                      <a:avLst/>
                    </a:prstGeom>
                    <a:noFill/>
                  </pic:spPr>
                </pic:pic>
              </a:graphicData>
            </a:graphic>
          </wp:anchor>
        </w:drawing>
      </w:r>
    </w:p>
    <w:p>
      <w:pPr>
        <w:spacing w:after="0" w:line="101" w:lineRule="exact"/>
        <w:rPr>
          <w:rFonts w:ascii="Times New Roman" w:cs="Times New Roman" w:eastAsia="Times New Roman" w:hAnsi="Times New Roman"/>
          <w:sz w:val="18"/>
          <w:szCs w:val="18"/>
          <w:u w:val="single" w:color="auto"/>
          <w:color w:val="0000FF"/>
        </w:rPr>
      </w:pPr>
    </w:p>
    <w:p>
      <w:pPr>
        <w:ind w:left="960" w:right="460" w:hanging="658"/>
        <w:spacing w:after="0" w:line="282" w:lineRule="auto"/>
        <w:tabs>
          <w:tab w:leader="none" w:pos="940" w:val="left"/>
        </w:tabs>
        <w:rPr>
          <w:rFonts w:ascii="Times New Roman" w:cs="Times New Roman" w:eastAsia="Times New Roman" w:hAnsi="Times New Roman"/>
          <w:sz w:val="18"/>
          <w:szCs w:val="18"/>
          <w:u w:val="single" w:color="auto"/>
          <w:color w:val="0000FF"/>
        </w:rPr>
      </w:pPr>
      <w:hyperlink r:id="rId466">
        <w:r>
          <w:rPr>
            <w:rFonts w:ascii="Times New Roman" w:cs="Times New Roman" w:eastAsia="Times New Roman" w:hAnsi="Times New Roman"/>
            <w:sz w:val="18"/>
            <w:szCs w:val="18"/>
            <w:u w:val="single" w:color="auto"/>
            <w:color w:val="0000FF"/>
          </w:rPr>
          <w:t>3.2</w:t>
        </w:r>
      </w:hyperlink>
      <w:r>
        <w:rPr>
          <w:rFonts w:ascii="Times New Roman" w:cs="Times New Roman" w:eastAsia="Times New Roman" w:hAnsi="Times New Roman"/>
          <w:sz w:val="18"/>
          <w:szCs w:val="18"/>
          <w:u w:val="single" w:color="auto"/>
          <w:color w:val="0000FF"/>
        </w:rPr>
        <w:tab/>
      </w:r>
      <w:hyperlink r:id="rId466">
        <w:r>
          <w:rPr>
            <w:rFonts w:ascii="Times New Roman" w:cs="Times New Roman" w:eastAsia="Times New Roman" w:hAnsi="Times New Roman"/>
            <w:sz w:val="18"/>
            <w:szCs w:val="18"/>
            <w:u w:val="single" w:color="auto"/>
            <w:color w:val="0000FF"/>
          </w:rPr>
          <w:t>Amended and Restated Bylaws of the Company, as amended by the First</w:t>
        </w:r>
      </w:hyperlink>
      <w:r>
        <w:rPr>
          <w:rFonts w:ascii="Times New Roman" w:cs="Times New Roman" w:eastAsia="Times New Roman" w:hAnsi="Times New Roman"/>
          <w:sz w:val="18"/>
          <w:szCs w:val="18"/>
          <w:u w:val="single" w:color="auto"/>
          <w:color w:val="0000FF"/>
        </w:rPr>
        <w:t xml:space="preserve"> </w:t>
      </w:r>
      <w:hyperlink r:id="rId466">
        <w:r>
          <w:rPr>
            <w:rFonts w:ascii="Times New Roman" w:cs="Times New Roman" w:eastAsia="Times New Roman" w:hAnsi="Times New Roman"/>
            <w:sz w:val="18"/>
            <w:szCs w:val="18"/>
            <w:u w:val="single" w:color="auto"/>
            <w:color w:val="0000FF"/>
          </w:rPr>
          <w:t>Amendment to the Amended and Restated Bylaws.</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194945</wp:posOffset>
            </wp:positionH>
            <wp:positionV relativeFrom="paragraph">
              <wp:posOffset>-185420</wp:posOffset>
            </wp:positionV>
            <wp:extent cx="377761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7">
                      <a:extLst>
                        <a:ext uri="{28A0092B-C50C-407E-A947-70E740481C1C}"/>
                      </a:extLst>
                    </a:blip>
                    <a:srcRect/>
                    <a:stretch>
                      <a:fillRect/>
                    </a:stretch>
                  </pic:blipFill>
                  <pic:spPr bwMode="auto">
                    <a:xfrm>
                      <a:off x="0" y="0"/>
                      <a:ext cx="377761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-48260</wp:posOffset>
            </wp:positionV>
            <wp:extent cx="233870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8">
                      <a:extLst>
                        <a:ext uri="{28A0092B-C50C-407E-A947-70E740481C1C}"/>
                      </a:extLst>
                    </a:blip>
                    <a:srcRect/>
                    <a:stretch>
                      <a:fillRect/>
                    </a:stretch>
                  </pic:blipFill>
                  <pic:spPr bwMode="auto">
                    <a:xfrm>
                      <a:off x="0" y="0"/>
                      <a:ext cx="2338705" cy="8255"/>
                    </a:xfrm>
                    <a:prstGeom prst="rect">
                      <a:avLst/>
                    </a:prstGeom>
                    <a:noFill/>
                  </pic:spPr>
                </pic:pic>
              </a:graphicData>
            </a:graphic>
          </wp:anchor>
        </w:drawing>
      </w:r>
    </w:p>
    <w:p>
      <w:pPr>
        <w:spacing w:after="0" w:line="101" w:lineRule="exact"/>
        <w:rPr>
          <w:rFonts w:ascii="Times New Roman" w:cs="Times New Roman" w:eastAsia="Times New Roman" w:hAnsi="Times New Roman"/>
          <w:sz w:val="18"/>
          <w:szCs w:val="18"/>
          <w:u w:val="single" w:color="auto"/>
          <w:color w:val="0000FF"/>
        </w:rPr>
      </w:pPr>
    </w:p>
    <w:p>
      <w:pPr>
        <w:ind w:left="300"/>
        <w:spacing w:after="0"/>
        <w:tabs>
          <w:tab w:leader="none" w:pos="940" w:val="left"/>
        </w:tabs>
        <w:rPr>
          <w:rFonts w:ascii="Times New Roman" w:cs="Times New Roman" w:eastAsia="Times New Roman" w:hAnsi="Times New Roman"/>
          <w:sz w:val="18"/>
          <w:szCs w:val="18"/>
          <w:u w:val="single" w:color="auto"/>
          <w:color w:val="0000FF"/>
        </w:rPr>
      </w:pPr>
      <w:hyperlink r:id="rId469">
        <w:r>
          <w:rPr>
            <w:rFonts w:ascii="Times New Roman" w:cs="Times New Roman" w:eastAsia="Times New Roman" w:hAnsi="Times New Roman"/>
            <w:sz w:val="18"/>
            <w:szCs w:val="18"/>
            <w:u w:val="single" w:color="auto"/>
            <w:color w:val="0000FF"/>
          </w:rPr>
          <w:t>4.1</w:t>
        </w:r>
      </w:hyperlink>
      <w:r>
        <w:rPr>
          <w:rFonts w:ascii="Times New Roman" w:cs="Times New Roman" w:eastAsia="Times New Roman" w:hAnsi="Times New Roman"/>
          <w:sz w:val="18"/>
          <w:szCs w:val="18"/>
          <w:u w:val="single" w:color="auto"/>
          <w:color w:val="0000FF"/>
        </w:rPr>
        <w:tab/>
      </w:r>
      <w:hyperlink r:id="rId469">
        <w:r>
          <w:rPr>
            <w:rFonts w:ascii="Times New Roman" w:cs="Times New Roman" w:eastAsia="Times New Roman" w:hAnsi="Times New Roman"/>
            <w:sz w:val="18"/>
            <w:szCs w:val="18"/>
            <w:u w:val="single" w:color="auto"/>
            <w:color w:val="0000FF"/>
          </w:rPr>
          <w:t>Form of Common Stock Certificate.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-7620</wp:posOffset>
            </wp:positionV>
            <wp:extent cx="207200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0">
                      <a:extLst>
                        <a:ext uri="{28A0092B-C50C-407E-A947-70E740481C1C}"/>
                      </a:extLst>
                    </a:blip>
                    <a:srcRect/>
                    <a:stretch>
                      <a:fillRect/>
                    </a:stretch>
                  </pic:blipFill>
                  <pic:spPr bwMode="auto">
                    <a:xfrm>
                      <a:off x="0" y="0"/>
                      <a:ext cx="2072005" cy="8255"/>
                    </a:xfrm>
                    <a:prstGeom prst="rect">
                      <a:avLst/>
                    </a:prstGeom>
                    <a:noFill/>
                  </pic:spPr>
                </pic:pic>
              </a:graphicData>
            </a:graphic>
          </wp:anchor>
        </w:drawing>
      </w:r>
    </w:p>
    <w:p>
      <w:pPr>
        <w:spacing w:after="0" w:line="165" w:lineRule="exact"/>
        <w:rPr>
          <w:sz w:val="20"/>
          <w:szCs w:val="20"/>
          <w:color w:val="auto"/>
        </w:rPr>
      </w:pPr>
    </w:p>
    <w:p>
      <w:pPr>
        <w:ind w:left="960" w:right="360" w:hanging="703"/>
        <w:spacing w:after="0" w:line="282" w:lineRule="auto"/>
        <w:tabs>
          <w:tab w:leader="none" w:pos="940" w:val="left"/>
        </w:tabs>
        <w:rPr>
          <w:rFonts w:ascii="Times New Roman" w:cs="Times New Roman" w:eastAsia="Times New Roman" w:hAnsi="Times New Roman"/>
          <w:sz w:val="18"/>
          <w:szCs w:val="18"/>
          <w:u w:val="single" w:color="auto"/>
          <w:color w:val="0000FF"/>
        </w:rPr>
      </w:pPr>
      <w:hyperlink r:id="rId471">
        <w:r>
          <w:rPr>
            <w:rFonts w:ascii="Times New Roman" w:cs="Times New Roman" w:eastAsia="Times New Roman" w:hAnsi="Times New Roman"/>
            <w:sz w:val="18"/>
            <w:szCs w:val="18"/>
            <w:u w:val="single" w:color="auto"/>
            <w:color w:val="0000FF"/>
          </w:rPr>
          <w:t>10.1</w:t>
        </w:r>
      </w:hyperlink>
      <w:r>
        <w:rPr>
          <w:rFonts w:ascii="Times New Roman" w:cs="Times New Roman" w:eastAsia="Times New Roman" w:hAnsi="Times New Roman"/>
          <w:sz w:val="18"/>
          <w:szCs w:val="18"/>
          <w:u w:val="single" w:color="auto"/>
          <w:color w:val="0000FF"/>
        </w:rPr>
        <w:tab/>
      </w:r>
      <w:hyperlink r:id="rId471">
        <w:r>
          <w:rPr>
            <w:rFonts w:ascii="Times New Roman" w:cs="Times New Roman" w:eastAsia="Times New Roman" w:hAnsi="Times New Roman"/>
            <w:sz w:val="18"/>
            <w:szCs w:val="18"/>
            <w:u w:val="single" w:color="auto"/>
            <w:color w:val="0000FF"/>
          </w:rPr>
          <w:t>Stock and Asset Purchase Agreement, dated June 8, 2024, by and between</w:t>
        </w:r>
      </w:hyperlink>
      <w:r>
        <w:rPr>
          <w:rFonts w:ascii="Times New Roman" w:cs="Times New Roman" w:eastAsia="Times New Roman" w:hAnsi="Times New Roman"/>
          <w:sz w:val="18"/>
          <w:szCs w:val="18"/>
          <w:u w:val="single" w:color="auto"/>
          <w:color w:val="0000FF"/>
        </w:rPr>
        <w:t xml:space="preserve"> </w:t>
      </w:r>
      <w:hyperlink r:id="rId471">
        <w:r>
          <w:rPr>
            <w:rFonts w:ascii="Times New Roman" w:cs="Times New Roman" w:eastAsia="Times New Roman" w:hAnsi="Times New Roman"/>
            <w:sz w:val="18"/>
            <w:szCs w:val="18"/>
            <w:u w:val="single" w:color="auto"/>
            <w:color w:val="0000FF"/>
          </w:rPr>
          <w:t>Addus HealthCare, Inc. and Curo Health Services, LLC.</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166370</wp:posOffset>
            </wp:positionH>
            <wp:positionV relativeFrom="paragraph">
              <wp:posOffset>-185420</wp:posOffset>
            </wp:positionV>
            <wp:extent cx="3876675"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2">
                      <a:extLst>
                        <a:ext uri="{28A0092B-C50C-407E-A947-70E740481C1C}"/>
                      </a:extLst>
                    </a:blip>
                    <a:srcRect/>
                    <a:stretch>
                      <a:fillRect/>
                    </a:stretch>
                  </pic:blipFill>
                  <pic:spPr bwMode="auto">
                    <a:xfrm>
                      <a:off x="0" y="0"/>
                      <a:ext cx="387667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-48260</wp:posOffset>
            </wp:positionV>
            <wp:extent cx="257937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3">
                      <a:extLst>
                        <a:ext uri="{28A0092B-C50C-407E-A947-70E740481C1C}"/>
                      </a:extLst>
                    </a:blip>
                    <a:srcRect/>
                    <a:stretch>
                      <a:fillRect/>
                    </a:stretch>
                  </pic:blipFill>
                  <pic:spPr bwMode="auto">
                    <a:xfrm>
                      <a:off x="0" y="0"/>
                      <a:ext cx="2579370" cy="8890"/>
                    </a:xfrm>
                    <a:prstGeom prst="rect">
                      <a:avLst/>
                    </a:prstGeom>
                    <a:noFill/>
                  </pic:spPr>
                </pic:pic>
              </a:graphicData>
            </a:graphic>
          </wp:anchor>
        </w:drawing>
      </w:r>
    </w:p>
    <w:p>
      <w:pPr>
        <w:spacing w:after="0" w:line="101" w:lineRule="exact"/>
        <w:rPr>
          <w:rFonts w:ascii="Times New Roman" w:cs="Times New Roman" w:eastAsia="Times New Roman" w:hAnsi="Times New Roman"/>
          <w:sz w:val="18"/>
          <w:szCs w:val="18"/>
          <w:u w:val="single" w:color="auto"/>
          <w:color w:val="0000FF"/>
        </w:rPr>
      </w:pPr>
    </w:p>
    <w:p>
      <w:pPr>
        <w:ind w:left="960" w:right="260" w:hanging="703"/>
        <w:spacing w:after="0" w:line="266" w:lineRule="auto"/>
        <w:tabs>
          <w:tab w:leader="none" w:pos="940" w:val="left"/>
        </w:tabs>
        <w:rPr>
          <w:sz w:val="20"/>
          <w:szCs w:val="20"/>
          <w:color w:val="auto"/>
        </w:rPr>
      </w:pPr>
      <w:r>
        <w:rPr>
          <w:rFonts w:ascii="Times New Roman" w:cs="Times New Roman" w:eastAsia="Times New Roman" w:hAnsi="Times New Roman"/>
          <w:sz w:val="18"/>
          <w:szCs w:val="18"/>
          <w:u w:val="single" w:color="auto"/>
          <w:color w:val="0000FF"/>
        </w:rPr>
        <w:t>31.1</w:t>
      </w:r>
      <w:r>
        <w:rPr>
          <w:sz w:val="20"/>
          <w:szCs w:val="20"/>
          <w:color w:val="auto"/>
        </w:rPr>
        <w:tab/>
      </w:r>
      <w:r>
        <w:rPr>
          <w:rFonts w:ascii="Times New Roman" w:cs="Times New Roman" w:eastAsia="Times New Roman" w:hAnsi="Times New Roman"/>
          <w:sz w:val="18"/>
          <w:szCs w:val="18"/>
          <w:u w:val="single" w:color="auto"/>
          <w:color w:val="0000FF"/>
        </w:rPr>
        <w:t>Certification of Chief Executive Officer Pursuant to Rule 13a-14(a) of the Securities Exchange Act of 1934 as Adopted Pursuant to Section 302 of the Sarbanes-Oxley Act of 2002.</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166370</wp:posOffset>
            </wp:positionH>
            <wp:positionV relativeFrom="paragraph">
              <wp:posOffset>-313055</wp:posOffset>
            </wp:positionV>
            <wp:extent cx="385572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4">
                      <a:extLst>
                        <a:ext uri="{28A0092B-C50C-407E-A947-70E740481C1C}"/>
                      </a:extLst>
                    </a:blip>
                    <a:srcRect/>
                    <a:stretch>
                      <a:fillRect/>
                    </a:stretch>
                  </pic:blipFill>
                  <pic:spPr bwMode="auto">
                    <a:xfrm>
                      <a:off x="0" y="0"/>
                      <a:ext cx="385572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-175895</wp:posOffset>
            </wp:positionV>
            <wp:extent cx="348742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5">
                      <a:extLst>
                        <a:ext uri="{28A0092B-C50C-407E-A947-70E740481C1C}"/>
                      </a:extLst>
                    </a:blip>
                    <a:srcRect/>
                    <a:stretch>
                      <a:fillRect/>
                    </a:stretch>
                  </pic:blipFill>
                  <pic:spPr bwMode="auto">
                    <a:xfrm>
                      <a:off x="0" y="0"/>
                      <a:ext cx="348742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-38735</wp:posOffset>
            </wp:positionV>
            <wp:extent cx="133286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6">
                      <a:extLst>
                        <a:ext uri="{28A0092B-C50C-407E-A947-70E740481C1C}"/>
                      </a:extLst>
                    </a:blip>
                    <a:srcRect/>
                    <a:stretch>
                      <a:fillRect/>
                    </a:stretch>
                  </pic:blipFill>
                  <pic:spPr bwMode="auto">
                    <a:xfrm>
                      <a:off x="0" y="0"/>
                      <a:ext cx="1332865" cy="8255"/>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88" w:lineRule="exact"/>
        <w:rPr>
          <w:rFonts w:ascii="Times New Roman" w:cs="Times New Roman" w:eastAsia="Times New Roman" w:hAnsi="Times New Roman"/>
          <w:sz w:val="18"/>
          <w:szCs w:val="18"/>
          <w:u w:val="single" w:color="auto"/>
          <w:color w:val="0000FF"/>
        </w:rPr>
      </w:pP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234"/>
        </w:trPr>
        <w:tc>
          <w:tcPr>
            <w:tcW w:w="6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001-34504</w:t>
            </w: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11/20/2009</w:t>
            </w:r>
          </w:p>
        </w:tc>
        <w:tc>
          <w:tcPr>
            <w:tcW w:w="6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7"/>
              </w:rPr>
              <w:t>3.1</w:t>
            </w:r>
          </w:p>
        </w:tc>
      </w:tr>
      <w:tr>
        <w:trPr>
          <w:trHeight w:val="608"/>
        </w:trPr>
        <w:tc>
          <w:tcPr>
            <w:tcW w:w="6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10-Q</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001-34504</w:t>
            </w:r>
          </w:p>
        </w:tc>
        <w:tc>
          <w:tcPr>
            <w:tcW w:w="13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5/9/2013</w:t>
            </w:r>
          </w:p>
        </w:tc>
        <w:tc>
          <w:tcPr>
            <w:tcW w:w="6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7"/>
              </w:rPr>
              <w:t>3.2</w:t>
            </w:r>
          </w:p>
        </w:tc>
      </w:tr>
      <w:tr>
        <w:trPr>
          <w:trHeight w:val="499"/>
        </w:trPr>
        <w:tc>
          <w:tcPr>
            <w:tcW w:w="6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5"/>
              </w:rPr>
              <w:t>S-1</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333-160634</w:t>
            </w: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10/2/2009</w:t>
            </w:r>
          </w:p>
        </w:tc>
        <w:tc>
          <w:tcPr>
            <w:tcW w:w="6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7"/>
              </w:rPr>
              <w:t>4.1</w:t>
            </w:r>
          </w:p>
        </w:tc>
      </w:tr>
      <w:tr>
        <w:trPr>
          <w:trHeight w:val="500"/>
        </w:trPr>
        <w:tc>
          <w:tcPr>
            <w:tcW w:w="6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8-K/A</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001-34504</w:t>
            </w: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6/26/2024</w:t>
            </w:r>
          </w:p>
        </w:tc>
        <w:tc>
          <w:tcPr>
            <w:tcW w:w="6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10.1</w:t>
            </w:r>
          </w:p>
        </w:tc>
      </w:tr>
    </w:tbl>
    <w:p>
      <w:pPr>
        <w:spacing w:after="0" w:line="1075"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6680" w:space="420"/>
            <w:col w:w="4140"/>
          </w:cols>
          <w:pgMar w:left="320" w:top="756" w:right="339" w:bottom="1440" w:gutter="0" w:footer="0" w:header="0"/>
          <w:type w:val="continuous"/>
        </w:sectPr>
      </w:pPr>
    </w:p>
    <w:tbl>
      <w:tblPr>
        <w:tblLayout w:type="fixed"/>
        <w:tblInd w:w="8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400" w:type="dxa"/>
            <w:vAlign w:val="bottom"/>
          </w:tcPr>
          <w:p>
            <w:pPr>
              <w:spacing w:after="0"/>
              <w:rPr>
                <w:sz w:val="17"/>
                <w:szCs w:val="17"/>
                <w:color w:val="auto"/>
              </w:rPr>
            </w:pPr>
          </w:p>
        </w:tc>
        <w:tc>
          <w:tcPr>
            <w:tcW w:w="57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13a-14(a) of the</w:t>
            </w:r>
          </w:p>
        </w:tc>
      </w:tr>
      <w:tr>
        <w:trPr>
          <w:trHeight w:val="20"/>
        </w:trPr>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7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Securities Exchange Act of 1934 as Adopted Pursuant to Section 302 of the</w:t>
            </w:r>
          </w:p>
        </w:tc>
      </w:tr>
      <w:tr>
        <w:trPr>
          <w:trHeight w:val="20"/>
        </w:trPr>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00" w:type="dxa"/>
            <w:vAlign w:val="bottom"/>
            <w:tcBorders>
              <w:right w:val="single" w:sz="8" w:color="0000FF"/>
            </w:tcBorders>
            <w:shd w:val="clear" w:color="auto" w:fill="0000FF"/>
          </w:tcPr>
          <w:p>
            <w:pPr>
              <w:spacing w:after="0" w:line="20" w:lineRule="exact"/>
              <w:rPr>
                <w:sz w:val="1"/>
                <w:szCs w:val="1"/>
                <w:color w:val="auto"/>
              </w:rPr>
            </w:pPr>
          </w:p>
        </w:tc>
        <w:tc>
          <w:tcPr>
            <w:tcW w:w="28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7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r>
      <w:tr>
        <w:trPr>
          <w:trHeight w:val="20"/>
        </w:trPr>
        <w:tc>
          <w:tcPr>
            <w:tcW w:w="900" w:type="dxa"/>
            <w:vAlign w:val="bottom"/>
            <w:tcBorders>
              <w:right w:val="single" w:sz="8" w:color="0000EE"/>
            </w:tcBorders>
            <w:gridSpan w:val="3"/>
          </w:tcPr>
          <w:p>
            <w:pPr>
              <w:spacing w:after="0" w:line="20" w:lineRule="exact"/>
              <w:rPr>
                <w:sz w:val="1"/>
                <w:szCs w:val="1"/>
                <w:color w:val="auto"/>
              </w:rPr>
            </w:pPr>
          </w:p>
        </w:tc>
        <w:tc>
          <w:tcPr>
            <w:tcW w:w="2100" w:type="dxa"/>
            <w:vAlign w:val="bottom"/>
            <w:tcBorders>
              <w:right w:val="single" w:sz="8" w:color="0000EE"/>
            </w:tcBorders>
            <w:shd w:val="clear" w:color="auto" w:fill="0000FF"/>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80" w:type="dxa"/>
            <w:vAlign w:val="bottom"/>
          </w:tcPr>
          <w:p>
            <w:pPr>
              <w:spacing w:after="0"/>
              <w:rPr>
                <w:sz w:val="24"/>
                <w:szCs w:val="24"/>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400" w:type="dxa"/>
            <w:vAlign w:val="bottom"/>
          </w:tcPr>
          <w:p>
            <w:pPr>
              <w:spacing w:after="0"/>
              <w:rPr>
                <w:sz w:val="24"/>
                <w:szCs w:val="24"/>
                <w:color w:val="auto"/>
              </w:rPr>
            </w:pPr>
          </w:p>
        </w:tc>
        <w:tc>
          <w:tcPr>
            <w:tcW w:w="57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18 U.S.C. Section 1350, as</w:t>
            </w:r>
          </w:p>
        </w:tc>
      </w:tr>
      <w:tr>
        <w:trPr>
          <w:trHeight w:val="20"/>
        </w:trPr>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960" w:type="dxa"/>
            <w:vAlign w:val="bottom"/>
            <w:gridSpan w:val="2"/>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7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906 of the Sarbanes-Oxley Act of 2002.</w:t>
            </w:r>
          </w:p>
        </w:tc>
      </w:tr>
      <w:tr>
        <w:trPr>
          <w:trHeight w:val="20"/>
        </w:trPr>
        <w:tc>
          <w:tcPr>
            <w:tcW w:w="900" w:type="dxa"/>
            <w:vAlign w:val="bottom"/>
            <w:tcBorders>
              <w:right w:val="single" w:sz="8" w:color="0000EE"/>
            </w:tcBorders>
            <w:gridSpan w:val="3"/>
          </w:tcPr>
          <w:p>
            <w:pPr>
              <w:spacing w:after="0" w:line="20" w:lineRule="exact"/>
              <w:rPr>
                <w:sz w:val="1"/>
                <w:szCs w:val="1"/>
                <w:color w:val="auto"/>
              </w:rPr>
            </w:pPr>
          </w:p>
        </w:tc>
        <w:tc>
          <w:tcPr>
            <w:tcW w:w="4960" w:type="dxa"/>
            <w:vAlign w:val="bottom"/>
            <w:gridSpan w:val="2"/>
            <w:shd w:val="clear" w:color="auto" w:fill="0000FF"/>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80" w:type="dxa"/>
            <w:vAlign w:val="bottom"/>
          </w:tcPr>
          <w:p>
            <w:pPr>
              <w:spacing w:after="0"/>
              <w:rPr>
                <w:sz w:val="24"/>
                <w:szCs w:val="24"/>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400" w:type="dxa"/>
            <w:vAlign w:val="bottom"/>
          </w:tcPr>
          <w:p>
            <w:pPr>
              <w:spacing w:after="0"/>
              <w:rPr>
                <w:sz w:val="24"/>
                <w:szCs w:val="24"/>
                <w:color w:val="auto"/>
              </w:rPr>
            </w:pPr>
          </w:p>
        </w:tc>
        <w:tc>
          <w:tcPr>
            <w:tcW w:w="57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w:t>
            </w:r>
          </w:p>
        </w:tc>
      </w:tr>
      <w:tr>
        <w:trPr>
          <w:trHeight w:val="20"/>
        </w:trPr>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70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7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906 of the Sarbanes-Oxley Act of 2002.</w:t>
            </w:r>
          </w:p>
        </w:tc>
      </w:tr>
      <w:tr>
        <w:trPr>
          <w:trHeight w:val="20"/>
        </w:trPr>
        <w:tc>
          <w:tcPr>
            <w:tcW w:w="900" w:type="dxa"/>
            <w:vAlign w:val="bottom"/>
            <w:tcBorders>
              <w:right w:val="single" w:sz="8" w:color="0000EE"/>
            </w:tcBorders>
            <w:gridSpan w:val="3"/>
          </w:tcPr>
          <w:p>
            <w:pPr>
              <w:spacing w:after="0" w:line="20" w:lineRule="exact"/>
              <w:rPr>
                <w:sz w:val="1"/>
                <w:szCs w:val="1"/>
                <w:color w:val="auto"/>
              </w:rPr>
            </w:pPr>
          </w:p>
        </w:tc>
        <w:tc>
          <w:tcPr>
            <w:tcW w:w="4960" w:type="dxa"/>
            <w:vAlign w:val="bottom"/>
            <w:gridSpan w:val="2"/>
            <w:shd w:val="clear" w:color="auto" w:fill="0000FF"/>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r>
      <w:tr>
        <w:trPr>
          <w:trHeight w:val="394"/>
        </w:trPr>
        <w:tc>
          <w:tcPr>
            <w:tcW w:w="9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101.INS</w:t>
            </w:r>
          </w:p>
        </w:tc>
        <w:tc>
          <w:tcPr>
            <w:tcW w:w="574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Inline XBRL Instance Document (the instance document does not appear in the</w:t>
            </w:r>
          </w:p>
        </w:tc>
      </w:tr>
      <w:tr>
        <w:trPr>
          <w:trHeight w:val="216"/>
        </w:trPr>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7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Interactive Data File because its XBRL tags are embedded within the Inline</w:t>
            </w:r>
          </w:p>
        </w:tc>
      </w:tr>
      <w:tr>
        <w:trPr>
          <w:trHeight w:val="234"/>
        </w:trPr>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7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document).</w:t>
            </w:r>
          </w:p>
        </w:tc>
      </w:tr>
      <w:tr>
        <w:trPr>
          <w:trHeight w:val="392"/>
        </w:trPr>
        <w:tc>
          <w:tcPr>
            <w:tcW w:w="9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101.SCH</w:t>
            </w:r>
          </w:p>
        </w:tc>
        <w:tc>
          <w:tcPr>
            <w:tcW w:w="57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91"/>
        </w:trPr>
        <w:tc>
          <w:tcPr>
            <w:tcW w:w="9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101.CAL</w:t>
            </w:r>
          </w:p>
        </w:tc>
        <w:tc>
          <w:tcPr>
            <w:tcW w:w="57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tc>
      </w:tr>
      <w:tr>
        <w:trPr>
          <w:trHeight w:val="392"/>
        </w:trPr>
        <w:tc>
          <w:tcPr>
            <w:tcW w:w="9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101.LAB</w:t>
            </w:r>
          </w:p>
        </w:tc>
        <w:tc>
          <w:tcPr>
            <w:tcW w:w="57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Label Linkbase Document.</w:t>
            </w:r>
          </w:p>
        </w:tc>
      </w:tr>
      <w:tr>
        <w:trPr>
          <w:trHeight w:val="391"/>
        </w:trPr>
        <w:tc>
          <w:tcPr>
            <w:tcW w:w="9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101.PRE</w:t>
            </w:r>
          </w:p>
        </w:tc>
        <w:tc>
          <w:tcPr>
            <w:tcW w:w="57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r>
      <w:tr>
        <w:trPr>
          <w:trHeight w:val="392"/>
        </w:trPr>
        <w:tc>
          <w:tcPr>
            <w:tcW w:w="9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7"/>
              </w:rPr>
              <w:t>101.DEF</w:t>
            </w:r>
          </w:p>
        </w:tc>
        <w:tc>
          <w:tcPr>
            <w:tcW w:w="57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bl>
    <w:p>
      <w:pPr>
        <w:spacing w:after="0" w:line="157" w:lineRule="exact"/>
        <w:rPr>
          <w:rFonts w:ascii="Times New Roman" w:cs="Times New Roman" w:eastAsia="Times New Roman" w:hAnsi="Times New Roman"/>
          <w:sz w:val="18"/>
          <w:szCs w:val="18"/>
          <w:u w:val="single" w:color="auto"/>
          <w:color w:val="0000FF"/>
        </w:rPr>
      </w:pPr>
    </w:p>
    <w:p>
      <w:pPr>
        <w:ind w:left="960" w:right="4560" w:hanging="675"/>
        <w:spacing w:after="0" w:line="282"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and contained in Exhibit 101).</w:t>
      </w:r>
    </w:p>
    <w:p>
      <w:pPr>
        <w:spacing w:after="0" w:line="200" w:lineRule="exact"/>
        <w:rPr>
          <w:rFonts w:ascii="Times New Roman" w:cs="Times New Roman" w:eastAsia="Times New Roman" w:hAnsi="Times New Roman"/>
          <w:sz w:val="18"/>
          <w:szCs w:val="18"/>
          <w:u w:val="single" w:color="auto"/>
          <w:color w:val="0000FF"/>
        </w:rPr>
      </w:pPr>
    </w:p>
    <w:p>
      <w:pPr>
        <w:spacing w:after="0" w:line="358" w:lineRule="exact"/>
        <w:rPr>
          <w:rFonts w:ascii="Times New Roman" w:cs="Times New Roman" w:eastAsia="Times New Roman" w:hAnsi="Times New Roman"/>
          <w:sz w:val="18"/>
          <w:szCs w:val="18"/>
          <w:u w:val="single" w:color="auto"/>
          <w:color w:val="0000FF"/>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859155"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8">
                      <a:extLst>
                        <a:ext uri="{28A0092B-C50C-407E-A947-70E740481C1C}"/>
                      </a:extLst>
                    </a:blip>
                    <a:srcRect/>
                    <a:stretch>
                      <a:fillRect/>
                    </a:stretch>
                  </pic:blipFill>
                  <pic:spPr bwMode="auto">
                    <a:xfrm>
                      <a:off x="0" y="0"/>
                      <a:ext cx="859155" cy="8890"/>
                    </a:xfrm>
                    <a:prstGeom prst="rect">
                      <a:avLst/>
                    </a:prstGeom>
                    <a:noFill/>
                  </pic:spPr>
                </pic:pic>
              </a:graphicData>
            </a:graphic>
          </wp:anchor>
        </w:drawing>
      </w:r>
    </w:p>
    <w:p>
      <w:pPr>
        <w:spacing w:after="0" w:line="23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6"/>
          <w:szCs w:val="16"/>
          <w:b w:val="1"/>
          <w:bCs w:val="1"/>
          <w:i w:val="1"/>
          <w:iCs w:val="1"/>
          <w:color w:val="auto"/>
        </w:rPr>
        <w:t>ADDUS HOMECARE CORPORATION</w:t>
      </w:r>
    </w:p>
    <w:p>
      <w:pPr>
        <w:spacing w:after="0" w:line="333" w:lineRule="exact"/>
        <w:rPr>
          <w:sz w:val="20"/>
          <w:szCs w:val="20"/>
          <w:color w:val="auto"/>
        </w:rPr>
      </w:pPr>
    </w:p>
    <w:p>
      <w:pPr>
        <w:ind w:left="20"/>
        <w:spacing w:after="0"/>
        <w:tabs>
          <w:tab w:leader="none" w:pos="5640" w:val="left"/>
          <w:tab w:leader="none" w:pos="7880" w:val="left"/>
        </w:tabs>
        <w:rPr>
          <w:sz w:val="20"/>
          <w:szCs w:val="20"/>
          <w:color w:val="auto"/>
        </w:rPr>
      </w:pPr>
      <w:r>
        <w:rPr>
          <w:rFonts w:ascii="Times New Roman" w:cs="Times New Roman" w:eastAsia="Times New Roman" w:hAnsi="Times New Roman"/>
          <w:sz w:val="16"/>
          <w:szCs w:val="16"/>
          <w:color w:val="auto"/>
        </w:rPr>
        <w:t>Date: August 6, 2024</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R. DIRK ALLISON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29210</wp:posOffset>
            </wp:positionV>
            <wp:extent cx="324929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9">
                      <a:extLst>
                        <a:ext uri="{28A0092B-C50C-407E-A947-70E740481C1C}"/>
                      </a:extLst>
                    </a:blip>
                    <a:srcRect/>
                    <a:stretch>
                      <a:fillRect/>
                    </a:stretch>
                  </pic:blipFill>
                  <pic:spPr bwMode="auto">
                    <a:xfrm>
                      <a:off x="0" y="0"/>
                      <a:ext cx="3249295" cy="8255"/>
                    </a:xfrm>
                    <a:prstGeom prst="rect">
                      <a:avLst/>
                    </a:prstGeom>
                    <a:noFill/>
                  </pic:spPr>
                </pic:pic>
              </a:graphicData>
            </a:graphic>
          </wp:anchor>
        </w:drawing>
      </w:r>
    </w:p>
    <w:p>
      <w:pPr>
        <w:spacing w:after="0" w:line="321"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6"/>
          <w:szCs w:val="16"/>
          <w:b w:val="1"/>
          <w:bCs w:val="1"/>
          <w:color w:val="auto"/>
        </w:rPr>
        <w:t>R. Dirk Allison</w:t>
      </w:r>
    </w:p>
    <w:p>
      <w:pPr>
        <w:spacing w:after="0" w:line="28"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6"/>
          <w:szCs w:val="16"/>
          <w:b w:val="1"/>
          <w:bCs w:val="1"/>
          <w:color w:val="auto"/>
        </w:rPr>
        <w:t>Chairman and Chief Executive Officer</w:t>
      </w:r>
    </w:p>
    <w:p>
      <w:pPr>
        <w:spacing w:after="0" w:line="19"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6"/>
          <w:szCs w:val="16"/>
          <w:b w:val="1"/>
          <w:bCs w:val="1"/>
          <w:color w:val="auto"/>
        </w:rPr>
        <w:t>(As Principal Executive Officer)</w:t>
      </w:r>
    </w:p>
    <w:p>
      <w:pPr>
        <w:spacing w:after="0" w:line="335" w:lineRule="exact"/>
        <w:rPr>
          <w:sz w:val="20"/>
          <w:szCs w:val="20"/>
          <w:color w:val="auto"/>
        </w:rPr>
      </w:pPr>
    </w:p>
    <w:p>
      <w:pPr>
        <w:ind w:left="20"/>
        <w:spacing w:after="0"/>
        <w:tabs>
          <w:tab w:leader="none" w:pos="5640" w:val="left"/>
          <w:tab w:leader="none" w:pos="8080" w:val="left"/>
        </w:tabs>
        <w:rPr>
          <w:sz w:val="20"/>
          <w:szCs w:val="20"/>
          <w:color w:val="auto"/>
        </w:rPr>
      </w:pPr>
      <w:r>
        <w:rPr>
          <w:rFonts w:ascii="Times New Roman" w:cs="Times New Roman" w:eastAsia="Times New Roman" w:hAnsi="Times New Roman"/>
          <w:sz w:val="16"/>
          <w:szCs w:val="16"/>
          <w:color w:val="auto"/>
        </w:rPr>
        <w:t>Date: August 6, 2024</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BRIAN POFF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20320</wp:posOffset>
            </wp:positionV>
            <wp:extent cx="3249295"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0">
                      <a:extLst>
                        <a:ext uri="{28A0092B-C50C-407E-A947-70E740481C1C}"/>
                      </a:extLst>
                    </a:blip>
                    <a:srcRect/>
                    <a:stretch>
                      <a:fillRect/>
                    </a:stretch>
                  </pic:blipFill>
                  <pic:spPr bwMode="auto">
                    <a:xfrm>
                      <a:off x="0" y="0"/>
                      <a:ext cx="3249295" cy="8890"/>
                    </a:xfrm>
                    <a:prstGeom prst="rect">
                      <a:avLst/>
                    </a:prstGeom>
                    <a:noFill/>
                  </pic:spPr>
                </pic:pic>
              </a:graphicData>
            </a:graphic>
          </wp:anchor>
        </w:drawing>
      </w:r>
    </w:p>
    <w:p>
      <w:pPr>
        <w:spacing w:after="0" w:line="307"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6"/>
          <w:szCs w:val="16"/>
          <w:b w:val="1"/>
          <w:bCs w:val="1"/>
          <w:color w:val="auto"/>
        </w:rPr>
        <w:t>Brian Poff</w:t>
      </w:r>
    </w:p>
    <w:p>
      <w:pPr>
        <w:spacing w:after="0" w:line="28"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6"/>
          <w:szCs w:val="16"/>
          <w:b w:val="1"/>
          <w:bCs w:val="1"/>
          <w:color w:val="auto"/>
        </w:rPr>
        <w:t>Chief Financial Officer</w:t>
      </w:r>
    </w:p>
    <w:p>
      <w:pPr>
        <w:spacing w:after="0" w:line="19"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6"/>
          <w:szCs w:val="16"/>
          <w:b w:val="1"/>
          <w:bCs w:val="1"/>
          <w:color w:val="auto"/>
        </w:rPr>
        <w:t>(As Principal Financial Officer)</w:t>
      </w:r>
    </w:p>
    <w:p>
      <w:pPr>
        <w:spacing w:after="0" w:line="200" w:lineRule="exact"/>
        <w:rPr>
          <w:sz w:val="20"/>
          <w:szCs w:val="20"/>
          <w:color w:val="auto"/>
        </w:rPr>
      </w:pPr>
    </w:p>
    <w:p>
      <w:pPr>
        <w:spacing w:after="0" w:line="25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765" w:right="77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 Dirk Allison, certify that:</w:t>
      </w:r>
    </w:p>
    <w:p>
      <w:pPr>
        <w:spacing w:after="0" w:line="171"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Addus HomeCare Corporation;</w:t>
      </w:r>
    </w:p>
    <w:p>
      <w:pPr>
        <w:spacing w:after="0" w:line="171" w:lineRule="exact"/>
        <w:rPr>
          <w:rFonts w:ascii="Times New Roman" w:cs="Times New Roman" w:eastAsia="Times New Roman" w:hAnsi="Times New Roman"/>
          <w:sz w:val="18"/>
          <w:szCs w:val="18"/>
          <w:color w:val="auto"/>
        </w:rPr>
      </w:pPr>
    </w:p>
    <w:p>
      <w:pPr>
        <w:jc w:val="both"/>
        <w:ind w:right="260" w:firstLine="8"/>
        <w:spacing w:after="0" w:line="312" w:lineRule="auto"/>
        <w:tabs>
          <w:tab w:leader="none" w:pos="509"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Times New Roman" w:cs="Times New Roman" w:eastAsia="Times New Roman" w:hAnsi="Times New Roman"/>
          <w:sz w:val="17"/>
          <w:szCs w:val="17"/>
          <w:color w:val="auto"/>
        </w:rPr>
      </w:pPr>
    </w:p>
    <w:p>
      <w:pPr>
        <w:ind w:right="220" w:firstLine="8"/>
        <w:spacing w:after="0" w:line="282" w:lineRule="auto"/>
        <w:tabs>
          <w:tab w:leader="none" w:pos="50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80" w:firstLine="8"/>
        <w:spacing w:after="0" w:line="266" w:lineRule="auto"/>
        <w:tabs>
          <w:tab w:leader="none" w:pos="50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6" w:lineRule="exact"/>
        <w:rPr>
          <w:rFonts w:ascii="Times New Roman" w:cs="Times New Roman" w:eastAsia="Times New Roman" w:hAnsi="Times New Roman"/>
          <w:sz w:val="18"/>
          <w:szCs w:val="18"/>
          <w:color w:val="auto"/>
        </w:rPr>
      </w:pPr>
    </w:p>
    <w:p>
      <w:pPr>
        <w:ind w:left="1020" w:right="40" w:hanging="503"/>
        <w:spacing w:after="0" w:line="281" w:lineRule="auto"/>
        <w:tabs>
          <w:tab w:leader="none" w:pos="1020"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Times New Roman" w:cs="Times New Roman" w:eastAsia="Times New Roman" w:hAnsi="Times New Roman"/>
          <w:sz w:val="16"/>
          <w:szCs w:val="16"/>
          <w:color w:val="auto"/>
        </w:rPr>
      </w:pPr>
    </w:p>
    <w:p>
      <w:pPr>
        <w:ind w:left="1020" w:right="180" w:hanging="503"/>
        <w:spacing w:after="0" w:line="281" w:lineRule="auto"/>
        <w:tabs>
          <w:tab w:leader="none" w:pos="1020"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3" w:lineRule="exact"/>
        <w:rPr>
          <w:rFonts w:ascii="Times New Roman" w:cs="Times New Roman" w:eastAsia="Times New Roman" w:hAnsi="Times New Roman"/>
          <w:sz w:val="16"/>
          <w:szCs w:val="16"/>
          <w:color w:val="auto"/>
        </w:rPr>
      </w:pPr>
    </w:p>
    <w:p>
      <w:pPr>
        <w:ind w:left="1020" w:right="180" w:hanging="503"/>
        <w:spacing w:after="0" w:line="298" w:lineRule="auto"/>
        <w:tabs>
          <w:tab w:leader="none" w:pos="1020"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6"/>
          <w:szCs w:val="16"/>
          <w:color w:val="auto"/>
        </w:rPr>
      </w:pPr>
    </w:p>
    <w:p>
      <w:pPr>
        <w:ind w:left="1020" w:right="120" w:hanging="503"/>
        <w:spacing w:after="0" w:line="281" w:lineRule="auto"/>
        <w:tabs>
          <w:tab w:leader="none" w:pos="1020"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8" w:lineRule="exact"/>
        <w:rPr>
          <w:rFonts w:ascii="Times New Roman" w:cs="Times New Roman" w:eastAsia="Times New Roman" w:hAnsi="Times New Roman"/>
          <w:sz w:val="16"/>
          <w:szCs w:val="16"/>
          <w:color w:val="auto"/>
        </w:rPr>
      </w:pPr>
    </w:p>
    <w:p>
      <w:pPr>
        <w:ind w:right="220" w:firstLine="8"/>
        <w:spacing w:after="0" w:line="282" w:lineRule="auto"/>
        <w:tabs>
          <w:tab w:leader="none" w:pos="50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2" w:lineRule="exact"/>
        <w:rPr>
          <w:rFonts w:ascii="Times New Roman" w:cs="Times New Roman" w:eastAsia="Times New Roman" w:hAnsi="Times New Roman"/>
          <w:sz w:val="18"/>
          <w:szCs w:val="18"/>
          <w:color w:val="auto"/>
        </w:rPr>
      </w:pPr>
    </w:p>
    <w:p>
      <w:pPr>
        <w:ind w:left="1020" w:right="360" w:hanging="503"/>
        <w:spacing w:after="0" w:line="298" w:lineRule="auto"/>
        <w:tabs>
          <w:tab w:leader="none" w:pos="1020"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Times New Roman" w:cs="Times New Roman" w:eastAsia="Times New Roman" w:hAnsi="Times New Roman"/>
          <w:sz w:val="16"/>
          <w:szCs w:val="16"/>
          <w:color w:val="auto"/>
        </w:rPr>
      </w:pPr>
    </w:p>
    <w:p>
      <w:pPr>
        <w:ind w:left="1020" w:right="560" w:hanging="503"/>
        <w:spacing w:after="0" w:line="298" w:lineRule="auto"/>
        <w:tabs>
          <w:tab w:leader="none" w:pos="1020" w:val="left"/>
        </w:tabs>
        <w:numPr>
          <w:ilvl w:val="1"/>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64" w:lineRule="exact"/>
        <w:rPr>
          <w:sz w:val="20"/>
          <w:szCs w:val="20"/>
          <w:color w:val="auto"/>
        </w:rPr>
      </w:pPr>
    </w:p>
    <w:p>
      <w:pPr>
        <w:ind w:left="20"/>
        <w:spacing w:after="0"/>
        <w:tabs>
          <w:tab w:leader="none" w:pos="5500" w:val="left"/>
        </w:tabs>
        <w:rPr>
          <w:sz w:val="20"/>
          <w:szCs w:val="20"/>
          <w:color w:val="auto"/>
        </w:rPr>
      </w:pPr>
      <w:r>
        <w:rPr>
          <w:rFonts w:ascii="Times New Roman" w:cs="Times New Roman" w:eastAsia="Times New Roman" w:hAnsi="Times New Roman"/>
          <w:sz w:val="16"/>
          <w:szCs w:val="16"/>
          <w:color w:val="auto"/>
        </w:rPr>
        <w:t>Date: August 6, 2024</w:t>
      </w:r>
      <w:r>
        <w:rPr>
          <w:sz w:val="20"/>
          <w:szCs w:val="20"/>
          <w:color w:val="auto"/>
        </w:rPr>
        <w:tab/>
      </w:r>
      <w:r>
        <w:rPr>
          <w:rFonts w:ascii="Times New Roman" w:cs="Times New Roman" w:eastAsia="Times New Roman" w:hAnsi="Times New Roman"/>
          <w:sz w:val="16"/>
          <w:szCs w:val="16"/>
          <w:color w:val="auto"/>
        </w:rPr>
        <w:t>By:  /s/ R. Dirk Allison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29210</wp:posOffset>
            </wp:positionV>
            <wp:extent cx="341185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2">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3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R. Dirk Allison</w:t>
      </w:r>
    </w:p>
    <w:p>
      <w:pPr>
        <w:spacing w:after="0" w:line="4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427990</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Poff, certify that:</w:t>
      </w:r>
    </w:p>
    <w:p>
      <w:pPr>
        <w:spacing w:after="0" w:line="171"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Addus HomeCare Corporation;</w:t>
      </w:r>
    </w:p>
    <w:p>
      <w:pPr>
        <w:spacing w:after="0" w:line="171"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6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2" w:lineRule="exact"/>
        <w:rPr>
          <w:rFonts w:ascii="Times New Roman" w:cs="Times New Roman" w:eastAsia="Times New Roman" w:hAnsi="Times New Roman"/>
          <w:sz w:val="18"/>
          <w:szCs w:val="18"/>
          <w:color w:val="auto"/>
        </w:rPr>
      </w:pPr>
    </w:p>
    <w:p>
      <w:pPr>
        <w:ind w:left="1020" w:right="40" w:hanging="503"/>
        <w:spacing w:after="0" w:line="281" w:lineRule="auto"/>
        <w:tabs>
          <w:tab w:leader="none" w:pos="1020"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6"/>
          <w:szCs w:val="16"/>
          <w:color w:val="auto"/>
        </w:rPr>
      </w:pPr>
    </w:p>
    <w:p>
      <w:pPr>
        <w:ind w:left="1020" w:right="180" w:hanging="503"/>
        <w:spacing w:after="0" w:line="281" w:lineRule="auto"/>
        <w:tabs>
          <w:tab w:leader="none" w:pos="1020"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6"/>
          <w:szCs w:val="16"/>
          <w:color w:val="auto"/>
        </w:rPr>
      </w:pPr>
    </w:p>
    <w:p>
      <w:pPr>
        <w:ind w:left="1020" w:right="180" w:hanging="503"/>
        <w:spacing w:after="0" w:line="298" w:lineRule="auto"/>
        <w:tabs>
          <w:tab w:leader="none" w:pos="1020"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Times New Roman" w:cs="Times New Roman" w:eastAsia="Times New Roman" w:hAnsi="Times New Roman"/>
          <w:sz w:val="16"/>
          <w:szCs w:val="16"/>
          <w:color w:val="auto"/>
        </w:rPr>
      </w:pPr>
    </w:p>
    <w:p>
      <w:pPr>
        <w:ind w:left="1020" w:right="120" w:hanging="503"/>
        <w:spacing w:after="0" w:line="281" w:lineRule="auto"/>
        <w:tabs>
          <w:tab w:leader="none" w:pos="1020"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8" w:lineRule="exact"/>
        <w:rPr>
          <w:rFonts w:ascii="Times New Roman" w:cs="Times New Roman" w:eastAsia="Times New Roman" w:hAnsi="Times New Roman"/>
          <w:sz w:val="16"/>
          <w:szCs w:val="16"/>
          <w:color w:val="auto"/>
        </w:rPr>
      </w:pPr>
    </w:p>
    <w:p>
      <w:pPr>
        <w:ind w:left="520" w:right="220" w:hanging="512"/>
        <w:spacing w:after="0" w:line="282"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2" w:lineRule="exact"/>
        <w:rPr>
          <w:rFonts w:ascii="Times New Roman" w:cs="Times New Roman" w:eastAsia="Times New Roman" w:hAnsi="Times New Roman"/>
          <w:sz w:val="18"/>
          <w:szCs w:val="18"/>
          <w:color w:val="auto"/>
        </w:rPr>
      </w:pPr>
    </w:p>
    <w:p>
      <w:pPr>
        <w:ind w:left="1020" w:right="360" w:hanging="503"/>
        <w:spacing w:after="0" w:line="298" w:lineRule="auto"/>
        <w:tabs>
          <w:tab w:leader="none" w:pos="1020"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Times New Roman" w:cs="Times New Roman" w:eastAsia="Times New Roman" w:hAnsi="Times New Roman"/>
          <w:sz w:val="16"/>
          <w:szCs w:val="16"/>
          <w:color w:val="auto"/>
        </w:rPr>
      </w:pPr>
    </w:p>
    <w:p>
      <w:pPr>
        <w:ind w:left="1020" w:right="560" w:hanging="503"/>
        <w:spacing w:after="0" w:line="298" w:lineRule="auto"/>
        <w:tabs>
          <w:tab w:leader="none" w:pos="1020"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64" w:lineRule="exact"/>
        <w:rPr>
          <w:sz w:val="20"/>
          <w:szCs w:val="20"/>
          <w:color w:val="auto"/>
        </w:rPr>
      </w:pPr>
    </w:p>
    <w:p>
      <w:pPr>
        <w:ind w:left="20"/>
        <w:spacing w:after="0"/>
        <w:tabs>
          <w:tab w:leader="none" w:pos="5500" w:val="left"/>
        </w:tabs>
        <w:rPr>
          <w:sz w:val="20"/>
          <w:szCs w:val="20"/>
          <w:color w:val="auto"/>
        </w:rPr>
      </w:pPr>
      <w:r>
        <w:rPr>
          <w:rFonts w:ascii="Times New Roman" w:cs="Times New Roman" w:eastAsia="Times New Roman" w:hAnsi="Times New Roman"/>
          <w:sz w:val="16"/>
          <w:szCs w:val="16"/>
          <w:color w:val="auto"/>
        </w:rPr>
        <w:t>Date: August 6, 2024</w:t>
      </w:r>
      <w:r>
        <w:rPr>
          <w:sz w:val="20"/>
          <w:szCs w:val="20"/>
          <w:color w:val="auto"/>
        </w:rPr>
        <w:tab/>
      </w:r>
      <w:r>
        <w:rPr>
          <w:rFonts w:ascii="Times New Roman" w:cs="Times New Roman" w:eastAsia="Times New Roman" w:hAnsi="Times New Roman"/>
          <w:sz w:val="16"/>
          <w:szCs w:val="16"/>
          <w:color w:val="auto"/>
        </w:rPr>
        <w:t>By:  /s/ Brian Poff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29210</wp:posOffset>
            </wp:positionV>
            <wp:extent cx="341185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4">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3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Brian Poff</w:t>
      </w:r>
    </w:p>
    <w:p>
      <w:pPr>
        <w:spacing w:after="0" w:line="4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53"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fiscal quarter ended June 30, 2024 of Addus HomeCare Corporation (the “Company”) as filed with the Securities and Exchange Commission on the date hereof (the “Report”), I, R. Dirk Allison, Chairman and Chief Executive Officer of the Company, certify, pursuant to 18 U.S.C. Section 1350, as adopted pursuant to Section 906 of the Sarbanes-Oxley Act of 2002, that:</w:t>
      </w:r>
    </w:p>
    <w:p>
      <w:pPr>
        <w:spacing w:after="0" w:line="207" w:lineRule="exact"/>
        <w:rPr>
          <w:sz w:val="20"/>
          <w:szCs w:val="20"/>
          <w:color w:val="auto"/>
        </w:rPr>
      </w:pPr>
    </w:p>
    <w:p>
      <w:pPr>
        <w:ind w:left="440" w:hanging="401"/>
        <w:spacing w:after="0"/>
        <w:tabs>
          <w:tab w:leader="none" w:pos="4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261" w:lineRule="exact"/>
        <w:rPr>
          <w:rFonts w:ascii="Times New Roman" w:cs="Times New Roman" w:eastAsia="Times New Roman" w:hAnsi="Times New Roman"/>
          <w:sz w:val="16"/>
          <w:szCs w:val="16"/>
          <w:color w:val="auto"/>
        </w:rPr>
      </w:pPr>
    </w:p>
    <w:p>
      <w:pPr>
        <w:ind w:left="440" w:hanging="401"/>
        <w:spacing w:after="0"/>
        <w:tabs>
          <w:tab w:leader="none" w:pos="4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Date: August 6, 2024</w:t>
            </w:r>
          </w:p>
        </w:tc>
        <w:tc>
          <w:tcPr>
            <w:tcW w:w="7780" w:type="dxa"/>
            <w:vAlign w:val="bottom"/>
            <w:gridSpan w:val="2"/>
          </w:tcPr>
          <w:p>
            <w:pPr>
              <w:ind w:left="2060"/>
              <w:spacing w:after="0"/>
              <w:rPr>
                <w:sz w:val="20"/>
                <w:szCs w:val="20"/>
                <w:color w:val="auto"/>
              </w:rPr>
            </w:pPr>
            <w:r>
              <w:rPr>
                <w:rFonts w:ascii="Times New Roman" w:cs="Times New Roman" w:eastAsia="Times New Roman" w:hAnsi="Times New Roman"/>
                <w:sz w:val="16"/>
                <w:szCs w:val="16"/>
                <w:color w:val="auto"/>
              </w:rPr>
              <w:t>By:  /s/ R. Dirk Allison</w:t>
            </w:r>
          </w:p>
        </w:tc>
      </w:tr>
      <w:tr>
        <w:trPr>
          <w:trHeight w:val="251"/>
        </w:trPr>
        <w:tc>
          <w:tcPr>
            <w:tcW w:w="346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5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 Dirk Allison</w:t>
            </w:r>
          </w:p>
        </w:tc>
      </w:tr>
      <w:tr>
        <w:trPr>
          <w:trHeight w:val="270"/>
        </w:trPr>
        <w:tc>
          <w:tcPr>
            <w:tcW w:w="346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Chairman and Chief Executive Officer</w:t>
            </w:r>
          </w:p>
        </w:tc>
      </w:tr>
      <w:tr>
        <w:trPr>
          <w:trHeight w:val="674"/>
        </w:trPr>
        <w:tc>
          <w:tcPr>
            <w:tcW w:w="346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53"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fiscal quarter ended June 30, 2024 of Addus HomeCare Corporation (the “Company”) as filed with the Securities and Exchange Commission on the date hereof (the “Report”), I, Brian Poff, Chief Financial Officer of the Company, certify, pursuant to 18 U.S.C. Section 1350, as adopted pursuant to Section 906 of the Sarbanes-Oxley Act of 2002, that:</w:t>
      </w:r>
    </w:p>
    <w:p>
      <w:pPr>
        <w:spacing w:after="0" w:line="207" w:lineRule="exact"/>
        <w:rPr>
          <w:sz w:val="20"/>
          <w:szCs w:val="20"/>
          <w:color w:val="auto"/>
        </w:rPr>
      </w:pPr>
    </w:p>
    <w:p>
      <w:pPr>
        <w:ind w:left="440" w:hanging="401"/>
        <w:spacing w:after="0"/>
        <w:tabs>
          <w:tab w:leader="none" w:pos="4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261" w:lineRule="exact"/>
        <w:rPr>
          <w:rFonts w:ascii="Times New Roman" w:cs="Times New Roman" w:eastAsia="Times New Roman" w:hAnsi="Times New Roman"/>
          <w:sz w:val="16"/>
          <w:szCs w:val="16"/>
          <w:color w:val="auto"/>
        </w:rPr>
      </w:pPr>
    </w:p>
    <w:p>
      <w:pPr>
        <w:ind w:left="440" w:hanging="401"/>
        <w:spacing w:after="0"/>
        <w:tabs>
          <w:tab w:leader="none" w:pos="4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Date: August 6, 2024</w:t>
            </w:r>
          </w:p>
        </w:tc>
        <w:tc>
          <w:tcPr>
            <w:tcW w:w="7780" w:type="dxa"/>
            <w:vAlign w:val="bottom"/>
            <w:gridSpan w:val="2"/>
          </w:tcPr>
          <w:p>
            <w:pPr>
              <w:ind w:left="2060"/>
              <w:spacing w:after="0"/>
              <w:rPr>
                <w:sz w:val="20"/>
                <w:szCs w:val="20"/>
                <w:color w:val="auto"/>
              </w:rPr>
            </w:pPr>
            <w:r>
              <w:rPr>
                <w:rFonts w:ascii="Times New Roman" w:cs="Times New Roman" w:eastAsia="Times New Roman" w:hAnsi="Times New Roman"/>
                <w:sz w:val="16"/>
                <w:szCs w:val="16"/>
                <w:color w:val="auto"/>
              </w:rPr>
              <w:t>By:  /s/ Brian Poff</w:t>
            </w:r>
          </w:p>
        </w:tc>
      </w:tr>
      <w:tr>
        <w:trPr>
          <w:trHeight w:val="251"/>
        </w:trPr>
        <w:tc>
          <w:tcPr>
            <w:tcW w:w="346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5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Brian Poff</w:t>
            </w:r>
          </w:p>
        </w:tc>
      </w:tr>
      <w:tr>
        <w:trPr>
          <w:trHeight w:val="270"/>
        </w:trPr>
        <w:tc>
          <w:tcPr>
            <w:tcW w:w="346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674"/>
        </w:trPr>
        <w:tc>
          <w:tcPr>
            <w:tcW w:w="346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45" w:name="page46"/>
    <w:bookmarkEnd w:id="4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lvl w:ilvl="1">
      <w:lvlJc w:val="left"/>
      <w:lvlText w:val="(%2)"/>
      <w:numFmt w:val="decimal"/>
      <w:start w:val="1"/>
    </w:lvl>
  </w:abstractNum>
  <w:abstractNum w:abstractNumId="3">
    <w:nsid w:val="1190CDE7"/>
    <w:multiLevelType w:val="hybridMultilevel"/>
    <w:lvl w:ilvl="0">
      <w:lvlJc w:val="left"/>
      <w:lvlText w:val="%1."/>
      <w:numFmt w:val="decimal"/>
      <w:start w:val="8"/>
    </w:lvl>
    <w:lvl w:ilvl="1">
      <w:lvlJc w:val="left"/>
      <w:lvlText w:val="%2"/>
      <w:numFmt w:val="decimal"/>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decimal"/>
      <w:start w:val="2"/>
    </w:lvl>
  </w:abstractNum>
  <w:abstractNum w:abstractNumId="14">
    <w:nsid w:val="25E45D32"/>
    <w:multiLevelType w:val="hybridMultilevel"/>
    <w:lvl w:ilvl="0">
      <w:lvlJc w:val="left"/>
      <w:lvlText w:val="%1"/>
      <w:numFmt w:val="decimal"/>
      <w:start w:val="104"/>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4" Type="http://schemas.openxmlformats.org/officeDocument/2006/relationships/image" Target="media/image456.png"/><Relationship Id="rId465" Type="http://schemas.openxmlformats.org/officeDocument/2006/relationships/image" Target="media/image457.png"/><Relationship Id="rId467" Type="http://schemas.openxmlformats.org/officeDocument/2006/relationships/image" Target="media/image458.png"/><Relationship Id="rId468" Type="http://schemas.openxmlformats.org/officeDocument/2006/relationships/image" Target="media/image459.png"/><Relationship Id="rId470" Type="http://schemas.openxmlformats.org/officeDocument/2006/relationships/image" Target="media/image460.png"/><Relationship Id="rId472" Type="http://schemas.openxmlformats.org/officeDocument/2006/relationships/image" Target="media/image461.png"/><Relationship Id="rId473" Type="http://schemas.openxmlformats.org/officeDocument/2006/relationships/image" Target="media/image462.png"/><Relationship Id="rId474" Type="http://schemas.openxmlformats.org/officeDocument/2006/relationships/image" Target="media/image463.png"/><Relationship Id="rId475" Type="http://schemas.openxmlformats.org/officeDocument/2006/relationships/image" Target="media/image464.png"/><Relationship Id="rId476" Type="http://schemas.openxmlformats.org/officeDocument/2006/relationships/image" Target="media/image465.png"/><Relationship Id="rId477" Type="http://schemas.openxmlformats.org/officeDocument/2006/relationships/image" Target="media/image466.png"/><Relationship Id="rId478" Type="http://schemas.openxmlformats.org/officeDocument/2006/relationships/image" Target="media/image467.png"/><Relationship Id="rId479" Type="http://schemas.openxmlformats.org/officeDocument/2006/relationships/image" Target="media/image468.png"/><Relationship Id="rId480" Type="http://schemas.openxmlformats.org/officeDocument/2006/relationships/image" Target="media/image469.png"/><Relationship Id="rId481" Type="http://schemas.openxmlformats.org/officeDocument/2006/relationships/image" Target="media/image470.png"/><Relationship Id="rId482" Type="http://schemas.openxmlformats.org/officeDocument/2006/relationships/image" Target="media/image471.png"/><Relationship Id="rId483" Type="http://schemas.openxmlformats.org/officeDocument/2006/relationships/image" Target="media/image472.png"/><Relationship Id="rId484" Type="http://schemas.openxmlformats.org/officeDocument/2006/relationships/image" Target="media/image473.png"/><Relationship Id="rId485" Type="http://schemas.openxmlformats.org/officeDocument/2006/relationships/image" Target="media/image474.png"/><Relationship Id="rId486" Type="http://schemas.openxmlformats.org/officeDocument/2006/relationships/image" Target="media/image475.png"/><Relationship Id="rId487" Type="http://schemas.openxmlformats.org/officeDocument/2006/relationships/image" Target="media/image476.png"/><Relationship Id="rId488" Type="http://schemas.openxmlformats.org/officeDocument/2006/relationships/image" Target="media/image477.png"/><Relationship Id="rId489" Type="http://schemas.openxmlformats.org/officeDocument/2006/relationships/image" Target="media/image478.png"/><Relationship Id="rId463" Type="http://schemas.openxmlformats.org/officeDocument/2006/relationships/hyperlink" Target="https://www.sec.gov/Archives/edgar/data/1468328/000119312509238641/dex31.htm" TargetMode="External"/><Relationship Id="rId466" Type="http://schemas.openxmlformats.org/officeDocument/2006/relationships/hyperlink" Target="https://www.sec.gov/Archives/edgar/data/1468328/000119312513211165/d535575dex32.htm" TargetMode="External"/><Relationship Id="rId469" Type="http://schemas.openxmlformats.org/officeDocument/2006/relationships/hyperlink" Target="https://www.sec.gov/Archives/edgar/data/1468328/000119312509202215/dex41.htm" TargetMode="External"/><Relationship Id="rId471" Type="http://schemas.openxmlformats.org/officeDocument/2006/relationships/hyperlink" Target="https://www.sec.gov/ix?doc=/Archives/edgar/data/0001468328/000119312524169048/d818541d8k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2024-08-06T15:37:48Z</dcterms:created>
  <dcterms:modified xsi:type="dcterms:W3CDTF">2024-08-06T15:37:48Z</dcterms:modified>
</cp:coreProperties>
</file>