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55880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75565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-294640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8"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Borders>
              <w:top w:val="single" w:sz="8" w:color="auto"/>
            </w:tcBorders>
          </w:tcPr>
          <w:p>
            <w:pPr>
              <w:spacing w:after="0"/>
              <w:rPr>
                <w:sz w:val="19"/>
                <w:szCs w:val="19"/>
                <w:color w:val="auto"/>
              </w:rPr>
            </w:pP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2080" w:type="dxa"/>
            <w:vAlign w:val="bottom"/>
          </w:tcPr>
          <w:p>
            <w:pPr>
              <w:spacing w:after="0"/>
              <w:rPr>
                <w:sz w:val="18"/>
                <w:szCs w:val="18"/>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080" w:type="dxa"/>
            <w:vAlign w:val="bottom"/>
          </w:tcPr>
          <w:p>
            <w:pPr>
              <w:spacing w:after="0"/>
              <w:rPr>
                <w:sz w:val="20"/>
                <w:szCs w:val="20"/>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Identification No.)</w:t>
            </w:r>
          </w:p>
        </w:tc>
      </w:tr>
      <w:tr>
        <w:trPr>
          <w:trHeight w:val="387"/>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6303 Cowboys Way, Suite 600</w:t>
            </w:r>
          </w:p>
        </w:tc>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Frisco, TX</w:t>
            </w:r>
          </w:p>
        </w:tc>
        <w:tc>
          <w:tcPr>
            <w:tcW w:w="4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80" w:type="dxa"/>
            <w:vAlign w:val="bottom"/>
          </w:tcPr>
          <w:p>
            <w:pPr>
              <w:spacing w:after="0"/>
              <w:rPr>
                <w:sz w:val="20"/>
                <w:szCs w:val="20"/>
                <w:color w:val="auto"/>
              </w:rPr>
            </w:pP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(Zip Code)</w:t>
            </w:r>
          </w:p>
        </w:tc>
      </w:tr>
    </w:tbl>
    <w:p>
      <w:pPr>
        <w:ind w:left="5060"/>
        <w:spacing w:after="0"/>
        <w:rPr>
          <w:sz w:val="20"/>
          <w:szCs w:val="20"/>
          <w:color w:val="auto"/>
        </w:rPr>
      </w:pPr>
      <w:r>
        <w:rPr>
          <w:rFonts w:ascii="Arial" w:cs="Arial" w:eastAsia="Arial" w:hAnsi="Arial"/>
          <w:sz w:val="18"/>
          <w:szCs w:val="18"/>
          <w:b w:val="1"/>
          <w:bCs w:val="1"/>
          <w:color w:val="auto"/>
        </w:rPr>
        <w:t>(469) 535-8200</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34" w:lineRule="exact"/>
        <w:rPr>
          <w:sz w:val="24"/>
          <w:szCs w:val="24"/>
          <w:color w:val="auto"/>
        </w:rPr>
      </w:pPr>
    </w:p>
    <w:p>
      <w:pPr>
        <w:ind w:right="6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7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95" w:lineRule="exact"/>
        <w:rPr>
          <w:sz w:val="24"/>
          <w:szCs w:val="24"/>
          <w:color w:val="auto"/>
        </w:rPr>
      </w:pPr>
    </w:p>
    <w:p>
      <w:pPr>
        <w:jc w:val="both"/>
        <w:ind w:right="40" w:firstLine="47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80" w:right="134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30, 2021, Addus HomeCare Corporation had 15,916,799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r>
      <w:tr>
        <w:trPr>
          <w:trHeight w:val="682"/>
        </w:trPr>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gridSpan w:val="9"/>
          </w:tcPr>
          <w:p>
            <w:pPr>
              <w:jc w:val="center"/>
              <w:ind w:right="2700"/>
              <w:spacing w:after="0"/>
              <w:rPr>
                <w:sz w:val="20"/>
                <w:szCs w:val="20"/>
                <w:color w:val="auto"/>
              </w:rPr>
            </w:pPr>
            <w:r>
              <w:rPr>
                <w:rFonts w:ascii="Arial" w:cs="Arial" w:eastAsia="Arial" w:hAnsi="Arial"/>
                <w:sz w:val="18"/>
                <w:szCs w:val="18"/>
                <w:b w:val="1"/>
                <w:bCs w:val="1"/>
                <w:color w:val="auto"/>
                <w:w w:val="99"/>
              </w:rPr>
              <w:t>ADDUS HOMECARE CORPORATION</w:t>
            </w:r>
          </w:p>
        </w:tc>
        <w:tc>
          <w:tcPr>
            <w:tcW w:w="9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6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99"/>
              </w:rPr>
              <w:t>FORM 10-Q</w:t>
            </w:r>
          </w:p>
        </w:tc>
        <w:tc>
          <w:tcPr>
            <w:tcW w:w="9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6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120" w:type="dxa"/>
            <w:vAlign w:val="bottom"/>
            <w:gridSpan w:val="11"/>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and December 31, 2020</w:t>
              </w:r>
            </w:hyperlink>
          </w:p>
        </w:tc>
        <w:tc>
          <w:tcPr>
            <w:tcW w:w="3220" w:type="dxa"/>
            <w:vAlign w:val="bottom"/>
            <w:gridSpan w:val="5"/>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and Six Months Ended June 30, 2021 and 2020</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Stockholders’ Equity For the Three and Six Months Ended June 30, 2021 and 2020</w:t>
              </w:r>
            </w:hyperlink>
          </w:p>
        </w:tc>
        <w:tc>
          <w:tcPr>
            <w:tcW w:w="56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2021 and 2020</w:t>
              </w:r>
            </w:hyperlink>
          </w:p>
        </w:tc>
        <w:tc>
          <w:tcPr>
            <w:tcW w:w="1940" w:type="dxa"/>
            <w:vAlign w:val="bottom"/>
            <w:gridSpan w:val="3"/>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360" w:type="dxa"/>
            <w:vAlign w:val="bottom"/>
            <w:gridSpan w:val="8"/>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80" w:type="dxa"/>
            <w:vAlign w:val="bottom"/>
            <w:gridSpan w:val="4"/>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Item 4. Controls and Procedures</w:t>
              </w:r>
            </w:hyperlink>
          </w:p>
        </w:tc>
        <w:tc>
          <w:tcPr>
            <w:tcW w:w="7360" w:type="dxa"/>
            <w:vAlign w:val="bottom"/>
            <w:gridSpan w:val="12"/>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w:t>
            </w:r>
          </w:p>
        </w:tc>
      </w:tr>
      <w:tr>
        <w:trPr>
          <w:trHeight w:val="318"/>
        </w:trPr>
        <w:tc>
          <w:tcPr>
            <w:tcW w:w="340" w:type="dxa"/>
            <w:vAlign w:val="bottom"/>
          </w:tcPr>
          <w:p>
            <w:pPr>
              <w:spacing w:after="0"/>
              <w:rPr>
                <w:sz w:val="24"/>
                <w:szCs w:val="24"/>
                <w:color w:val="auto"/>
              </w:rPr>
            </w:pPr>
          </w:p>
        </w:tc>
        <w:tc>
          <w:tcPr>
            <w:tcW w:w="100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8"/>
        </w:trPr>
        <w:tc>
          <w:tcPr>
            <w:tcW w:w="3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 Legal Proceedings</w:t>
              </w:r>
            </w:hyperlink>
          </w:p>
        </w:tc>
        <w:tc>
          <w:tcPr>
            <w:tcW w:w="7440" w:type="dxa"/>
            <w:vAlign w:val="bottom"/>
            <w:gridSpan w:val="13"/>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7800" w:type="dxa"/>
            <w:vAlign w:val="bottom"/>
            <w:gridSpan w:val="14"/>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4780" w:type="dxa"/>
            <w:vAlign w:val="bottom"/>
            <w:gridSpan w:val="7"/>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7"/>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 Defaults Upon Senior Securities</w:t>
              </w:r>
            </w:hyperlink>
          </w:p>
        </w:tc>
        <w:tc>
          <w:tcPr>
            <w:tcW w:w="6800" w:type="dxa"/>
            <w:vAlign w:val="bottom"/>
            <w:gridSpan w:val="10"/>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 Mine Safety Disclosures</w:t>
              </w:r>
            </w:hyperlink>
          </w:p>
        </w:tc>
        <w:tc>
          <w:tcPr>
            <w:tcW w:w="7360" w:type="dxa"/>
            <w:vAlign w:val="bottom"/>
            <w:gridSpan w:val="12"/>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 Other Information</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18"/>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820" w:type="dxa"/>
            <w:vAlign w:val="bottom"/>
            <w:gridSpan w:val="15"/>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676"/>
        </w:trPr>
        <w:tc>
          <w:tcPr>
            <w:tcW w:w="7120" w:type="dxa"/>
            <w:vAlign w:val="bottom"/>
            <w:gridSpan w:val="17"/>
          </w:tcPr>
          <w:p>
            <w:pPr>
              <w:jc w:val="center"/>
              <w:ind w:left="4035"/>
              <w:spacing w:after="0"/>
              <w:rPr>
                <w:sz w:val="20"/>
                <w:szCs w:val="20"/>
                <w:color w:val="auto"/>
              </w:rPr>
            </w:pPr>
            <w:r>
              <w:rPr>
                <w:rFonts w:ascii="Arial" w:cs="Arial" w:eastAsia="Arial" w:hAnsi="Arial"/>
                <w:sz w:val="16"/>
                <w:szCs w:val="16"/>
                <w:color w:val="auto"/>
                <w:w w:val="89"/>
              </w:rPr>
              <w:t>2</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1"/>
        </w:trPr>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Arial" w:cs="Arial" w:eastAsia="Arial" w:hAnsi="Arial"/>
                <w:sz w:val="16"/>
                <w:szCs w:val="16"/>
                <w:b w:val="1"/>
                <w:bCs w:val="1"/>
                <w:color w:val="auto"/>
                <w:w w:val="97"/>
              </w:rPr>
              <w:t>June 30, 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138,270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132,650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290,410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287,697</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469,476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67,247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71,549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580,042</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585,136</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889,160</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892,582</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33,836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35,815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Government stimulus advances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32,087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116,944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143,901</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193,714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230,005</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345,105</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373,906</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15,917 and 15,826 shares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June 30, 2021 and December 31, 2020, respectively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374,383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369,495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169,656</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544,055</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889,160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the Three Months</w:t>
            </w:r>
          </w:p>
        </w:tc>
        <w:tc>
          <w:tcPr>
            <w:tcW w:w="240" w:type="dxa"/>
            <w:vAlign w:val="bottom"/>
          </w:tcPr>
          <w:p>
            <w:pPr>
              <w:spacing w:after="0"/>
              <w:rPr>
                <w:sz w:val="17"/>
                <w:szCs w:val="17"/>
                <w:color w:val="auto"/>
              </w:rPr>
            </w:pPr>
          </w:p>
        </w:tc>
        <w:tc>
          <w:tcPr>
            <w:tcW w:w="240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Ended June 30,</w:t>
            </w: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2021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371,835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158,059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529,910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362,102</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124,690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363,248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363,248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For the Six Months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Ended 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20,491</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15,565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(used in) provided by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7,188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(gain) of disposal of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(6,232)</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(3,004)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(3,608)</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Government stimulus advances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(23,993)</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(2,700)</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(1,800)</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(2,039)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10,478</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(1,847)</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46,835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145,078</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end of period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139,400</w:t>
            </w:r>
          </w:p>
        </w:tc>
        <w:tc>
          <w:tcPr>
            <w:tcW w:w="2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158,549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2,136</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476"/>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476"/>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2020 has been derived from the Company’s audited financial statements for the year ended December 31, 2020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2020 included in our Annual Report on Form 10-K, which includes information and disclosures not included herein.</w:t>
      </w:r>
    </w:p>
    <w:p>
      <w:pPr>
        <w:spacing w:after="0" w:line="195" w:lineRule="exact"/>
        <w:rPr>
          <w:sz w:val="20"/>
          <w:szCs w:val="20"/>
          <w:color w:val="auto"/>
        </w:rPr>
      </w:pPr>
    </w:p>
    <w:p>
      <w:pPr>
        <w:jc w:val="both"/>
        <w:ind w:right="120" w:firstLine="476"/>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260" w:firstLine="476"/>
        <w:spacing w:after="0" w:line="301"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allowance for doubtful accounts, intangible assets acquired in business combinations and, when required, the quantitative impairment assessment of goodwill and indefinite lived intangible assets.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420" w:firstLine="477"/>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As of June 30, 2021 and 2020, dilutive stock options outstanding were approximately 526,000 and 579,000, respectively, and dilutive restricted stock awards outstanding were approximately 172,000 and 72,000, respectively.</w:t>
      </w:r>
    </w:p>
    <w:p>
      <w:pPr>
        <w:spacing w:after="0" w:line="170" w:lineRule="exact"/>
        <w:rPr>
          <w:sz w:val="20"/>
          <w:szCs w:val="20"/>
          <w:color w:val="auto"/>
        </w:rPr>
      </w:pPr>
    </w:p>
    <w:p>
      <w:pPr>
        <w:ind w:right="300" w:firstLine="477"/>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six months ended June 30, 2021, dilutive stock options outstanding were approximately 286,000 and 298,000, respectively. In addition, dilutive restricted stock awards outstanding were approximately 20,000 and 49,000 for the three and six months ended June 30, 2021, respectively.</w:t>
      </w:r>
    </w:p>
    <w:p>
      <w:pPr>
        <w:spacing w:after="0" w:line="184" w:lineRule="exact"/>
        <w:rPr>
          <w:sz w:val="20"/>
          <w:szCs w:val="20"/>
          <w:color w:val="auto"/>
        </w:rPr>
      </w:pPr>
    </w:p>
    <w:p>
      <w:pPr>
        <w:ind w:right="300" w:firstLine="477"/>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six months ended June 30, 2020, dilutive stock options outstanding were approximately 296,000 and 304,000, respectively. In addition, dilutive restricted stock awards outstanding were approximately 37,000 and 63,000 for the three and six months ended June 30, 2020,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simplifies various aspects related to accounting for income taxes and removes certain exceptions to the general guidance in ASC 740. In addition, the ASU clarifies and amends existing guidance to improve consistent application of its requirements. The ASU was adopted as of January 1, 2021 and did not have an impact on the Company’s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0" w:firstLine="477"/>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The Company is evaluating the effect of adopting this new accounting guidance.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right="620" w:firstLine="476"/>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June 30, 2021 and December 31, 2020 for our operating leases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7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600" w:type="dxa"/>
            <w:vAlign w:val="bottom"/>
            <w:tcBorders>
              <w:top w:val="single" w:sz="8" w:color="auto"/>
              <w:bottom w:val="single" w:sz="8" w:color="auto"/>
            </w:tcBorders>
            <w:gridSpan w:val="4"/>
          </w:tcPr>
          <w:p>
            <w:pPr>
              <w:jc w:val="right"/>
              <w:ind w:right="11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37,991</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35,516</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43,960</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77" w:lineRule="exact"/>
        <w:rPr>
          <w:sz w:val="20"/>
          <w:szCs w:val="20"/>
          <w:color w:val="auto"/>
        </w:rPr>
      </w:pPr>
    </w:p>
    <w:p>
      <w:pPr>
        <w:ind w:right="180" w:firstLine="476"/>
        <w:spacing w:after="0" w:line="277" w:lineRule="auto"/>
        <w:rPr>
          <w:sz w:val="20"/>
          <w:szCs w:val="20"/>
          <w:color w:val="auto"/>
        </w:rPr>
      </w:pPr>
      <w:r>
        <w:rPr>
          <w:rFonts w:ascii="Arial" w:cs="Arial" w:eastAsia="Arial" w:hAnsi="Arial"/>
          <w:sz w:val="18"/>
          <w:szCs w:val="18"/>
          <w:color w:val="auto"/>
        </w:rPr>
        <w:t>Components of lease costs were reported in general and administrative expenses in the Company’s Unaudited Condensed Consolidated Statements of Income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20" w:type="dxa"/>
            <w:vAlign w:val="bottom"/>
          </w:tcPr>
          <w:p>
            <w:pPr>
              <w:spacing w:after="0"/>
              <w:rPr>
                <w:sz w:val="14"/>
                <w:szCs w:val="14"/>
                <w:color w:val="auto"/>
              </w:rPr>
            </w:pPr>
          </w:p>
        </w:tc>
        <w:tc>
          <w:tcPr>
            <w:tcW w:w="27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6"/>
              </w:rPr>
              <w:t>For the Six Months Ended June 30,</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300" w:type="dxa"/>
            <w:vAlign w:val="bottom"/>
            <w:gridSpan w:val="6"/>
          </w:tcPr>
          <w:p>
            <w:pPr>
              <w:jc w:val="center"/>
              <w:ind w:left="386"/>
              <w:spacing w:after="0"/>
              <w:rPr>
                <w:sz w:val="20"/>
                <w:szCs w:val="20"/>
                <w:color w:val="auto"/>
              </w:rPr>
            </w:pPr>
            <w:r>
              <w:rPr>
                <w:rFonts w:ascii="Arial" w:cs="Arial" w:eastAsia="Arial" w:hAnsi="Arial"/>
                <w:sz w:val="14"/>
                <w:szCs w:val="14"/>
                <w:b w:val="1"/>
                <w:bCs w:val="1"/>
                <w:color w:val="auto"/>
                <w:w w:val="92"/>
              </w:rPr>
              <w:t>(Amounts in Thousands)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0"/>
              </w:rPr>
              <w:t>(Amounts in Thousands)</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20" w:type="dxa"/>
            <w:vAlign w:val="bottom"/>
            <w:tcBorders>
              <w:top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Short-term lease costs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sublease income</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lease costs, net</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00" w:type="dxa"/>
            <w:vAlign w:val="bottom"/>
            <w:gridSpan w:val="2"/>
          </w:tcPr>
          <w:p>
            <w:pPr>
              <w:ind w:left="480"/>
              <w:spacing w:after="0"/>
              <w:rPr>
                <w:sz w:val="20"/>
                <w:szCs w:val="20"/>
                <w:color w:val="auto"/>
              </w:rPr>
            </w:pPr>
            <w:r>
              <w:rPr>
                <w:rFonts w:ascii="Arial" w:cs="Arial" w:eastAsia="Arial" w:hAnsi="Arial"/>
                <w:sz w:val="18"/>
                <w:szCs w:val="18"/>
                <w:color w:val="auto"/>
                <w:w w:val="91"/>
              </w:rPr>
              <w:t>Weighted average remaining lease terms and discount rates were as follows: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2"/>
              </w:rPr>
              <w:t>June 30, 2021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6"/>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82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w w:val="85"/>
              </w:rPr>
              <w:t>6.97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4.03%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w w:val="93"/>
              </w:rPr>
              <w:t>4.18%</w:t>
            </w:r>
          </w:p>
        </w:tc>
        <w:tc>
          <w:tcPr>
            <w:tcW w:w="0" w:type="dxa"/>
            <w:vAlign w:val="bottom"/>
          </w:tcPr>
          <w:p>
            <w:pPr>
              <w:spacing w:after="0"/>
              <w:rPr>
                <w:sz w:val="1"/>
                <w:szCs w:val="1"/>
                <w:color w:val="auto"/>
              </w:rPr>
            </w:pPr>
          </w:p>
        </w:tc>
      </w:tr>
      <w:tr>
        <w:trPr>
          <w:trHeight w:val="615"/>
        </w:trPr>
        <w:tc>
          <w:tcPr>
            <w:tcW w:w="5280" w:type="dxa"/>
            <w:vAlign w:val="bottom"/>
          </w:tcPr>
          <w:p>
            <w:pPr>
              <w:spacing w:after="0"/>
              <w:rPr>
                <w:sz w:val="24"/>
                <w:szCs w:val="24"/>
                <w:color w:val="auto"/>
              </w:rPr>
            </w:pPr>
          </w:p>
        </w:tc>
        <w:tc>
          <w:tcPr>
            <w:tcW w:w="820" w:type="dxa"/>
            <w:vAlign w:val="bottom"/>
          </w:tcPr>
          <w:p>
            <w:pPr>
              <w:jc w:val="right"/>
              <w:ind w:right="366"/>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remaining operating lease payments as of June 30, 2021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Operating Leases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the 12-month period ended June 30,</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rental commitments</w:t>
            </w:r>
          </w:p>
        </w:tc>
        <w:tc>
          <w:tcPr>
            <w:tcW w:w="1060" w:type="dxa"/>
            <w:vAlign w:val="bottom"/>
            <w:tcBorders>
              <w:bottom w:val="single" w:sz="8" w:color="CFF0FC"/>
            </w:tcBorders>
          </w:tcPr>
          <w:p>
            <w:pPr>
              <w:spacing w:after="0"/>
              <w:rPr>
                <w:sz w:val="22"/>
                <w:szCs w:val="22"/>
                <w:color w:val="auto"/>
              </w:rPr>
            </w:pPr>
          </w:p>
        </w:tc>
        <w:tc>
          <w:tcPr>
            <w:tcW w:w="11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50,432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2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w w:val="93"/>
              </w:rPr>
              <w:t>For the Six Months Ended June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508"/>
              <w:spacing w:after="0"/>
              <w:rPr>
                <w:sz w:val="20"/>
                <w:szCs w:val="20"/>
                <w:color w:val="auto"/>
              </w:rPr>
            </w:pPr>
            <w:r>
              <w:rPr>
                <w:rFonts w:ascii="Arial" w:cs="Arial" w:eastAsia="Arial" w:hAnsi="Arial"/>
                <w:sz w:val="14"/>
                <w:szCs w:val="14"/>
                <w:b w:val="1"/>
                <w:bCs w:val="1"/>
                <w:color w:val="auto"/>
                <w:w w:val="92"/>
              </w:rPr>
              <w:t>(Amounts in Thousands)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16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5,313</w:t>
            </w:r>
          </w:p>
        </w:tc>
        <w:tc>
          <w:tcPr>
            <w:tcW w:w="152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88"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 City Hospice</w:t>
      </w:r>
    </w:p>
    <w:p>
      <w:pPr>
        <w:spacing w:after="0" w:line="117" w:lineRule="exact"/>
        <w:rPr>
          <w:sz w:val="20"/>
          <w:szCs w:val="20"/>
          <w:color w:val="auto"/>
        </w:rPr>
      </w:pPr>
    </w:p>
    <w:p>
      <w:pPr>
        <w:ind w:right="60" w:firstLine="476"/>
        <w:spacing w:after="0" w:line="273" w:lineRule="auto"/>
        <w:rPr>
          <w:sz w:val="20"/>
          <w:szCs w:val="20"/>
          <w:color w:val="auto"/>
        </w:rPr>
      </w:pPr>
      <w:r>
        <w:rPr>
          <w:rFonts w:ascii="Arial" w:cs="Arial" w:eastAsia="Arial" w:hAnsi="Arial"/>
          <w:sz w:val="17"/>
          <w:szCs w:val="17"/>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integration costs were $0.8 million and $1.7 million for the three and six months ended June 30, 2021, respectively. These costs were included in general and administrative expenses on the Unaudited Condensed Consolidated Statements of Income and were expensed as incurred.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(2,257)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(2,765)</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Government stimulus advances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(12,694)</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75" w:lineRule="auto"/>
        <w:rPr>
          <w:sz w:val="20"/>
          <w:szCs w:val="20"/>
          <w:color w:val="auto"/>
        </w:rPr>
      </w:pPr>
      <w:r>
        <w:rPr>
          <w:rFonts w:ascii="Arial" w:cs="Arial" w:eastAsia="Arial" w:hAnsi="Arial"/>
          <w:sz w:val="17"/>
          <w:szCs w:val="17"/>
          <w:color w:val="auto"/>
        </w:rPr>
        <w:t>Identifiable intangible assets acquired included $11.0 million in trade names and $1.5 million of non-competition agreements with estimated useful lives of fifteen years and five years, respectively, and $7.5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County Homemakers</w:t>
      </w:r>
    </w:p>
    <w:p>
      <w:pPr>
        <w:spacing w:after="0" w:line="117" w:lineRule="exact"/>
        <w:rPr>
          <w:sz w:val="20"/>
          <w:szCs w:val="20"/>
          <w:color w:val="auto"/>
        </w:rPr>
      </w:pPr>
    </w:p>
    <w:p>
      <w:pPr>
        <w:ind w:right="60" w:firstLine="476"/>
        <w:spacing w:after="0" w:line="296" w:lineRule="auto"/>
        <w:rPr>
          <w:sz w:val="20"/>
          <w:szCs w:val="20"/>
          <w:color w:val="auto"/>
        </w:rPr>
      </w:pPr>
      <w:r>
        <w:rPr>
          <w:rFonts w:ascii="Arial" w:cs="Arial" w:eastAsia="Arial" w:hAnsi="Arial"/>
          <w:sz w:val="16"/>
          <w:szCs w:val="16"/>
          <w:color w:val="auto"/>
        </w:rPr>
        <w:t>On November 1, 2020, we completed the acquisition of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integration costs were $0.2 million for the six months ended June 30, 2021. These costs were included in general and administrative expenses on the Unaudited Condensed Consolidated Statements of Income and were expensed as incurred.</w:t>
      </w:r>
    </w:p>
    <w:p>
      <w:pPr>
        <w:spacing w:after="0" w:line="16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320" w:firstLine="476"/>
        <w:spacing w:after="0" w:line="311" w:lineRule="auto"/>
        <w:rPr>
          <w:sz w:val="20"/>
          <w:szCs w:val="20"/>
          <w:color w:val="auto"/>
        </w:rPr>
      </w:pPr>
      <w:r>
        <w:rPr>
          <w:rFonts w:ascii="Arial" w:cs="Arial" w:eastAsia="Arial" w:hAnsi="Arial"/>
          <w:sz w:val="16"/>
          <w:szCs w:val="16"/>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w:t>
      </w:r>
    </w:p>
    <w:p>
      <w:pPr>
        <w:sectPr>
          <w:pgSz w:w="11900" w:h="16838" w:orient="portrait"/>
          <w:cols w:equalWidth="0" w:num="1">
            <w:col w:w="11240"/>
          </w:cols>
          <w:pgMar w:left="320" w:top="121" w:right="3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Montana. The related integration costs were $0.1 million for the six months ended June 30, 2021. These costs were included in general and administrative expenses on the Unaudited Condensed Consolidated Statements of Income and were expensed as incurred.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final valuations, the fair values of the assets and liabilities acquired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476"/>
        <w:spacing w:after="0" w:line="279" w:lineRule="auto"/>
        <w:rPr>
          <w:sz w:val="20"/>
          <w:szCs w:val="20"/>
          <w:color w:val="auto"/>
        </w:rPr>
      </w:pPr>
      <w:r>
        <w:rPr>
          <w:rFonts w:ascii="Arial" w:cs="Arial" w:eastAsia="Arial" w:hAnsi="Arial"/>
          <w:sz w:val="17"/>
          <w:szCs w:val="17"/>
          <w:color w:val="auto"/>
        </w:rPr>
        <w:t>Identifiable intangible assets acquired included $1.4 million in trade names with an estimated useful life of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SunLife Home Care</w:t>
      </w:r>
    </w:p>
    <w:p>
      <w:pPr>
        <w:spacing w:after="0" w:line="117" w:lineRule="exact"/>
        <w:rPr>
          <w:sz w:val="20"/>
          <w:szCs w:val="20"/>
          <w:color w:val="auto"/>
        </w:rPr>
      </w:pPr>
    </w:p>
    <w:p>
      <w:pPr>
        <w:ind w:right="220" w:firstLine="506"/>
        <w:spacing w:after="0" w:line="311" w:lineRule="auto"/>
        <w:rPr>
          <w:sz w:val="20"/>
          <w:szCs w:val="20"/>
          <w:color w:val="auto"/>
        </w:rPr>
      </w:pPr>
      <w:r>
        <w:rPr>
          <w:rFonts w:ascii="Arial" w:cs="Arial" w:eastAsia="Arial" w:hAnsi="Arial"/>
          <w:sz w:val="16"/>
          <w:szCs w:val="16"/>
          <w:color w:val="auto"/>
        </w:rPr>
        <w:t>On December 1, 2020, we completed the acquisition of SunLife Home Care (“SunLife”) for approximately $1.7 million and recorded goodwill of $1.6 million. With the purchase of SunLife, we expanded our personal care services in the state of Arizona. Goodwill generated from the acquisition is primarily attributable to expected synergies with existing Company operations and the goodwill acquired is deductible for tax purposes.</w:t>
      </w:r>
    </w:p>
    <w:p>
      <w:pPr>
        <w:spacing w:after="0" w:line="149" w:lineRule="exact"/>
        <w:rPr>
          <w:sz w:val="20"/>
          <w:szCs w:val="20"/>
          <w:color w:val="auto"/>
        </w:rPr>
      </w:pPr>
    </w:p>
    <w:p>
      <w:pPr>
        <w:ind w:right="520" w:firstLine="476"/>
        <w:spacing w:after="0" w:line="342" w:lineRule="auto"/>
        <w:rPr>
          <w:sz w:val="20"/>
          <w:szCs w:val="20"/>
          <w:color w:val="auto"/>
        </w:rPr>
      </w:pPr>
      <w:r>
        <w:rPr>
          <w:rFonts w:ascii="Arial" w:cs="Arial" w:eastAsia="Arial" w:hAnsi="Arial"/>
          <w:sz w:val="16"/>
          <w:szCs w:val="16"/>
          <w:color w:val="auto"/>
        </w:rPr>
        <w:t>The following table contains unaudited pro forma condensed consolidated income statement information of the Company for the three and six months ended June 30, 2020 as if each of the acquisitions of Queen City Hospice, County Homemakers and A Plus closed on January 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For the Three Months Ended June 30,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(Amounts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203,465</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412,434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9"/>
                <w:szCs w:val="19"/>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bottom w:val="single" w:sz="8" w:color="CFF0FC"/>
            </w:tcBorders>
            <w:gridSpan w:val="2"/>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476"/>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Queen City Hospice, County Homemakers and A Plus had been acquired effective January 1, 2020.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goodwill for the Company was $469.5 million and $469.1 million as of June 30, 2021 and December 31, 2020, respectively.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activity for the six months ended June 30, 2021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Goodwill</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Home Health</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2020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Goodwill as of June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314,982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152,703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469,476</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June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(35,391)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(17,106)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(4,041)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(59,874)</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intangible assets at June 30, 2021</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460" w:firstLine="476"/>
        <w:spacing w:after="0" w:line="271" w:lineRule="auto"/>
        <w:rPr>
          <w:sz w:val="20"/>
          <w:szCs w:val="20"/>
          <w:color w:val="auto"/>
        </w:rPr>
      </w:pPr>
      <w:r>
        <w:rPr>
          <w:rFonts w:ascii="Arial" w:cs="Arial" w:eastAsia="Arial" w:hAnsi="Arial"/>
          <w:sz w:val="18"/>
          <w:szCs w:val="18"/>
          <w:color w:val="auto"/>
        </w:rPr>
        <w:t>Amortization expense related to the identifiable intangible assets amounted to $2.1 million and $4.3 million for the three and six months ended June 30, 2021, respectively, and $1.8 million and $3.5 million for the three and six months ended June 30, 2020, respectively. The weighted average remaining useful lives of identifiable intangible assets as of June 30, 2021 is 9.5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80"/>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Payor advances (1)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228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 w:right="140" w:hanging="472"/>
        <w:spacing w:after="0" w:line="369" w:lineRule="auto"/>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121"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8"/>
          <w:szCs w:val="18"/>
          <w:color w:val="auto"/>
        </w:rPr>
        <w:t>Government stimulus advances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7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deferral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Provider Relief Fund</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CMS advanced payment program — Queen City Hospice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Provider Relief Fund — Queen City Hospice</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government stimulus advances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06"/>
        <w:spacing w:after="0" w:line="25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PPPHCE Act, and the CAA. The American Rescue Plan Act of 2021 (“ARPA”), another relief package with numerous provisions that affect healthcare providers, was signed into law in March 2021. See Note 9 for additional information regarding government actions to mitigate COVID-19’s impact.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firstLine="506"/>
        <w:spacing w:after="0" w:line="287" w:lineRule="auto"/>
        <w:rPr>
          <w:sz w:val="20"/>
          <w:szCs w:val="20"/>
          <w:color w:val="auto"/>
        </w:rPr>
      </w:pPr>
      <w:r>
        <w:rPr>
          <w:rFonts w:ascii="Arial" w:cs="Arial" w:eastAsia="Arial" w:hAnsi="Arial"/>
          <w:sz w:val="16"/>
          <w:szCs w:val="16"/>
          <w:color w:val="auto"/>
        </w:rPr>
        <w:t>In total, the CARES Act and other relief legislation include over $178 billion in funding to be distributed through the Provider Relief Fund to eligible providers, including public entities and Medicare- and/or Medicaid-enrolled providers. In November 2020, the Company received grants in an aggregate principal amount of $13.7 million from the Provider Relief Fund, for which we had previously applied. The Company utilized $10.4 million and $11.3 million of these funds for the three and six months ended June 30, 2021, respectively, for healthcare related expenses, including retention payments, attributable to COVID-19 that were unreimbursed by other sources. In accordance with the current guidance issued by HHS, the Company expects to utilize additional funds through December 31, 2021, at which point we anticipate any unused funds will be returned. We are required to properly and fully document the use of such funds in reports to HHS, which must be submitted no later than March 31, 2022. The Company’s ability to utilize and retain some or all of such funds will depend on the magnitude, timing and nature of the impact of the COVID-19 pandemic, as well as the terms and conditions of the funds received. Queen City Hospice administered retention payments totaling $1.9 million to caregivers for the three and six months ended June 30, 2021, which we believe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506"/>
        <w:spacing w:after="0" w:line="293" w:lineRule="auto"/>
        <w:rPr>
          <w:sz w:val="20"/>
          <w:szCs w:val="20"/>
          <w:color w:val="auto"/>
        </w:rPr>
      </w:pPr>
      <w:r>
        <w:rPr>
          <w:rFonts w:ascii="Arial" w:cs="Arial" w:eastAsia="Arial" w:hAnsi="Arial"/>
          <w:sz w:val="16"/>
          <w:szCs w:val="16"/>
          <w:color w:val="auto"/>
        </w:rPr>
        <w:t>The CARES Act expanded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CMS recoupment and before any interest accrual.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320" w:firstLine="506"/>
        <w:spacing w:after="0" w:line="301" w:lineRule="auto"/>
        <w:rPr>
          <w:sz w:val="20"/>
          <w:szCs w:val="20"/>
          <w:color w:val="auto"/>
        </w:rPr>
      </w:pPr>
      <w:r>
        <w:rPr>
          <w:rFonts w:ascii="Arial" w:cs="Arial" w:eastAsia="Arial" w:hAnsi="Arial"/>
          <w:sz w:val="16"/>
          <w:szCs w:val="16"/>
          <w:color w:val="auto"/>
        </w:rPr>
        <w:t>The CARES Act also provides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the fourth quarter of 2021.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June 30, 2021</w:t>
            </w:r>
          </w:p>
        </w:tc>
        <w:tc>
          <w:tcPr>
            <w:tcW w:w="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156"/>
        </w:trPr>
        <w:tc>
          <w:tcPr>
            <w:tcW w:w="4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178,458</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18,130</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issuance costs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(1,411)</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(1,716)</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194,872</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(973)</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(971)</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193,901</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20" w:firstLine="476"/>
        <w:spacing w:after="0" w:line="268"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the Company’s existing senior secured credit facility totaling $250.0 million. As used throughout this Quarterly Report on Form 10-Q,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82"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240" w:firstLine="476"/>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40" w:firstLine="47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June 30, 2021, the Company was in compliance with all financial covenants under the Credit Agreement.</w:t>
      </w:r>
    </w:p>
    <w:p>
      <w:pPr>
        <w:spacing w:after="0" w:line="168" w:lineRule="exact"/>
        <w:rPr>
          <w:sz w:val="20"/>
          <w:szCs w:val="20"/>
          <w:color w:val="auto"/>
        </w:rPr>
      </w:pPr>
    </w:p>
    <w:p>
      <w:pPr>
        <w:ind w:right="120" w:firstLine="476"/>
        <w:spacing w:after="0" w:line="301" w:lineRule="auto"/>
        <w:rPr>
          <w:sz w:val="20"/>
          <w:szCs w:val="20"/>
          <w:color w:val="auto"/>
        </w:rPr>
      </w:pPr>
      <w:r>
        <w:rPr>
          <w:rFonts w:ascii="Arial" w:cs="Arial" w:eastAsia="Arial" w:hAnsi="Arial"/>
          <w:sz w:val="16"/>
          <w:szCs w:val="16"/>
          <w:color w:val="auto"/>
        </w:rPr>
        <w:t>On September 12, 2019, the Company entered into a First Amendment (the “Amendment”) to its Credit Agreement. The Amendment increased the Company’s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such $50.0 million incremental revolving loans may be used for, among other things, general corporate purposes.</w:t>
      </w:r>
    </w:p>
    <w:p>
      <w:pPr>
        <w:spacing w:after="0" w:line="157"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On July 30, 2021, the Company entered into a Second Amendment (the “Second Amendment”) to its Credit Agreement, see Note 12 for additional information.</w:t>
      </w:r>
    </w:p>
    <w:p>
      <w:pPr>
        <w:sectPr>
          <w:pgSz w:w="11900" w:h="16838" w:orient="portrait"/>
          <w:cols w:equalWidth="0" w:num="1">
            <w:col w:w="11220"/>
          </w:cols>
          <w:pgMar w:left="320" w:top="121" w:right="35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six months ended June 30, 2021 and 2020, the Company had no draws under its credit facility.</w:t>
      </w:r>
    </w:p>
    <w:p>
      <w:pPr>
        <w:spacing w:after="0" w:line="225" w:lineRule="exact"/>
        <w:rPr>
          <w:sz w:val="20"/>
          <w:szCs w:val="20"/>
          <w:color w:val="auto"/>
        </w:rPr>
      </w:pPr>
    </w:p>
    <w:p>
      <w:pPr>
        <w:ind w:right="60" w:firstLine="476"/>
        <w:spacing w:after="0" w:line="280" w:lineRule="auto"/>
        <w:rPr>
          <w:sz w:val="20"/>
          <w:szCs w:val="20"/>
          <w:color w:val="auto"/>
        </w:rPr>
      </w:pPr>
      <w:r>
        <w:rPr>
          <w:rFonts w:ascii="Arial" w:cs="Arial" w:eastAsia="Arial" w:hAnsi="Arial"/>
          <w:sz w:val="17"/>
          <w:szCs w:val="17"/>
          <w:color w:val="auto"/>
        </w:rPr>
        <w:t>As of June 30, 2021, the Company had a total of $178.5 million of revolving loans, with an interest rate of 2.08%, and $17.6 million of term loans, with an interest rate of 2.09%, outstanding on its credit facility. After giving effect to the amount drawn on its credit facility, approximately $8.7 million of outstanding letters of credit and borrowing limits based on an advance multiple of adjusted EBITDA (as defined in the Credit Agreement), the Company had $112.8 million available for borrowing under its credit facility. As of December 31, 2020, the Company had a total of $178.5 million of revolving loans, with an interest rate of 1.90%, and $18.1 million of term loans, with an interest rate of 1.90%, outstanding on its credit facility.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1" w:lineRule="exact"/>
        <w:rPr>
          <w:sz w:val="20"/>
          <w:szCs w:val="20"/>
          <w:color w:val="auto"/>
        </w:rPr>
      </w:pPr>
    </w:p>
    <w:p>
      <w:pPr>
        <w:jc w:val="both"/>
        <w:ind w:right="60" w:firstLine="476"/>
        <w:spacing w:after="0" w:line="263" w:lineRule="auto"/>
        <w:rPr>
          <w:sz w:val="20"/>
          <w:szCs w:val="20"/>
          <w:color w:val="auto"/>
        </w:rPr>
      </w:pPr>
      <w:r>
        <w:rPr>
          <w:rFonts w:ascii="Arial" w:cs="Arial" w:eastAsia="Arial" w:hAnsi="Arial"/>
          <w:sz w:val="18"/>
          <w:szCs w:val="18"/>
          <w:color w:val="auto"/>
        </w:rPr>
        <w:t>The effective income tax rates were 26.7% and 23.6% for the three months ended June 30, 2021 and 2020, respectively. The difference between our federal statutory and effective income tax rates is principally due to the inclusion of state taxes and non-deductible compensation partially offset by the use of federal employment tax credits.</w:t>
      </w:r>
    </w:p>
    <w:p>
      <w:pPr>
        <w:spacing w:after="0" w:line="130" w:lineRule="exact"/>
        <w:rPr>
          <w:sz w:val="20"/>
          <w:szCs w:val="20"/>
          <w:color w:val="auto"/>
        </w:rPr>
      </w:pPr>
    </w:p>
    <w:p>
      <w:pPr>
        <w:ind w:right="20" w:firstLine="476"/>
        <w:spacing w:after="0" w:line="290" w:lineRule="auto"/>
        <w:rPr>
          <w:sz w:val="20"/>
          <w:szCs w:val="20"/>
          <w:color w:val="auto"/>
        </w:rPr>
      </w:pPr>
      <w:r>
        <w:rPr>
          <w:rFonts w:ascii="Arial" w:cs="Arial" w:eastAsia="Arial" w:hAnsi="Arial"/>
          <w:sz w:val="16"/>
          <w:szCs w:val="16"/>
          <w:color w:val="auto"/>
        </w:rPr>
        <w:t>The effective income tax rates were 23.5% and 18.6% for the six months ended June 30, 2021 and 2020, respectively. For the six months ended June 30, 2021, the difference between our federal statutory and effective income tax rates was principally due to the inclusion of state taxes and non-deductible compensation partially offset by the use of federal employment tax credits and excess tax benefit. For the six months ended June 30, 2020, the difference between our federal statutory and effective income tax rates was principally due to the inclusion of an excess tax benefit and the use of federal employment tax credits partially offset by state taxes and non-deductible compensation. For the six months ended June 30, 2021 and 2020, the effective tax rates were inclusive of an excess tax benefit of 3.0% and 7.5%, respectively. The excess tax benefit is a discrete item, related to the vesting of equity shares, which requires the Company to recognize the benefit fully in the period. An excess tax benefit results if the Company’s income tax deduction exceeds the cumulative costs of the award recognized on the Unaudited Condensed Consolidated Statements of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117"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continues to impact the United States and other parts of the world.</w:t>
      </w:r>
    </w:p>
    <w:p>
      <w:pPr>
        <w:spacing w:after="0" w:line="184"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the CARES Act, a sweeping stimulus bill intended to bolster the U.S. economy, was enacted. The PPPHCE Act and the CAA both expansions of the CARES Act, were signed into law on April 24, 2020 and December 27, 2020, respectively. In total, the CARES Act, the PPPHCE Act and CAA authorize $178 billion in funding to be distributed to health care providers through the Provider Relief Fund. This funding is intended to support healthcare providers by reimbursing them for healthcare-related expenses or lost revenues attributable to COVID-19. On March 11, 2021, the ARPA was signed into law, another COVID-19 relief package with numerous provisions that affect healthcare providers, including additional funding targeted to specified healthcare providers and to improve coronavirus testing and vaccine-related activities.</w:t>
      </w:r>
    </w:p>
    <w:p>
      <w:pPr>
        <w:spacing w:after="0" w:line="178"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In addition to the Provider Relief Fund, the CARES Act and related laws include temporary changes to Medicare and Medicaid payment rules and relief from certain accounting provisions. For example, the laws temporarily lift the Medicare sequester, which would have otherwise reduced payments to Medicare providers by 2% as required by the Budget Control Act of 2011, from May 1, 2020, through December 31, 2021 (but also extend sequestration through 2030). This Medicare sequester relief resulted in an increase of $0.1 million and $0.2 million to home health net service revenues, and $0.7 million and $1.4 million, to hospice net service revenues for the three and six months ended June 30, 2021, respectively. For the three months ended June 30, 2020, the Medicare sequester relief resulted in an increase of $0.3 million and $0.1 million, respectively, to hospice and home health net service revenues. However, the ARPA increases the federal budget deficit in a manner that triggers an additional statutorily mandated sequestration under the Pay-As-You-Go Act of 2010 (“PAYGO Act”). As a result, absent congressional action, Medicare spending will be reduced by up to 4% in fiscal year 2022, in addition to the existing sequestration requirements of the Budget Control Act of 2011. We cannot currently determine if, or to what extent, our business, results of operations, financial condition or liquidity will ultimately be impacted by mandated sequestration triggers under the PAYGO Act, or if the mandated sequestration will occur.</w:t>
      </w:r>
    </w:p>
    <w:p>
      <w:pPr>
        <w:spacing w:after="0" w:line="18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While conditions related to the COVID-19 pandemic have improved in recent months in the United States as vaccinations have become more widely available, it is impossible to predict the effect and ultimate impact of the COVID-19 pandemic on the Company as the situation continues to evolve. See Note 6 for additional information regarding government stimulus advances the Company has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the Company is subject to legal and/or administrative proceedings incidental to its business.</w:t>
      </w:r>
    </w:p>
    <w:p>
      <w:pPr>
        <w:sectPr>
          <w:pgSz w:w="11900" w:h="16838" w:orient="portrait"/>
          <w:cols w:equalWidth="0" w:num="1">
            <w:col w:w="11220"/>
          </w:cols>
          <w:pgMar w:left="320" w:top="121" w:right="3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476"/>
        <w:spacing w:after="0" w:line="254" w:lineRule="auto"/>
        <w:rPr>
          <w:sz w:val="20"/>
          <w:szCs w:val="20"/>
          <w:color w:val="auto"/>
        </w:rPr>
      </w:pPr>
      <w:r>
        <w:rPr>
          <w:rFonts w:ascii="Arial" w:cs="Arial" w:eastAsia="Arial" w:hAnsi="Arial"/>
          <w:sz w:val="18"/>
          <w:szCs w:val="18"/>
          <w:color w:val="auto"/>
        </w:rPr>
        <w:t>On June 2, 2021, the Company received a $6.5 million Request for Repayment from Palmetto, GBA, LLC (“Palmetto”), a Medicare administrative contractor, regarding Ambercare Hospice Inc. (“Ambercare”), our subsidiary that provides hospice services in New Mexico. The Centers for Medicare and Medicaid Services Office of Inspector General’s Office of Audit Services (“OAS”) had in 2018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92" w:lineRule="exact"/>
        <w:rPr>
          <w:sz w:val="20"/>
          <w:szCs w:val="20"/>
          <w:color w:val="auto"/>
        </w:rPr>
      </w:pPr>
    </w:p>
    <w:p>
      <w:pPr>
        <w:ind w:right="820" w:firstLine="476"/>
        <w:spacing w:after="0" w:line="308" w:lineRule="auto"/>
        <w:rPr>
          <w:sz w:val="20"/>
          <w:szCs w:val="20"/>
          <w:color w:val="auto"/>
        </w:rPr>
      </w:pPr>
      <w:r>
        <w:rPr>
          <w:rFonts w:ascii="Arial" w:cs="Arial" w:eastAsia="Arial" w:hAnsi="Arial"/>
          <w:sz w:val="17"/>
          <w:szCs w:val="17"/>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81"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140" w:firstLine="476"/>
        <w:spacing w:after="0" w:line="311" w:lineRule="auto"/>
        <w:rPr>
          <w:sz w:val="20"/>
          <w:szCs w:val="20"/>
          <w:color w:val="auto"/>
        </w:rPr>
      </w:pPr>
      <w:r>
        <w:rPr>
          <w:rFonts w:ascii="Arial" w:cs="Arial" w:eastAsia="Arial" w:hAnsi="Arial"/>
          <w:sz w:val="16"/>
          <w:szCs w:val="16"/>
          <w:color w:val="auto"/>
        </w:rPr>
        <w:t>The tables below set forth information about the Company’s reportable segments for the three and six months ended June 30, 2021 and 2020,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49" w:lineRule="exact"/>
        <w:rPr>
          <w:sz w:val="20"/>
          <w:szCs w:val="20"/>
          <w:color w:val="auto"/>
        </w:rPr>
      </w:pPr>
    </w:p>
    <w:p>
      <w:pPr>
        <w:ind w:right="320" w:firstLine="476"/>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ind w:left="8"/>
              <w:spacing w:after="0"/>
              <w:rPr>
                <w:sz w:val="20"/>
                <w:szCs w:val="20"/>
                <w:color w:val="auto"/>
              </w:rPr>
            </w:pPr>
            <w:r>
              <w:rPr>
                <w:rFonts w:ascii="Arial" w:cs="Arial" w:eastAsia="Arial" w:hAnsi="Arial"/>
                <w:sz w:val="14"/>
                <w:szCs w:val="14"/>
                <w:b w:val="1"/>
                <w:bCs w:val="1"/>
                <w:color w:val="auto"/>
                <w:w w:val="94"/>
              </w:rPr>
              <w:t>For the Three Months Ended June 30, 2021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5"/>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Hospice</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Home Health</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8"/>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5"/>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Home Health</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40" w:type="dxa"/>
            <w:vAlign w:val="bottom"/>
            <w:vMerge w:val="restart"/>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3"/>
              </w:rPr>
              <w:t>For the Three Months Ended June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7"/>
              <w:spacing w:after="0" w:line="155" w:lineRule="exact"/>
              <w:rPr>
                <w:sz w:val="20"/>
                <w:szCs w:val="20"/>
                <w:color w:val="auto"/>
              </w:rPr>
            </w:pPr>
            <w:r>
              <w:rPr>
                <w:rFonts w:ascii="Arial" w:cs="Arial" w:eastAsia="Arial" w:hAnsi="Arial"/>
                <w:sz w:val="14"/>
                <w:szCs w:val="14"/>
                <w:b w:val="1"/>
                <w:bCs w:val="1"/>
                <w:color w:val="auto"/>
                <w:w w:val="83"/>
              </w:rPr>
              <w:t>2021</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42,811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For the Six Months Ended June 30, 2021</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14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73,003</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9,057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423,195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250,097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37,508</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5,583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293,188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35,495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3,474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17,136</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1,933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50,710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18,359</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1,541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79,297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14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49,737</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8,122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374,792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234,850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23,242</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5,868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263,960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26,495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2,254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12,754</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7"/>
              <w:spacing w:after="0" w:line="155" w:lineRule="exact"/>
              <w:rPr>
                <w:sz w:val="20"/>
                <w:szCs w:val="20"/>
                <w:color w:val="auto"/>
              </w:rPr>
            </w:pPr>
            <w:r>
              <w:rPr>
                <w:rFonts w:ascii="Arial" w:cs="Arial" w:eastAsia="Arial" w:hAnsi="Arial"/>
                <w:sz w:val="14"/>
                <w:szCs w:val="14"/>
                <w:b w:val="1"/>
                <w:bCs w:val="1"/>
                <w:color w:val="auto"/>
                <w:w w:val="83"/>
              </w:rPr>
              <w:t>2021</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79,297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7,188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Payors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six months ended June 30, 2021 and 2020, the Company’s revenue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center"/>
              <w:ind w:right="680"/>
              <w:spacing w:after="0"/>
              <w:rPr>
                <w:sz w:val="20"/>
                <w:szCs w:val="20"/>
                <w:color w:val="auto"/>
              </w:rPr>
            </w:pPr>
            <w:r>
              <w:rPr>
                <w:rFonts w:ascii="Arial" w:cs="Arial" w:eastAsia="Arial" w:hAnsi="Arial"/>
                <w:sz w:val="14"/>
                <w:szCs w:val="14"/>
                <w:b w:val="1"/>
                <w:bCs w:val="1"/>
                <w:color w:val="auto"/>
                <w:w w:val="91"/>
              </w:rPr>
              <w:t>Personal Care</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15"/>
          </w:tcPr>
          <w:p>
            <w:pPr>
              <w:ind w:left="18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14"/>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5"/>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88,382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78,054</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157,398</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78,865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141,393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10,257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Commercial insurance</w:t>
            </w:r>
          </w:p>
        </w:tc>
        <w:tc>
          <w:tcPr>
            <w:tcW w:w="1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8"/>
                <w:szCs w:val="18"/>
                <w:color w:val="auto"/>
                <w:w w:val="99"/>
              </w:rPr>
              <w:t>Total personal care segment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176,267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156,268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341,135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316,933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w w:val="95"/>
              </w:rPr>
              <w:t>Hospice</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6"/>
          </w:tcPr>
          <w:p>
            <w:pPr>
              <w:jc w:val="center"/>
              <w:ind w:right="74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12"/>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13"/>
              <w:spacing w:after="0" w:line="155" w:lineRule="exact"/>
              <w:rPr>
                <w:sz w:val="20"/>
                <w:szCs w:val="20"/>
                <w:color w:val="auto"/>
              </w:rPr>
            </w:pPr>
            <w:r>
              <w:rPr>
                <w:rFonts w:ascii="Arial" w:cs="Arial" w:eastAsia="Arial" w:hAnsi="Arial"/>
                <w:sz w:val="14"/>
                <w:szCs w:val="14"/>
                <w:b w:val="1"/>
                <w:bCs w:val="1"/>
                <w:color w:val="auto"/>
                <w:w w:val="96"/>
              </w:rPr>
              <w:t>2021</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right"/>
              <w:ind w:right="61"/>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center"/>
              <w:ind w:left="28"/>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center"/>
              <w:ind w:left="145"/>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6"/>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2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7"/>
              </w:rPr>
              <w:t>34,452</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Borders>
              <w:top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22,753</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68,437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93.8</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45,971</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60" w:type="dxa"/>
            <w:vAlign w:val="bottom"/>
            <w:gridSpan w:val="2"/>
          </w:tcPr>
          <w:p>
            <w:pPr>
              <w:spacing w:after="0"/>
              <w:rPr>
                <w:sz w:val="20"/>
                <w:szCs w:val="20"/>
                <w:color w:val="auto"/>
              </w:rPr>
            </w:pPr>
            <w:r>
              <w:rPr>
                <w:rFonts w:ascii="Arial" w:cs="Arial" w:eastAsia="Arial" w:hAnsi="Arial"/>
                <w:sz w:val="18"/>
                <w:szCs w:val="18"/>
                <w:color w:val="auto"/>
                <w:w w:val="89"/>
              </w:rPr>
              <w:t>Total hospice segment net service</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36,909</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24,525</w:t>
            </w:r>
          </w:p>
        </w:tc>
        <w:tc>
          <w:tcPr>
            <w:tcW w:w="6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0"/>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73,003</w:t>
            </w:r>
          </w:p>
        </w:tc>
        <w:tc>
          <w:tcPr>
            <w:tcW w:w="12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gridSpan w:val="4"/>
          </w:tcPr>
          <w:p>
            <w:pPr>
              <w:jc w:val="right"/>
              <w:ind w:right="8"/>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49,737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w w:val="93"/>
              </w:rPr>
              <w:t>Home Health</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6"/>
          </w:tcPr>
          <w:p>
            <w:pPr>
              <w:jc w:val="center"/>
              <w:ind w:right="74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12"/>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13"/>
              <w:spacing w:after="0" w:line="155" w:lineRule="exact"/>
              <w:rPr>
                <w:sz w:val="20"/>
                <w:szCs w:val="20"/>
                <w:color w:val="auto"/>
              </w:rPr>
            </w:pPr>
            <w:r>
              <w:rPr>
                <w:rFonts w:ascii="Arial" w:cs="Arial" w:eastAsia="Arial" w:hAnsi="Arial"/>
                <w:sz w:val="14"/>
                <w:szCs w:val="14"/>
                <w:b w:val="1"/>
                <w:bCs w:val="1"/>
                <w:color w:val="auto"/>
                <w:w w:val="96"/>
              </w:rPr>
              <w:t>2021</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6"/>
          </w:tcPr>
          <w:p>
            <w:pPr>
              <w:jc w:val="right"/>
              <w:ind w:right="61"/>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center"/>
              <w:ind w:left="28"/>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center"/>
              <w:ind w:left="145"/>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6"/>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12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top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3,010</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80.9</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w w:val="99"/>
              </w:rPr>
              <w:t>Managed care organizations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822</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70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8"/>
                <w:szCs w:val="18"/>
                <w:color w:val="auto"/>
                <w:w w:val="91"/>
              </w:rPr>
              <w:t>Total home health segment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0"/>
                <w:szCs w:val="20"/>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4,717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3,783</w:t>
            </w:r>
          </w:p>
        </w:tc>
        <w:tc>
          <w:tcPr>
            <w:tcW w:w="6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0"/>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460" w:type="dxa"/>
            <w:vAlign w:val="bottom"/>
            <w:gridSpan w:val="4"/>
          </w:tcPr>
          <w:p>
            <w:pPr>
              <w:jc w:val="right"/>
              <w:ind w:right="8"/>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8,122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80" w:firstLine="476"/>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York and New Mexico. The percentages of segment revenue for each of these significant states for the three and six months ended June 30, 2021 and 2020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Personal Care</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For the Three Months Ended June 30,</w:t>
            </w:r>
          </w:p>
        </w:tc>
        <w:tc>
          <w:tcPr>
            <w:tcW w:w="7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3"/>
                <w:szCs w:val="13"/>
                <w:b w:val="1"/>
                <w:bCs w:val="1"/>
                <w:color w:val="auto"/>
                <w:w w:val="94"/>
              </w:rPr>
              <w:t>For the Six Months Ended June 30,</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84,788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69,052</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158,172</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140,598</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27,244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53,110</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59,082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49,077</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All other states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40,460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38,141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80,776</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74,728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w:t>
            </w: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segment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w w:val="88"/>
              </w:rPr>
              <w:t>Hospice</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7"/>
          </w:tcPr>
          <w:p>
            <w:pPr>
              <w:jc w:val="right"/>
              <w:ind w:right="12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right"/>
              <w:ind w:right="220"/>
              <w:spacing w:after="0" w:line="155" w:lineRule="exact"/>
              <w:rPr>
                <w:sz w:val="20"/>
                <w:szCs w:val="20"/>
                <w:color w:val="auto"/>
              </w:rPr>
            </w:pPr>
            <w:r>
              <w:rPr>
                <w:rFonts w:ascii="Arial" w:cs="Arial" w:eastAsia="Arial" w:hAnsi="Arial"/>
                <w:sz w:val="14"/>
                <w:szCs w:val="14"/>
                <w:b w:val="1"/>
                <w:bCs w:val="1"/>
                <w:color w:val="auto"/>
                <w:w w:val="95"/>
              </w:rPr>
              <w:t>For the Six Months Ended June 30,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320" w:type="dxa"/>
            <w:vAlign w:val="bottom"/>
          </w:tcPr>
          <w:p>
            <w:pPr>
              <w:spacing w:after="0"/>
              <w:rPr>
                <w:sz w:val="14"/>
                <w:szCs w:val="14"/>
                <w:color w:val="auto"/>
              </w:rPr>
            </w:pPr>
          </w:p>
        </w:tc>
        <w:tc>
          <w:tcPr>
            <w:tcW w:w="12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5"/>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40" w:type="dxa"/>
            <w:vAlign w:val="bottom"/>
            <w:gridSpan w:val="4"/>
          </w:tcPr>
          <w:p>
            <w:pPr>
              <w:ind w:left="60"/>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Ohio</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28,808</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11,443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17,948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22,452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13,082</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26,247</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2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8"/>
                <w:szCs w:val="18"/>
                <w:color w:val="auto"/>
                <w:w w:val="95"/>
              </w:rPr>
              <w:t>Total hospice segment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service revenues</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36,909</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24,525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73,003</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49,737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w w:val="95"/>
              </w:rPr>
              <w:t>Home Health</w:t>
            </w: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7"/>
          </w:tcPr>
          <w:p>
            <w:pPr>
              <w:jc w:val="right"/>
              <w:ind w:right="12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right"/>
              <w:ind w:right="220"/>
              <w:spacing w:after="0" w:line="155" w:lineRule="exact"/>
              <w:rPr>
                <w:sz w:val="20"/>
                <w:szCs w:val="20"/>
                <w:color w:val="auto"/>
              </w:rPr>
            </w:pPr>
            <w:r>
              <w:rPr>
                <w:rFonts w:ascii="Arial" w:cs="Arial" w:eastAsia="Arial" w:hAnsi="Arial"/>
                <w:sz w:val="14"/>
                <w:szCs w:val="14"/>
                <w:b w:val="1"/>
                <w:bCs w:val="1"/>
                <w:color w:val="auto"/>
                <w:w w:val="95"/>
              </w:rPr>
              <w:t>For the Six Months Ended June 30,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8"/>
              </w:rPr>
              <w:t>(in Thousands)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w w:val="93"/>
              </w:rPr>
              <w:t>Total home health segment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net service revenues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4,717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3,783</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87"/>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9,057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8,122</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76"/>
        <w:spacing w:after="0" w:line="293"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federal, state and local governmental agencies. We derive a significant amount of our net service revenues in Illinois, which represented 38.9%, and 37.4% of our net service revenues for the three months ended June 30, 2021, and 2020, respectively, and accounted for 37.4% and 37.5% of our net service revenues for the six months ended June 30, 2021 and 2020, respectively. The Illinois Department on Aging, the largest payor program for the Company’s Illinois personal care operations, accounted for 22.6% and 23.2% of the Company’s net service revenues for the three months ended June 30, 2021 and 2020, respectively, and accounted for 21.5% and 23.2% of the Company’s net service revenues for the six months ended June 30, 2021 and 2020, respectively.</w:t>
      </w:r>
    </w:p>
    <w:p>
      <w:pPr>
        <w:spacing w:after="0" w:line="164"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16.7% and 15.9% of the Company’s net accounts receivable at June 30, 2021 and December 31,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140" w:firstLine="476"/>
        <w:spacing w:after="0" w:line="255" w:lineRule="auto"/>
        <w:rPr>
          <w:sz w:val="20"/>
          <w:szCs w:val="20"/>
          <w:color w:val="auto"/>
        </w:rPr>
      </w:pPr>
      <w:r>
        <w:rPr>
          <w:rFonts w:ascii="Arial" w:cs="Arial" w:eastAsia="Arial" w:hAnsi="Arial"/>
          <w:sz w:val="18"/>
          <w:szCs w:val="18"/>
          <w:color w:val="auto"/>
        </w:rPr>
        <w:t>On July 30, 2021, the Company entered into the Second Amendment to its Credit Agreement. The Second Amendment, among other things, reallocated and refinanced the Company’s outstanding initial term loans as revolving loans (such that the Company has no outstanding initial term loans and no further initial term loans may be borrowed) and increased the Company’s revolving credit facility to an aggregate amount of $600,000,000. Moreover, the Second Amendment increased the Company’s incremental loan facility to an aggregate amount $125,000,000, which incremental loan facility may be for term loans or an increase to the revolving loan commitments. The maturity of the revolving credit facility was also extended from May 8, 2023 to July 30, 2026.</w:t>
      </w:r>
    </w:p>
    <w:p>
      <w:pPr>
        <w:spacing w:after="0" w:line="192" w:lineRule="exact"/>
        <w:rPr>
          <w:sz w:val="20"/>
          <w:szCs w:val="20"/>
          <w:color w:val="auto"/>
        </w:rPr>
      </w:pPr>
    </w:p>
    <w:p>
      <w:pPr>
        <w:ind w:firstLine="476"/>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(“Armada”) for approximately $29.1 million, with funding provided by the revolving credit facility. With the purchase of Armada, the Company expanded our home health and hospice services in the state of New Mexico. The Company is currently assessing the fair value of identifiable net assets acquired.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future impact to our business with respect to developments related to the COVID-19 pandemic, including, without limitation, the impact of government regulation and stimulus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other stimulus legislation, along with the related uncertainties regarding the implementation of such stimulus measures and any future stimulus measures related to COVID-19; increased expenses related to personal protective equipment (“PPE”), labor, supply chain, or other expenditures; workforce disruptions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 including economic and business conditions resulting from the COVID-19 pandemic,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computer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the acquisition of Queen City Hospice, LLC and its affiliate Miracle City Hospice, LLC (together “Queen City Hospice”); the potential impact of the discontinuation or modification of LIBOR; the effectiveness, quality and cost of our services; our ability to successfully execute our growth strategy; changes in tax rates; the impact of public health emergencies;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2020, filed with the SEC on March 1, 2021.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We are a home care services provider operating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37.2% and 38.6% of our net service revenues during the three months ended June 30, 2021 and 2020, respectively, and 37.5% and 38.8% of our net service revenues during the six months ended June 30, 2021 and 2020, respectively.</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financial results for the three and six months ended June 30, 2021 and 2020 is provided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93"/>
              </w:rPr>
              <w:t>For the Three Months Ended June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Six Months Ended June 30,</w:t>
            </w:r>
          </w:p>
        </w:tc>
      </w:tr>
      <w:tr>
        <w:trPr>
          <w:trHeight w:val="155"/>
        </w:trPr>
        <w:tc>
          <w:tcPr>
            <w:tcW w:w="57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4"/>
          </w:tcPr>
          <w:p>
            <w:pPr>
              <w:jc w:val="right"/>
              <w:ind w:right="456"/>
              <w:spacing w:after="0" w:line="155" w:lineRule="exact"/>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4"/>
          </w:tcPr>
          <w:p>
            <w:pPr>
              <w:jc w:val="right"/>
              <w:ind w:right="456"/>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20,491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15,565</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right="540" w:firstLine="476"/>
        <w:spacing w:after="0" w:line="263" w:lineRule="auto"/>
        <w:rPr>
          <w:sz w:val="20"/>
          <w:szCs w:val="20"/>
          <w:color w:val="auto"/>
        </w:rPr>
      </w:pPr>
      <w:r>
        <w:rPr>
          <w:rFonts w:ascii="Arial" w:cs="Arial" w:eastAsia="Arial" w:hAnsi="Arial"/>
          <w:sz w:val="18"/>
          <w:szCs w:val="18"/>
          <w:color w:val="auto"/>
        </w:rPr>
        <w:t>As of June 30, 2021, we provided our services in 22 states through 207 offices. For the six months ended June 30, 2021 and 2020, we served approximately 56,000 and 55,000 discrete individuals, respectively.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right="40" w:firstLine="476"/>
        <w:spacing w:after="0" w:line="289" w:lineRule="auto"/>
        <w:rPr>
          <w:sz w:val="20"/>
          <w:szCs w:val="20"/>
          <w:color w:val="auto"/>
        </w:rPr>
      </w:pPr>
      <w:r>
        <w:rPr>
          <w:rFonts w:ascii="Arial" w:cs="Arial" w:eastAsia="Arial" w:hAnsi="Arial"/>
          <w:sz w:val="16"/>
          <w:szCs w:val="16"/>
          <w:color w:val="auto"/>
        </w:rPr>
        <w:t>COVID-19, the disease caused by a novel coronavirus, continues to be widespread throughout the United States and other parts of the world. Governments and public health officials continue to recommend and mandate certain precautions to mitigate the spread of the virus. The number of cases of COVID-19 has decreased in the United States in recent months as vaccines have become more widely available, and a significant number of restrictions related to the COVID-19 pandemic in the United States have been eliminated or relaxed as the result of such decrease. In connection with the decrease in the number of COVID-19 cases and the change of restrictions in the United States, economic conditions in the United States have significantly improved during 2021. However in July 2021, due in part to the emergence of new variants of the novel coronavirus, as well as low vaccination rates and an increase in the number of COVID-19 cases in certain parts of the United States and other parts of the world, certain governments and public health officials in the United States and globally have begun to recommend the reinstitution of certain mitigation strategies, such as masking. As such, it is difficult to predict the future impact of the pandemic on economic conditions in the United States and our business at this time.</w:t>
      </w:r>
    </w:p>
    <w:p>
      <w:pPr>
        <w:spacing w:after="0" w:line="166"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For the three and six months ended June 30, 2021, COVID-19-related expenses in our personal care segment were approximately $11.4 million and 13.3 million, respectively, which were offset by $10.4 million and $11.3 million, respectively, related to the utilization of a portion of the funds received from the Provider Relief Fund in November 2020 and included in cost of service revenues on the Condensed Consolidated Statements of Income. As of June 30, 2021, the Company deferred the recognition of the remaining Provider Relief Fund of approximately $1.0 million, which will be recognized as we incur specific expenses related to the pandemic, or we anticipate will be returned, to the extent COVID-19-related expenses are not incurred, by December 31, 2021. Additionally, we recognized revenue of $3.1 million and $4.8 million attributable to temporary rate increases from certain payors in our personal care segment for the three and six months ended June 30, 2021, respectively.</w:t>
      </w:r>
    </w:p>
    <w:p>
      <w:pPr>
        <w:spacing w:after="0" w:line="177" w:lineRule="exact"/>
        <w:rPr>
          <w:sz w:val="20"/>
          <w:szCs w:val="20"/>
          <w:color w:val="auto"/>
        </w:rPr>
      </w:pPr>
    </w:p>
    <w:p>
      <w:pPr>
        <w:ind w:right="140" w:firstLine="476"/>
        <w:spacing w:after="0" w:line="263" w:lineRule="auto"/>
        <w:rPr>
          <w:sz w:val="20"/>
          <w:szCs w:val="20"/>
          <w:color w:val="auto"/>
        </w:rPr>
      </w:pPr>
      <w:r>
        <w:rPr>
          <w:rFonts w:ascii="Arial" w:cs="Arial" w:eastAsia="Arial" w:hAnsi="Arial"/>
          <w:sz w:val="18"/>
          <w:szCs w:val="18"/>
          <w:color w:val="auto"/>
        </w:rPr>
        <w:t>For the three and six months ended June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84" w:lineRule="exact"/>
        <w:rPr>
          <w:sz w:val="20"/>
          <w:szCs w:val="20"/>
          <w:color w:val="auto"/>
        </w:rPr>
      </w:pPr>
    </w:p>
    <w:p>
      <w:pPr>
        <w:ind w:right="120" w:firstLine="476"/>
        <w:spacing w:after="0" w:line="259" w:lineRule="auto"/>
        <w:rPr>
          <w:sz w:val="20"/>
          <w:szCs w:val="20"/>
          <w:color w:val="auto"/>
        </w:rPr>
      </w:pPr>
      <w:r>
        <w:rPr>
          <w:rFonts w:ascii="Arial" w:cs="Arial" w:eastAsia="Arial" w:hAnsi="Arial"/>
          <w:sz w:val="18"/>
          <w:szCs w:val="18"/>
          <w:color w:val="auto"/>
        </w:rPr>
        <w:t>As of June 30, 2021, the Company deferred the recognition of $6.4 million of payments received from payors for COVID-19 reimbursement, included within accrued expenses, which will be recognized as we incur specific expenses related to the pandemic, such as expenses related to acquiring additional PPE, or will be returned to the extent COVID-19-related expenses are not incurred. We are not able to reasonably predict the total costs we will incur related to the COVID-19 pandemic, and such costs could be substantial.</w:t>
      </w:r>
    </w:p>
    <w:p>
      <w:pPr>
        <w:spacing w:after="0" w:line="187"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Due to lower COVID-19 infection rates and the widespread availability of vaccinations, various restriction that previously limited non-essential employment opportunities in most states that we operate in have been lifted. Consequently, the competition for new caregivers has increased. The continuation of enhanced unemployment benefits also continues to impact our ability to attract new caregivers. For example, the Continued Assistance for Unemployed Workers Act, signed into law on December 27, 2020, provides up to 50 weeks of unemployment benefits plus an additional $300 per week in supplemental benefits. As these enhanced unemployment benefits begin to phase-out we continue to believe that the near term hiring challenges for new caregivers will alleviate to a certain degree. However, in the event that we return to a period of low unemployment in the United States, it may hinder our ability to attract and retain sufficient caregivers.</w:t>
      </w:r>
    </w:p>
    <w:p>
      <w:pPr>
        <w:spacing w:after="0" w:line="195"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 xml:space="preserve">Federal agencies continue to issue regulations and guidance related to the COVID-19 pandemic, and the public health situation continues to evolve, and, therefore, we cannot currently predict with certainty the extent to which our business, results of operations, financial condition or liquidity will ultimately be impacted. We will continue to assess the impact and consequences of COVID-19 and government responses to the pandemic, including the enactment and implementation of the CARES Act, the PPPHCE Act, the CAA, the ARPA and other stimulus legislation,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8"/>
          <w:szCs w:val="18"/>
          <w:i w:val="1"/>
          <w:iCs w:val="1"/>
          <w:color w:val="auto"/>
        </w:rPr>
        <w:t>The COVID-19 pandemic could</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negatively affect our operations, business and financial condition, and our liquidity could also be negatively impacted, particularly if the U.S. economy remains unstable for a significant amount of time</w:t>
      </w:r>
      <w:r>
        <w:rPr>
          <w:rFonts w:ascii="Arial" w:cs="Arial" w:eastAsia="Arial" w:hAnsi="Arial"/>
          <w:sz w:val="18"/>
          <w:szCs w:val="18"/>
          <w:color w:val="auto"/>
        </w:rPr>
        <w:t>” of our Annual Report on Form 10-K for the period ended December 31, 2020, filed with the SEC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2021.</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70"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On July 1, 2020, we completed the acquisition of A Plus for approximately $14.5 million, including the amount of excess cash held by A Plus at the closing of the acquisition (approximately $2.8 million), with funding provided by available cash. With the purchase of A Plus, we expanded our personal care services in the state of Montana.</w:t>
      </w:r>
    </w:p>
    <w:p>
      <w:pPr>
        <w:sectPr>
          <w:pgSz w:w="11900" w:h="16838" w:orient="portrait"/>
          <w:cols w:equalWidth="0" w:num="1">
            <w:col w:w="11220"/>
          </w:cols>
          <w:pgMar w:left="320" w:top="121" w:right="3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On November 1, 2020, we completed the acquisition of County Homemakers for approximately $15.8 million, including the amount of acquired excess cash held by County Homemakers at the closing of the acquisition (approximately $1.1 million), with funding provided by available cash. With the purchase of County Homemakers, we expanded our personal care services in the state of Pennsylvania.</w:t>
      </w:r>
    </w:p>
    <w:p>
      <w:pPr>
        <w:spacing w:after="0" w:line="184" w:lineRule="exact"/>
        <w:rPr>
          <w:sz w:val="20"/>
          <w:szCs w:val="20"/>
          <w:color w:val="auto"/>
        </w:rPr>
      </w:pPr>
    </w:p>
    <w:p>
      <w:pPr>
        <w:ind w:right="320" w:firstLine="477"/>
        <w:spacing w:after="0" w:line="275" w:lineRule="auto"/>
        <w:rPr>
          <w:sz w:val="20"/>
          <w:szCs w:val="20"/>
          <w:color w:val="auto"/>
        </w:rPr>
      </w:pPr>
      <w:r>
        <w:rPr>
          <w:rFonts w:ascii="Arial" w:cs="Arial" w:eastAsia="Arial" w:hAnsi="Arial"/>
          <w:sz w:val="17"/>
          <w:szCs w:val="17"/>
          <w:color w:val="auto"/>
        </w:rPr>
        <w:t>On December 4, 2020, we completed the acquisition of Queen City Hospice for approximately $194.8 million, including the amount of acquired excess cash held by Queen City Hospice at the closing of the acquisition (approximately $15.4 million). With the purchase of Queen City Hospice, we expanded our hospice services in the state of Ohio. Additionally, on December 1, 2020, we completed the acquisition of SunLife Home Care for approximately $1.7 million. With the purchase of SunLife Home Care, we expanded our personal care services in the state of Arizona. We funded these acquisitions through a combination of our revolving credit facility and available cash.</w:t>
      </w:r>
    </w:p>
    <w:p>
      <w:pPr>
        <w:spacing w:after="0" w:line="176"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(“Armada”) for approximately $29.1 million, with funding provided by our revolving credit facility. With the purchase of Armada, we increased our clinical depth and operational strength in New Mexico and enhanced our ability to provide all three levels of home care in the state.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six months ended June 30, 2021 and 2020, our revenue by payor and significant states by segment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08"/>
              <w:spacing w:after="0"/>
              <w:rPr>
                <w:sz w:val="20"/>
                <w:szCs w:val="20"/>
                <w:color w:val="auto"/>
              </w:rPr>
            </w:pPr>
            <w:r>
              <w:rPr>
                <w:rFonts w:ascii="Arial" w:cs="Arial" w:eastAsia="Arial" w:hAnsi="Arial"/>
                <w:sz w:val="14"/>
                <w:szCs w:val="14"/>
                <w:b w:val="1"/>
                <w:bCs w:val="1"/>
                <w:color w:val="auto"/>
              </w:rPr>
              <w:t>Personal Care</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right"/>
              <w:ind w:right="16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 programs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88,382</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78,054</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169,231</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157,398</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78,865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69,282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154,321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141,393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Commercial insurance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6"/>
              </w:rPr>
              <w:t>Total personal care segment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176,267</w:t>
            </w:r>
          </w:p>
        </w:tc>
        <w:tc>
          <w:tcPr>
            <w:tcW w:w="1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156,268</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341,135</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316,933</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Illinois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84,788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69,052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27,244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53,110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59,082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40,460</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38,141</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80,776</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74,728</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personal care segment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176,267</w:t>
            </w:r>
          </w:p>
        </w:tc>
        <w:tc>
          <w:tcPr>
            <w:tcW w:w="1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341,135</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576"/>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9"/>
              </w:rPr>
              <w:t>Hospice</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right"/>
              <w:ind w:right="16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3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68,437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45,971</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73,003</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49,737</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Ohio</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New Mexico</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17,948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13,082</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26,247</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73,003</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the acquisition of Queen City Hospice, the Company expanded our hospice services in the state of Ohio.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28"/>
              <w:spacing w:after="0"/>
              <w:rPr>
                <w:sz w:val="20"/>
                <w:szCs w:val="20"/>
                <w:color w:val="auto"/>
              </w:rPr>
            </w:pPr>
            <w:r>
              <w:rPr>
                <w:rFonts w:ascii="Arial" w:cs="Arial" w:eastAsia="Arial" w:hAnsi="Arial"/>
                <w:sz w:val="14"/>
                <w:szCs w:val="14"/>
                <w:b w:val="1"/>
                <w:bCs w:val="1"/>
                <w:color w:val="auto"/>
              </w:rPr>
              <w:t>Home Health</w:t>
            </w: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right"/>
              <w:ind w:right="16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vMerge w:val="restart"/>
          </w:tcPr>
          <w:p>
            <w:pPr>
              <w:spacing w:after="0"/>
              <w:rPr>
                <w:sz w:val="20"/>
                <w:szCs w:val="20"/>
                <w:color w:val="auto"/>
              </w:rPr>
            </w:pPr>
            <w:r>
              <w:rPr>
                <w:rFonts w:ascii="Arial" w:cs="Arial" w:eastAsia="Arial" w:hAnsi="Arial"/>
                <w:sz w:val="18"/>
                <w:szCs w:val="18"/>
                <w:color w:val="auto"/>
              </w:rPr>
              <w:t>Medicare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2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38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40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40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w w:val="96"/>
              </w:rPr>
              <w:t>Managed care organizations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Total home health segment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220" w:type="dxa"/>
            <w:vAlign w:val="bottom"/>
            <w:tcBorders>
              <w:bottom w:val="single" w:sz="8" w:color="CFF0FC"/>
            </w:tcBorders>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Total home health segment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We derive a significant amount of our net service revenues in Illinois, which represented 38.9% and 37.4% of our net service revenues for the three months ended June 30, 2021 and 2020, respectively, and accounted for 37.4% and 37.5% of our net service revenues for the six months ended June 30, 2021 and 2020, respectively.</w:t>
      </w:r>
    </w:p>
    <w:p>
      <w:pPr>
        <w:spacing w:after="0" w:line="184" w:lineRule="exact"/>
        <w:rPr>
          <w:sz w:val="20"/>
          <w:szCs w:val="20"/>
          <w:color w:val="auto"/>
        </w:rPr>
      </w:pPr>
    </w:p>
    <w:p>
      <w:pPr>
        <w:ind w:firstLine="476"/>
        <w:spacing w:after="0" w:line="311" w:lineRule="auto"/>
        <w:rPr>
          <w:sz w:val="20"/>
          <w:szCs w:val="20"/>
          <w:color w:val="auto"/>
        </w:rPr>
      </w:pPr>
      <w:r>
        <w:rPr>
          <w:rFonts w:ascii="Arial" w:cs="Arial" w:eastAsia="Arial" w:hAnsi="Arial"/>
          <w:sz w:val="16"/>
          <w:szCs w:val="16"/>
          <w:color w:val="auto"/>
        </w:rPr>
        <w:t>A significant amount of our net service revenues are derived from one payor client, the Illinois Department on Aging, the largest payor program for our Illinois personal care operations, which accounted for 22.6% and 23.2% of our net service revenues for the three months ended June 30, 2021 and 2020, respectively, and accounted for 21.5% and 23.2% of the Company’s net service revenues for the six months ended June 30, 2021 and 2020, respectively.</w:t>
      </w:r>
    </w:p>
    <w:p>
      <w:pPr>
        <w:spacing w:after="0" w:line="149"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w:t>
      </w:r>
    </w:p>
    <w:p>
      <w:pPr>
        <w:spacing w:after="0" w:line="170"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color w:val="auto"/>
        </w:rPr>
        <w:t>Effective January 1, 2021, the state of Illinois fiscal year 2021 budget increased in-home care rates through the Community Care Program by 7.1%, to $23.40 from $21.84. However, the rate increase was delayed and did not take effect until April 1, 2021, as a result of on-going state revenue declines due to COVID-19 and the failure of the November 2020 referendum to revise the Illinois income tax code. On June 29, 2021, the Governor announced the authorization of bonus payments to providers in an amount equivalent to the rate increase for services delivered from January 1, 2021 to March 31, 2021 for state reimbursed hours of care. The bonus payment of $3.0 million was recognized as net service revenues during the three and six months ended June 30, 2021, and is expected to be received in September 2021. On June 17, 2021, the Governor of Illinois signed the fiscal year 2022 budget, which funds an increase of in-home care rates to $24.96 effective January 1, 2022.</w:t>
      </w:r>
    </w:p>
    <w:p>
      <w:pPr>
        <w:spacing w:after="0" w:line="177" w:lineRule="exact"/>
        <w:rPr>
          <w:sz w:val="20"/>
          <w:szCs w:val="20"/>
          <w:color w:val="auto"/>
        </w:rPr>
      </w:pPr>
    </w:p>
    <w:p>
      <w:pPr>
        <w:jc w:val="both"/>
        <w:ind w:right="20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2022, but there is no assurance that additional offsetting rate increases will be adopted in Illinois for fiscal years beyond fiscal year 2022, and our financial performance will be adversely impacted for any periods in which an additional offsetting reimbursement rate increase is not in effect.</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CMS updates the HHPPS payment rates each calendar year. Effective calendar year 2021, HHPPS rates increased by 2.0%, which reflects a 2.3% market basket update, reduced by a multifactor productivity adjustment of 0.3 percentage points. CMS expects Medicare payments to home health agencies in 2021 to increase in the aggregate by 1.9% after accounting for a 0.1 percentage point decrease in payments to home health agencies due to changes in the rural add-on percentages mandated by the Bipartisan Budget Act of 2018. Home health providers that do not comply with quality data reporting requirements are subject to a 2 percentage point reduction to their market basket update.</w:t>
      </w:r>
    </w:p>
    <w:p>
      <w:pPr>
        <w:spacing w:after="0" w:line="178"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Historically, CMS paid home health providers 50% to 60% of anticipated payment at the beginning of a patient’s care episode through a request for anticipated payment (“RAP”). However, to address potential program integrity risks, CMS has phased out RAP payments. In calendar year 2021, CMS will not provide any up-front payments in response to a RAP but will continue to require home health providers to submit streamlined RAPs as notice that a beneficiary is under a home health period of care. In calendar year 2022, CMS will replace the RAP with a “Notice of Admission.”</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300" w:firstLine="477"/>
        <w:spacing w:after="0" w:line="273"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2020, CMS increased hospice payment rates by 2.4%. This reflected a 2.4% market basket increase reduced by the multifactor productivity adjustment of 0.0 percentage points. Additionally, the aggregate cap, which limits the total Medicare reimbursement that a hospice may receive based on an annual per-beneficiary cap amount and the number of Medicare patients served, was updated to $30,683.93 for federal fiscal year 2021. If a hospice’s Medicare payments exceed its aggregate cap, it must repay Medicare the excess amount.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80" w:firstLine="477"/>
        <w:spacing w:after="0" w:line="271" w:lineRule="auto"/>
        <w:rPr>
          <w:sz w:val="20"/>
          <w:szCs w:val="20"/>
          <w:color w:val="auto"/>
        </w:rPr>
      </w:pPr>
      <w:r>
        <w:rPr>
          <w:rFonts w:ascii="Arial" w:cs="Arial" w:eastAsia="Arial" w:hAnsi="Arial"/>
          <w:sz w:val="17"/>
          <w:szCs w:val="17"/>
          <w:color w:val="auto"/>
        </w:rPr>
        <w:t>On February 11, 2021, the state of New York announced its initial selection of parties to enter into contracts as a Lead Fiscal Intermediary under its previously announced Request for Offer (“RFO”) process related to its Consumer Directed Personal Assistance Program (“CDPAP”), in which the Company currently participates as a provider. The Company was not one of the selected entities in the initial RFO process. The announcement followed an extended RFO process first begun in 2019, with responses originally due in February 2020. Management believes changes are unlikely to occur during an estimated nine to 12 month transition period and does not expect a financial impact in 2021. Based on its current run rate, the Company estimates it will receive $52 million and $4 million in revenue and operating income, respectively, from the program for the year ended December 31, 2021. The Company continues to explore its options, including appeals, other arrangements under which the Company may continue to provide these services, and expense reductions to minimize any potential final impact of the RFO process.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New York fiscal year 2022 state budget included a provision to add one or two entities per county to those awarded the Lead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Intermediary, based on the scoring of the original RFO. As scoring of RFOs was not publicly released, it is unknown at this time if the Company’s score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ranked high enough to qualify for these additional awards. The Company has submitted a response to the survey issued by Department of Health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 the additional contract awards. Department of Health has published an anticipated contract start date for all awards to be on or after November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In the meantime, we continue to consider other arrangements and to pursue our protest of the award, which was filed and accepted on March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The Company has not yet received a response to the formal protest.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ind w:firstLine="476"/>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pay consumers.</w:t>
      </w:r>
    </w:p>
    <w:p>
      <w:pPr>
        <w:spacing w:after="0" w:line="149" w:lineRule="exact"/>
        <w:rPr>
          <w:sz w:val="20"/>
          <w:szCs w:val="20"/>
          <w:color w:val="auto"/>
        </w:rPr>
      </w:pPr>
    </w:p>
    <w:p>
      <w:pPr>
        <w:ind w:right="120" w:firstLine="476"/>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 Revenues</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80" w:firstLine="476"/>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476"/>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40" w:firstLine="476"/>
        <w:spacing w:after="0" w:line="279"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and six months ended June 30, 2021 and 2020, the federal statutory rate was 21.0%. The effective income tax rate was 26.7% and 23.6% for the three months ended June 30, 2021 and 2020, respectively. The effective income tax rates are 23.5% and 18.6% for the six months ended June 30, 2021 and 2020, respectively. The difference between our federal statutory and effective income tax rates is due to the inclusion of state taxes, non-deductible compensation, excess tax benefit, and the use of federal employment tax credits.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217,893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149,083</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48,175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42,450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51,762</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firstLine="476"/>
        <w:spacing w:after="0" w:line="296" w:lineRule="auto"/>
        <w:rPr>
          <w:sz w:val="20"/>
          <w:szCs w:val="20"/>
          <w:color w:val="auto"/>
        </w:rPr>
      </w:pPr>
      <w:r>
        <w:rPr>
          <w:rFonts w:ascii="Arial" w:cs="Arial" w:eastAsia="Arial" w:hAnsi="Arial"/>
          <w:sz w:val="16"/>
          <w:szCs w:val="16"/>
          <w:color w:val="auto"/>
        </w:rPr>
        <w:t>Net service revenues increased by 18.1% to $217.9 million for the three months ended June 30, 2021 compared to $184.6 million for the three months ended June 30, 2020. The increase was due to a 3.7% increase in billable hours and a 6.9% increase in revenues per billable hour for the three months ended June 30, 2021 in our personal care segment. In addition, revenue increased by $12.4 million from our hospice segment during the three months ended June 30, 2021, compared to the same period in 2020. The increase in our hospice segment revenue was primarily due to an increase in average daily census and revenue per patient day, mainly attributed to the acquisition of Queen City Hospice on December 4, 2020.</w:t>
      </w:r>
    </w:p>
    <w:p>
      <w:pPr>
        <w:spacing w:after="0" w:line="161"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Gross profit, expressed as a percentage of net service revenues, increased to 31.6% for the three months ended June 30, 2021, compared to 29.8% for the same period in 2020. The increase was mainly attributed to the full-quarter effect in 2021 of the acquisition of a relatively higher margin hospice segment business in 2020.</w:t>
      </w:r>
    </w:p>
    <w:p>
      <w:pPr>
        <w:spacing w:after="0" w:line="184" w:lineRule="exact"/>
        <w:rPr>
          <w:sz w:val="20"/>
          <w:szCs w:val="20"/>
          <w:color w:val="auto"/>
        </w:rPr>
      </w:pPr>
    </w:p>
    <w:p>
      <w:pPr>
        <w:ind w:right="40" w:firstLine="476"/>
        <w:spacing w:after="0" w:line="255" w:lineRule="auto"/>
        <w:rPr>
          <w:sz w:val="20"/>
          <w:szCs w:val="20"/>
          <w:color w:val="auto"/>
        </w:rPr>
      </w:pPr>
      <w:r>
        <w:rPr>
          <w:rFonts w:ascii="Arial" w:cs="Arial" w:eastAsia="Arial" w:hAnsi="Arial"/>
          <w:sz w:val="18"/>
          <w:szCs w:val="18"/>
          <w:color w:val="auto"/>
        </w:rPr>
        <w:t>General and administrative expenses increased to $48.2 million for the three months ended June 30, 2021, as compared to $42.5 million for the three months ended June 30, 2020. The increase in general and administrative expenses was primarily due to acquisitions that resulted in an increase in administrative employee wages, taxes and benefit costs of $3.3 million and an increase in rent expense of $0.6 million. In addition, stock-based compensation increased by $1.4 million for the three months ended June 30, 2021 compared to the three months ended June 30, 2020. General and administrative expenses, expressed as a percentage of net service revenues decreased to 22.1% for the three months ended June 30, 2021, from 23.0% for the three months ended June 30, 2020.</w:t>
      </w:r>
    </w:p>
    <w:p>
      <w:pPr>
        <w:spacing w:after="0" w:line="192" w:lineRule="exact"/>
        <w:rPr>
          <w:sz w:val="20"/>
          <w:szCs w:val="20"/>
          <w:color w:val="auto"/>
        </w:rPr>
      </w:pPr>
    </w:p>
    <w:p>
      <w:pPr>
        <w:ind w:right="60" w:firstLine="476"/>
        <w:spacing w:after="0" w:line="277" w:lineRule="auto"/>
        <w:rPr>
          <w:sz w:val="20"/>
          <w:szCs w:val="20"/>
          <w:color w:val="auto"/>
        </w:rPr>
      </w:pPr>
      <w:r>
        <w:rPr>
          <w:rFonts w:ascii="Arial" w:cs="Arial" w:eastAsia="Arial" w:hAnsi="Arial"/>
          <w:sz w:val="18"/>
          <w:szCs w:val="18"/>
          <w:color w:val="auto"/>
        </w:rPr>
        <w:t>Depreciation and amortization expense increased to $3.6 million from $2.9 million for the three months ended June 30, 2021 and 2020, respectively, primarily due to the intangible assets and property and equipment acquired in the fiscal year 2020 acquisitions.</w:t>
      </w:r>
    </w:p>
    <w:p>
      <w:pPr>
        <w:spacing w:after="0" w:line="170"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Interest expense increased to $1.3 million for the three months ended June 30, 2021 from $0.7 million for the three months ended June 30, 2020. The increase in interest expense was primarily due to higher outstanding borrowings under our credit facility for the three months ended June 30, 2021 compared to the three months ended June 30, 2020.</w:t>
      </w:r>
    </w:p>
    <w:p>
      <w:pPr>
        <w:spacing w:after="0" w:line="184" w:lineRule="exact"/>
        <w:rPr>
          <w:sz w:val="20"/>
          <w:szCs w:val="20"/>
          <w:color w:val="auto"/>
        </w:rPr>
      </w:pPr>
    </w:p>
    <w:p>
      <w:pPr>
        <w:ind w:right="20" w:firstLine="476"/>
        <w:spacing w:after="0" w:line="311"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26.7% and 23.6% for the three months ended June 30, 2021 and 2020, respectively. The difference between the federal statutory and our effective income tax rates was principally due to the inclusion of state taxes and non-deductible compensation partially offset by the use of federal employment tax credits.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17"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For the Six Months</w:t>
      </w:r>
    </w:p>
    <w:p>
      <w:pPr>
        <w:jc w:val="center"/>
        <w:ind w:left="132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48,403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263,960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93,601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100,789</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20,268</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Net service revenues increased by 12.9% to $423.2 million for the six months ended June 30, 2021 compared to $374.8 million for the six months ended June 30, 2020. The increase was due to a 0.9% increase in billable hours and a 6.7% increase in revenues per billable hour for the three months ended June 30, 2021 in our personal care segment. In addition, revenue increased by $23.3 million from our hospice segment during the six months ended June 30, 2021, compared to the same period in 2020. The increase in our hospice segment revenue was primarily due to an increase in average daily census and revenue per patient day, mainly attributed to the acquisition of Queen City Hospice on December 4, 2020.</w:t>
      </w:r>
    </w:p>
    <w:p>
      <w:pPr>
        <w:spacing w:after="0" w:line="176" w:lineRule="exact"/>
        <w:rPr>
          <w:sz w:val="20"/>
          <w:szCs w:val="20"/>
          <w:color w:val="auto"/>
        </w:rPr>
      </w:pPr>
    </w:p>
    <w:p>
      <w:pPr>
        <w:ind w:right="160" w:firstLine="476"/>
        <w:spacing w:after="0" w:line="308" w:lineRule="auto"/>
        <w:rPr>
          <w:sz w:val="20"/>
          <w:szCs w:val="20"/>
          <w:color w:val="auto"/>
        </w:rPr>
      </w:pPr>
      <w:r>
        <w:rPr>
          <w:rFonts w:ascii="Arial" w:cs="Arial" w:eastAsia="Arial" w:hAnsi="Arial"/>
          <w:sz w:val="17"/>
          <w:szCs w:val="17"/>
          <w:color w:val="auto"/>
        </w:rPr>
        <w:t>Gross profit, expressed as a percentage of net service revenues, increased to 30.7% for the six months ended June 30, 2021, compared to 29.6% for the same period in 2020. The increase was mainly attributed to the acquisition of a relatively higher margin hospice business in 2020.</w:t>
      </w:r>
    </w:p>
    <w:p>
      <w:pPr>
        <w:spacing w:after="0" w:line="146" w:lineRule="exact"/>
        <w:rPr>
          <w:sz w:val="20"/>
          <w:szCs w:val="20"/>
          <w:color w:val="auto"/>
        </w:rPr>
      </w:pPr>
    </w:p>
    <w:p>
      <w:pPr>
        <w:ind w:right="80" w:firstLine="476"/>
        <w:spacing w:after="0" w:line="255" w:lineRule="auto"/>
        <w:rPr>
          <w:sz w:val="20"/>
          <w:szCs w:val="20"/>
          <w:color w:val="auto"/>
        </w:rPr>
      </w:pPr>
      <w:r>
        <w:rPr>
          <w:rFonts w:ascii="Arial" w:cs="Arial" w:eastAsia="Arial" w:hAnsi="Arial"/>
          <w:sz w:val="18"/>
          <w:szCs w:val="18"/>
          <w:color w:val="auto"/>
        </w:rPr>
        <w:t>General and administrative expenses increased to $93.6 million for the six months ended June 30, 2021 as compared to $84.7 million for the six months ended June 30, 2020. The increase in general and administrative expenses was primarily due to acquisitions that resulted in an increase in administrative employee wages, taxes and benefit costs of $5.4 million and an increase in rent expense of $1.1 million. In addition, stock-based compensation increased by $2.2 million for the six months ended June 30, 2021 compared to the six months ended June 30, 2020. General and administrative expenses, expressed as a percentage of net service revenues decreased to 22.1% for the six months ended June 30, 2021, from 22.6% for the six months ended June 30, 2020.</w:t>
      </w:r>
    </w:p>
    <w:p>
      <w:pPr>
        <w:spacing w:after="0" w:line="192" w:lineRule="exact"/>
        <w:rPr>
          <w:sz w:val="20"/>
          <w:szCs w:val="20"/>
          <w:color w:val="auto"/>
        </w:rPr>
      </w:pPr>
    </w:p>
    <w:p>
      <w:pPr>
        <w:ind w:right="220" w:firstLine="476"/>
        <w:spacing w:after="0" w:line="277" w:lineRule="auto"/>
        <w:rPr>
          <w:sz w:val="20"/>
          <w:szCs w:val="20"/>
          <w:color w:val="auto"/>
        </w:rPr>
      </w:pPr>
      <w:r>
        <w:rPr>
          <w:rFonts w:ascii="Arial" w:cs="Arial" w:eastAsia="Arial" w:hAnsi="Arial"/>
          <w:sz w:val="18"/>
          <w:szCs w:val="18"/>
          <w:color w:val="auto"/>
        </w:rPr>
        <w:t>Depreciation and amortization expense increased to $7.2 million from $5.8 million for the six months ended June 30, 2021 and 2020, respectively, primarily due to the intangible assets and property and equipment acquired in the fiscal year 2020 acquisitions.</w:t>
      </w:r>
    </w:p>
    <w:p>
      <w:pPr>
        <w:spacing w:after="0" w:line="170"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Interest expense increased to $2.5 million from $1.6 million for the six months ended June 30, 2021, as compared to the six months ended June 30, 2020. The increase in interest expense was primarily due to higher outstanding borrowings under our credit facility for the six months ended June 30, 2021, compared to the six months ended June 30, 2020.</w:t>
      </w:r>
    </w:p>
    <w:p>
      <w:pPr>
        <w:spacing w:after="0" w:line="184"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23.5% and 18.6% for the six months ended June 30, 2021 and 2020, respectively. For the six months ended June 30, 2021, the difference between our federal statutory and effective income tax rates was principally due to the inclusion of state taxes and non-deductible compensation partially offset by the use of federal employment tax credits and excess tax benefit. For the six months ended June 30, 2020, the difference between our federal statutory and effective income tax rates was principally due to the inclusion of an excess tax benefit and the use of federal employment tax credits partially offset by state taxes and non-deductible compensation. For the six months ended June 30, 2021 and 2020, the effective tax rates were inclusive of an excess tax benefit of 3.0% and 7.5%, respectively. The excess tax benefit is a discrete item, related to the vesting of equity shares, which requires the Company to recognize the benefit fully in the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0"/>
              </w:rPr>
              <w:t>For the Three Months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88"/>
              </w:rPr>
              <w:t>For the Six Months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88"/>
              </w:rPr>
              <w:t>Ended June 30,</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88"/>
              </w:rPr>
              <w:t>Ended June 30,</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8"/>
              <w:spacing w:after="0" w:line="142" w:lineRule="exact"/>
              <w:rPr>
                <w:sz w:val="20"/>
                <w:szCs w:val="20"/>
                <w:color w:val="auto"/>
              </w:rPr>
            </w:pPr>
            <w:r>
              <w:rPr>
                <w:rFonts w:ascii="Arial" w:cs="Arial" w:eastAsia="Arial" w:hAnsi="Arial"/>
                <w:sz w:val="13"/>
                <w:szCs w:val="13"/>
                <w:b w:val="1"/>
                <w:bCs w:val="1"/>
                <w:color w:val="auto"/>
                <w:w w:val="82"/>
              </w:rPr>
              <w:t>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98"/>
              <w:spacing w:after="0" w:line="142" w:lineRule="exact"/>
              <w:rPr>
                <w:sz w:val="20"/>
                <w:szCs w:val="20"/>
                <w:color w:val="auto"/>
              </w:rPr>
            </w:pPr>
            <w:r>
              <w:rPr>
                <w:rFonts w:ascii="Arial" w:cs="Arial" w:eastAsia="Arial" w:hAnsi="Arial"/>
                <w:sz w:val="13"/>
                <w:szCs w:val="13"/>
                <w:b w:val="1"/>
                <w:bCs w:val="1"/>
                <w:color w:val="auto"/>
                <w:w w:val="82"/>
              </w:rPr>
              <w:t>2020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8"/>
              <w:spacing w:after="0" w:line="142" w:lineRule="exact"/>
              <w:rPr>
                <w:sz w:val="20"/>
                <w:szCs w:val="20"/>
                <w:color w:val="auto"/>
              </w:rPr>
            </w:pPr>
            <w:r>
              <w:rPr>
                <w:rFonts w:ascii="Arial" w:cs="Arial" w:eastAsia="Arial" w:hAnsi="Arial"/>
                <w:sz w:val="13"/>
                <w:szCs w:val="13"/>
                <w:b w:val="1"/>
                <w:bCs w:val="1"/>
                <w:color w:val="auto"/>
                <w:w w:val="82"/>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498"/>
              <w:spacing w:after="0" w:line="142" w:lineRule="exact"/>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Segment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Segment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Segment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left="5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3"/>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Personal Care Segment</w:t>
            </w:r>
          </w:p>
        </w:tc>
        <w:tc>
          <w:tcPr>
            <w:tcW w:w="8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1"/>
              </w:rPr>
              <w:t>Revenues</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Revenues</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13"/>
          </w:tcPr>
          <w:p>
            <w:pPr>
              <w:jc w:val="center"/>
              <w:ind w:left="178"/>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13"/>
          </w:tcPr>
          <w:p>
            <w:pPr>
              <w:jc w:val="center"/>
              <w:ind w:left="178"/>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20"/>
                <w:szCs w:val="20"/>
                <w:color w:val="auto"/>
              </w:rPr>
            </w:pPr>
            <w:r>
              <w:rPr>
                <w:rFonts w:ascii="Arial" w:cs="Arial" w:eastAsia="Arial" w:hAnsi="Arial"/>
                <w:sz w:val="13"/>
                <w:szCs w:val="13"/>
                <w:color w:val="auto"/>
              </w:rPr>
              <w:t>Net service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176,267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156,268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0"/>
              </w:rPr>
              <w:t>19,999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341,135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316,933</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0"/>
              </w:rPr>
              <w:t>24,202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4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127,258</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72.2</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115,822</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11,436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250,097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73.3</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234,850</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15,247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49,009</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40,446</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8,563</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91,038</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82,083</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8,955</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16,358</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14,603</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1,755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30,205</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1,436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32,651</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18.5</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25,843</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16.5</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6,808</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26.3</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59,397</w:t>
            </w:r>
          </w:p>
        </w:tc>
        <w:tc>
          <w:tcPr>
            <w:tcW w:w="20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17.4</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51,878</w:t>
            </w: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16.4</w:t>
            </w: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7,519</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14.5</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84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Numbers, Except Billable</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Hours in Thousands)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20"/>
                <w:szCs w:val="20"/>
                <w:color w:val="auto"/>
              </w:rPr>
            </w:pPr>
            <w:r>
              <w:rPr>
                <w:rFonts w:ascii="Arial" w:cs="Arial" w:eastAsia="Arial" w:hAnsi="Arial"/>
                <w:sz w:val="13"/>
                <w:szCs w:val="13"/>
                <w:color w:val="auto"/>
              </w:rPr>
              <w:t>Location at period 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164</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Average billable census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38,493</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36,197</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2,296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38,410</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37,560</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20"/>
                <w:szCs w:val="20"/>
                <w:color w:val="auto"/>
              </w:rPr>
            </w:pPr>
            <w:r>
              <w:rPr>
                <w:rFonts w:ascii="Arial" w:cs="Arial" w:eastAsia="Arial" w:hAnsi="Arial"/>
                <w:sz w:val="13"/>
                <w:szCs w:val="13"/>
                <w:color w:val="auto"/>
              </w:rPr>
              <w:t xml:space="preserve">Billable hours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7,650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7,374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15,187</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15,048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Average billable hours per census</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 xml:space="preserve">per month * </w:t>
            </w:r>
            <w:r>
              <w:rPr>
                <w:rFonts w:ascii="Arial" w:cs="Arial" w:eastAsia="Arial" w:hAnsi="Arial"/>
                <w:sz w:val="10"/>
                <w:szCs w:val="10"/>
                <w:color w:val="auto"/>
              </w:rPr>
              <w:t>(2)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line="140" w:lineRule="exact"/>
              <w:rPr>
                <w:sz w:val="20"/>
                <w:szCs w:val="20"/>
                <w:color w:val="auto"/>
              </w:rPr>
            </w:pPr>
            <w:r>
              <w:rPr>
                <w:rFonts w:ascii="Arial" w:cs="Arial" w:eastAsia="Arial" w:hAnsi="Arial"/>
                <w:sz w:val="13"/>
                <w:szCs w:val="13"/>
                <w:color w:val="auto"/>
                <w:w w:val="96"/>
              </w:rPr>
              <w:t>Billable hours per business day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117,688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113,447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w w:val="98"/>
              </w:rPr>
              <w:t>4,241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117,729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115,750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w w:val="98"/>
              </w:rPr>
              <w:t>1,979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Revenues per billable hour * </w:t>
            </w:r>
            <w:r>
              <w:rPr>
                <w:rFonts w:ascii="Arial" w:cs="Arial" w:eastAsia="Arial" w:hAnsi="Arial"/>
                <w:sz w:val="10"/>
                <w:szCs w:val="10"/>
                <w:color w:val="auto"/>
              </w:rPr>
              <w:t>(2)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22.60</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21.14</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22.42</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21.01</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20"/>
                <w:szCs w:val="20"/>
                <w:color w:val="auto"/>
              </w:rPr>
            </w:pPr>
            <w:r>
              <w:rPr>
                <w:rFonts w:ascii="Arial" w:cs="Arial" w:eastAsia="Arial" w:hAnsi="Arial"/>
                <w:sz w:val="13"/>
                <w:szCs w:val="13"/>
                <w:color w:val="auto"/>
                <w:w w:val="91"/>
              </w:rPr>
              <w:t xml:space="preserve">Same store revenue growth % * </w:t>
            </w:r>
            <w:r>
              <w:rPr>
                <w:rFonts w:ascii="Arial" w:cs="Arial" w:eastAsia="Arial" w:hAnsi="Arial"/>
                <w:sz w:val="10"/>
                <w:szCs w:val="10"/>
                <w:color w:val="auto"/>
                <w:w w:val="91"/>
              </w:rPr>
              <w: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right="300" w:hanging="472"/>
        <w:spacing w:after="0" w:line="293"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billable census is the average number of unique clients receiving a billable service during the year and is the total census divided by months in operation during the period.</w:t>
      </w:r>
    </w:p>
    <w:p>
      <w:pPr>
        <w:spacing w:after="0" w:line="36"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240" w:hanging="472"/>
        <w:spacing w:after="0" w:line="352" w:lineRule="auto"/>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ind w:left="480" w:right="20" w:hanging="472"/>
        <w:spacing w:after="0" w:line="288" w:lineRule="auto"/>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62" w:lineRule="exact"/>
        <w:rPr>
          <w:sz w:val="20"/>
          <w:szCs w:val="20"/>
          <w:color w:val="auto"/>
        </w:rPr>
      </w:pPr>
    </w:p>
    <w:p>
      <w:pPr>
        <w:ind w:right="160" w:firstLine="476"/>
        <w:spacing w:after="0" w:line="257" w:lineRule="auto"/>
        <w:rPr>
          <w:sz w:val="20"/>
          <w:szCs w:val="20"/>
          <w:color w:val="auto"/>
        </w:rPr>
      </w:pPr>
      <w:r>
        <w:rPr>
          <w:rFonts w:ascii="Arial" w:cs="Arial" w:eastAsia="Arial" w:hAnsi="Arial"/>
          <w:sz w:val="18"/>
          <w:szCs w:val="18"/>
          <w:color w:val="auto"/>
        </w:rPr>
        <w:t>We derive a significant amount of our net service revenues from operations in Illinois, which represented 38.9% and 37.4% of our net service revenues for the three months ended June 30, 2021 and 2020, respectively, and accounted for 37.4% and 37.5% of our net service revenues for the six months ended June 30, 2021 and 2020, respectively. One payor client, the Illinois Department on Aging, accounted for 22.6% and 23.2% of net service revenues for the three months ended June 30, 2021 and 2020, respectively, and accounted for 21.5% and 23.2% of net service revenues for the six months ended June 30, 2021 and 2020, respectively.</w:t>
      </w:r>
    </w:p>
    <w:p>
      <w:pPr>
        <w:spacing w:after="0" w:line="188" w:lineRule="exact"/>
        <w:rPr>
          <w:sz w:val="20"/>
          <w:szCs w:val="20"/>
          <w:color w:val="auto"/>
        </w:rPr>
      </w:pPr>
    </w:p>
    <w:p>
      <w:pPr>
        <w:ind w:right="40" w:firstLine="476"/>
        <w:spacing w:after="0" w:line="293" w:lineRule="auto"/>
        <w:rPr>
          <w:sz w:val="20"/>
          <w:szCs w:val="20"/>
          <w:color w:val="auto"/>
        </w:rPr>
      </w:pPr>
      <w:r>
        <w:rPr>
          <w:rFonts w:ascii="Arial" w:cs="Arial" w:eastAsia="Arial" w:hAnsi="Arial"/>
          <w:sz w:val="16"/>
          <w:szCs w:val="16"/>
          <w:color w:val="auto"/>
        </w:rPr>
        <w:t>Net service revenues from state, local and other governmental payors accounted for 50.2% and 50.0% of net service revenues for the three months ended June 30, 2021 and 2020, respectively. Managed care organizations accounted for 44.7% and 44.3% of net service revenues for the three months ended June 30, 2021 and 2020, respectively, with commercial insurance, private pay and other payors accounting for the remainder of net service revenues. Net service revenues from state, local and other governmental payors accounted for 49.6% and 49.7% of net service revenues for the six months ended June 30, 2021 and 2020, respectively. Managed care organizations accounted for 45.2% and 44.6% of net service revenues for the six months ended June 30, 2021 and 2020, respectively with commercial insurance, private pay and other payors accounting for the remainder of net service revenues.</w:t>
      </w:r>
    </w:p>
    <w:p>
      <w:pPr>
        <w:spacing w:after="0" w:line="164"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Net service revenues increased by 12.8% and 7.6% for the three and six months ended June 30, 2021, respectively, compared to the three and six months ended June 30, 2020. Net service revenues included a 6.9% and 6.7% increase in revenues per billable hour for the three and six months ended June 30, 2021, respectively, mainly attributed to rate increases discussed above, as compared to the three and six months ended June 30, 2020. Due to a decrease in restrictions related to COVID-19, billable hours increased by 3.7% and 0.9% for the three and six months ended June 30, 2021, respectively, compared to the three and six months ended June 30, 2020.</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Gross profit, expressed as a percentage of net service revenues, increased to 27.8% for the three months ended June 30, 2021 from 25.9% for the three months ended June 30, 2020 and from 26.7% for the six months ended June 30, 2021 to 25.9% for the six months ended June 30, 2020. This increase was primarily due to a decrease in direct payroll as a percentage of net service revenues of 1.9% for the three months ended June 30, 2021 as compared to the three months ended June 30, 2020. For the six months ended June 30, 2021, the increase was due to a decrease of direct payroll of 0.8% as a percentage of net service revenues, compared to the six months ended June 30, 2020.</w:t>
      </w:r>
    </w:p>
    <w:p>
      <w:pPr>
        <w:spacing w:after="0" w:line="176" w:lineRule="exact"/>
        <w:rPr>
          <w:sz w:val="20"/>
          <w:szCs w:val="20"/>
          <w:color w:val="auto"/>
        </w:rPr>
      </w:pPr>
    </w:p>
    <w:p>
      <w:pPr>
        <w:ind w:right="320" w:firstLine="476"/>
        <w:spacing w:after="0" w:line="277" w:lineRule="auto"/>
        <w:rPr>
          <w:sz w:val="20"/>
          <w:szCs w:val="20"/>
          <w:color w:val="auto"/>
        </w:rPr>
      </w:pPr>
      <w:r>
        <w:rPr>
          <w:rFonts w:ascii="Arial" w:cs="Arial" w:eastAsia="Arial" w:hAnsi="Arial"/>
          <w:sz w:val="18"/>
          <w:szCs w:val="18"/>
          <w:color w:val="auto"/>
        </w:rPr>
        <w:t>For the three months ended June 30, 2021 and 2020, general and administrative expenses, expressed as a percentage of net service revenues, was 9.3% and for the six months ended June 30, 2021 and 2020 was 9.3% and 9.5%,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For the Three Months Ended June 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3"/>
                <w:szCs w:val="13"/>
                <w:b w:val="1"/>
                <w:bCs w:val="1"/>
                <w:color w:val="auto"/>
                <w:w w:val="87"/>
              </w:rPr>
              <w:t>For the Six Months Ended June 30,</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2021</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92"/>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Hospice Segment</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3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80" w:type="dxa"/>
            <w:vAlign w:val="bottom"/>
          </w:tcPr>
          <w:p>
            <w:pPr>
              <w:spacing w:after="0"/>
              <w:rPr>
                <w:sz w:val="13"/>
                <w:szCs w:val="13"/>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9"/>
          </w:tcPr>
          <w:p>
            <w:pPr>
              <w:jc w:val="right"/>
              <w:spacing w:after="0" w:line="142" w:lineRule="exact"/>
              <w:rPr>
                <w:sz w:val="20"/>
                <w:szCs w:val="20"/>
                <w:color w:val="auto"/>
              </w:rPr>
            </w:pPr>
            <w:r>
              <w:rPr>
                <w:rFonts w:ascii="Arial" w:cs="Arial" w:eastAsia="Arial" w:hAnsi="Arial"/>
                <w:sz w:val="13"/>
                <w:szCs w:val="13"/>
                <w:b w:val="1"/>
                <w:bCs w:val="1"/>
                <w:color w:val="auto"/>
                <w:w w:val="93"/>
              </w:rPr>
              <w:t>(Amounts in Thousands, Except Percentages)</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12"/>
          </w:tcPr>
          <w:p>
            <w:pPr>
              <w:jc w:val="center"/>
              <w:ind w:right="42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Net service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36,909</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24,525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12,384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50.5</w:t>
            </w:r>
          </w:p>
        </w:tc>
        <w:tc>
          <w:tcPr>
            <w:tcW w:w="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73,003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49,737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23,266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46.8</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18,912</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44.5</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73.1</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37,508</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51.4</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23,242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46.7</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14,266</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gridSpan w:val="2"/>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17,997</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48.8</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13,601</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55.5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4,396</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35,495</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26,495</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53.3</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9,000</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8,673</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25.7</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17,136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12,754</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9,324</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25.3</w:t>
            </w:r>
          </w:p>
        </w:tc>
        <w:tc>
          <w:tcPr>
            <w:tcW w:w="320" w:type="dxa"/>
            <w:vAlign w:val="bottom"/>
            <w:tcBorders>
              <w:bottom w:val="single" w:sz="8" w:color="CFF0FC"/>
            </w:tcBorders>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7,304</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29.8</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27.7</w:t>
            </w: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18,359</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25.1</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13,741</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27.7</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4,618</w:t>
            </w:r>
          </w:p>
        </w:tc>
        <w:tc>
          <w:tcPr>
            <w:tcW w:w="1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33.6</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960" w:type="dxa"/>
            <w:vAlign w:val="bottom"/>
            <w:gridSpan w:val="2"/>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Numbers)</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Locations at period end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Admissions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2,252</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960" w:type="dxa"/>
            <w:vAlign w:val="bottom"/>
            <w:gridSpan w:val="2"/>
          </w:tcPr>
          <w:p>
            <w:pPr>
              <w:spacing w:after="0"/>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1,743</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2,430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1,803</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34.8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gridSpan w:val="2"/>
            <w:shd w:val="clear" w:color="auto" w:fill="CFF0FC"/>
          </w:tcPr>
          <w:p>
            <w:pPr>
              <w:spacing w:after="0" w:line="140" w:lineRule="exact"/>
              <w:rPr>
                <w:sz w:val="20"/>
                <w:szCs w:val="20"/>
                <w:color w:val="auto"/>
              </w:rPr>
            </w:pPr>
            <w:r>
              <w:rPr>
                <w:rFonts w:ascii="Arial" w:cs="Arial" w:eastAsia="Arial" w:hAnsi="Arial"/>
                <w:sz w:val="13"/>
                <w:szCs w:val="13"/>
                <w:color w:val="auto"/>
                <w:w w:val="97"/>
              </w:rPr>
              <w:t>Average discharge length of stay *</w:t>
            </w:r>
          </w:p>
        </w:tc>
        <w:tc>
          <w:tcPr>
            <w:tcW w:w="8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w w:val="99"/>
              </w:rPr>
              <w:t>(13.4)</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(5.4)</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FF0FC"/>
          </w:tcPr>
          <w:p>
            <w:pPr>
              <w:spacing w:after="0"/>
              <w:rPr>
                <w:sz w:val="20"/>
                <w:szCs w:val="20"/>
                <w:color w:val="auto"/>
              </w:rPr>
            </w:pPr>
            <w:r>
              <w:rPr>
                <w:rFonts w:ascii="Arial" w:cs="Arial" w:eastAsia="Arial" w:hAnsi="Arial"/>
                <w:sz w:val="11"/>
                <w:szCs w:val="11"/>
                <w:color w:val="auto"/>
              </w:rPr>
              <w:t>(3)</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gridSpan w:val="2"/>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 xml:space="preserve">Patient days * </w:t>
            </w: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223,901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158,644</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65,257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41.1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439,908</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328,156</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111,752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34.1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0"/>
                <w:szCs w:val="10"/>
                <w:color w:val="auto"/>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164.85</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154.59</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165.95</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w w:val="97"/>
              </w:rPr>
              <w:t xml:space="preserve">Same store revenue growth % * </w:t>
            </w:r>
            <w:r>
              <w:rPr>
                <w:rFonts w:ascii="Arial" w:cs="Arial" w:eastAsia="Arial" w:hAnsi="Arial"/>
                <w:sz w:val="10"/>
                <w:szCs w:val="10"/>
                <w:color w:val="auto"/>
                <w:w w:val="97"/>
              </w:rPr>
              <w:t>(6)</w:t>
            </w:r>
          </w:p>
        </w:tc>
        <w:tc>
          <w:tcPr>
            <w:tcW w:w="80" w:type="dxa"/>
            <w:vAlign w:val="bottom"/>
          </w:tcPr>
          <w:p>
            <w:pPr>
              <w:spacing w:after="0"/>
              <w:rPr>
                <w:sz w:val="13"/>
                <w:szCs w:val="13"/>
                <w:color w:val="auto"/>
              </w:rPr>
            </w:pPr>
          </w:p>
        </w:tc>
        <w:tc>
          <w:tcPr>
            <w:tcW w:w="620" w:type="dxa"/>
            <w:vAlign w:val="bottom"/>
            <w:gridSpan w:val="3"/>
          </w:tcPr>
          <w:p>
            <w:pPr>
              <w:jc w:val="right"/>
              <w:ind w:right="57"/>
              <w:spacing w:after="0"/>
              <w:rPr>
                <w:sz w:val="20"/>
                <w:szCs w:val="20"/>
                <w:color w:val="auto"/>
              </w:rPr>
            </w:pPr>
            <w:r>
              <w:rPr>
                <w:rFonts w:ascii="Arial" w:cs="Arial" w:eastAsia="Arial" w:hAnsi="Arial"/>
                <w:sz w:val="13"/>
                <w:szCs w:val="13"/>
                <w:color w:val="auto"/>
              </w:rPr>
              <w:t>(8.4)</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57"/>
              <w:spacing w:after="0"/>
              <w:rPr>
                <w:sz w:val="20"/>
                <w:szCs w:val="20"/>
                <w:color w:val="auto"/>
              </w:rPr>
            </w:pPr>
            <w:r>
              <w:rPr>
                <w:rFonts w:ascii="Arial" w:cs="Arial" w:eastAsia="Arial" w:hAnsi="Arial"/>
                <w:sz w:val="13"/>
                <w:szCs w:val="13"/>
                <w:color w:val="auto"/>
              </w:rPr>
              <w:t>(8.4)</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99" w:lineRule="exact"/>
        <w:rPr>
          <w:rFonts w:ascii="Arial" w:cs="Arial" w:eastAsia="Arial" w:hAnsi="Arial"/>
          <w:sz w:val="16"/>
          <w:szCs w:val="16"/>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113" w:lineRule="exact"/>
        <w:rPr>
          <w:rFonts w:ascii="Arial" w:cs="Arial" w:eastAsia="Arial" w:hAnsi="Arial"/>
          <w:sz w:val="16"/>
          <w:szCs w:val="16"/>
          <w:color w:val="auto"/>
        </w:rPr>
      </w:pPr>
    </w:p>
    <w:p>
      <w:pPr>
        <w:ind w:left="480" w:right="240" w:hanging="472"/>
        <w:spacing w:after="0" w:line="362"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ind w:left="480" w:right="40" w:hanging="472"/>
        <w:spacing w:after="0" w:line="288"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that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6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Hospice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 but with the acquisition of Queen City Hospice, the Company expanded continuous care services.</w:t>
      </w:r>
    </w:p>
    <w:p>
      <w:pPr>
        <w:spacing w:after="0" w:line="187" w:lineRule="exact"/>
        <w:rPr>
          <w:sz w:val="20"/>
          <w:szCs w:val="20"/>
          <w:color w:val="auto"/>
        </w:rPr>
      </w:pPr>
    </w:p>
    <w:p>
      <w:pPr>
        <w:ind w:right="100" w:firstLine="476"/>
        <w:spacing w:after="0" w:line="263" w:lineRule="auto"/>
        <w:rPr>
          <w:sz w:val="20"/>
          <w:szCs w:val="20"/>
          <w:color w:val="auto"/>
        </w:rPr>
      </w:pPr>
      <w:r>
        <w:rPr>
          <w:rFonts w:ascii="Arial" w:cs="Arial" w:eastAsia="Arial" w:hAnsi="Arial"/>
          <w:sz w:val="18"/>
          <w:szCs w:val="18"/>
          <w:color w:val="auto"/>
        </w:rPr>
        <w:t>Net service revenues from Medicare accounted for 93.3% and 92.8% and managed care organizations accounted for 3.8% and 4.9% for the three months ended June 30, 2021 and 2020, respectively. Net service revenues from Medicare accounted for 93.8% and 92.4% and managed care organizations accounted for 3.9% and 5.2% for the six months ended June 30, 2021 and 2020, respectively.</w:t>
      </w:r>
    </w:p>
    <w:p>
      <w:pPr>
        <w:spacing w:after="0" w:line="184" w:lineRule="exact"/>
        <w:rPr>
          <w:sz w:val="20"/>
          <w:szCs w:val="20"/>
          <w:color w:val="auto"/>
        </w:rPr>
      </w:pPr>
    </w:p>
    <w:p>
      <w:pPr>
        <w:jc w:val="both"/>
        <w:ind w:right="160" w:firstLine="476"/>
        <w:spacing w:after="0" w:line="286" w:lineRule="auto"/>
        <w:rPr>
          <w:sz w:val="20"/>
          <w:szCs w:val="20"/>
          <w:color w:val="auto"/>
        </w:rPr>
      </w:pPr>
      <w:r>
        <w:rPr>
          <w:rFonts w:ascii="Arial" w:cs="Arial" w:eastAsia="Arial" w:hAnsi="Arial"/>
          <w:sz w:val="17"/>
          <w:szCs w:val="17"/>
          <w:color w:val="auto"/>
        </w:rPr>
        <w:t>Net service revenues increased by $12.4 million and $23.3 for the three and six months ended June 30, 2021, compared to the three and six months ended June 30, 2020. For the three and six months ended June 30, 2021, net service revenues increased primarily due to increases in average daily census and revenue per patient day mainly attributed to the acquisition of Queen City Hospice on December 4, 2020.</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140" w:firstLine="476"/>
        <w:spacing w:after="0" w:line="259" w:lineRule="auto"/>
        <w:rPr>
          <w:sz w:val="20"/>
          <w:szCs w:val="20"/>
          <w:color w:val="auto"/>
        </w:rPr>
      </w:pPr>
      <w:r>
        <w:rPr>
          <w:rFonts w:ascii="Arial" w:cs="Arial" w:eastAsia="Arial" w:hAnsi="Arial"/>
          <w:sz w:val="18"/>
          <w:szCs w:val="18"/>
          <w:color w:val="auto"/>
        </w:rPr>
        <w:t>Gross profit, expressed as a percentage of net service revenues was 48.8% and 55.5% for the three months ended June 30, 2021 and 2020, respectively, and 48.6% and 53.3%, for the six months ended June 30, 2021 and 2020, respectively. For the three and six months ended June 30, 2021, the decrease as a percentage of net service revenues was mainly attributed to an increase of direct employee wages, taxes and benefit costs of 5.5% and 4.9%, respectively.</w:t>
      </w:r>
    </w:p>
    <w:p>
      <w:pPr>
        <w:spacing w:after="0" w:line="187" w:lineRule="exact"/>
        <w:rPr>
          <w:sz w:val="20"/>
          <w:szCs w:val="20"/>
          <w:color w:val="auto"/>
        </w:rPr>
      </w:pPr>
    </w:p>
    <w:p>
      <w:pPr>
        <w:ind w:right="60" w:firstLine="476"/>
        <w:spacing w:after="0" w:line="273" w:lineRule="auto"/>
        <w:rPr>
          <w:sz w:val="20"/>
          <w:szCs w:val="20"/>
          <w:color w:val="auto"/>
        </w:rPr>
      </w:pPr>
      <w:r>
        <w:rPr>
          <w:rFonts w:ascii="Arial" w:cs="Arial" w:eastAsia="Arial" w:hAnsi="Arial"/>
          <w:sz w:val="17"/>
          <w:szCs w:val="17"/>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23.5% and 25.7% for the three months ended June 30, 2021 and 2020, respectively, and 23.5% and 25.6% for the six months ended June 30, 2021 and 2020, respectively. These decreases for the three and six months ended June 30, 2021 compared to corresponding periods in 2020 are primarily due to acquisitions synergies. The increase in general and administrative expenses for the three and six months ended June 30, 2021, was primarily due to acquisitions that resulted in a $1.7 million and $3.2 million increase in administrative employee wages, taxes and benefit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9"/>
          </w:tcPr>
          <w:p>
            <w:pPr>
              <w:jc w:val="center"/>
              <w:ind w:left="417"/>
              <w:spacing w:after="0"/>
              <w:rPr>
                <w:sz w:val="20"/>
                <w:szCs w:val="20"/>
                <w:color w:val="auto"/>
              </w:rPr>
            </w:pPr>
            <w:r>
              <w:rPr>
                <w:rFonts w:ascii="Arial" w:cs="Arial" w:eastAsia="Arial" w:hAnsi="Arial"/>
                <w:sz w:val="13"/>
                <w:szCs w:val="13"/>
                <w:b w:val="1"/>
                <w:bCs w:val="1"/>
                <w:color w:val="auto"/>
                <w:w w:val="87"/>
              </w:rPr>
              <w:t>For the Three Months Ended June 30,</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3"/>
                <w:szCs w:val="13"/>
                <w:b w:val="1"/>
                <w:bCs w:val="1"/>
                <w:color w:val="auto"/>
                <w:w w:val="87"/>
              </w:rPr>
              <w:t>For the Six Months Ended June 30,</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37"/>
              <w:spacing w:after="0" w:line="142" w:lineRule="exact"/>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97"/>
              <w:spacing w:after="0" w:line="142" w:lineRule="exact"/>
              <w:rPr>
                <w:sz w:val="20"/>
                <w:szCs w:val="20"/>
                <w:color w:val="auto"/>
              </w:rPr>
            </w:pPr>
            <w:r>
              <w:rPr>
                <w:rFonts w:ascii="Arial" w:cs="Arial" w:eastAsia="Arial" w:hAnsi="Arial"/>
                <w:sz w:val="13"/>
                <w:szCs w:val="13"/>
                <w:b w:val="1"/>
                <w:bCs w:val="1"/>
                <w:color w:val="auto"/>
              </w:rPr>
              <w:t>Change</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2020</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83"/>
              </w:rPr>
              <w:t>Change</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Home Health Segment</w:t>
            </w:r>
          </w:p>
        </w:tc>
        <w:tc>
          <w:tcPr>
            <w:tcW w:w="6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80" w:type="dxa"/>
            <w:vAlign w:val="bottom"/>
            <w:gridSpan w:val="12"/>
          </w:tcPr>
          <w:p>
            <w:pPr>
              <w:jc w:val="center"/>
              <w:ind w:right="140"/>
              <w:spacing w:after="0"/>
              <w:rPr>
                <w:sz w:val="20"/>
                <w:szCs w:val="20"/>
                <w:color w:val="auto"/>
              </w:rPr>
            </w:pPr>
            <w:r>
              <w:rPr>
                <w:rFonts w:ascii="Arial" w:cs="Arial" w:eastAsia="Arial" w:hAnsi="Arial"/>
                <w:sz w:val="13"/>
                <w:szCs w:val="13"/>
                <w:b w:val="1"/>
                <w:bCs w:val="1"/>
                <w:color w:val="auto"/>
                <w:w w:val="85"/>
              </w:rPr>
              <w:t>(Amounts in Thousands, Except Percentages)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12"/>
          </w:tcPr>
          <w:p>
            <w:pPr>
              <w:jc w:val="center"/>
              <w:ind w:right="340"/>
              <w:spacing w:after="0"/>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Net service revenues</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3,783</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934</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9,057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Cost of services revenues</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2,913</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61.8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2,833</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74.9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5,583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61.6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5,868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72.2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Gross profit</w:t>
            </w: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1,804</w:t>
            </w:r>
          </w:p>
        </w:tc>
        <w:tc>
          <w:tcPr>
            <w:tcW w:w="1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38.2</w:t>
            </w: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950</w:t>
            </w:r>
          </w:p>
        </w:tc>
        <w:tc>
          <w:tcPr>
            <w:tcW w:w="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25.1</w:t>
            </w:r>
          </w:p>
        </w:tc>
        <w:tc>
          <w:tcPr>
            <w:tcW w:w="3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854</w:t>
            </w:r>
          </w:p>
        </w:tc>
        <w:tc>
          <w:tcPr>
            <w:tcW w:w="16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89.9</w:t>
            </w:r>
          </w:p>
        </w:tc>
        <w:tc>
          <w:tcPr>
            <w:tcW w:w="3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3,474</w:t>
            </w:r>
          </w:p>
        </w:tc>
        <w:tc>
          <w:tcPr>
            <w:tcW w:w="18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38.4</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2,254</w:t>
            </w: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27.8</w:t>
            </w:r>
          </w:p>
        </w:tc>
        <w:tc>
          <w:tcPr>
            <w:tcW w:w="3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1,220</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54.1</w:t>
            </w: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w w:val="95"/>
              </w:rPr>
              <w:t>General and administrative expenses</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968</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883</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23.3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85</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1,933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1,905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CFF0FC"/>
              <w:bottom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Segment operating income</w:t>
            </w: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w:t>
            </w:r>
          </w:p>
        </w:tc>
        <w:tc>
          <w:tcPr>
            <w:tcW w:w="260" w:type="dxa"/>
            <w:vAlign w:val="bottom"/>
            <w:tcBorders>
              <w:top w:val="single" w:sz="8" w:color="CFF0FC"/>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w:t>
            </w: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w:t>
            </w:r>
          </w:p>
        </w:tc>
        <w:tc>
          <w:tcPr>
            <w:tcW w:w="300" w:type="dxa"/>
            <w:vAlign w:val="bottom"/>
            <w:tcBorders>
              <w:top w:val="single" w:sz="8" w:color="CFF0FC"/>
              <w:bottom w:val="single" w:sz="8" w:color="CFF0FC"/>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1,147.8</w:t>
            </w:r>
          </w:p>
        </w:tc>
        <w:tc>
          <w:tcPr>
            <w:tcW w:w="300" w:type="dxa"/>
            <w:vAlign w:val="bottom"/>
            <w:tcBorders>
              <w:top w:val="single" w:sz="8" w:color="CFF0FC"/>
              <w:bottom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1,541</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17.0</w:t>
            </w:r>
          </w:p>
        </w:tc>
        <w:tc>
          <w:tcPr>
            <w:tcW w:w="260" w:type="dxa"/>
            <w:vAlign w:val="bottom"/>
            <w:tcBorders>
              <w:top w:val="single" w:sz="8" w:color="CFF0FC"/>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w:t>
            </w:r>
          </w:p>
        </w:tc>
        <w:tc>
          <w:tcPr>
            <w:tcW w:w="300" w:type="dxa"/>
            <w:vAlign w:val="bottom"/>
            <w:tcBorders>
              <w:top w:val="single" w:sz="8" w:color="CFF0FC"/>
              <w:bottom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1,192</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341.5</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Business Metrics (Actual Numbers)</w:t>
            </w: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Locations at period end</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 xml:space="preserve">New admissions * </w:t>
            </w: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1,186</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1,068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118</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2,354</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2,090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12.6</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0"/>
                <w:szCs w:val="10"/>
                <w:color w:val="auto"/>
              </w:rPr>
              <w:t>(2)</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689</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1,395</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1,399</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3"/>
                <w:szCs w:val="13"/>
                <w:color w:val="auto"/>
              </w:rPr>
              <w:t xml:space="preserve">Total volume * </w:t>
            </w: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1,924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1,757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167</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3,749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3,489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Visits * </w:t>
            </w:r>
            <w:r>
              <w:rPr>
                <w:rFonts w:ascii="Arial" w:cs="Arial" w:eastAsia="Arial" w:hAnsi="Arial"/>
                <w:sz w:val="10"/>
                <w:szCs w:val="10"/>
                <w:color w:val="auto"/>
              </w:rPr>
              <w:t>(4)</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31,582</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29,797</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1,785</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59,247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63,507</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7"/>
              </w:rPr>
              <w:t>(4,260)</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(6.7)</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80" w:type="dxa"/>
            <w:vAlign w:val="bottom"/>
            <w:gridSpan w:val="2"/>
          </w:tcPr>
          <w:p>
            <w:pPr>
              <w:spacing w:after="0"/>
              <w:rPr>
                <w:sz w:val="20"/>
                <w:szCs w:val="20"/>
                <w:color w:val="auto"/>
              </w:rPr>
            </w:pPr>
            <w:r>
              <w:rPr>
                <w:rFonts w:ascii="Arial" w:cs="Arial" w:eastAsia="Arial" w:hAnsi="Arial"/>
                <w:sz w:val="13"/>
                <w:szCs w:val="13"/>
                <w:color w:val="auto"/>
              </w:rPr>
              <w:t xml:space="preserve">Same store revenue growth % * </w:t>
            </w:r>
            <w:r>
              <w:rPr>
                <w:rFonts w:ascii="Arial" w:cs="Arial" w:eastAsia="Arial" w:hAnsi="Arial"/>
                <w:sz w:val="10"/>
                <w:szCs w:val="10"/>
                <w:color w:val="auto"/>
              </w:rPr>
              <w:t>(5)</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24.7</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86"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126" w:lineRule="exact"/>
        <w:rPr>
          <w:rFonts w:ascii="Arial" w:cs="Arial" w:eastAsia="Arial" w:hAnsi="Arial"/>
          <w:sz w:val="16"/>
          <w:szCs w:val="16"/>
          <w:color w:val="auto"/>
        </w:rPr>
      </w:pPr>
    </w:p>
    <w:p>
      <w:pPr>
        <w:ind w:left="480" w:right="240" w:hanging="472"/>
        <w:spacing w:after="0" w:line="369"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26" w:lineRule="exact"/>
        <w:rPr>
          <w:sz w:val="20"/>
          <w:szCs w:val="20"/>
          <w:color w:val="auto"/>
        </w:rPr>
      </w:pPr>
    </w:p>
    <w:p>
      <w:pPr>
        <w:ind w:left="480" w:right="40" w:hanging="472"/>
        <w:spacing w:after="0" w:line="288" w:lineRule="auto"/>
        <w:tabs>
          <w:tab w:leader="none" w:pos="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them provide direct correlation to the results of operations from period to period and we believe that these metrics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76" w:lineRule="exact"/>
        <w:rPr>
          <w:sz w:val="20"/>
          <w:szCs w:val="20"/>
          <w:color w:val="auto"/>
        </w:rPr>
      </w:pPr>
    </w:p>
    <w:p>
      <w:pPr>
        <w:ind w:right="460" w:firstLine="476"/>
        <w:spacing w:after="0" w:line="291" w:lineRule="auto"/>
        <w:rPr>
          <w:sz w:val="20"/>
          <w:szCs w:val="20"/>
          <w:color w:val="auto"/>
        </w:rPr>
      </w:pPr>
      <w:r>
        <w:rPr>
          <w:rFonts w:ascii="Arial" w:cs="Arial" w:eastAsia="Arial" w:hAnsi="Arial"/>
          <w:sz w:val="16"/>
          <w:szCs w:val="16"/>
          <w:color w:val="auto"/>
        </w:rPr>
        <w:t>Home health generates net service revenues by providing home health services on a short-term, intermittent or episodic basis to individuals, generally to treat an illness or injury. Net service revenues from Medicare accounted for 81.1% and 79.6%, managed care organizations accounted for</w:t>
      </w:r>
    </w:p>
    <w:p>
      <w:pPr>
        <w:ind w:right="80"/>
        <w:spacing w:after="0" w:line="268" w:lineRule="auto"/>
        <w:rPr>
          <w:sz w:val="20"/>
          <w:szCs w:val="20"/>
          <w:color w:val="auto"/>
        </w:rPr>
      </w:pPr>
      <w:r>
        <w:rPr>
          <w:rFonts w:ascii="Arial" w:cs="Arial" w:eastAsia="Arial" w:hAnsi="Arial"/>
          <w:sz w:val="17"/>
          <w:szCs w:val="17"/>
          <w:color w:val="auto"/>
        </w:rPr>
        <w:t>17.4% and 18.2% and other accounted for 1.5% and 2.2% for the three months ended June 30, 2021 and 2020, respectively. Net service revenues from Medicare accounted for 80.9% and 79.8%, managed care organizations accounted for 17.9% and 18.4% and other accounted for 1.2% and 1.8% for the six months ended June 30, 2021 and 2020, respectively. Home health services provided to Medicare beneficiaries are paid under the Medicare Home Health Prospective Payment System (“HHPPS”). Effective January 1, 2020, CMS began using a 30-day episode of care for home health payments and implemented the Patient-Driven Groupings Model (“PDGM”) as part of the shift toward value-based care. The PDGM classifies patients based on clinical characteristics and other patient information into payment categories and eliminates the use of therapy service thresholds for determination of payments. Also effective January 1, 2020, CMS finalized a policy allowing therapy assistants to provide maintenance therapy services in the home and modified certain requirements relating to the home health plan of care.</w:t>
      </w:r>
    </w:p>
    <w:p>
      <w:pPr>
        <w:spacing w:after="0" w:line="183" w:lineRule="exact"/>
        <w:rPr>
          <w:sz w:val="20"/>
          <w:szCs w:val="20"/>
          <w:color w:val="auto"/>
        </w:rPr>
      </w:pPr>
    </w:p>
    <w:p>
      <w:pPr>
        <w:ind w:right="20" w:firstLine="476"/>
        <w:spacing w:after="0" w:line="277" w:lineRule="auto"/>
        <w:rPr>
          <w:sz w:val="20"/>
          <w:szCs w:val="20"/>
          <w:color w:val="auto"/>
        </w:rPr>
      </w:pPr>
      <w:r>
        <w:rPr>
          <w:rFonts w:ascii="Arial" w:cs="Arial" w:eastAsia="Arial" w:hAnsi="Arial"/>
          <w:sz w:val="18"/>
          <w:szCs w:val="18"/>
          <w:color w:val="auto"/>
        </w:rPr>
        <w:t>Net service revenues increased by $0.9 million for each of the three and six months ended June 30, 2021 compared to the three and six months ended June 30, 2020. Total visits increased for the three months ended June 30, 2021, as COVID-19 restrictions ease.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Gross profit, expressed as a percentage of net service revenues was 38.2% and 25.1% for the three months ended June 30, 2021 and 2020, respectively, and 38.4% and 27.8%, for the six months ended June 30, 2021 and 2020, respectively. For the three and six months ended June 30, 2021, the increase was due to a decrease of direct employee wages, taxes and benefit costs of 11.1% and 9.0%, respectively, as a percentage of net service revenues. Cost of service for the six months ended June 30, 2021 decreased compared to the corresponding period in 2020, due to a decrease in visits in connection with PDGM case mix.</w:t>
      </w:r>
    </w:p>
    <w:p>
      <w:pPr>
        <w:spacing w:after="0" w:line="188" w:lineRule="exact"/>
        <w:rPr>
          <w:sz w:val="20"/>
          <w:szCs w:val="20"/>
          <w:color w:val="auto"/>
        </w:rPr>
      </w:pPr>
    </w:p>
    <w:p>
      <w:pPr>
        <w:jc w:val="both"/>
        <w:ind w:right="20" w:firstLine="476"/>
        <w:spacing w:after="0" w:line="311" w:lineRule="auto"/>
        <w:rPr>
          <w:sz w:val="20"/>
          <w:szCs w:val="20"/>
          <w:color w:val="auto"/>
        </w:rPr>
      </w:pPr>
      <w:r>
        <w:rPr>
          <w:rFonts w:ascii="Arial" w:cs="Arial" w:eastAsia="Arial" w:hAnsi="Arial"/>
          <w:sz w:val="16"/>
          <w:szCs w:val="16"/>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20.5% and 23.3% for the three months ended June 30, 2021 and 2020, respectively, and 21.3% and 23.5% for the six months ended June 30, 2021 and 2020,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color w:val="auto"/>
        </w:rPr>
        <w:t>Our primary sources of liquidity are cash on hand and cash from operations. At June 30, 2021 and December 31, 2020, we had cash balances of $139.4 million and $145.1 million, respectively.</w:t>
      </w:r>
    </w:p>
    <w:p>
      <w:pPr>
        <w:spacing w:after="0" w:line="170" w:lineRule="exact"/>
        <w:rPr>
          <w:sz w:val="20"/>
          <w:szCs w:val="20"/>
          <w:color w:val="auto"/>
        </w:rPr>
      </w:pPr>
    </w:p>
    <w:p>
      <w:pPr>
        <w:ind w:right="160" w:firstLine="477"/>
        <w:spacing w:after="0" w:line="270" w:lineRule="auto"/>
        <w:rPr>
          <w:sz w:val="20"/>
          <w:szCs w:val="20"/>
          <w:color w:val="auto"/>
        </w:rPr>
      </w:pPr>
      <w:r>
        <w:rPr>
          <w:rFonts w:ascii="Arial" w:cs="Arial" w:eastAsia="Arial" w:hAnsi="Arial"/>
          <w:sz w:val="17"/>
          <w:szCs w:val="17"/>
          <w:color w:val="auto"/>
        </w:rPr>
        <w:t>Cash flows from operating activities represent the inflow of cash from our payor clients and the outflow of cash for payroll and payroll taxes, operating expenses, interest and taxes. The open receivable balance from the Illinois Department on Aging, the largest payor program for the Company’s Illinois personal care operation, increased by $1.7 million from $21.2 million as of December 31, 2020 to $22.9 million as of June 30, 2021. The state of Illinois fiscal year 2021 budget included an appropriation to raise in-home care rates to offset previous minimum wage increases by the City of Chicago. However the rate increase was delayed and did not take effect until April 1, 2021, as a result of on-going state revenue declines due to COVID-19 and the failure of the November 2020 referendum to revise the Illinois income tax code. On June 29, 2021, the Governor announced the authorization of bonus payments to providers in an amount equivalent to the rate increase for services delivered from January 1, 2021 to March 31, 2021 for state reimbursed hours of care. The bonus payment of $3.0 million was recognized as net service revenues during the three and six months ended June 30, 2021, and is expected to be received in September 2021.</w:t>
      </w:r>
    </w:p>
    <w:p>
      <w:pPr>
        <w:spacing w:after="0" w:line="208" w:lineRule="exact"/>
        <w:rPr>
          <w:sz w:val="20"/>
          <w:szCs w:val="20"/>
          <w:color w:val="auto"/>
        </w:rPr>
      </w:pPr>
    </w:p>
    <w:p>
      <w:pPr>
        <w:ind w:right="160" w:firstLine="476"/>
        <w:spacing w:after="0" w:line="275" w:lineRule="auto"/>
        <w:rPr>
          <w:sz w:val="20"/>
          <w:szCs w:val="20"/>
          <w:color w:val="auto"/>
        </w:rPr>
      </w:pPr>
      <w:r>
        <w:rPr>
          <w:rFonts w:ascii="Arial" w:cs="Arial" w:eastAsia="Arial" w:hAnsi="Arial"/>
          <w:sz w:val="17"/>
          <w:szCs w:val="17"/>
          <w:color w:val="auto"/>
        </w:rPr>
        <w:t>During the three and six months ended June 30, 2021, we did not draw on the term loan. As of June 30, 2021, we had a total of $178.5 million in revolving loans, with an interest rate of 2.08% and $17.6 million of term loans, with an interest rate of 2.09%. After giving effect to the amount drawn on our credit facility, approximately $8.7 million of outstanding letters of credit and borrowing limits based on an advance multiple of adjusted EBITDA, we had $112.8 million available for borrowing under our revolving credit loan facility. At December 31, 2020, we had a total of $178.5 million revolving credit loans, with an interest rate of 1.90%, and $18.1 million term loans, with an interest rate of 1.90%.</w:t>
      </w:r>
    </w:p>
    <w:p>
      <w:pPr>
        <w:spacing w:after="0" w:line="176" w:lineRule="exact"/>
        <w:rPr>
          <w:sz w:val="20"/>
          <w:szCs w:val="20"/>
          <w:color w:val="auto"/>
        </w:rPr>
      </w:pPr>
    </w:p>
    <w:p>
      <w:pPr>
        <w:ind w:right="200" w:firstLine="477"/>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June 30, 2021,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economic slowdown caused by the COVID-19 pandemic continues to pose risks to states’ budgets for the 2021 fiscal year, which began July 1 in most states. Depending on the severity and length of a downturn, sales tax collections and income tax withholdings could continue to be depressed in fiscal 2022 and, potentially, future fiscal years. States could face significant fiscal challenges and may revise their revenue forecasts and adjust their budgets for fiscal 2022 and, potentially, future fiscal years, accordingly. Illinois, New York and New Mexico, our top three markets, have revised revenue estimates downward for the 2021 fiscal year. New York, which started its fiscal year April 1, 2021, recently estimated that the state would collect at least $5 billion more than originally forecasted, due to better than expected receipts through January 2021. The New York state comptroller initially decreased its estimate for 2021 fiscal year collections by $10 billion. Although receipts are higher than this estimate, revenues are still significantly below pre-COVID estimates. The current New York fiscal plan authorizes the state of New York to issue up to $11 billion in short-term bonds to ameliorate reduced revenues during the fiscal year. Also in response to reduced revenues, the state implemented uniform reductions to Medicaid payments. Effective for dates of service on or after April 2, 2020, the uniform reduction rate is 1.5%. The reduction applies to home health services but hospice services are exempt. We cannot determine the impact that COVID-19 may have on states’ budgets for 2022 or beyond. However, such impacts could have a material adverse effect on our financial condition, results of operations and cash flows.</w:t>
      </w:r>
    </w:p>
    <w:p>
      <w:pPr>
        <w:spacing w:after="0" w:line="179" w:lineRule="exact"/>
        <w:rPr>
          <w:sz w:val="20"/>
          <w:szCs w:val="20"/>
          <w:color w:val="auto"/>
        </w:rPr>
      </w:pPr>
    </w:p>
    <w:p>
      <w:pPr>
        <w:ind w:right="60" w:firstLine="477"/>
        <w:spacing w:after="0" w:line="273"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expires October 18, 2021, but HHS has indicated it will likely extend through 2021 and that HHS will provide states with 60 days’ notice prior to termination of the declaration.</w:t>
      </w:r>
    </w:p>
    <w:p>
      <w:pPr>
        <w:spacing w:after="0" w:line="170" w:lineRule="exact"/>
        <w:rPr>
          <w:sz w:val="20"/>
          <w:szCs w:val="20"/>
          <w:color w:val="auto"/>
        </w:rPr>
      </w:pPr>
    </w:p>
    <w:p>
      <w:pPr>
        <w:ind w:right="60" w:firstLine="477"/>
        <w:spacing w:after="0" w:line="301" w:lineRule="auto"/>
        <w:rPr>
          <w:sz w:val="20"/>
          <w:szCs w:val="20"/>
          <w:color w:val="auto"/>
        </w:rPr>
      </w:pPr>
      <w:r>
        <w:rPr>
          <w:rFonts w:ascii="Arial" w:cs="Arial" w:eastAsia="Arial" w:hAnsi="Arial"/>
          <w:sz w:val="16"/>
          <w:szCs w:val="16"/>
          <w:color w:val="auto"/>
        </w:rPr>
        <w:t>The American Rescue Plan Act of 2021, which became law on March 11, 2021, provides for $350 billion in relief funding for eligible state, local, territorial, and Tribal governments to mitigate the fiscal effects of the COVID-19 public health emergency. Additionally, the law provides for a 10 percentage point increase in federal matching funds for Medicaid home and community based services from April 1, 2021, through March 30, 2022, provided the state satisfies certain conditions. These and other federal stimulus measures may help to ease state-level budget constraints due to COVID-19.</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Stimulus Advances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One of the primary sources of relief for healthcare providers is the Provider Relief Fund, which was established by the CARES Act, which was expanded by the PPPHCE Act and the CAA.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88" w:lineRule="exact"/>
        <w:rPr>
          <w:sz w:val="20"/>
          <w:szCs w:val="20"/>
          <w:color w:val="auto"/>
        </w:rPr>
      </w:pPr>
    </w:p>
    <w:p>
      <w:pPr>
        <w:ind w:firstLine="477"/>
        <w:spacing w:after="0" w:line="289" w:lineRule="auto"/>
        <w:rPr>
          <w:sz w:val="20"/>
          <w:szCs w:val="20"/>
          <w:color w:val="auto"/>
        </w:rPr>
      </w:pPr>
      <w:r>
        <w:rPr>
          <w:rFonts w:ascii="Arial" w:cs="Arial" w:eastAsia="Arial" w:hAnsi="Arial"/>
          <w:sz w:val="16"/>
          <w:szCs w:val="16"/>
          <w:color w:val="auto"/>
        </w:rPr>
        <w:t>In November 2020, the Company received grants in an aggregate principal amount of $13.7 million from the Provider Relief Fund, for which we had previously applied. The Company utilized $10.4 million and $11.3 million of these funds for the three and six months ended June 30, 2021, respectively, for healthcare related expenses, including retention payments, attributable to COVID-19 that were unreimbursed by other sources. In accordance with the current guidance issued by HHS, the Company expects to utilize additional funds through December 31, 2021, at which point we anticipate any unused funds will be returned. We are required to properly and fully document the use of such funds in reports to HHS, which must be submitted no later than March 31, 2022. The Company’s ability to utilize and retain some or all of such funds will depend on the terms and conditions of the funds received. Queen City Hospice administered retention payments totaling $1.9 million to caregivers for the three and six months ended June 30, 2021, which we believed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CMS recoupment and before any interest accrual.</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CARES Act also provides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the fourth quarter of 2021.</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CARES Act and related legislation also include other provisions offering financial relief, for example temporarily lifting the Medicare sequester, which would have otherwise reduced payments to Medicare providers by 2% as required by the Budget Control Act of 2011, from May 1, 2020, through December 31, 2021 (but also extending sequestration through 2030). This Medicare sequester relief resulted in an increase of $0.1 million and $0.2 million to home health net service revenues, and $0.7 million and $1.4 million to hospice net service revenues for the three and six months ended June 30, 2021, respectively. For the three months ended June 30, 2020, the Medicare sequester relief resulted in an increase of $0.3 million and $0.1 million, respectively, to hospice and home health net service revenues. However, the ARPA increases the federal budget deficit in a manner that triggers an additional statutorily mandated sequestration under the PAYGO Act. As a result, absent congressional action, Medicare spending will be reduced by up to 4% in fiscal year 2022, in addition to the existing sequestration requirements of the Budget Control Act of 2011. We cannot currently determine if, or to what extent, our business, results of operations, financial condition or liquidity will ultimately be impacted by mandated sequestration triggers under the PAYGO Act, or if the mandated sequestration will occur.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We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our existing senior secured credit facility totaling $250.0 million. As used throughout this Annual Report on Form 10-K, “credit facility” shall mean the credit facility evidenced by the Credit Agreement.</w:t>
      </w:r>
    </w:p>
    <w:p>
      <w:pPr>
        <w:spacing w:after="0" w:line="176" w:lineRule="exact"/>
        <w:rPr>
          <w:sz w:val="20"/>
          <w:szCs w:val="20"/>
          <w:color w:val="auto"/>
        </w:rPr>
      </w:pPr>
    </w:p>
    <w:p>
      <w:pPr>
        <w:ind w:right="100" w:firstLine="477"/>
        <w:spacing w:after="0" w:line="269" w:lineRule="auto"/>
        <w:rPr>
          <w:sz w:val="20"/>
          <w:szCs w:val="20"/>
          <w:color w:val="auto"/>
        </w:rPr>
      </w:pPr>
      <w:r>
        <w:rPr>
          <w:rFonts w:ascii="Arial" w:cs="Arial" w:eastAsia="Arial" w:hAnsi="Arial"/>
          <w:sz w:val="17"/>
          <w:szCs w:val="17"/>
          <w:color w:val="auto"/>
        </w:rPr>
        <w:t>The maturity of this credit facility is May 8, 2023. Interest on this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w:t>
      </w:r>
    </w:p>
    <w:p>
      <w:pPr>
        <w:spacing w:after="0" w:line="185" w:lineRule="exact"/>
        <w:rPr>
          <w:sz w:val="20"/>
          <w:szCs w:val="20"/>
          <w:color w:val="auto"/>
        </w:rPr>
      </w:pPr>
    </w:p>
    <w:p>
      <w:pPr>
        <w:ind w:firstLine="477"/>
        <w:spacing w:after="0" w:line="262"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 We pay a fee ranging from 0.20% to 0.35% based on the applicable senior net leverage ratio times the unused portion of the revolving loan portion of the credit facility.</w:t>
      </w:r>
    </w:p>
    <w:p>
      <w:pPr>
        <w:spacing w:after="0" w:line="183"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66" w:lineRule="exact"/>
        <w:rPr>
          <w:sz w:val="20"/>
          <w:szCs w:val="20"/>
          <w:color w:val="auto"/>
        </w:rPr>
      </w:pPr>
    </w:p>
    <w:p>
      <w:pPr>
        <w:ind w:right="360" w:firstLine="477"/>
        <w:spacing w:after="0" w:line="279" w:lineRule="auto"/>
        <w:rPr>
          <w:sz w:val="20"/>
          <w:szCs w:val="20"/>
          <w:color w:val="auto"/>
        </w:rPr>
      </w:pPr>
      <w:r>
        <w:rPr>
          <w:rFonts w:ascii="Arial" w:cs="Arial" w:eastAsia="Arial" w:hAnsi="Arial"/>
          <w:sz w:val="17"/>
          <w:szCs w:val="17"/>
          <w:color w:val="auto"/>
        </w:rPr>
        <w:t>On September 12, 2019, we entered into a First Amendment (the “Amendment”) to our Credit Agreement. The Amendment increased our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such $50.0 million incremental revolving loan may be used for, among other things, general corporate purposes.</w:t>
      </w:r>
    </w:p>
    <w:p>
      <w:pPr>
        <w:spacing w:after="0" w:line="117" w:lineRule="exact"/>
        <w:rPr>
          <w:sz w:val="20"/>
          <w:szCs w:val="20"/>
          <w:color w:val="auto"/>
        </w:rPr>
      </w:pPr>
    </w:p>
    <w:p>
      <w:pPr>
        <w:ind w:right="160" w:firstLine="476"/>
        <w:spacing w:after="0" w:line="296" w:lineRule="auto"/>
        <w:rPr>
          <w:sz w:val="20"/>
          <w:szCs w:val="20"/>
          <w:color w:val="auto"/>
        </w:rPr>
      </w:pPr>
      <w:r>
        <w:rPr>
          <w:rFonts w:ascii="Arial" w:cs="Arial" w:eastAsia="Arial" w:hAnsi="Arial"/>
          <w:sz w:val="16"/>
          <w:szCs w:val="16"/>
          <w:color w:val="auto"/>
        </w:rPr>
        <w:t>On July 30, 2021, the Company entered into the Second Amendment. The Second Amendment, among other things, reallocated and refinanced the Company’s outstanding initial term loans as revolving loans (such that the Company has no outstanding initial term loans and no further initial term loans may be borrowed) and increased the Company’s revolving credit facility to an aggregate amount of $600,000,000. Moreover, the Second Amendment increased the Company’s incremental loan facility to an aggregate amount $125,000,000, which incremental loan facility may be for term loans or an increase to the revolving loan commitments. The maturity of the revolving credit facility was also extended from May 8, 2023 to July 30, 2026.</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 June 30, 2021, we were in compliance with our financial covenants under the Credit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six months ended June 30,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210"/>
        </w:trPr>
        <w:tc>
          <w:tcPr>
            <w:tcW w:w="77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2840" w:type="dxa"/>
            <w:vAlign w:val="bottom"/>
            <w:gridSpan w:val="3"/>
          </w:tcPr>
          <w:p>
            <w:pPr>
              <w:jc w:val="center"/>
              <w:ind w:left="477"/>
              <w:spacing w:after="0"/>
              <w:rPr>
                <w:sz w:val="20"/>
                <w:szCs w:val="20"/>
                <w:color w:val="auto"/>
              </w:rPr>
            </w:pPr>
            <w:r>
              <w:rPr>
                <w:rFonts w:ascii="Arial" w:cs="Arial" w:eastAsia="Arial" w:hAnsi="Arial"/>
                <w:sz w:val="16"/>
                <w:szCs w:val="16"/>
                <w:b w:val="1"/>
                <w:bCs w:val="1"/>
                <w:color w:val="auto"/>
                <w:w w:val="91"/>
              </w:rPr>
              <w:t>(Amounts 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02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(3,321)</w:t>
            </w:r>
          </w:p>
        </w:tc>
        <w:tc>
          <w:tcPr>
            <w:tcW w:w="110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50,887</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(1,928)</w:t>
            </w:r>
          </w:p>
        </w:tc>
        <w:tc>
          <w:tcPr>
            <w:tcW w:w="1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(4,965)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w:t>
            </w: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17" w:lineRule="exact"/>
        <w:rPr>
          <w:sz w:val="20"/>
          <w:szCs w:val="20"/>
          <w:color w:val="auto"/>
        </w:rPr>
      </w:pPr>
    </w:p>
    <w:p>
      <w:pPr>
        <w:ind w:right="80" w:firstLine="476"/>
        <w:spacing w:after="0" w:line="286" w:lineRule="auto"/>
        <w:rPr>
          <w:sz w:val="20"/>
          <w:szCs w:val="20"/>
          <w:color w:val="auto"/>
        </w:rPr>
      </w:pPr>
      <w:r>
        <w:rPr>
          <w:rFonts w:ascii="Arial" w:cs="Arial" w:eastAsia="Arial" w:hAnsi="Arial"/>
          <w:sz w:val="17"/>
          <w:szCs w:val="17"/>
          <w:color w:val="auto"/>
        </w:rPr>
        <w:t>Net cash used in operating activities was $3.3 million for the six months ended June 30, 2021, compared to net cash provided by operating activities of $50.9 million for the same period in 2020. The decrease in cash provided by operations was due to the timing of accounts receivable, of $29.5 million, and the repayment and the use of $24.0 million of government stimulus funds for the six months ended June 30, 2021.</w:t>
      </w:r>
    </w:p>
    <w:p>
      <w:pPr>
        <w:spacing w:after="0" w:line="111" w:lineRule="exact"/>
        <w:rPr>
          <w:sz w:val="20"/>
          <w:szCs w:val="20"/>
          <w:color w:val="auto"/>
        </w:rPr>
      </w:pPr>
    </w:p>
    <w:p>
      <w:pPr>
        <w:jc w:val="both"/>
        <w:ind w:right="600" w:firstLine="476"/>
        <w:spacing w:after="0" w:line="263" w:lineRule="auto"/>
        <w:rPr>
          <w:sz w:val="20"/>
          <w:szCs w:val="20"/>
          <w:color w:val="auto"/>
        </w:rPr>
      </w:pPr>
      <w:r>
        <w:rPr>
          <w:rFonts w:ascii="Arial" w:cs="Arial" w:eastAsia="Arial" w:hAnsi="Arial"/>
          <w:sz w:val="18"/>
          <w:szCs w:val="18"/>
          <w:color w:val="auto"/>
        </w:rPr>
        <w:t>Net cash used in investing activities was $1.9 million for the six months ended June 30, 2021 compared to cash used in investing activities of $5.0 million for the six months ended June 30, 2020, which mainly consisted of property and equipment purchases primarily related to our ongoing investments in our technology infrastructure.</w:t>
      </w:r>
    </w:p>
    <w:p>
      <w:pPr>
        <w:spacing w:after="0" w:line="184" w:lineRule="exact"/>
        <w:rPr>
          <w:sz w:val="20"/>
          <w:szCs w:val="20"/>
          <w:color w:val="auto"/>
        </w:rPr>
      </w:pPr>
    </w:p>
    <w:p>
      <w:pPr>
        <w:ind w:right="380" w:firstLine="476"/>
        <w:spacing w:after="0" w:line="308" w:lineRule="auto"/>
        <w:rPr>
          <w:sz w:val="20"/>
          <w:szCs w:val="20"/>
          <w:color w:val="auto"/>
        </w:rPr>
      </w:pPr>
      <w:r>
        <w:rPr>
          <w:rFonts w:ascii="Arial" w:cs="Arial" w:eastAsia="Arial" w:hAnsi="Arial"/>
          <w:sz w:val="17"/>
          <w:szCs w:val="17"/>
          <w:color w:val="auto"/>
        </w:rPr>
        <w:t>Net cash used by financing activities related to cash payments on term loan of $0.5 and $0.3 million for the six months ended June 30, 2021 and 2020. For the six months ended June 30, 2020, the Company received cash from the exercise of stock options of $1.2 million.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Outstanding Accounts Receivable</w:t>
      </w:r>
    </w:p>
    <w:p>
      <w:pPr>
        <w:spacing w:after="0" w:line="117" w:lineRule="exact"/>
        <w:rPr>
          <w:sz w:val="20"/>
          <w:szCs w:val="20"/>
          <w:color w:val="auto"/>
        </w:rPr>
      </w:pPr>
    </w:p>
    <w:p>
      <w:pPr>
        <w:ind w:right="80" w:firstLine="476"/>
        <w:spacing w:after="0" w:line="257" w:lineRule="auto"/>
        <w:rPr>
          <w:sz w:val="20"/>
          <w:szCs w:val="20"/>
          <w:color w:val="auto"/>
        </w:rPr>
      </w:pPr>
      <w:r>
        <w:rPr>
          <w:rFonts w:ascii="Arial" w:cs="Arial" w:eastAsia="Arial" w:hAnsi="Arial"/>
          <w:sz w:val="18"/>
          <w:szCs w:val="18"/>
          <w:color w:val="auto"/>
        </w:rPr>
        <w:t>Gross accounts receivable as of June 30, 2021 and December 31, 2020 were approximately $139.6 million and $133.4 million, respectively. Outstanding accounts receivable, net of allowance, increased by $5.6 million as of June 30, 2021 as compared to December 31, 2020. Accounts receivable for the Illinois Department on Aging increased approximately $1.7 million during the quarter ended June 30, 2021.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8" w:lineRule="exact"/>
        <w:rPr>
          <w:sz w:val="20"/>
          <w:szCs w:val="20"/>
          <w:color w:val="auto"/>
        </w:rPr>
      </w:pPr>
    </w:p>
    <w:p>
      <w:pPr>
        <w:ind w:right="120" w:firstLine="476"/>
        <w:spacing w:after="0" w:line="275" w:lineRule="auto"/>
        <w:rPr>
          <w:sz w:val="20"/>
          <w:szCs w:val="20"/>
          <w:color w:val="auto"/>
        </w:rPr>
      </w:pPr>
      <w:r>
        <w:rPr>
          <w:rFonts w:ascii="Arial" w:cs="Arial" w:eastAsia="Arial" w:hAnsi="Arial"/>
          <w:sz w:val="17"/>
          <w:szCs w:val="17"/>
          <w:color w:val="auto"/>
        </w:rPr>
        <w:t>We calculate our DSO by taking the trade accounts receivable outstanding, net of allowance for doubtful accounts, divided by the net service revenues for the last quarter, multiplied by the number of days in that quarter. Our DSOs were 57 days and 61 days at June 30, 2021 and December 31, 2020, respectively. The DSOs for our largest payor, the Illinois Department on Aging, at June 30, 2021 and December 31, 2020 were 43 days and 46 days, respectively. We may not receive payments on a consistent basis in the near term and our DSOs and the DSO for the Illinois Department on Aging may increase despite the state of Illinois’s enactment of state budgets for fiscal years 2021 and 2022.</w:t>
      </w:r>
    </w:p>
    <w:p>
      <w:pPr>
        <w:spacing w:after="0" w:line="176"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economic slowdown caused by the COVID-19 pandemic continues to pose a risk to states’ budgets for the 2021 fiscal year, which began July 1 in most states. Depending on the severity and length of a downturn, sales tax collections and income tax withholdings could continue to be depressed in fiscal 2022 and, potentially, future fiscal years. States could face significant fiscal challenges and may revise their revenue forecasts and adjust their budgets for fiscal 2022 and, potentially, future fiscal years, accordingly. Illinois, New York and New Mexico, our top three markets, have revised revenue estimates downward for the 2021 fiscal year. New York, which started its fiscal year April 1, 2021, recently estimated that the state would collect at least $5 billion more than originally forecasted, due to better than expected receipts through January 2021. The New York state comptroller initially decreased its estimate for 2021 fiscal year collections by $10 billion. Although receipts are higher than this estimate, revenues are still significantly below pre-COVID estimates. The current New York fiscal plan authorizes the state of New York to issue up to $11 billion in short-term bonds to ameliorate reduced revenues during the fiscal year. Also in response to reduced revenues, the state implemented uniform reductions to Medicaid payments. Effective for dates of service on or after April 2, 2020, the uniform reduction rate is 1.5%. The reduction applies to home health services but hospice services are exempt. We cannot determine the impact that COVID-19 may have on states’ budgets for 2022 or beyond. However, such impacts could have a material adverse effect on our financial condition, results of operations and cash flows.</w:t>
      </w:r>
    </w:p>
    <w:p>
      <w:pPr>
        <w:spacing w:after="0" w:line="179"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The ARPA provided $350 billion dollars in emergency funding for state, local, territorial, and Tribal governments to remedy the mismatch between increasing costs and decreasing revenues. We cannot determine if Congress will provide additional relief with additional stimulus and relief legislation, including extension of unemployment benefits and relief for states. Additionally, we cannot determine the impact that the economic slowdown caused by the COVID-19 pandemic may have on states’ budgets for 2022 or beyond. However, such impacts could have a material adverse effect on our financial condition, results of operations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2021, we did not have any off-balance sheet guarantees or arrangements with unconsolidated entities.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2020, filed on March 1,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June 30, 2021, we had outstanding borrowings of approximately $196.1 million on our credit facility, all of such borrowings were subject to variable interest rates. If the variable rates on this debt were 100 basis points higher than the rate applicable to the borrowing during the three and six month periods ended June 30, 2021, our net income would have decreased by $0.4 million, or $0.02 per diluted share, and $0.7 million, or $0.05 per diluted share, respectively. We do not currently have any derivative or hedging arrangements, or other known exposures, to changes in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76"/>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2021.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440" w:firstLine="476"/>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180" w:firstLine="47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June 30, 2021 that have materially affected, or are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702"/>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2020, filed on March 1, 2021.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200" w:type="dxa"/>
            <w:vAlign w:val="bottom"/>
            <w:tcBorders>
              <w:bottom w:val="single" w:sz="8" w:color="0000EE"/>
            </w:tcBorders>
            <w:gridSpan w:val="13"/>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Certificate of Incorporation of the Company dated as of October 27, 2009 (filed on November 20, 2009 as Exhibit 3.1</w:t>
              </w:r>
            </w:hyperlink>
          </w:p>
        </w:tc>
        <w:tc>
          <w:tcPr>
            <w:tcW w:w="60" w:type="dxa"/>
            <w:vAlign w:val="bottom"/>
            <w:gridSpan w:val="2"/>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to the Company’s Quarterly Report on Form 10-Q (File No. 001-34504)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Bylaws of the Company, as amended by the First Amendment to the Amended and Restated Bylaws (filed on May 9,</w:t>
              </w:r>
            </w:hyperlink>
          </w:p>
        </w:tc>
        <w:tc>
          <w:tcPr>
            <w:tcW w:w="120" w:type="dxa"/>
            <w:vAlign w:val="bottom"/>
            <w:gridSpan w:val="3"/>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2013 as Exhibit 3.2 to the Company’s Quarterly Report on Form 10-Q (File No. 001-34504)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60" w:type="dxa"/>
            <w:vAlign w:val="bottom"/>
            <w:tcBorders>
              <w:bottom w:val="single" w:sz="8" w:color="0000EE"/>
            </w:tcBorders>
            <w:gridSpan w:val="15"/>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Form of Common Stock Certificate (filed on October 2, 2009 as Exhibit 4.1 to Amendment No. 4 to the Company’s Registration Statement on</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Form S-1 (File No. 333-160634)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Transition Agreement and Release, effective June 11, 2021, by and among Addus HealthCare, Inc. and Laurie Manning. *</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Employment and Non-Competition Agreement, effective June 14, 2021, by and between Addus HealthCare, Inc. and Roberton James</w:t>
              </w:r>
            </w:hyperlink>
          </w:p>
        </w:tc>
        <w:tc>
          <w:tcPr>
            <w:tcW w:w="640" w:type="dxa"/>
            <w:vAlign w:val="bottom"/>
            <w:gridSpan w:val="5"/>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Stevenson. *</w:t>
              </w:r>
            </w:hyperlink>
          </w:p>
        </w:tc>
        <w:tc>
          <w:tcPr>
            <w:tcW w:w="9340" w:type="dxa"/>
            <w:vAlign w:val="bottom"/>
            <w:gridSpan w:val="12"/>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10260" w:type="dxa"/>
            <w:vAlign w:val="bottom"/>
            <w:gridSpan w:val="15"/>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Certification of Chief Executive Officer Pursuant to Rule 13a-14(a) of the Securities Exchange Act of 1934 as Adopted Pursuant to</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Section 302 of the Sarbanes-Oxley Act of 2002.</w:t>
              </w:r>
            </w:hyperlink>
          </w:p>
        </w:tc>
        <w:tc>
          <w:tcPr>
            <w:tcW w:w="5980" w:type="dxa"/>
            <w:vAlign w:val="bottom"/>
            <w:tcBorders>
              <w:top w:val="single" w:sz="8" w:color="0000EE"/>
            </w:tcBorders>
            <w:gridSpan w:val="5"/>
          </w:tcPr>
          <w:p>
            <w:pPr>
              <w:spacing w:after="0"/>
              <w:rPr>
                <w:sz w:val="17"/>
                <w:szCs w:val="17"/>
                <w:color w:val="auto"/>
              </w:rPr>
            </w:pPr>
          </w:p>
        </w:tc>
        <w:tc>
          <w:tcPr>
            <w:tcW w:w="820" w:type="dxa"/>
            <w:vAlign w:val="bottom"/>
            <w:gridSpan w:val="6"/>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Chief Financial Officer Pursuant to Rule 13a-14(a) of the Securities Exchange Act of 1934 as Adopted Pursuant to</w:t>
              </w:r>
            </w:hyperlink>
          </w:p>
        </w:tc>
        <w:tc>
          <w:tcPr>
            <w:tcW w:w="840" w:type="dxa"/>
            <w:vAlign w:val="bottom"/>
            <w:gridSpan w:val="7"/>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Section 302 of the Sarbanes-Oxley Act of 2002.</w:t>
              </w:r>
            </w:hyperlink>
          </w:p>
        </w:tc>
        <w:tc>
          <w:tcPr>
            <w:tcW w:w="6800" w:type="dxa"/>
            <w:vAlign w:val="bottom"/>
            <w:gridSpan w:val="11"/>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60" w:type="dxa"/>
            <w:vAlign w:val="bottom"/>
            <w:gridSpan w:val="4"/>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of 2002.</w:t>
              </w:r>
            </w:hyperlink>
          </w:p>
        </w:tc>
        <w:tc>
          <w:tcPr>
            <w:tcW w:w="9660" w:type="dxa"/>
            <w:vAlign w:val="bottom"/>
            <w:gridSpan w:val="13"/>
          </w:tcPr>
          <w:p>
            <w:pPr>
              <w:spacing w:after="0"/>
              <w:rPr>
                <w:sz w:val="17"/>
                <w:szCs w:val="17"/>
                <w:color w:val="auto"/>
              </w:rPr>
            </w:pPr>
          </w:p>
        </w:tc>
      </w:tr>
      <w:tr>
        <w:trPr>
          <w:trHeight w:val="41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4"/>
                <w:szCs w:val="24"/>
                <w:color w:val="auto"/>
              </w:rPr>
            </w:pPr>
          </w:p>
        </w:tc>
        <w:tc>
          <w:tcPr>
            <w:tcW w:w="102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20" w:type="dxa"/>
            <w:vAlign w:val="bottom"/>
            <w:gridSpan w:val="2"/>
          </w:tcPr>
          <w:p>
            <w:pPr>
              <w:ind w:left="220"/>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60" w:type="dxa"/>
            <w:vAlign w:val="bottom"/>
            <w:gridSpan w:val="14"/>
          </w:tcPr>
          <w:p>
            <w:pPr>
              <w:spacing w:after="0" w:line="20" w:lineRule="exact"/>
              <w:rPr>
                <w:sz w:val="1"/>
                <w:szCs w:val="1"/>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 embedded</w:t>
            </w:r>
          </w:p>
        </w:tc>
      </w:tr>
      <w:tr>
        <w:trPr>
          <w:trHeight w:val="230"/>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26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 Inline XBRL document and contained in Exhibit 101).</w:t>
            </w:r>
          </w:p>
        </w:tc>
      </w:tr>
    </w:tbl>
    <w:p>
      <w:pPr>
        <w:spacing w:after="0" w:line="148" w:lineRule="exact"/>
        <w:rPr>
          <w:sz w:val="20"/>
          <w:szCs w:val="20"/>
          <w:color w:val="auto"/>
        </w:rPr>
      </w:pPr>
    </w:p>
    <w:p>
      <w:pPr>
        <w:ind w:left="740" w:hanging="7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760"/>
          </w:cols>
          <w:pgMar w:left="320" w:top="121" w:right="81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TRANSITION AGREEMENT AND RELEASE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TRANSITION AGREEMENT AND RELEASE (this “</w:t>
      </w:r>
      <w:r>
        <w:rPr>
          <w:rFonts w:ascii="Arial" w:cs="Arial" w:eastAsia="Arial" w:hAnsi="Arial"/>
          <w:sz w:val="22"/>
          <w:szCs w:val="22"/>
          <w:u w:val="single" w:color="auto"/>
          <w:color w:val="auto"/>
        </w:rPr>
        <w:t>Agreement</w:t>
      </w:r>
      <w:r>
        <w:rPr>
          <w:rFonts w:ascii="Arial" w:cs="Arial" w:eastAsia="Arial" w:hAnsi="Arial"/>
          <w:sz w:val="22"/>
          <w:szCs w:val="22"/>
          <w:color w:val="auto"/>
        </w:rPr>
        <w:t>”) is effective as of August 11,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Addus HealthCare, Inc., an Illinois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Laurie Manning, an individual domiciled in the State of Texas (the “</w:t>
      </w:r>
      <w:r>
        <w:rPr>
          <w:rFonts w:ascii="Arial" w:cs="Arial" w:eastAsia="Arial" w:hAnsi="Arial"/>
          <w:sz w:val="22"/>
          <w:szCs w:val="22"/>
          <w:u w:val="single" w:color="auto"/>
          <w:color w:val="auto"/>
        </w:rPr>
        <w:t>Employee</w:t>
      </w:r>
      <w:r>
        <w:rPr>
          <w:rFonts w:ascii="Arial" w:cs="Arial" w:eastAsia="Arial" w:hAnsi="Arial"/>
          <w:sz w:val="22"/>
          <w:szCs w:val="22"/>
          <w:color w:val="auto"/>
        </w:rPr>
        <w:t>”). The Company and Employee are hereinafter sometimes referred to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79"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has served as the Chief Human Resource Officer of the Company, pursuant to an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Non-Competition Agreement, as amended and restated on November 5 2018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w:t>
      </w:r>
    </w:p>
    <w:p>
      <w:pPr>
        <w:spacing w:after="0" w:line="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Employee intends to retire from employment and has provided notice of her intent to terminate her</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under the Employment Agreement without Good Reason prior to the expiration of the Employment Term (as defined therein), pursuant to, and in accordance with, Section 7(b) of the Employment Agreement;</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however, desires to continue to employ Employee in a reduced, non-executive role from</w:t>
      </w:r>
      <w:r>
        <w:rPr>
          <w:rFonts w:ascii="Arial" w:cs="Arial" w:eastAsia="Arial" w:hAnsi="Arial"/>
          <w:sz w:val="22"/>
          <w:szCs w:val="22"/>
          <w:b w:val="1"/>
          <w:bCs w:val="1"/>
          <w:color w:val="auto"/>
        </w:rPr>
        <w:t xml:space="preserve"> </w:t>
      </w:r>
      <w:r>
        <w:rPr>
          <w:rFonts w:ascii="Arial" w:cs="Arial" w:eastAsia="Arial" w:hAnsi="Arial"/>
          <w:sz w:val="22"/>
          <w:szCs w:val="22"/>
          <w:color w:val="auto"/>
        </w:rPr>
        <w:t>and after the Effective Date until August 15, 2021 in order for Employee to perform certain transition services for the Company as set forth in this Agreement (the “</w:t>
      </w:r>
      <w:r>
        <w:rPr>
          <w:rFonts w:ascii="Arial" w:cs="Arial" w:eastAsia="Arial" w:hAnsi="Arial"/>
          <w:sz w:val="22"/>
          <w:szCs w:val="22"/>
          <w:u w:val="single" w:color="auto"/>
          <w:color w:val="auto"/>
        </w:rPr>
        <w:t>Transition Services</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exchange for the additional promises set forth herein, Employee has agreed to perform the Transition</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and the Company has agreed to employ Employee; and</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acknowledges that, as a result of Employee’s Section 7(b) resignation, Employee would not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any Severance Pay (defined herein below) absent Employee’s execution of this Agreement.</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set forth herein, the Parties,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legally bound, agree as follows:</w:t>
      </w:r>
    </w:p>
    <w:p>
      <w:pPr>
        <w:spacing w:after="0" w:line="162" w:lineRule="exact"/>
        <w:rPr>
          <w:sz w:val="20"/>
          <w:szCs w:val="20"/>
          <w:color w:val="auto"/>
        </w:rPr>
      </w:pPr>
    </w:p>
    <w:p>
      <w:pPr>
        <w:ind w:left="1700" w:hanging="842"/>
        <w:spacing w:after="0"/>
        <w:tabs>
          <w:tab w:leader="none" w:pos="170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color w:val="auto"/>
        </w:rPr>
        <w:t>.</w:t>
      </w:r>
    </w:p>
    <w:p>
      <w:pPr>
        <w:spacing w:after="0" w:line="212"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The Company hereby employs the Employee, and the Employee hereby accepts employment by the Company for the period commencing as of the Effective Date and ending on August 15, 2021 (the “</w:t>
      </w:r>
      <w:r>
        <w:rPr>
          <w:rFonts w:ascii="Arial" w:cs="Arial" w:eastAsia="Arial" w:hAnsi="Arial"/>
          <w:sz w:val="21"/>
          <w:szCs w:val="21"/>
          <w:u w:val="single" w:color="auto"/>
          <w:color w:val="auto"/>
        </w:rPr>
        <w:t>Transition Term</w:t>
      </w:r>
      <w:r>
        <w:rPr>
          <w:rFonts w:ascii="Arial" w:cs="Arial" w:eastAsia="Arial" w:hAnsi="Arial"/>
          <w:sz w:val="21"/>
          <w:szCs w:val="21"/>
          <w:color w:val="auto"/>
        </w:rPr>
        <w:t>”).</w:t>
      </w:r>
    </w:p>
    <w:p>
      <w:pPr>
        <w:spacing w:after="0" w:line="145" w:lineRule="exact"/>
        <w:rPr>
          <w:sz w:val="20"/>
          <w:szCs w:val="20"/>
          <w:color w:val="auto"/>
        </w:rPr>
      </w:pPr>
    </w:p>
    <w:p>
      <w:pPr>
        <w:ind w:left="1700" w:hanging="842"/>
        <w:spacing w:after="0"/>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Duties</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During the Transition Term, Employee shall provide services to accomplish the orderly transition of Employee’s former duties and responsibilities with the Company and such other special projects as requested by the Company from time to time (the “</w:t>
      </w:r>
      <w:r>
        <w:rPr>
          <w:rFonts w:ascii="Arial" w:cs="Arial" w:eastAsia="Arial" w:hAnsi="Arial"/>
          <w:sz w:val="22"/>
          <w:szCs w:val="22"/>
          <w:u w:val="single" w:color="auto"/>
          <w:color w:val="auto"/>
        </w:rPr>
        <w:t>Transition Services</w:t>
      </w:r>
      <w:r>
        <w:rPr>
          <w:rFonts w:ascii="Arial" w:cs="Arial" w:eastAsia="Arial" w:hAnsi="Arial"/>
          <w:sz w:val="22"/>
          <w:szCs w:val="22"/>
          <w:color w:val="auto"/>
        </w:rPr>
        <w:t>”). During the Transition Term, Employee shall report directly to the Chief Executive Officer (the “CEO”) of the Company.</w:t>
      </w:r>
    </w:p>
    <w:p>
      <w:pPr>
        <w:spacing w:after="0" w:line="179" w:lineRule="exact"/>
        <w:rPr>
          <w:sz w:val="20"/>
          <w:szCs w:val="20"/>
          <w:color w:val="auto"/>
        </w:rPr>
      </w:pPr>
    </w:p>
    <w:p>
      <w:pPr>
        <w:ind w:left="1700" w:hanging="842"/>
        <w:spacing w:after="0"/>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Company will pay the Employee certain amounts as separation benefits as follows during the Transition Term:</w:t>
      </w:r>
    </w:p>
    <w:p>
      <w:pPr>
        <w:spacing w:after="0" w:line="235" w:lineRule="exact"/>
        <w:rPr>
          <w:sz w:val="20"/>
          <w:szCs w:val="20"/>
          <w:color w:val="auto"/>
        </w:rPr>
      </w:pPr>
    </w:p>
    <w:p>
      <w:pPr>
        <w:jc w:val="both"/>
        <w:ind w:left="2580" w:hanging="858"/>
        <w:spacing w:after="0" w:line="237" w:lineRule="auto"/>
        <w:tabs>
          <w:tab w:leader="none" w:pos="2580" w:val="left"/>
        </w:tabs>
        <w:numPr>
          <w:ilvl w:val="1"/>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Payments</w:t>
      </w:r>
      <w:r>
        <w:rPr>
          <w:rFonts w:ascii="Arial" w:cs="Arial" w:eastAsia="Arial" w:hAnsi="Arial"/>
          <w:sz w:val="22"/>
          <w:szCs w:val="22"/>
          <w:color w:val="auto"/>
        </w:rPr>
        <w:t>. During the Transition Term, the Company will continue to pay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consistent with the rate of compensation set forth in Section 3(a) of the Employment Agreement (the “</w:t>
      </w:r>
      <w:r>
        <w:rPr>
          <w:rFonts w:ascii="Arial" w:cs="Arial" w:eastAsia="Arial" w:hAnsi="Arial"/>
          <w:sz w:val="22"/>
          <w:szCs w:val="22"/>
          <w:u w:val="single" w:color="auto"/>
          <w:color w:val="auto"/>
        </w:rPr>
        <w:t>Separation Payments</w:t>
      </w:r>
      <w:r>
        <w:rPr>
          <w:rFonts w:ascii="Arial" w:cs="Arial" w:eastAsia="Arial" w:hAnsi="Arial"/>
          <w:sz w:val="22"/>
          <w:szCs w:val="22"/>
          <w:color w:val="auto"/>
        </w:rPr>
        <w:t>”). The Separation Payments shall be paid in accordance with the normal payroll practice of the Company and subject to applicable withholdings and deductions.</w:t>
      </w:r>
    </w:p>
    <w:p>
      <w:pPr>
        <w:spacing w:after="0" w:line="181" w:lineRule="exact"/>
        <w:rPr>
          <w:rFonts w:ascii="Arial" w:cs="Arial" w:eastAsia="Arial" w:hAnsi="Arial"/>
          <w:sz w:val="22"/>
          <w:szCs w:val="22"/>
          <w:color w:val="auto"/>
        </w:rPr>
      </w:pPr>
    </w:p>
    <w:p>
      <w:pPr>
        <w:jc w:val="both"/>
        <w:ind w:left="2580" w:hanging="858"/>
        <w:spacing w:after="0" w:line="239" w:lineRule="auto"/>
        <w:tabs>
          <w:tab w:leader="none" w:pos="2580" w:val="left"/>
        </w:tabs>
        <w:numPr>
          <w:ilvl w:val="1"/>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Awards</w:t>
      </w:r>
      <w:r>
        <w:rPr>
          <w:rFonts w:ascii="Arial" w:cs="Arial" w:eastAsia="Arial" w:hAnsi="Arial"/>
          <w:sz w:val="22"/>
          <w:szCs w:val="22"/>
          <w:color w:val="auto"/>
        </w:rPr>
        <w:t>. Employee has previously received stock options and restricted stock awards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Employment Agreement. Such equity awards shall continue to vest during the Transition Term. However, Employee shall not be eligible for any other stock option or restricted stock awards during the Transition Term.</w:t>
      </w:r>
    </w:p>
    <w:p>
      <w:pPr>
        <w:spacing w:after="0" w:line="180" w:lineRule="exact"/>
        <w:rPr>
          <w:rFonts w:ascii="Arial" w:cs="Arial" w:eastAsia="Arial" w:hAnsi="Arial"/>
          <w:sz w:val="22"/>
          <w:szCs w:val="22"/>
          <w:color w:val="auto"/>
        </w:rPr>
      </w:pPr>
    </w:p>
    <w:p>
      <w:pPr>
        <w:jc w:val="both"/>
        <w:ind w:left="2580" w:hanging="858"/>
        <w:spacing w:after="0" w:line="276" w:lineRule="auto"/>
        <w:tabs>
          <w:tab w:leader="none" w:pos="2580"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Eligibility for Separation Pay and Benefits Generally</w:t>
      </w:r>
      <w:r>
        <w:rPr>
          <w:rFonts w:ascii="Arial" w:cs="Arial" w:eastAsia="Arial" w:hAnsi="Arial"/>
          <w:sz w:val="19"/>
          <w:szCs w:val="19"/>
          <w:color w:val="auto"/>
        </w:rPr>
        <w:t>. Employee’s entitlement to: (i) the</w:t>
      </w:r>
      <w:r>
        <w:rPr>
          <w:rFonts w:ascii="Arial" w:cs="Arial" w:eastAsia="Arial" w:hAnsi="Arial"/>
          <w:sz w:val="19"/>
          <w:szCs w:val="19"/>
          <w:b w:val="1"/>
          <w:bCs w:val="1"/>
          <w:color w:val="auto"/>
        </w:rPr>
        <w:t xml:space="preserve"> </w:t>
      </w:r>
      <w:r>
        <w:rPr>
          <w:rFonts w:ascii="Arial" w:cs="Arial" w:eastAsia="Arial" w:hAnsi="Arial"/>
          <w:sz w:val="19"/>
          <w:szCs w:val="19"/>
          <w:color w:val="auto"/>
        </w:rPr>
        <w:t>Separation Payments, (ii) continued vesting of equity awards, and (iii) health benefits (set forth in Section 5, below) (collectively, the “Severance Pay”) is expressly conditioned on Employee timely executing and delivering the general release attached hereto as Exhibit 1 on August 5, 2021 and not revoking such release. If Employee chooses to revoke the release during the Revocation Period (as defined in Exhibit 1) or otherwise not execute the release during the Consideration Period (as defined in Exhibit 1), the Employee shall not be entitled to any of the Severance Pay and shall, to the extent already received, immediately return any such Severance Pay to the Company.</w:t>
      </w:r>
    </w:p>
    <w:p>
      <w:pPr>
        <w:spacing w:after="0" w:line="149" w:lineRule="exact"/>
        <w:rPr>
          <w:rFonts w:ascii="Arial" w:cs="Arial" w:eastAsia="Arial" w:hAnsi="Arial"/>
          <w:sz w:val="19"/>
          <w:szCs w:val="19"/>
          <w:color w:val="auto"/>
        </w:rPr>
      </w:pPr>
    </w:p>
    <w:p>
      <w:pPr>
        <w:jc w:val="both"/>
        <w:ind w:left="2580" w:hanging="858"/>
        <w:spacing w:after="0" w:line="283" w:lineRule="auto"/>
        <w:tabs>
          <w:tab w:leader="none" w:pos="2580" w:val="left"/>
        </w:tabs>
        <w:numPr>
          <w:ilvl w:val="1"/>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Sufficiency of Consideration for Release</w:t>
      </w:r>
      <w:r>
        <w:rPr>
          <w:rFonts w:ascii="Arial" w:cs="Arial" w:eastAsia="Arial" w:hAnsi="Arial"/>
          <w:sz w:val="19"/>
          <w:szCs w:val="19"/>
          <w:color w:val="auto"/>
        </w:rPr>
        <w:t>. Employee acknowledges that: (x) the Severance Pay</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constitutes full-time executive-level compensation; (y) Employee will not be performing full-time executive-level duties during the Transition Term; and (z) her execution of the general release is a material inducement for the Company to provide the Severance Pay and she would not be entitled to the Severance Pay but for her execution of the general release.</w:t>
      </w:r>
    </w:p>
    <w:p>
      <w:pPr>
        <w:spacing w:after="0" w:line="142" w:lineRule="exact"/>
        <w:rPr>
          <w:rFonts w:ascii="Arial" w:cs="Arial" w:eastAsia="Arial" w:hAnsi="Arial"/>
          <w:sz w:val="19"/>
          <w:szCs w:val="19"/>
          <w:color w:val="auto"/>
        </w:rPr>
      </w:pPr>
    </w:p>
    <w:p>
      <w:pPr>
        <w:ind w:left="1700" w:hanging="842"/>
        <w:spacing w:after="0"/>
        <w:tabs>
          <w:tab w:leader="none" w:pos="170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Reserved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1700" w:hanging="842"/>
        <w:spacing w:after="0"/>
        <w:tabs>
          <w:tab w:leader="none" w:pos="170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During the Transition Term, Employee shall continue to receive the same health benefits Employee received under Section 5(d) of the Employment Agreement.</w:t>
      </w:r>
    </w:p>
    <w:p>
      <w:pPr>
        <w:spacing w:after="0" w:line="169" w:lineRule="exact"/>
        <w:rPr>
          <w:sz w:val="20"/>
          <w:szCs w:val="20"/>
          <w:color w:val="auto"/>
        </w:rPr>
      </w:pPr>
    </w:p>
    <w:p>
      <w:pPr>
        <w:ind w:left="1700" w:hanging="842"/>
        <w:spacing w:after="0"/>
        <w:tabs>
          <w:tab w:leader="none" w:pos="170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Covenants</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Employee acknowledges that Employee has previously executed an Employment Agreement, which includes in Section 9 thereof certain non-competition, non-solicitation, non-disclosure, and non-disparagement covenants, as well as covenants to return Company property; confidentiality and other acknowledgement provisions; and remedies for any breach of Section 9 of the Employment Agreement. Employee promises to adhere to all the terms of Section 9 of the Employment Agreement, which shall remain in full force and effect following execution of this Agreement and which are hereby incorporated by reference as originally executed and acknowledged by both Parties, provided, however, that nothing incorporated herein shall prevent Employee from making a good-faith, truthful report to a government agency with oversight responsibility of the Company or from otherwise participating in a government investigation. For an avoidance of doubt, all remedies for any breach of Section 9 of the Employment Agreement are also hereby incorporated by reference.</w:t>
      </w:r>
    </w:p>
    <w:p>
      <w:pPr>
        <w:spacing w:after="0" w:line="152" w:lineRule="exact"/>
        <w:rPr>
          <w:sz w:val="20"/>
          <w:szCs w:val="20"/>
          <w:color w:val="auto"/>
        </w:rPr>
      </w:pPr>
    </w:p>
    <w:p>
      <w:pPr>
        <w:ind w:left="1700" w:hanging="842"/>
        <w:spacing w:after="0"/>
        <w:tabs>
          <w:tab w:leader="none" w:pos="1700"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Prior Agreement</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Except as otherwise provided herein, including, without limitation with respect to Section 6 hereof, this Agreement supersedes and is in lieu of any and all other employment arrangements between Employee and the Company or its predecessor or any subsidiary, and any and all such employment agreements and arrangements are hereby terminated and deemed of no further force or effect.</w:t>
      </w:r>
    </w:p>
    <w:p>
      <w:pPr>
        <w:spacing w:after="0" w:line="179" w:lineRule="exact"/>
        <w:rPr>
          <w:sz w:val="20"/>
          <w:szCs w:val="20"/>
          <w:color w:val="auto"/>
        </w:rPr>
      </w:pPr>
    </w:p>
    <w:p>
      <w:pPr>
        <w:ind w:left="1700" w:hanging="842"/>
        <w:spacing w:after="0"/>
        <w:tabs>
          <w:tab w:leader="none" w:pos="170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w:t>
      </w:r>
    </w:p>
    <w:p>
      <w:pPr>
        <w:spacing w:after="0" w:line="212" w:lineRule="exact"/>
        <w:rPr>
          <w:sz w:val="20"/>
          <w:szCs w:val="20"/>
          <w:color w:val="auto"/>
        </w:rPr>
      </w:pPr>
    </w:p>
    <w:p>
      <w:pPr>
        <w:ind w:right="20" w:firstLine="864"/>
        <w:spacing w:after="0" w:line="274" w:lineRule="auto"/>
        <w:rPr>
          <w:sz w:val="20"/>
          <w:szCs w:val="20"/>
          <w:color w:val="auto"/>
        </w:rPr>
      </w:pPr>
      <w:r>
        <w:rPr>
          <w:rFonts w:ascii="Arial" w:cs="Arial" w:eastAsia="Arial" w:hAnsi="Arial"/>
          <w:sz w:val="21"/>
          <w:szCs w:val="21"/>
          <w:color w:val="auto"/>
        </w:rPr>
        <w:t>Neither this Agreement nor any rights or duties of Employee hereunder shall be assignable by Employee, and any such purported assignment by her shall be void. The Company may assign all or any of its rights hereunder.</w:t>
      </w:r>
    </w:p>
    <w:p>
      <w:pPr>
        <w:spacing w:after="0" w:line="145" w:lineRule="exact"/>
        <w:rPr>
          <w:sz w:val="20"/>
          <w:szCs w:val="20"/>
          <w:color w:val="auto"/>
        </w:rPr>
      </w:pPr>
    </w:p>
    <w:p>
      <w:pPr>
        <w:ind w:left="1700" w:hanging="842"/>
        <w:spacing w:after="0"/>
        <w:tabs>
          <w:tab w:leader="none" w:pos="170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 respective Parties, if mailed or sent by overnight courier service, shall be to the following addresses:</w:t>
      </w:r>
    </w:p>
    <w:p>
      <w:pPr>
        <w:spacing w:after="0" w:line="187" w:lineRule="exact"/>
        <w:rPr>
          <w:sz w:val="20"/>
          <w:szCs w:val="20"/>
          <w:color w:val="auto"/>
        </w:rPr>
      </w:pPr>
    </w:p>
    <w:p>
      <w:pPr>
        <w:ind w:left="1760" w:hanging="888"/>
        <w:spacing w:after="0"/>
        <w:tabs>
          <w:tab w:leader="none" w:pos="17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to Employee,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Laurie Manning</w:t>
      </w:r>
    </w:p>
    <w:p>
      <w:pPr>
        <w:ind w:left="1660"/>
        <w:spacing w:after="0" w:line="238" w:lineRule="auto"/>
        <w:rPr>
          <w:sz w:val="20"/>
          <w:szCs w:val="20"/>
          <w:color w:val="auto"/>
        </w:rPr>
      </w:pPr>
      <w:r>
        <w:rPr>
          <w:rFonts w:ascii="Arial" w:cs="Arial" w:eastAsia="Arial" w:hAnsi="Arial"/>
          <w:sz w:val="22"/>
          <w:szCs w:val="22"/>
          <w:color w:val="auto"/>
        </w:rPr>
        <w:t>2299 Briar Court</w:t>
      </w:r>
    </w:p>
    <w:p>
      <w:pPr>
        <w:ind w:left="1660"/>
        <w:spacing w:after="0"/>
        <w:rPr>
          <w:sz w:val="20"/>
          <w:szCs w:val="20"/>
          <w:color w:val="auto"/>
        </w:rPr>
      </w:pPr>
      <w:r>
        <w:rPr>
          <w:rFonts w:ascii="Arial" w:cs="Arial" w:eastAsia="Arial" w:hAnsi="Arial"/>
          <w:sz w:val="22"/>
          <w:szCs w:val="22"/>
          <w:color w:val="auto"/>
        </w:rPr>
        <w:t>Frisco, TX 75034</w:t>
      </w:r>
    </w:p>
    <w:p>
      <w:pPr>
        <w:spacing w:after="0" w:line="200" w:lineRule="exact"/>
        <w:rPr>
          <w:sz w:val="20"/>
          <w:szCs w:val="20"/>
          <w:color w:val="auto"/>
        </w:rPr>
      </w:pPr>
    </w:p>
    <w:p>
      <w:pPr>
        <w:spacing w:after="0" w:line="231" w:lineRule="exact"/>
        <w:rPr>
          <w:sz w:val="20"/>
          <w:szCs w:val="20"/>
          <w:color w:val="auto"/>
        </w:rPr>
      </w:pPr>
    </w:p>
    <w:p>
      <w:pPr>
        <w:ind w:left="1780" w:hanging="908"/>
        <w:spacing w:after="0"/>
        <w:tabs>
          <w:tab w:leader="none" w:pos="1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Addus HealthCare, Inc.</w:t>
      </w:r>
    </w:p>
    <w:p>
      <w:pPr>
        <w:ind w:left="1660"/>
        <w:spacing w:after="0" w:line="238" w:lineRule="auto"/>
        <w:rPr>
          <w:sz w:val="20"/>
          <w:szCs w:val="20"/>
          <w:color w:val="auto"/>
        </w:rPr>
      </w:pPr>
      <w:r>
        <w:rPr>
          <w:rFonts w:ascii="Arial" w:cs="Arial" w:eastAsia="Arial" w:hAnsi="Arial"/>
          <w:sz w:val="22"/>
          <w:szCs w:val="22"/>
          <w:color w:val="auto"/>
        </w:rPr>
        <w:t>6303 Cowboys Way</w:t>
      </w:r>
    </w:p>
    <w:p>
      <w:pPr>
        <w:ind w:left="1660"/>
        <w:spacing w:after="0" w:line="230" w:lineRule="auto"/>
        <w:rPr>
          <w:sz w:val="20"/>
          <w:szCs w:val="20"/>
          <w:color w:val="auto"/>
        </w:rPr>
      </w:pPr>
      <w:r>
        <w:rPr>
          <w:rFonts w:ascii="Arial" w:cs="Arial" w:eastAsia="Arial" w:hAnsi="Arial"/>
          <w:sz w:val="22"/>
          <w:szCs w:val="22"/>
          <w:color w:val="auto"/>
        </w:rPr>
        <w:t>Suite 600</w:t>
      </w:r>
    </w:p>
    <w:p>
      <w:pPr>
        <w:ind w:left="1660"/>
        <w:spacing w:after="0" w:line="231" w:lineRule="auto"/>
        <w:rPr>
          <w:sz w:val="20"/>
          <w:szCs w:val="20"/>
          <w:color w:val="auto"/>
        </w:rPr>
      </w:pPr>
      <w:r>
        <w:rPr>
          <w:rFonts w:ascii="Arial" w:cs="Arial" w:eastAsia="Arial" w:hAnsi="Arial"/>
          <w:sz w:val="22"/>
          <w:szCs w:val="22"/>
          <w:color w:val="auto"/>
        </w:rPr>
        <w:t>Frisco, TX 75034</w:t>
      </w:r>
    </w:p>
    <w:p>
      <w:pPr>
        <w:ind w:left="1660"/>
        <w:spacing w:after="0"/>
        <w:rPr>
          <w:sz w:val="20"/>
          <w:szCs w:val="20"/>
          <w:color w:val="auto"/>
        </w:rPr>
      </w:pPr>
      <w:r>
        <w:rPr>
          <w:rFonts w:ascii="Arial" w:cs="Arial" w:eastAsia="Arial" w:hAnsi="Arial"/>
          <w:sz w:val="22"/>
          <w:szCs w:val="22"/>
          <w:color w:val="auto"/>
        </w:rPr>
        <w:t>Attention: Sean Gaffney, Chief Legal Officer</w:t>
      </w:r>
    </w:p>
    <w:p>
      <w:pPr>
        <w:spacing w:after="0" w:line="18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Bass Berry &amp; Sims PLC</w:t>
      </w:r>
    </w:p>
    <w:p>
      <w:pPr>
        <w:ind w:left="1660"/>
        <w:spacing w:after="0" w:line="238" w:lineRule="auto"/>
        <w:rPr>
          <w:sz w:val="20"/>
          <w:szCs w:val="20"/>
          <w:color w:val="auto"/>
        </w:rPr>
      </w:pPr>
      <w:r>
        <w:rPr>
          <w:rFonts w:ascii="Arial" w:cs="Arial" w:eastAsia="Arial" w:hAnsi="Arial"/>
          <w:sz w:val="22"/>
          <w:szCs w:val="22"/>
          <w:color w:val="auto"/>
        </w:rPr>
        <w:t>150 Third Avenue South</w:t>
      </w:r>
    </w:p>
    <w:p>
      <w:pPr>
        <w:ind w:left="1660"/>
        <w:spacing w:after="0" w:line="230" w:lineRule="auto"/>
        <w:rPr>
          <w:sz w:val="20"/>
          <w:szCs w:val="20"/>
          <w:color w:val="auto"/>
        </w:rPr>
      </w:pPr>
      <w:r>
        <w:rPr>
          <w:rFonts w:ascii="Arial" w:cs="Arial" w:eastAsia="Arial" w:hAnsi="Arial"/>
          <w:sz w:val="22"/>
          <w:szCs w:val="22"/>
          <w:color w:val="auto"/>
        </w:rPr>
        <w:t>Suite 2800</w:t>
      </w:r>
    </w:p>
    <w:p>
      <w:pPr>
        <w:ind w:left="1660"/>
        <w:spacing w:after="0" w:line="231" w:lineRule="auto"/>
        <w:rPr>
          <w:sz w:val="20"/>
          <w:szCs w:val="20"/>
          <w:color w:val="auto"/>
        </w:rPr>
      </w:pPr>
      <w:r>
        <w:rPr>
          <w:rFonts w:ascii="Arial" w:cs="Arial" w:eastAsia="Arial" w:hAnsi="Arial"/>
          <w:sz w:val="22"/>
          <w:szCs w:val="22"/>
          <w:color w:val="auto"/>
        </w:rPr>
        <w:t>Nashville, TN 37201</w:t>
      </w:r>
    </w:p>
    <w:p>
      <w:pPr>
        <w:ind w:left="1660"/>
        <w:spacing w:after="0" w:line="230" w:lineRule="auto"/>
        <w:rPr>
          <w:sz w:val="20"/>
          <w:szCs w:val="20"/>
          <w:color w:val="auto"/>
        </w:rPr>
      </w:pPr>
      <w:r>
        <w:rPr>
          <w:rFonts w:ascii="Arial" w:cs="Arial" w:eastAsia="Arial" w:hAnsi="Arial"/>
          <w:sz w:val="22"/>
          <w:szCs w:val="22"/>
          <w:color w:val="auto"/>
        </w:rPr>
        <w:t>Attention: David Cox, Esq.</w:t>
      </w:r>
    </w:p>
    <w:p>
      <w:pPr>
        <w:ind w:left="1740"/>
        <w:spacing w:after="0" w:line="231" w:lineRule="auto"/>
        <w:rPr>
          <w:sz w:val="20"/>
          <w:szCs w:val="20"/>
          <w:color w:val="auto"/>
        </w:rPr>
      </w:pPr>
      <w:r>
        <w:rPr>
          <w:rFonts w:ascii="Arial" w:cs="Arial" w:eastAsia="Arial" w:hAnsi="Arial"/>
          <w:sz w:val="22"/>
          <w:szCs w:val="22"/>
          <w:color w:val="auto"/>
        </w:rPr>
        <w:t>Telephone: (615) 742-6299</w:t>
      </w:r>
    </w:p>
    <w:p>
      <w:pPr>
        <w:ind w:left="1660"/>
        <w:spacing w:after="0" w:line="230" w:lineRule="auto"/>
        <w:rPr>
          <w:sz w:val="20"/>
          <w:szCs w:val="20"/>
          <w:color w:val="auto"/>
        </w:rPr>
      </w:pPr>
      <w:r>
        <w:rPr>
          <w:rFonts w:ascii="Arial" w:cs="Arial" w:eastAsia="Arial" w:hAnsi="Arial"/>
          <w:sz w:val="22"/>
          <w:szCs w:val="22"/>
          <w:color w:val="auto"/>
        </w:rPr>
        <w:t>Facsimile: (615) 742-2864</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E-mail: dcox@bassberry.com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Party may change its address for notice by giving all other Parties notice of such change pursuant to this Section 9.</w:t>
      </w:r>
    </w:p>
    <w:p>
      <w:pPr>
        <w:spacing w:after="0" w:line="235" w:lineRule="exact"/>
        <w:rPr>
          <w:sz w:val="20"/>
          <w:szCs w:val="20"/>
          <w:color w:val="auto"/>
        </w:rPr>
      </w:pPr>
    </w:p>
    <w:p>
      <w:pPr>
        <w:ind w:left="1700" w:hanging="842"/>
        <w:spacing w:after="0"/>
        <w:tabs>
          <w:tab w:leader="none" w:pos="170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Agreement may not be changed, modified, or amended except in writing signed by both Parties to this Agreement.</w:t>
      </w:r>
    </w:p>
    <w:p>
      <w:pPr>
        <w:spacing w:after="0" w:line="235" w:lineRule="exact"/>
        <w:rPr>
          <w:sz w:val="20"/>
          <w:szCs w:val="20"/>
          <w:color w:val="auto"/>
        </w:rPr>
      </w:pPr>
    </w:p>
    <w:p>
      <w:pPr>
        <w:ind w:left="1700" w:hanging="842"/>
        <w:spacing w:after="0"/>
        <w:tabs>
          <w:tab w:leader="none" w:pos="170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waiver by either Party of the breach of any provision of this Agreement shall not operate or be construed as a waiver of any subsequent breach by either Party.</w:t>
      </w:r>
    </w:p>
    <w:p>
      <w:pPr>
        <w:spacing w:after="0" w:line="169" w:lineRule="exact"/>
        <w:rPr>
          <w:sz w:val="20"/>
          <w:szCs w:val="20"/>
          <w:color w:val="auto"/>
        </w:rPr>
      </w:pPr>
    </w:p>
    <w:p>
      <w:pPr>
        <w:ind w:left="1700" w:hanging="842"/>
        <w:spacing w:after="0"/>
        <w:tabs>
          <w:tab w:leader="none" w:pos="170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Invalidity of Any Provision</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provisions of this Agreement are severable, it being the intention of the Parties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128" w:lineRule="exact"/>
        <w:rPr>
          <w:sz w:val="20"/>
          <w:szCs w:val="20"/>
          <w:color w:val="auto"/>
        </w:rPr>
      </w:pPr>
    </w:p>
    <w:p>
      <w:pPr>
        <w:ind w:left="1700" w:hanging="842"/>
        <w:spacing w:after="0"/>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409A Compliance</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ind w:left="9880"/>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employment or like terms shall mean “separation from service.” If Employee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Employee’s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to the extent required under Code §409A. Upon the expiration of the Delay Period, all payments delayed shall be paid to Employee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Employee,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Employee’s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151" w:lineRule="exact"/>
        <w:rPr>
          <w:sz w:val="20"/>
          <w:szCs w:val="20"/>
          <w:color w:val="auto"/>
        </w:rPr>
      </w:pPr>
    </w:p>
    <w:p>
      <w:pPr>
        <w:ind w:left="1700" w:hanging="842"/>
        <w:spacing w:after="0"/>
        <w:tabs>
          <w:tab w:leader="none" w:pos="170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Agreement shall be governed by, and construed, interpreted, and enforced in accordance with, the laws of the State of Texas as applied to agreements entirely entered into and performed in Texas by Texas residents exclusive of the conflicts of laws provisions of any other state.</w:t>
      </w:r>
    </w:p>
    <w:p>
      <w:pPr>
        <w:spacing w:after="0" w:line="180" w:lineRule="exact"/>
        <w:rPr>
          <w:sz w:val="20"/>
          <w:szCs w:val="20"/>
          <w:color w:val="auto"/>
        </w:rPr>
      </w:pPr>
    </w:p>
    <w:p>
      <w:pPr>
        <w:ind w:left="1700" w:hanging="842"/>
        <w:spacing w:after="0"/>
        <w:tabs>
          <w:tab w:leader="none" w:pos="170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Except as set forth below, any controversy or claim arising out of or relating to this Agreement (including, without limitation, as to arbitrability and any disputes with respect to the Employee’s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Employee (the “Arbitrator”). If the Company and Employee are unable to agree upon the Arbitrator within fifteen (15) days, they shall each select an arbitrator within fifteen (15) days, and the arbitrators selected by the Company and Employee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Employee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12. The Arbitrator shall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left="9880"/>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Employee shall each pay one-half (1/2) of the fees of the Arbitrator. Notwithstanding anything set forth above to the contrary, in the event that the Company seeks injunctive relief and/or specific performance to remedy a breach, evasion, violation, or threatened violation of this Agreement, Employee irrevocably waives her right, if any, to have any such dispute decided by arbitration or in any jurisdiction or venue other than a state or federal court in the State of Texas. For any such action, Employee further irrevocably consents to the personal jurisdiction of the state and federal courts in the State of Texas.</w:t>
      </w:r>
    </w:p>
    <w:p>
      <w:pPr>
        <w:spacing w:after="0" w:line="152" w:lineRule="exact"/>
        <w:rPr>
          <w:sz w:val="20"/>
          <w:szCs w:val="20"/>
          <w:color w:val="auto"/>
        </w:rPr>
      </w:pPr>
    </w:p>
    <w:p>
      <w:pPr>
        <w:ind w:left="1700" w:hanging="842"/>
        <w:spacing w:after="0"/>
        <w:tabs>
          <w:tab w:leader="none" w:pos="170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w:t>
      </w:r>
    </w:p>
    <w:p>
      <w:pPr>
        <w:spacing w:after="0" w:line="21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16 WILL NOT BE FULLY ENFORCED IN ALL INSTANCES.</w:t>
      </w:r>
    </w:p>
    <w:p>
      <w:pPr>
        <w:spacing w:after="0" w:line="76" w:lineRule="exact"/>
        <w:rPr>
          <w:sz w:val="20"/>
          <w:szCs w:val="20"/>
          <w:color w:val="auto"/>
        </w:rPr>
      </w:pPr>
    </w:p>
    <w:p>
      <w:pPr>
        <w:ind w:left="1780" w:hanging="908"/>
        <w:spacing w:after="0"/>
        <w:tabs>
          <w:tab w:leader="none" w:pos="178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color w:val="auto"/>
        </w:rPr>
        <w:t>.</w:t>
      </w:r>
    </w:p>
    <w:p>
      <w:pPr>
        <w:spacing w:after="0" w:line="10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If either Party is required to enforce any of her or its rights under this Agreement, including, without limitation, any right under Section 6 hereof, the prevailing party shall be entitled to recover from the other Party all attorneys’ fees, court costs, and other reasonable expenses incurred in connection with the enforcement of those rights.</w:t>
      </w:r>
    </w:p>
    <w:p>
      <w:pPr>
        <w:spacing w:after="0" w:line="55" w:lineRule="exact"/>
        <w:rPr>
          <w:sz w:val="20"/>
          <w:szCs w:val="20"/>
          <w:color w:val="auto"/>
        </w:rPr>
      </w:pPr>
    </w:p>
    <w:p>
      <w:pPr>
        <w:ind w:left="1780" w:hanging="908"/>
        <w:spacing w:after="0"/>
        <w:tabs>
          <w:tab w:leader="none" w:pos="1780"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w:t>
      </w:r>
    </w:p>
    <w:p>
      <w:pPr>
        <w:spacing w:after="0" w:line="10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anything herein to the contrary, obligations under this Agreement which by their nature would continue beyond the termination of this Agreement, including without limitation those obligations contained in Section 6, shall survive termination or expiration of this Agreement for any reason.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written above.</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ADDUS HEALTHCARE, INC.</w:t>
      </w:r>
    </w:p>
    <w:p>
      <w:pPr>
        <w:spacing w:after="0" w:line="183"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360" w:type="dxa"/>
            <w:vAlign w:val="bottom"/>
            <w:gridSpan w:val="2"/>
          </w:tcPr>
          <w:p>
            <w:pPr>
              <w:jc w:val="center"/>
              <w:ind w:right="1400"/>
              <w:spacing w:after="0"/>
              <w:rPr>
                <w:sz w:val="20"/>
                <w:szCs w:val="20"/>
                <w:color w:val="auto"/>
              </w:rPr>
            </w:pPr>
            <w:r>
              <w:rPr>
                <w:rFonts w:ascii="Arial" w:cs="Arial" w:eastAsia="Arial" w:hAnsi="Arial"/>
                <w:sz w:val="22"/>
                <w:szCs w:val="22"/>
                <w:color w:val="auto"/>
                <w:w w:val="96"/>
              </w:rPr>
              <w:t>/s/R. DIRK ALLISON</w:t>
            </w:r>
          </w:p>
        </w:tc>
      </w:tr>
      <w:tr>
        <w:trPr>
          <w:trHeight w:val="242"/>
        </w:trPr>
        <w:tc>
          <w:tcPr>
            <w:tcW w:w="960" w:type="dxa"/>
            <w:vAlign w:val="bottom"/>
          </w:tcPr>
          <w:p>
            <w:pPr>
              <w:spacing w:after="0" w:line="242" w:lineRule="exact"/>
              <w:rPr>
                <w:sz w:val="20"/>
                <w:szCs w:val="20"/>
                <w:color w:val="auto"/>
              </w:rPr>
            </w:pPr>
            <w:r>
              <w:rPr>
                <w:rFonts w:ascii="Arial" w:cs="Arial" w:eastAsia="Arial" w:hAnsi="Arial"/>
                <w:sz w:val="22"/>
                <w:szCs w:val="22"/>
                <w:color w:val="auto"/>
              </w:rPr>
              <w:t>Name:</w:t>
            </w:r>
          </w:p>
        </w:tc>
        <w:tc>
          <w:tcPr>
            <w:tcW w:w="196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96"/>
              </w:rPr>
              <w:t>R. Dirk Allison</w:t>
            </w:r>
          </w:p>
        </w:tc>
        <w:tc>
          <w:tcPr>
            <w:tcW w:w="1400" w:type="dxa"/>
            <w:vAlign w:val="bottom"/>
          </w:tcPr>
          <w:p>
            <w:pPr>
              <w:spacing w:after="0"/>
              <w:rPr>
                <w:sz w:val="21"/>
                <w:szCs w:val="2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360" w:type="dxa"/>
            <w:vAlign w:val="bottom"/>
            <w:gridSpan w:val="2"/>
          </w:tcPr>
          <w:p>
            <w:pPr>
              <w:ind w:left="200"/>
              <w:spacing w:after="0"/>
              <w:rPr>
                <w:sz w:val="20"/>
                <w:szCs w:val="20"/>
                <w:color w:val="auto"/>
              </w:rPr>
            </w:pPr>
            <w:r>
              <w:rPr>
                <w:rFonts w:ascii="Arial" w:cs="Arial" w:eastAsia="Arial" w:hAnsi="Arial"/>
                <w:sz w:val="22"/>
                <w:szCs w:val="22"/>
                <w:color w:val="auto"/>
                <w:w w:val="91"/>
              </w:rPr>
              <w:t>President &amp; Chief Executive Officer</w:t>
            </w:r>
          </w:p>
        </w:tc>
      </w:tr>
    </w:tbl>
    <w:p>
      <w:pPr>
        <w:spacing w:after="0" w:line="185"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/s/LAURIE MANNING</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Laurie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634365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1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u w:val="single" w:color="auto"/>
          <w:color w:val="auto"/>
        </w:rPr>
        <w:t>Exhibit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3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In consideration of the Severance Pay described in the Transition Agreement and Release by and between Addus HealthCare, Inc., an Illinois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Laurie Manning, an individual domiciled in the State of Texas (the “</w:t>
      </w:r>
      <w:r>
        <w:rPr>
          <w:rFonts w:ascii="Arial" w:cs="Arial" w:eastAsia="Arial" w:hAnsi="Arial"/>
          <w:sz w:val="22"/>
          <w:szCs w:val="22"/>
          <w:u w:val="single" w:color="auto"/>
          <w:color w:val="auto"/>
        </w:rPr>
        <w:t>Employee</w:t>
      </w:r>
      <w:r>
        <w:rPr>
          <w:rFonts w:ascii="Arial" w:cs="Arial" w:eastAsia="Arial" w:hAnsi="Arial"/>
          <w:sz w:val="22"/>
          <w:szCs w:val="22"/>
          <w:color w:val="auto"/>
        </w:rPr>
        <w:t>”) (the “</w:t>
      </w:r>
      <w:r>
        <w:rPr>
          <w:rFonts w:ascii="Arial" w:cs="Arial" w:eastAsia="Arial" w:hAnsi="Arial"/>
          <w:sz w:val="22"/>
          <w:szCs w:val="22"/>
          <w:u w:val="single" w:color="auto"/>
          <w:color w:val="auto"/>
        </w:rPr>
        <w:t>Transition Agreement</w:t>
      </w:r>
      <w:r>
        <w:rPr>
          <w:rFonts w:ascii="Arial" w:cs="Arial" w:eastAsia="Arial" w:hAnsi="Arial"/>
          <w:sz w:val="22"/>
          <w:szCs w:val="22"/>
          <w:color w:val="auto"/>
        </w:rPr>
        <w:t>”), and as required by Section 3(c) thereof, Employee hereby agrees to the following general release (the “</w:t>
      </w:r>
      <w:r>
        <w:rPr>
          <w:rFonts w:ascii="Arial" w:cs="Arial" w:eastAsia="Arial" w:hAnsi="Arial"/>
          <w:sz w:val="22"/>
          <w:szCs w:val="22"/>
          <w:u w:val="single" w:color="auto"/>
          <w:color w:val="auto"/>
        </w:rPr>
        <w:t>Release</w:t>
      </w:r>
      <w:r>
        <w:rPr>
          <w:rFonts w:ascii="Arial" w:cs="Arial" w:eastAsia="Arial" w:hAnsi="Arial"/>
          <w:sz w:val="22"/>
          <w:szCs w:val="22"/>
          <w:color w:val="auto"/>
        </w:rPr>
        <w:t>”). The Company and Employee are hereinafter sometimes referred to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8" w:lineRule="exact"/>
        <w:rPr>
          <w:sz w:val="20"/>
          <w:szCs w:val="20"/>
          <w:color w:val="auto"/>
        </w:rPr>
      </w:pPr>
    </w:p>
    <w:p>
      <w:pPr>
        <w:ind w:left="1680" w:hanging="808"/>
        <w:spacing w:after="0"/>
        <w:tabs>
          <w:tab w:leader="none" w:pos="1680"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Release</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880" w:firstLine="789"/>
        <w:spacing w:after="0" w:line="246" w:lineRule="auto"/>
        <w:tabs>
          <w:tab w:leader="none" w:pos="1994" w:val="left"/>
        </w:tabs>
        <w:numPr>
          <w:ilvl w:val="1"/>
          <w:numId w:val="31"/>
        </w:numPr>
        <w:rPr>
          <w:rFonts w:ascii="Arial" w:cs="Arial" w:eastAsia="Arial" w:hAnsi="Arial"/>
          <w:sz w:val="21"/>
          <w:szCs w:val="21"/>
          <w:color w:val="auto"/>
        </w:rPr>
      </w:pPr>
      <w:r>
        <w:rPr>
          <w:rFonts w:ascii="Arial" w:cs="Arial" w:eastAsia="Arial" w:hAnsi="Arial"/>
          <w:sz w:val="21"/>
          <w:szCs w:val="21"/>
          <w:color w:val="auto"/>
        </w:rPr>
        <w:t>Employee hereby waives, releases, and forever discharges the Company, its subsidiaries, business units, affiliates, parent companies, predecessors, successors, and its respective officers, directors, employees, agents, and legal counsel (collectively, the “</w:t>
      </w:r>
      <w:r>
        <w:rPr>
          <w:rFonts w:ascii="Arial" w:cs="Arial" w:eastAsia="Arial" w:hAnsi="Arial"/>
          <w:sz w:val="21"/>
          <w:szCs w:val="21"/>
          <w:u w:val="single" w:color="auto"/>
          <w:color w:val="auto"/>
        </w:rPr>
        <w:t>Released Parties</w:t>
      </w:r>
      <w:r>
        <w:rPr>
          <w:rFonts w:ascii="Arial" w:cs="Arial" w:eastAsia="Arial" w:hAnsi="Arial"/>
          <w:sz w:val="21"/>
          <w:szCs w:val="21"/>
          <w:color w:val="auto"/>
        </w:rPr>
        <w:t xml:space="preserve">”) from any and all claims, causes of action, demands, damages, costs, expenses, liabilities, grievances, or other losses, whether known or unknown, that in anyway arise from, grow out of, or are related to Employee’s employment with the Company, Employee’s termination of employment with the Company, or events that occurred before the date Employee executes this Release. Employee understands that the general release of claims contained in this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does not, however, waive any claim or cause of action that may arise after this Release is executed by Employee.</w:t>
      </w:r>
    </w:p>
    <w:p>
      <w:pPr>
        <w:spacing w:after="0" w:line="206" w:lineRule="exact"/>
        <w:rPr>
          <w:rFonts w:ascii="Arial" w:cs="Arial" w:eastAsia="Arial" w:hAnsi="Arial"/>
          <w:sz w:val="21"/>
          <w:szCs w:val="21"/>
          <w:color w:val="auto"/>
        </w:rPr>
      </w:pPr>
    </w:p>
    <w:p>
      <w:pPr>
        <w:jc w:val="both"/>
        <w:ind w:left="880" w:firstLine="789"/>
        <w:spacing w:after="0" w:line="272" w:lineRule="auto"/>
        <w:tabs>
          <w:tab w:leader="none" w:pos="2012"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this general release of claims is intended to and shall release the Released Parties from any and all claims arising under federal, state, or local law prohibiting employment discrimination and all claims arising out of any legal restrictions on the Company’s right to terminate its employees, including any breach of contract claims. This general release of claims also specifically releases the Released Parties from all claims under Title VII of the Civil Rights Act of 1964, as amended, the Age Discrimination in Employment Act (ADEA), the National Labor Relations Act (NLRA), the Employment Retirement Income Security Act (ERISA), the Americans with Disabilities Act (ADA), the Uniformed Services Employment and Reemployment Rights Act (USERRA), the Genetic Information Nondiscrimination Act (GINA), and the Equal Pay Act (EPA), as well as all other applicable federal, state, or local codes, laws, regulations, and ordinances concerning Employee’s employment. This general release of claims shall not apply to claims that cannot be waived as a matter of law, including </w:t>
      </w:r>
      <w:r>
        <w:rPr>
          <w:rFonts w:ascii="Arial" w:cs="Arial" w:eastAsia="Arial" w:hAnsi="Arial"/>
          <w:sz w:val="19"/>
          <w:szCs w:val="19"/>
          <w:i w:val="1"/>
          <w:iCs w:val="1"/>
          <w:color w:val="auto"/>
        </w:rPr>
        <w:t>certain</w:t>
      </w:r>
      <w:r>
        <w:rPr>
          <w:rFonts w:ascii="Arial" w:cs="Arial" w:eastAsia="Arial" w:hAnsi="Arial"/>
          <w:sz w:val="19"/>
          <w:szCs w:val="19"/>
          <w:color w:val="auto"/>
        </w:rPr>
        <w:t xml:space="preserve"> wage claims under the Fair Labor Standards Act (FLSA) or other state laws, claims under any applicable workers’ compensation laws, or claims under unemployment compensation laws.</w:t>
      </w:r>
    </w:p>
    <w:p>
      <w:pPr>
        <w:spacing w:after="0" w:line="181" w:lineRule="exact"/>
        <w:rPr>
          <w:rFonts w:ascii="Arial" w:cs="Arial" w:eastAsia="Arial" w:hAnsi="Arial"/>
          <w:sz w:val="19"/>
          <w:szCs w:val="19"/>
          <w:color w:val="auto"/>
        </w:rPr>
      </w:pPr>
    </w:p>
    <w:p>
      <w:pPr>
        <w:jc w:val="both"/>
        <w:ind w:firstLine="872"/>
        <w:spacing w:after="0" w:line="289" w:lineRule="auto"/>
        <w:tabs>
          <w:tab w:leader="none" w:pos="1674"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No Current Claims; Covenant Not to Sue</w:t>
      </w:r>
      <w:r>
        <w:rPr>
          <w:rFonts w:ascii="Arial" w:cs="Arial" w:eastAsia="Arial" w:hAnsi="Arial"/>
          <w:sz w:val="19"/>
          <w:szCs w:val="19"/>
          <w:color w:val="auto"/>
        </w:rPr>
        <w:t>. Employee represents and warrants that Employee has not filed</w:t>
      </w:r>
      <w:r>
        <w:rPr>
          <w:rFonts w:ascii="Arial" w:cs="Arial" w:eastAsia="Arial" w:hAnsi="Arial"/>
          <w:sz w:val="19"/>
          <w:szCs w:val="19"/>
          <w:b w:val="1"/>
          <w:bCs w:val="1"/>
          <w:color w:val="auto"/>
        </w:rPr>
        <w:t xml:space="preserve"> </w:t>
      </w:r>
      <w:r>
        <w:rPr>
          <w:rFonts w:ascii="Arial" w:cs="Arial" w:eastAsia="Arial" w:hAnsi="Arial"/>
          <w:sz w:val="19"/>
          <w:szCs w:val="19"/>
          <w:color w:val="auto"/>
        </w:rPr>
        <w:t>any complaint(s) or charge(s) against the Company or any of the other Released Parties with the Equal Employment Opportunity Commission (“EEOC”) or the state commission empowered to investigate claims of employment discrimination, the Department of Labor, the Office of Federal Contract Compliance Programs, or with any other local, state, 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6" w:name="page47"/>
    <w:bookmarkEnd w:id="46"/>
    <w:p>
      <w:pPr>
        <w:jc w:val="both"/>
        <w:spacing w:after="0" w:line="273" w:lineRule="auto"/>
        <w:rPr>
          <w:sz w:val="20"/>
          <w:szCs w:val="20"/>
          <w:color w:val="auto"/>
        </w:rPr>
      </w:pPr>
      <w:r>
        <w:rPr>
          <w:rFonts w:ascii="Arial" w:cs="Arial" w:eastAsia="Arial" w:hAnsi="Arial"/>
          <w:sz w:val="19"/>
          <w:szCs w:val="19"/>
          <w:color w:val="auto"/>
        </w:rPr>
        <w:t xml:space="preserve">federal agency or court. Employee acknowledges and understands, however, that nothing in this Release shall prevent Employee from filing a charge of discrimination with the EEOC or a comparable state agency, but Employee agrees that should Employee obtain damages, or should the EEOC or any other third party obtain damages or other relief on Employee’s behalf, arising out of a claim concerning Employee’s employment with the Company, Employee will completely waive and forego the receipt of all such damages or other relief. Other than as authorized by the second sentence of this </w:t>
      </w:r>
      <w:r>
        <w:rPr>
          <w:rFonts w:ascii="Arial" w:cs="Arial" w:eastAsia="Arial" w:hAnsi="Arial"/>
          <w:sz w:val="19"/>
          <w:szCs w:val="19"/>
          <w:u w:val="single" w:color="auto"/>
          <w:color w:val="auto"/>
        </w:rPr>
        <w:t>Section 2</w:t>
      </w:r>
      <w:r>
        <w:rPr>
          <w:rFonts w:ascii="Arial" w:cs="Arial" w:eastAsia="Arial" w:hAnsi="Arial"/>
          <w:sz w:val="19"/>
          <w:szCs w:val="19"/>
          <w:color w:val="auto"/>
        </w:rPr>
        <w:t>, Employee covenants and agrees not to file, commence, or initiate, whether directly or indirectly, any complaint or charge of any nature, whether related to employment discrimination or not, at any time hereafter against any of the Released Parties, and if any court, tribunal, or agency assumes or has assumed jurisdiction over any such complaint or charge, Employee shall promptly request in writing that the court, tribunal, or agency dismiss the matter. If Employee breaches this covenant not to sue, Employee hereby agrees to pay all of the reasonable costs and attorneys’ fees actually incurred by the Released Parties in defending against such claims, together with any further damages as may result, directly or indirectly, from that breach.</w:t>
      </w:r>
    </w:p>
    <w:p>
      <w:pPr>
        <w:spacing w:after="0" w:line="176" w:lineRule="exact"/>
        <w:rPr>
          <w:sz w:val="20"/>
          <w:szCs w:val="20"/>
          <w:color w:val="auto"/>
        </w:rPr>
      </w:pPr>
    </w:p>
    <w:p>
      <w:pPr>
        <w:jc w:val="both"/>
        <w:ind w:firstLine="872"/>
        <w:spacing w:after="0" w:line="239" w:lineRule="auto"/>
        <w:tabs>
          <w:tab w:leader="none" w:pos="167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Admission of Wrongdoing or Liability</w:t>
      </w:r>
      <w:r>
        <w:rPr>
          <w:rFonts w:ascii="Arial" w:cs="Arial" w:eastAsia="Arial" w:hAnsi="Arial"/>
          <w:sz w:val="22"/>
          <w:szCs w:val="22"/>
          <w:color w:val="auto"/>
        </w:rPr>
        <w:t>. It is understood and agreed that this Release is in compromise</w:t>
      </w:r>
      <w:r>
        <w:rPr>
          <w:rFonts w:ascii="Arial" w:cs="Arial" w:eastAsia="Arial" w:hAnsi="Arial"/>
          <w:sz w:val="22"/>
          <w:szCs w:val="22"/>
          <w:b w:val="1"/>
          <w:bCs w:val="1"/>
          <w:color w:val="auto"/>
        </w:rPr>
        <w:t xml:space="preserve"> </w:t>
      </w:r>
      <w:r>
        <w:rPr>
          <w:rFonts w:ascii="Arial" w:cs="Arial" w:eastAsia="Arial" w:hAnsi="Arial"/>
          <w:sz w:val="22"/>
          <w:szCs w:val="22"/>
          <w:color w:val="auto"/>
        </w:rPr>
        <w:t>of all existing, potential, or disputed claims. Nothing contained in this Release will constitute, or be construed as or is intended to be, an admission or an acknowledgment by the Released Parties of any wrongdoing or liability, all such wrongdoing and liability being expressly denied.</w:t>
      </w:r>
    </w:p>
    <w:p>
      <w:pPr>
        <w:spacing w:after="0" w:line="207" w:lineRule="exact"/>
        <w:rPr>
          <w:rFonts w:ascii="Arial" w:cs="Arial" w:eastAsia="Arial" w:hAnsi="Arial"/>
          <w:sz w:val="22"/>
          <w:szCs w:val="22"/>
          <w:color w:val="auto"/>
        </w:rPr>
      </w:pPr>
    </w:p>
    <w:p>
      <w:pPr>
        <w:ind w:left="1680" w:hanging="808"/>
        <w:spacing w:after="0"/>
        <w:tabs>
          <w:tab w:leader="none" w:pos="1680"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72"/>
        <w:spacing w:after="0" w:line="280" w:lineRule="auto"/>
        <w:tabs>
          <w:tab w:leader="none" w:pos="1674"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 Employee acknowledges that Employee has previously executed a Transition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which incorporates by reference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thereof certain non-competition, non-solicitation, non-disclosure, and non-disparagement covenants, as well as covenants to return Company property; confidentiality and other acknowledgement provisions; and remedies for any breach of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Transition Agreement. Employee acknowledges and understands that the restrictive covenants included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Transition Agreement survive the termination or expiration of the Transition Agreement and shall remain in full force and effect following the execution of this Release.</w:t>
      </w:r>
    </w:p>
    <w:p>
      <w:pPr>
        <w:spacing w:after="0" w:line="171" w:lineRule="exact"/>
        <w:rPr>
          <w:rFonts w:ascii="Arial" w:cs="Arial" w:eastAsia="Arial" w:hAnsi="Arial"/>
          <w:sz w:val="19"/>
          <w:szCs w:val="19"/>
          <w:color w:val="auto"/>
        </w:rPr>
      </w:pPr>
    </w:p>
    <w:p>
      <w:pPr>
        <w:jc w:val="both"/>
        <w:ind w:firstLine="872"/>
        <w:spacing w:after="0" w:line="239" w:lineRule="auto"/>
        <w:tabs>
          <w:tab w:leader="none" w:pos="167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Disclosure</w:t>
      </w:r>
      <w:r>
        <w:rPr>
          <w:rFonts w:ascii="Arial" w:cs="Arial" w:eastAsia="Arial" w:hAnsi="Arial"/>
          <w:sz w:val="22"/>
          <w:szCs w:val="22"/>
          <w:color w:val="auto"/>
        </w:rPr>
        <w:t>. Employee acknowledges and warrants that Employee is not aware of, or that Employee has fully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disclosed to the Company, in writing, any matters for which Employee was responsible or that came to Employee’s attention as an employee of the Company that might give rise to, evidence, or support any claim of illegal conduct, regulatory violation, unlawful discrimination, or other cause of action against the Company.</w:t>
      </w:r>
    </w:p>
    <w:p>
      <w:pPr>
        <w:spacing w:after="0" w:line="207" w:lineRule="exact"/>
        <w:rPr>
          <w:rFonts w:ascii="Arial" w:cs="Arial" w:eastAsia="Arial" w:hAnsi="Arial"/>
          <w:sz w:val="22"/>
          <w:szCs w:val="22"/>
          <w:color w:val="auto"/>
        </w:rPr>
      </w:pPr>
    </w:p>
    <w:p>
      <w:pPr>
        <w:jc w:val="both"/>
        <w:ind w:firstLine="872"/>
        <w:spacing w:after="0" w:line="236" w:lineRule="auto"/>
        <w:tabs>
          <w:tab w:leader="none" w:pos="167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Property</w:t>
      </w:r>
      <w:r>
        <w:rPr>
          <w:rFonts w:ascii="Arial" w:cs="Arial" w:eastAsia="Arial" w:hAnsi="Arial"/>
          <w:sz w:val="22"/>
          <w:szCs w:val="22"/>
          <w:color w:val="auto"/>
        </w:rPr>
        <w:t>. Employee represents and covenants that Employee has returned, or will return to</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upon Company’s request and in no event any later than August 15, 2021, all property of the Company, including but not limited to all keys to the Company’s offices, all equipment of any type, all documents, client lists, vendor lists, sales data or sales materials, customer preferences, marketing materials, product cost information, written information, forms, formulae, Company plan documents, Company legal documents, work-related e-mails, password access codes, and any other items relating to the Company’s business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spacing w:after="0" w:line="249" w:lineRule="auto"/>
        <w:rPr>
          <w:sz w:val="20"/>
          <w:szCs w:val="20"/>
          <w:color w:val="auto"/>
        </w:rPr>
      </w:pPr>
      <w:r>
        <w:rPr>
          <w:rFonts w:ascii="Arial" w:cs="Arial" w:eastAsia="Arial" w:hAnsi="Arial"/>
          <w:sz w:val="21"/>
          <w:szCs w:val="21"/>
          <w:color w:val="auto"/>
        </w:rPr>
        <w:t>Employee generated or received from the Company (or any entity affiliated with the Company), as well as any records and copies of the same, which are in Employee’s possession or control, including but not limited to all originals, copies, derivations, and summaries of any of the Company’s confidential or proprietary information and/or trade secrets. Employee agrees to destroy any and all Company documents, including but not limited to e-mails and documents that Employee may have stored on Employee’s personal computers or other electronic devices of any kind.</w:t>
      </w:r>
    </w:p>
    <w:p>
      <w:pPr>
        <w:spacing w:after="0" w:line="199" w:lineRule="exact"/>
        <w:rPr>
          <w:sz w:val="20"/>
          <w:szCs w:val="20"/>
          <w:color w:val="auto"/>
        </w:rPr>
      </w:pPr>
    </w:p>
    <w:p>
      <w:pPr>
        <w:jc w:val="both"/>
        <w:ind w:firstLine="872"/>
        <w:spacing w:after="0" w:line="247" w:lineRule="auto"/>
        <w:tabs>
          <w:tab w:leader="none" w:pos="1674"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Employee understands and agrees that if Employee breaches any term of this Release,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without limitation, any obligation under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hereof, Employee shall be subject, upon petition to any court of competent jurisdiction, to any remedy available to the Company at law or in equity, including the disgorgement and recoupment of any consideration given under this Release and the Transition Agreement; temporary, preliminary, and permanent injunctive relief enjoining Employee from any such breach or threatened breach, without the necessity of proving the inadequacy of monetary damages or the posting of any bond or security; damages; and pursuant to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hereof, payment of all reasonable attorney’s fees incurred by the Company.</w:t>
      </w:r>
    </w:p>
    <w:p>
      <w:pPr>
        <w:spacing w:after="0" w:line="204" w:lineRule="exact"/>
        <w:rPr>
          <w:rFonts w:ascii="Arial" w:cs="Arial" w:eastAsia="Arial" w:hAnsi="Arial"/>
          <w:sz w:val="21"/>
          <w:szCs w:val="21"/>
          <w:color w:val="auto"/>
        </w:rPr>
      </w:pPr>
    </w:p>
    <w:p>
      <w:pPr>
        <w:ind w:firstLine="872"/>
        <w:spacing w:after="0" w:line="256" w:lineRule="auto"/>
        <w:tabs>
          <w:tab w:leader="none" w:pos="1674"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Release will be binding upon and inure to the benefit of the Parties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directors, employees, agents, legal counsel, heirs, successors, and assigns.</w:t>
      </w:r>
    </w:p>
    <w:p>
      <w:pPr>
        <w:spacing w:after="0" w:line="189" w:lineRule="exact"/>
        <w:rPr>
          <w:rFonts w:ascii="Arial" w:cs="Arial" w:eastAsia="Arial" w:hAnsi="Arial"/>
          <w:sz w:val="22"/>
          <w:szCs w:val="22"/>
          <w:color w:val="auto"/>
        </w:rPr>
      </w:pPr>
    </w:p>
    <w:p>
      <w:pPr>
        <w:ind w:firstLine="872"/>
        <w:spacing w:after="0" w:line="256" w:lineRule="auto"/>
        <w:tabs>
          <w:tab w:leader="none" w:pos="1782"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Release will be governed by and construed and enforced in accordance with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Texas, without regard to its choice of law rules.</w:t>
      </w:r>
    </w:p>
    <w:p>
      <w:pPr>
        <w:spacing w:after="0" w:line="189" w:lineRule="exact"/>
        <w:rPr>
          <w:rFonts w:ascii="Arial" w:cs="Arial" w:eastAsia="Arial" w:hAnsi="Arial"/>
          <w:sz w:val="22"/>
          <w:szCs w:val="22"/>
          <w:color w:val="auto"/>
        </w:rPr>
      </w:pPr>
    </w:p>
    <w:p>
      <w:pPr>
        <w:jc w:val="both"/>
        <w:ind w:firstLine="872"/>
        <w:spacing w:after="0" w:line="237" w:lineRule="auto"/>
        <w:tabs>
          <w:tab w:leader="none" w:pos="1774"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All notices, demands, or other communications hereunder shall be in writing and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given and received (i) if delivered personally, (ii) three (3) business days after being mailed, certified mail, return receipt requested, (iii) one (1) business day after being sent by nationally recognized overnight delivery service, or (iv) if sent via facsimile or similar electronic transmission during normal business hours, as evidenced by mechanical confirmation of such facsimile or other electronic transmission:</w:t>
      </w:r>
    </w:p>
    <w:p>
      <w:pPr>
        <w:spacing w:after="0" w:line="215" w:lineRule="exact"/>
        <w:rPr>
          <w:sz w:val="20"/>
          <w:szCs w:val="20"/>
          <w:color w:val="auto"/>
        </w:rPr>
      </w:pPr>
    </w:p>
    <w:p>
      <w:pPr>
        <w:ind w:left="1760" w:hanging="888"/>
        <w:spacing w:after="0"/>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if to Employee,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Laurie Manning</w:t>
      </w:r>
    </w:p>
    <w:p>
      <w:pPr>
        <w:ind w:left="1660"/>
        <w:spacing w:after="0" w:line="238" w:lineRule="auto"/>
        <w:rPr>
          <w:sz w:val="20"/>
          <w:szCs w:val="20"/>
          <w:color w:val="auto"/>
        </w:rPr>
      </w:pPr>
      <w:r>
        <w:rPr>
          <w:rFonts w:ascii="Arial" w:cs="Arial" w:eastAsia="Arial" w:hAnsi="Arial"/>
          <w:sz w:val="22"/>
          <w:szCs w:val="22"/>
          <w:color w:val="auto"/>
        </w:rPr>
        <w:t>2299 Briar Court</w:t>
      </w:r>
    </w:p>
    <w:p>
      <w:pPr>
        <w:ind w:left="1660"/>
        <w:spacing w:after="0"/>
        <w:rPr>
          <w:sz w:val="20"/>
          <w:szCs w:val="20"/>
          <w:color w:val="auto"/>
        </w:rPr>
      </w:pPr>
      <w:r>
        <w:rPr>
          <w:rFonts w:ascii="Arial" w:cs="Arial" w:eastAsia="Arial" w:hAnsi="Arial"/>
          <w:sz w:val="22"/>
          <w:szCs w:val="22"/>
          <w:color w:val="auto"/>
        </w:rPr>
        <w:t>Frisco, TX 75034</w:t>
      </w:r>
    </w:p>
    <w:p>
      <w:pPr>
        <w:spacing w:after="0" w:line="200" w:lineRule="exact"/>
        <w:rPr>
          <w:sz w:val="20"/>
          <w:szCs w:val="20"/>
          <w:color w:val="auto"/>
        </w:rPr>
      </w:pPr>
    </w:p>
    <w:p>
      <w:pPr>
        <w:spacing w:after="0" w:line="231" w:lineRule="exact"/>
        <w:rPr>
          <w:sz w:val="20"/>
          <w:szCs w:val="20"/>
          <w:color w:val="auto"/>
        </w:rPr>
      </w:pPr>
    </w:p>
    <w:p>
      <w:pPr>
        <w:ind w:left="1780" w:hanging="908"/>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Addus HealthCare, Inc.</w:t>
      </w:r>
    </w:p>
    <w:p>
      <w:pPr>
        <w:ind w:left="1660"/>
        <w:spacing w:after="0" w:line="238" w:lineRule="auto"/>
        <w:rPr>
          <w:sz w:val="20"/>
          <w:szCs w:val="20"/>
          <w:color w:val="auto"/>
        </w:rPr>
      </w:pPr>
      <w:r>
        <w:rPr>
          <w:rFonts w:ascii="Arial" w:cs="Arial" w:eastAsia="Arial" w:hAnsi="Arial"/>
          <w:sz w:val="22"/>
          <w:szCs w:val="22"/>
          <w:color w:val="auto"/>
        </w:rPr>
        <w:t>6303 Cowboys Way</w:t>
      </w:r>
    </w:p>
    <w:p>
      <w:pPr>
        <w:ind w:left="1660"/>
        <w:spacing w:after="0" w:line="230" w:lineRule="auto"/>
        <w:rPr>
          <w:sz w:val="20"/>
          <w:szCs w:val="20"/>
          <w:color w:val="auto"/>
        </w:rPr>
      </w:pPr>
      <w:r>
        <w:rPr>
          <w:rFonts w:ascii="Arial" w:cs="Arial" w:eastAsia="Arial" w:hAnsi="Arial"/>
          <w:sz w:val="22"/>
          <w:szCs w:val="22"/>
          <w:color w:val="auto"/>
        </w:rPr>
        <w:t>Suite 600</w:t>
      </w:r>
    </w:p>
    <w:p>
      <w:pPr>
        <w:ind w:left="1660"/>
        <w:spacing w:after="0" w:line="231" w:lineRule="auto"/>
        <w:rPr>
          <w:sz w:val="20"/>
          <w:szCs w:val="20"/>
          <w:color w:val="auto"/>
        </w:rPr>
      </w:pPr>
      <w:r>
        <w:rPr>
          <w:rFonts w:ascii="Arial" w:cs="Arial" w:eastAsia="Arial" w:hAnsi="Arial"/>
          <w:sz w:val="22"/>
          <w:szCs w:val="22"/>
          <w:color w:val="auto"/>
        </w:rPr>
        <w:t>Frisco, TX 75034</w:t>
      </w:r>
    </w:p>
    <w:p>
      <w:pPr>
        <w:ind w:left="1660"/>
        <w:spacing w:after="0"/>
        <w:rPr>
          <w:sz w:val="20"/>
          <w:szCs w:val="20"/>
          <w:color w:val="auto"/>
        </w:rPr>
      </w:pPr>
      <w:r>
        <w:rPr>
          <w:rFonts w:ascii="Arial" w:cs="Arial" w:eastAsia="Arial" w:hAnsi="Arial"/>
          <w:sz w:val="22"/>
          <w:szCs w:val="22"/>
          <w:color w:val="auto"/>
        </w:rPr>
        <w:t>Attention: Sean Gaffney, Chief Legal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ind w:left="16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Bass Berry &amp; Sims PLC</w:t>
      </w:r>
    </w:p>
    <w:p>
      <w:pPr>
        <w:ind w:left="1660"/>
        <w:spacing w:after="0" w:line="238" w:lineRule="auto"/>
        <w:rPr>
          <w:sz w:val="20"/>
          <w:szCs w:val="20"/>
          <w:color w:val="auto"/>
        </w:rPr>
      </w:pPr>
      <w:r>
        <w:rPr>
          <w:rFonts w:ascii="Arial" w:cs="Arial" w:eastAsia="Arial" w:hAnsi="Arial"/>
          <w:sz w:val="22"/>
          <w:szCs w:val="22"/>
          <w:color w:val="auto"/>
        </w:rPr>
        <w:t>150 Third Avenue South</w:t>
      </w:r>
    </w:p>
    <w:p>
      <w:pPr>
        <w:ind w:left="1660"/>
        <w:spacing w:after="0" w:line="230" w:lineRule="auto"/>
        <w:rPr>
          <w:sz w:val="20"/>
          <w:szCs w:val="20"/>
          <w:color w:val="auto"/>
        </w:rPr>
      </w:pPr>
      <w:r>
        <w:rPr>
          <w:rFonts w:ascii="Arial" w:cs="Arial" w:eastAsia="Arial" w:hAnsi="Arial"/>
          <w:sz w:val="22"/>
          <w:szCs w:val="22"/>
          <w:color w:val="auto"/>
        </w:rPr>
        <w:t>Suite 2800</w:t>
      </w:r>
    </w:p>
    <w:p>
      <w:pPr>
        <w:ind w:left="1660"/>
        <w:spacing w:after="0" w:line="231" w:lineRule="auto"/>
        <w:rPr>
          <w:sz w:val="20"/>
          <w:szCs w:val="20"/>
          <w:color w:val="auto"/>
        </w:rPr>
      </w:pPr>
      <w:r>
        <w:rPr>
          <w:rFonts w:ascii="Arial" w:cs="Arial" w:eastAsia="Arial" w:hAnsi="Arial"/>
          <w:sz w:val="22"/>
          <w:szCs w:val="22"/>
          <w:color w:val="auto"/>
        </w:rPr>
        <w:t>Nashville, TN 37201</w:t>
      </w:r>
    </w:p>
    <w:p>
      <w:pPr>
        <w:ind w:left="1660"/>
        <w:spacing w:after="0" w:line="230" w:lineRule="auto"/>
        <w:rPr>
          <w:sz w:val="20"/>
          <w:szCs w:val="20"/>
          <w:color w:val="auto"/>
        </w:rPr>
      </w:pPr>
      <w:r>
        <w:rPr>
          <w:rFonts w:ascii="Arial" w:cs="Arial" w:eastAsia="Arial" w:hAnsi="Arial"/>
          <w:sz w:val="22"/>
          <w:szCs w:val="22"/>
          <w:color w:val="auto"/>
        </w:rPr>
        <w:t>Attention: David Cox, Esq.</w:t>
      </w:r>
    </w:p>
    <w:p>
      <w:pPr>
        <w:ind w:left="1740"/>
        <w:spacing w:after="0" w:line="231" w:lineRule="auto"/>
        <w:rPr>
          <w:sz w:val="20"/>
          <w:szCs w:val="20"/>
          <w:color w:val="auto"/>
        </w:rPr>
      </w:pPr>
      <w:r>
        <w:rPr>
          <w:rFonts w:ascii="Arial" w:cs="Arial" w:eastAsia="Arial" w:hAnsi="Arial"/>
          <w:sz w:val="22"/>
          <w:szCs w:val="22"/>
          <w:color w:val="auto"/>
        </w:rPr>
        <w:t>Telephone: (615) 742-6299</w:t>
      </w:r>
    </w:p>
    <w:p>
      <w:pPr>
        <w:ind w:left="1660"/>
        <w:spacing w:after="0" w:line="230" w:lineRule="auto"/>
        <w:rPr>
          <w:sz w:val="20"/>
          <w:szCs w:val="20"/>
          <w:color w:val="auto"/>
        </w:rPr>
      </w:pPr>
      <w:r>
        <w:rPr>
          <w:rFonts w:ascii="Arial" w:cs="Arial" w:eastAsia="Arial" w:hAnsi="Arial"/>
          <w:sz w:val="22"/>
          <w:szCs w:val="22"/>
          <w:color w:val="auto"/>
        </w:rPr>
        <w:t>Facsimile: (615) 742-2864</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E-mail: dcox@bassberry.com</w:t>
      </w:r>
    </w:p>
    <w:p>
      <w:pPr>
        <w:spacing w:after="0" w:line="188" w:lineRule="exact"/>
        <w:rPr>
          <w:sz w:val="20"/>
          <w:szCs w:val="20"/>
          <w:color w:val="auto"/>
        </w:rPr>
      </w:pPr>
    </w:p>
    <w:p>
      <w:pPr>
        <w:ind w:left="880" w:right="240"/>
        <w:spacing w:after="0" w:line="250" w:lineRule="auto"/>
        <w:rPr>
          <w:sz w:val="20"/>
          <w:szCs w:val="20"/>
          <w:color w:val="auto"/>
        </w:rPr>
      </w:pPr>
      <w:r>
        <w:rPr>
          <w:rFonts w:ascii="Arial" w:cs="Arial" w:eastAsia="Arial" w:hAnsi="Arial"/>
          <w:sz w:val="22"/>
          <w:szCs w:val="22"/>
          <w:color w:val="auto"/>
        </w:rPr>
        <w:t>Any Party may change its address for notice by giving all other Parties notice of such change pursuant to this Section 11.</w:t>
      </w:r>
    </w:p>
    <w:p>
      <w:pPr>
        <w:spacing w:after="0" w:line="169" w:lineRule="exact"/>
        <w:rPr>
          <w:sz w:val="20"/>
          <w:szCs w:val="20"/>
          <w:color w:val="auto"/>
        </w:rPr>
      </w:pPr>
    </w:p>
    <w:p>
      <w:pPr>
        <w:jc w:val="both"/>
        <w:ind w:firstLine="872"/>
        <w:spacing w:after="0" w:line="251" w:lineRule="auto"/>
        <w:tabs>
          <w:tab w:leader="none" w:pos="1782"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Release may be executed in one or more counterparts, each of which shall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an original and all of which together shall be considered one and the same Release. Counterpart signature pages to this Release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spacing w:after="0" w:line="195" w:lineRule="exact"/>
        <w:rPr>
          <w:rFonts w:ascii="Arial" w:cs="Arial" w:eastAsia="Arial" w:hAnsi="Arial"/>
          <w:sz w:val="21"/>
          <w:szCs w:val="21"/>
          <w:color w:val="auto"/>
        </w:rPr>
      </w:pPr>
    </w:p>
    <w:p>
      <w:pPr>
        <w:jc w:val="both"/>
        <w:ind w:firstLine="872"/>
        <w:spacing w:after="0" w:line="243"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Should the Company fail to require strict compliance with any term or condition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such failure shall not be deemed a waiver of such terms or conditions, nor shall the Company’s failure to enforce any right it may have preclude it from thereafter enforcing its rights under this Release.</w:t>
      </w:r>
    </w:p>
    <w:p>
      <w:pPr>
        <w:spacing w:after="0" w:line="203" w:lineRule="exact"/>
        <w:rPr>
          <w:rFonts w:ascii="Arial" w:cs="Arial" w:eastAsia="Arial" w:hAnsi="Arial"/>
          <w:sz w:val="22"/>
          <w:szCs w:val="22"/>
          <w:color w:val="auto"/>
        </w:rPr>
      </w:pPr>
    </w:p>
    <w:p>
      <w:pPr>
        <w:jc w:val="both"/>
        <w:ind w:firstLine="872"/>
        <w:spacing w:after="0" w:line="243"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Release, together with the Transition Agreement, contains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as to the subject matter hereof and supersedes all prior and contemporaneous oral and written agreements and discussions with respect to the subject matter hereof.</w:t>
      </w:r>
    </w:p>
    <w:p>
      <w:pPr>
        <w:spacing w:after="0" w:line="203" w:lineRule="exact"/>
        <w:rPr>
          <w:rFonts w:ascii="Arial" w:cs="Arial" w:eastAsia="Arial" w:hAnsi="Arial"/>
          <w:sz w:val="22"/>
          <w:szCs w:val="22"/>
          <w:color w:val="auto"/>
        </w:rPr>
      </w:pPr>
    </w:p>
    <w:p>
      <w:pPr>
        <w:ind w:firstLine="872"/>
        <w:spacing w:after="0" w:line="256"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No Oral Modification</w:t>
      </w:r>
      <w:r>
        <w:rPr>
          <w:rFonts w:ascii="Arial" w:cs="Arial" w:eastAsia="Arial" w:hAnsi="Arial"/>
          <w:sz w:val="22"/>
          <w:szCs w:val="22"/>
          <w:color w:val="auto"/>
        </w:rPr>
        <w:t>. This Release may not be amended or modified except by an agreement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both Parties.</w:t>
      </w:r>
    </w:p>
    <w:p>
      <w:pPr>
        <w:spacing w:after="0" w:line="189" w:lineRule="exact"/>
        <w:rPr>
          <w:rFonts w:ascii="Arial" w:cs="Arial" w:eastAsia="Arial" w:hAnsi="Arial"/>
          <w:sz w:val="22"/>
          <w:szCs w:val="22"/>
          <w:color w:val="auto"/>
        </w:rPr>
      </w:pPr>
    </w:p>
    <w:p>
      <w:pPr>
        <w:jc w:val="both"/>
        <w:ind w:firstLine="872"/>
        <w:spacing w:after="0" w:line="300" w:lineRule="auto"/>
        <w:tabs>
          <w:tab w:leader="none" w:pos="1782"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 court of competent jurisdiction should rule that any provision of this Release is invalid,</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unenforceable in any respect, such ruling shall not affect the validity and enforceability of any other provision thereof, and this Release shall be construed as if such invalid, illegal, or unenforceable provision had never been contained herein.</w:t>
      </w:r>
    </w:p>
    <w:p>
      <w:pPr>
        <w:spacing w:after="0" w:line="152" w:lineRule="exact"/>
        <w:rPr>
          <w:rFonts w:ascii="Arial" w:cs="Arial" w:eastAsia="Arial" w:hAnsi="Arial"/>
          <w:sz w:val="19"/>
          <w:szCs w:val="19"/>
          <w:color w:val="auto"/>
        </w:rPr>
      </w:pPr>
    </w:p>
    <w:p>
      <w:pPr>
        <w:jc w:val="both"/>
        <w:ind w:firstLine="872"/>
        <w:spacing w:after="0" w:line="243"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color w:val="auto"/>
        </w:rPr>
        <w:t>. The Parties agree that in the event it becomes necessary to seek judicial remedies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breach or threatened breach of this Release, the prevailing party will be entitled, in addition to all other remedies, to recover from the non-prevailing party reasonable attorneys’ fees and costs.</w:t>
      </w:r>
    </w:p>
    <w:p>
      <w:pPr>
        <w:spacing w:after="0" w:line="203" w:lineRule="exact"/>
        <w:rPr>
          <w:rFonts w:ascii="Arial" w:cs="Arial" w:eastAsia="Arial" w:hAnsi="Arial"/>
          <w:sz w:val="22"/>
          <w:szCs w:val="22"/>
          <w:color w:val="auto"/>
        </w:rPr>
      </w:pPr>
    </w:p>
    <w:p>
      <w:pPr>
        <w:jc w:val="both"/>
        <w:ind w:firstLine="872"/>
        <w:spacing w:after="0" w:line="243" w:lineRule="auto"/>
        <w:tabs>
          <w:tab w:leader="none" w:pos="1782"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 Compliance</w:t>
      </w:r>
      <w:r>
        <w:rPr>
          <w:rFonts w:ascii="Arial" w:cs="Arial" w:eastAsia="Arial" w:hAnsi="Arial"/>
          <w:sz w:val="22"/>
          <w:szCs w:val="22"/>
          <w:color w:val="auto"/>
        </w:rPr>
        <w:t>. The intent of the parties is that payments and benefits under this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Internal Revenue Code Section 409A and the regulations and guidance promulgated thereunder (collectively “</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409A</w:t>
      </w:r>
      <w:r>
        <w:rPr>
          <w:rFonts w:ascii="Arial" w:cs="Arial" w:eastAsia="Arial" w:hAnsi="Arial"/>
          <w:sz w:val="22"/>
          <w:szCs w:val="22"/>
          <w:color w:val="auto"/>
        </w:rPr>
        <w:t>”) and, accordingly, to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22"/>
          <w:szCs w:val="22"/>
          <w:color w:val="auto"/>
        </w:rPr>
        <w:t xml:space="preserve">maximum extent permitted, this Release shall be interpreted to be in compliance therewith. In no event whatsoever shall the Company be liable for any additional tax, interest, or penalty that may be imposed on Employee by Code Section 409A or damages for failing to comply with Code Section 409A. The Parties acknowledge that the provisions of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the Transition Agreement are hereby incorporated herein.</w:t>
      </w:r>
    </w:p>
    <w:p>
      <w:pPr>
        <w:spacing w:after="0" w:line="206" w:lineRule="exact"/>
        <w:rPr>
          <w:sz w:val="20"/>
          <w:szCs w:val="20"/>
          <w:color w:val="auto"/>
        </w:rPr>
      </w:pPr>
    </w:p>
    <w:p>
      <w:pPr>
        <w:jc w:val="both"/>
        <w:ind w:firstLine="872"/>
        <w:spacing w:after="0" w:line="278" w:lineRule="auto"/>
        <w:tabs>
          <w:tab w:leader="none" w:pos="1782"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Consideration and Revocation Period</w:t>
      </w:r>
      <w:r>
        <w:rPr>
          <w:rFonts w:ascii="Arial" w:cs="Arial" w:eastAsia="Arial" w:hAnsi="Arial"/>
          <w:sz w:val="19"/>
          <w:szCs w:val="19"/>
          <w:color w:val="auto"/>
        </w:rPr>
        <w:t>. Employee acknowledges that Employee has a period of sixty (60)</w:t>
      </w:r>
      <w:r>
        <w:rPr>
          <w:rFonts w:ascii="Arial" w:cs="Arial" w:eastAsia="Arial" w:hAnsi="Arial"/>
          <w:sz w:val="19"/>
          <w:szCs w:val="19"/>
          <w:b w:val="1"/>
          <w:bCs w:val="1"/>
          <w:color w:val="auto"/>
        </w:rPr>
        <w:t xml:space="preserve"> </w:t>
      </w:r>
      <w:r>
        <w:rPr>
          <w:rFonts w:ascii="Arial" w:cs="Arial" w:eastAsia="Arial" w:hAnsi="Arial"/>
          <w:sz w:val="19"/>
          <w:szCs w:val="19"/>
          <w:color w:val="auto"/>
        </w:rPr>
        <w:t>days after Employee’s receipt of this Release in which to consider entering into this Release (the “</w:t>
      </w:r>
      <w:r>
        <w:rPr>
          <w:rFonts w:ascii="Arial" w:cs="Arial" w:eastAsia="Arial" w:hAnsi="Arial"/>
          <w:sz w:val="19"/>
          <w:szCs w:val="19"/>
          <w:u w:val="single" w:color="auto"/>
          <w:color w:val="auto"/>
        </w:rPr>
        <w:t>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Employee has the right to sign this Release sooner than the expiration of the Consideration Period, but no earlier than August 5, 2021. If Employee does so, Employee acknowledges that Employee waives the right to the full 60-day Consideration Period. Employee may also revoke the signed Release at any time during a seven (7) day period following Employee’s execution of this Release,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xml:space="preserve">”) by providing written notice of revocation in accordance with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this Release. The notice must be received by the Company no later than the seventh day after signing this Release.</w:t>
      </w:r>
    </w:p>
    <w:p>
      <w:pPr>
        <w:spacing w:after="0" w:line="172" w:lineRule="exact"/>
        <w:rPr>
          <w:rFonts w:ascii="Arial" w:cs="Arial" w:eastAsia="Arial" w:hAnsi="Arial"/>
          <w:sz w:val="19"/>
          <w:szCs w:val="19"/>
          <w:color w:val="auto"/>
        </w:rPr>
      </w:pPr>
    </w:p>
    <w:p>
      <w:pPr>
        <w:jc w:val="both"/>
        <w:ind w:firstLine="872"/>
        <w:spacing w:after="0" w:line="272" w:lineRule="auto"/>
        <w:tabs>
          <w:tab w:leader="none" w:pos="1782"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Agreement Knowing and Voluntary</w:t>
      </w:r>
      <w:r>
        <w:rPr>
          <w:rFonts w:ascii="Arial" w:cs="Arial" w:eastAsia="Arial" w:hAnsi="Arial"/>
          <w:sz w:val="19"/>
          <w:szCs w:val="19"/>
          <w:color w:val="auto"/>
        </w:rPr>
        <w:t>. Employee is advised that Employee has the right to and should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consult with an attorney of Employee’s choice, at Employee’s expense, during the Consideration and/or Revocation Periods. By signing this Release, Employee acknowledges that Employee has had an adequate opportunity to consult with an attorney and consider this Release. Employee further acknowledges that Employee has carefully read and fully understands all the provisions of this Release, specifically including the General Release of Claims included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Release. Employee acknowledges that Employee is fully satisfied with the terms and conditions of this Release, including, without limitation, the Severance Pay received, or to be received, by Employee from the Company, which serves as adequate consideration to support Employee’s release of claims herein. Finally, Employee also acknowledges that Employee is voluntarily entering into this Release without any threat or coercion. If Employee chooses to revoke this Release within the Revocation Period, the Release shall become null and void, and Employee shall not be entitled to any of the Severance Pay and shall, to the extent already received, immediately return any such Severance Pay to the Company, as further required by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of the Transition Agreement. Should Employee not exercise Employee’s right to revoke this Release within seven (7) days of the date of execution, this Release shall be held in full force and effect, and each Party shall be obligated to comply with its requirements.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right"/>
        <w:ind w:right="1599"/>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Release as of the date below.</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1262380</wp:posOffset>
            </wp:positionH>
            <wp:positionV relativeFrom="paragraph">
              <wp:posOffset>-17780</wp:posOffset>
            </wp:positionV>
            <wp:extent cx="16459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Laurie Manning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ADDUS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290195</wp:posOffset>
            </wp:positionV>
            <wp:extent cx="1645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Title:</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39"/>
          </w:cols>
          <w:pgMar w:left="320" w:top="598"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AND NON-COMPETITION AGREEMENT</w:t>
      </w:r>
    </w:p>
    <w:p>
      <w:pPr>
        <w:spacing w:after="0" w:line="18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This AMENDED AND RESTATED EMPLOYMENT AND NON-COMPETITION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effective as of June 14,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Addus HealthCare, Inc., an Illinois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Roberton Stevenson, an individual domiciled in the State of Texas (the “</w:t>
      </w:r>
      <w:r>
        <w:rPr>
          <w:rFonts w:ascii="Arial" w:cs="Arial" w:eastAsia="Arial" w:hAnsi="Arial"/>
          <w:sz w:val="19"/>
          <w:szCs w:val="19"/>
          <w:u w:val="single" w:color="auto"/>
          <w:color w:val="auto"/>
        </w:rPr>
        <w:t>Executive</w:t>
      </w:r>
      <w:r>
        <w:rPr>
          <w:rFonts w:ascii="Arial" w:cs="Arial" w:eastAsia="Arial" w:hAnsi="Arial"/>
          <w:sz w:val="19"/>
          <w:szCs w:val="19"/>
          <w:color w:val="auto"/>
        </w:rPr>
        <w:t>”). The Company and Executive are hereinafter sometimes referred to individually as a “Party”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3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its parent and its subsidiaries (collectively, the “</w:t>
      </w:r>
      <w:r>
        <w:rPr>
          <w:rFonts w:ascii="Arial" w:cs="Arial" w:eastAsia="Arial" w:hAnsi="Arial"/>
          <w:sz w:val="22"/>
          <w:szCs w:val="22"/>
          <w:u w:val="single" w:color="auto"/>
          <w:color w:val="auto"/>
        </w:rPr>
        <w:t>Addus HealthCare Group</w:t>
      </w:r>
      <w:r>
        <w:rPr>
          <w:rFonts w:ascii="Arial" w:cs="Arial" w:eastAsia="Arial" w:hAnsi="Arial"/>
          <w:sz w:val="22"/>
          <w:szCs w:val="22"/>
          <w:color w:val="auto"/>
        </w:rPr>
        <w:t>”) provide home</w:t>
      </w:r>
      <w:r>
        <w:rPr>
          <w:rFonts w:ascii="Arial" w:cs="Arial" w:eastAsia="Arial" w:hAnsi="Arial"/>
          <w:sz w:val="22"/>
          <w:szCs w:val="22"/>
          <w:b w:val="1"/>
          <w:bCs w:val="1"/>
          <w:color w:val="auto"/>
        </w:rPr>
        <w:t xml:space="preserve"> </w:t>
      </w:r>
      <w:r>
        <w:rPr>
          <w:rFonts w:ascii="Arial" w:cs="Arial" w:eastAsia="Arial" w:hAnsi="Arial"/>
          <w:sz w:val="22"/>
          <w:szCs w:val="22"/>
          <w:color w:val="auto"/>
        </w:rPr>
        <w:t>care, home health and hospice services.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desire to enter this Agreement to secure the Executive’s employment, all on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herein;</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by virtue of the Executive’s employment by the Company pursuant to the terms hereof,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will obtain and become familiar with certain valuable confidential and proprietary information relating to the Addus HealthCare Group;</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set forth herein, the Parties, intending</w:t>
      </w:r>
      <w:r>
        <w:rPr>
          <w:rFonts w:ascii="Arial" w:cs="Arial" w:eastAsia="Arial" w:hAnsi="Arial"/>
          <w:sz w:val="22"/>
          <w:szCs w:val="22"/>
          <w:b w:val="1"/>
          <w:bCs w:val="1"/>
          <w:color w:val="auto"/>
        </w:rPr>
        <w:t xml:space="preserve"> </w:t>
      </w:r>
      <w:r>
        <w:rPr>
          <w:rFonts w:ascii="Arial" w:cs="Arial" w:eastAsia="Arial" w:hAnsi="Arial"/>
          <w:sz w:val="22"/>
          <w:szCs w:val="22"/>
          <w:color w:val="auto"/>
        </w:rPr>
        <w:t>to be legally bound, agree as follows:</w:t>
      </w:r>
    </w:p>
    <w:p>
      <w:pPr>
        <w:spacing w:after="0" w:line="162" w:lineRule="exact"/>
        <w:rPr>
          <w:sz w:val="20"/>
          <w:szCs w:val="20"/>
          <w:color w:val="auto"/>
        </w:rPr>
      </w:pPr>
    </w:p>
    <w:p>
      <w:pPr>
        <w:ind w:left="860" w:hanging="852"/>
        <w:spacing w:after="0"/>
        <w:tabs>
          <w:tab w:leader="none" w:pos="860"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Term of Employment.</w:t>
      </w:r>
    </w:p>
    <w:p>
      <w:pPr>
        <w:spacing w:after="0" w:line="212" w:lineRule="exact"/>
        <w:rPr>
          <w:rFonts w:ascii="Arial" w:cs="Arial" w:eastAsia="Arial" w:hAnsi="Arial"/>
          <w:sz w:val="22"/>
          <w:szCs w:val="22"/>
          <w:color w:val="auto"/>
        </w:rPr>
      </w:pPr>
    </w:p>
    <w:p>
      <w:pPr>
        <w:ind w:left="1700" w:hanging="842"/>
        <w:spacing w:after="0"/>
        <w:tabs>
          <w:tab w:leader="none" w:pos="17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This Agreement shall automatically become effective on the Effective Date.</w:t>
      </w:r>
    </w:p>
    <w:p>
      <w:pPr>
        <w:spacing w:after="0" w:line="206" w:lineRule="exact"/>
        <w:rPr>
          <w:rFonts w:ascii="Arial" w:cs="Arial" w:eastAsia="Arial" w:hAnsi="Arial"/>
          <w:sz w:val="22"/>
          <w:szCs w:val="22"/>
          <w:color w:val="auto"/>
        </w:rPr>
      </w:pPr>
    </w:p>
    <w:p>
      <w:pPr>
        <w:jc w:val="both"/>
        <w:ind w:left="1700" w:hanging="842"/>
        <w:spacing w:after="0" w:line="269" w:lineRule="auto"/>
        <w:tabs>
          <w:tab w:leader="none" w:pos="17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Company hereby employs the Executive, and the Executive hereby accepts employment by the Company, for the period commencing as of the Effective Date and ending on the first (1</w:t>
      </w:r>
      <w:r>
        <w:rPr>
          <w:rFonts w:ascii="Arial" w:cs="Arial" w:eastAsia="Arial" w:hAnsi="Arial"/>
          <w:sz w:val="12"/>
          <w:szCs w:val="12"/>
          <w:color w:val="auto"/>
        </w:rPr>
        <w:t>st</w:t>
      </w:r>
      <w:r>
        <w:rPr>
          <w:rFonts w:ascii="Arial" w:cs="Arial" w:eastAsia="Arial" w:hAnsi="Arial"/>
          <w:sz w:val="19"/>
          <w:szCs w:val="19"/>
          <w:color w:val="auto"/>
        </w:rPr>
        <w:t>) anniversary of the Effective Date, or on such earlier date as provided pursuant to the terms and conditions of this Agreement (the “</w:t>
      </w:r>
      <w:r>
        <w:rPr>
          <w:rFonts w:ascii="Arial" w:cs="Arial" w:eastAsia="Arial" w:hAnsi="Arial"/>
          <w:sz w:val="19"/>
          <w:szCs w:val="19"/>
          <w:u w:val="single" w:color="auto"/>
          <w:color w:val="auto"/>
        </w:rPr>
        <w:t>Initial Employment Term</w:t>
      </w:r>
      <w:r>
        <w:rPr>
          <w:rFonts w:ascii="Arial" w:cs="Arial" w:eastAsia="Arial" w:hAnsi="Arial"/>
          <w:sz w:val="19"/>
          <w:szCs w:val="19"/>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9"/>
          <w:szCs w:val="19"/>
          <w:u w:val="single" w:color="auto"/>
          <w:color w:val="auto"/>
        </w:rPr>
        <w:t>Additional Employment Term</w:t>
      </w:r>
      <w:r>
        <w:rPr>
          <w:rFonts w:ascii="Arial" w:cs="Arial" w:eastAsia="Arial" w:hAnsi="Arial"/>
          <w:sz w:val="19"/>
          <w:szCs w:val="19"/>
          <w:color w:val="auto"/>
        </w:rPr>
        <w:t>” and together with the Initial Employment Term, the “</w:t>
      </w:r>
      <w:r>
        <w:rPr>
          <w:rFonts w:ascii="Arial" w:cs="Arial" w:eastAsia="Arial" w:hAnsi="Arial"/>
          <w:sz w:val="19"/>
          <w:szCs w:val="19"/>
          <w:u w:val="single" w:color="auto"/>
          <w:color w:val="auto"/>
        </w:rPr>
        <w:t>Employment Term</w:t>
      </w:r>
      <w:r>
        <w:rPr>
          <w:rFonts w:ascii="Arial" w:cs="Arial" w:eastAsia="Arial" w:hAnsi="Arial"/>
          <w:sz w:val="19"/>
          <w:szCs w:val="19"/>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9"/>
          <w:szCs w:val="19"/>
          <w:u w:val="single" w:color="auto"/>
          <w:color w:val="auto"/>
        </w:rPr>
        <w:t>Non-Renewal</w:t>
      </w:r>
      <w:r>
        <w:rPr>
          <w:rFonts w:ascii="Arial" w:cs="Arial" w:eastAsia="Arial" w:hAnsi="Arial"/>
          <w:sz w:val="19"/>
          <w:szCs w:val="19"/>
          <w:color w:val="auto"/>
        </w:rPr>
        <w:t>”). During the Employment Term, the Executive shall</w:t>
      </w:r>
    </w:p>
    <w:p>
      <w:pPr>
        <w:spacing w:after="0" w:line="1" w:lineRule="exact"/>
        <w:rPr>
          <w:rFonts w:ascii="Arial" w:cs="Arial" w:eastAsia="Arial" w:hAnsi="Arial"/>
          <w:sz w:val="19"/>
          <w:szCs w:val="19"/>
          <w:color w:val="auto"/>
        </w:rPr>
      </w:pPr>
    </w:p>
    <w:p>
      <w:pPr>
        <w:jc w:val="both"/>
        <w:ind w:left="1700"/>
        <w:spacing w:after="0" w:line="244" w:lineRule="auto"/>
        <w:rPr>
          <w:rFonts w:ascii="Arial" w:cs="Arial" w:eastAsia="Arial" w:hAnsi="Arial"/>
          <w:sz w:val="19"/>
          <w:szCs w:val="19"/>
          <w:color w:val="auto"/>
        </w:rPr>
      </w:pPr>
      <w:r>
        <w:rPr>
          <w:rFonts w:ascii="Arial" w:cs="Arial" w:eastAsia="Arial" w:hAnsi="Arial"/>
          <w:sz w:val="21"/>
          <w:szCs w:val="21"/>
          <w:color w:val="auto"/>
        </w:rPr>
        <w:t>(i)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 To the extent it does not interfere with Executive’s duties hereunder in any material respect, the Parties agree that this provision should not be construed as limiting Executive’s right to serve on up to one (1) board of, or otherwise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1700" w:right="20"/>
        <w:spacing w:after="0" w:line="274" w:lineRule="auto"/>
        <w:rPr>
          <w:sz w:val="20"/>
          <w:szCs w:val="20"/>
          <w:color w:val="auto"/>
        </w:rPr>
      </w:pPr>
      <w:r>
        <w:rPr>
          <w:rFonts w:ascii="Arial" w:cs="Arial" w:eastAsia="Arial" w:hAnsi="Arial"/>
          <w:sz w:val="21"/>
          <w:szCs w:val="21"/>
          <w:color w:val="auto"/>
        </w:rPr>
        <w:t>in activities on behalf of, charitable and civic organizations and, upon prior written approval of the Company, one (1) board of a for profit entity that does not compete with the business of the Company.</w:t>
      </w:r>
    </w:p>
    <w:p>
      <w:pPr>
        <w:spacing w:after="0" w:line="145"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Duties.</w:t>
      </w:r>
    </w:p>
    <w:p>
      <w:pPr>
        <w:spacing w:after="0" w:line="21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During the Employment Term, the Company will employ the Executive as its Executive Vice President - Chief Human Resource Officer, a senior executive position that reports directly to the Chief Executive Officer (“</w:t>
      </w:r>
      <w:r>
        <w:rPr>
          <w:rFonts w:ascii="Arial" w:cs="Arial" w:eastAsia="Arial" w:hAnsi="Arial"/>
          <w:sz w:val="21"/>
          <w:szCs w:val="21"/>
          <w:u w:val="single" w:color="auto"/>
          <w:color w:val="auto"/>
        </w:rPr>
        <w:t>CEO</w:t>
      </w:r>
      <w:r>
        <w:rPr>
          <w:rFonts w:ascii="Arial" w:cs="Arial" w:eastAsia="Arial" w:hAnsi="Arial"/>
          <w:sz w:val="21"/>
          <w:szCs w:val="21"/>
          <w:color w:val="auto"/>
        </w:rPr>
        <w:t>”) of the Company. The Executive’s principal duties and responsibilities shall be to oversee and direct the operations of the Addus HealthCare Group including the management and delivery of home care and adult day care services and the performance of such other executive duties and responsibilities as may be assigned to him by the CEO or the Board of Directors and are consistent with the Executive’s position as Chief Human Resource Officer of the Company.</w:t>
      </w:r>
    </w:p>
    <w:p>
      <w:pPr>
        <w:spacing w:after="0" w:line="171"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Company will pay the Executive as follows during the Employment Term:</w:t>
      </w:r>
    </w:p>
    <w:p>
      <w:pPr>
        <w:spacing w:after="0" w:line="200" w:lineRule="exact"/>
        <w:rPr>
          <w:sz w:val="20"/>
          <w:szCs w:val="20"/>
          <w:color w:val="auto"/>
        </w:rPr>
      </w:pPr>
    </w:p>
    <w:p>
      <w:pPr>
        <w:ind w:left="1700" w:hanging="842"/>
        <w:spacing w:after="0"/>
        <w:tabs>
          <w:tab w:leader="none" w:pos="1700"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Salary</w:t>
      </w:r>
    </w:p>
    <w:p>
      <w:pPr>
        <w:spacing w:after="0" w:line="212" w:lineRule="exact"/>
        <w:rPr>
          <w:sz w:val="20"/>
          <w:szCs w:val="20"/>
          <w:color w:val="auto"/>
        </w:rPr>
      </w:pPr>
    </w:p>
    <w:p>
      <w:pPr>
        <w:ind w:left="1320" w:hanging="103"/>
        <w:spacing w:after="0"/>
        <w:tabs>
          <w:tab w:leader="none" w:pos="1320" w:val="left"/>
        </w:tabs>
        <w:numPr>
          <w:ilvl w:val="0"/>
          <w:numId w:val="42"/>
        </w:numPr>
        <w:rPr>
          <w:rFonts w:ascii="Arial" w:cs="Arial" w:eastAsia="Arial" w:hAnsi="Arial"/>
          <w:sz w:val="19"/>
          <w:szCs w:val="19"/>
          <w:b w:val="1"/>
          <w:bCs w:val="1"/>
          <w:color w:val="auto"/>
        </w:rPr>
      </w:pPr>
      <w:r>
        <w:rPr>
          <w:rFonts w:ascii="Arial" w:cs="Arial" w:eastAsia="Arial" w:hAnsi="Arial"/>
          <w:sz w:val="19"/>
          <w:szCs w:val="19"/>
          <w:color w:val="auto"/>
        </w:rPr>
        <w:t>The Company shall pay the Executive a base salary at the annual rate of Two Hundred Ninety Thousand Dollars</w:t>
      </w:r>
    </w:p>
    <w:p>
      <w:pPr>
        <w:spacing w:after="0" w:line="43" w:lineRule="exact"/>
        <w:rPr>
          <w:sz w:val="20"/>
          <w:szCs w:val="20"/>
          <w:color w:val="auto"/>
        </w:rPr>
      </w:pPr>
    </w:p>
    <w:p>
      <w:pPr>
        <w:jc w:val="center"/>
        <w:ind w:left="2060" w:right="40"/>
        <w:spacing w:after="0" w:line="232" w:lineRule="auto"/>
        <w:rPr>
          <w:sz w:val="20"/>
          <w:szCs w:val="20"/>
          <w:color w:val="auto"/>
        </w:rPr>
      </w:pPr>
      <w:r>
        <w:rPr>
          <w:rFonts w:ascii="Arial" w:cs="Arial" w:eastAsia="Arial" w:hAnsi="Arial"/>
          <w:sz w:val="22"/>
          <w:szCs w:val="22"/>
          <w:color w:val="auto"/>
        </w:rPr>
        <w:t>($290,000),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of the board of directors of Addus HomeCare Corporation (“</w:t>
      </w:r>
      <w:r>
        <w:rPr>
          <w:rFonts w:ascii="Arial" w:cs="Arial" w:eastAsia="Arial" w:hAnsi="Arial"/>
          <w:sz w:val="22"/>
          <w:szCs w:val="22"/>
          <w:u w:val="single" w:color="auto"/>
          <w:color w:val="auto"/>
        </w:rPr>
        <w:t>Addus HomeCare</w:t>
      </w:r>
      <w:r>
        <w:rPr>
          <w:rFonts w:ascii="Arial" w:cs="Arial" w:eastAsia="Arial" w:hAnsi="Arial"/>
          <w:sz w:val="22"/>
          <w:szCs w:val="22"/>
          <w:color w:val="auto"/>
        </w:rPr>
        <w:t>”)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on or about each anniversary of the Effective Date for each year during the Employment Term (as adjusted from time-to-time,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pacing w:after="0" w:line="183" w:lineRule="exact"/>
        <w:rPr>
          <w:sz w:val="20"/>
          <w:szCs w:val="20"/>
          <w:color w:val="auto"/>
        </w:rPr>
      </w:pPr>
    </w:p>
    <w:p>
      <w:pPr>
        <w:ind w:left="1700" w:hanging="842"/>
        <w:spacing w:after="0"/>
        <w:tabs>
          <w:tab w:leader="none" w:pos="170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w:t>
      </w:r>
    </w:p>
    <w:p>
      <w:pPr>
        <w:spacing w:after="0" w:line="212" w:lineRule="exact"/>
        <w:rPr>
          <w:sz w:val="20"/>
          <w:szCs w:val="20"/>
          <w:color w:val="auto"/>
        </w:rPr>
      </w:pPr>
    </w:p>
    <w:p>
      <w:pPr>
        <w:jc w:val="right"/>
        <w:ind w:left="2000" w:right="180" w:hanging="805"/>
        <w:spacing w:after="0" w:line="276" w:lineRule="auto"/>
        <w:tabs>
          <w:tab w:leader="none" w:pos="130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Executive, at the discretion of the Compensation Committee, shall be eligible (but not entitled) to receive an annual bonus as set forth on Exhibit A hereto. The Compensation Committee, at its sole discretion, may</w:t>
      </w:r>
    </w:p>
    <w:p>
      <w:pPr>
        <w:spacing w:after="0" w:line="1" w:lineRule="exact"/>
        <w:rPr>
          <w:sz w:val="20"/>
          <w:szCs w:val="20"/>
          <w:color w:val="auto"/>
        </w:rPr>
      </w:pPr>
    </w:p>
    <w:p>
      <w:pPr>
        <w:jc w:val="center"/>
        <w:ind w:left="2060"/>
        <w:spacing w:after="0" w:line="243" w:lineRule="auto"/>
        <w:rPr>
          <w:sz w:val="20"/>
          <w:szCs w:val="20"/>
          <w:color w:val="auto"/>
        </w:rPr>
      </w:pPr>
      <w:r>
        <w:rPr>
          <w:rFonts w:ascii="Arial" w:cs="Arial" w:eastAsia="Arial" w:hAnsi="Arial"/>
          <w:sz w:val="21"/>
          <w:szCs w:val="21"/>
          <w:color w:val="auto"/>
        </w:rPr>
        <w:t>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178" w:lineRule="exact"/>
        <w:rPr>
          <w:sz w:val="20"/>
          <w:szCs w:val="20"/>
          <w:color w:val="auto"/>
        </w:rPr>
      </w:pPr>
    </w:p>
    <w:p>
      <w:pPr>
        <w:ind w:left="1700" w:hanging="842"/>
        <w:spacing w:after="0"/>
        <w:tabs>
          <w:tab w:leader="none" w:pos="170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Awards</w:t>
      </w:r>
    </w:p>
    <w:p>
      <w:pPr>
        <w:spacing w:after="0" w:line="212" w:lineRule="exact"/>
        <w:rPr>
          <w:sz w:val="20"/>
          <w:szCs w:val="20"/>
          <w:color w:val="auto"/>
        </w:rPr>
      </w:pPr>
    </w:p>
    <w:p>
      <w:pPr>
        <w:ind w:left="1740" w:hanging="736"/>
        <w:spacing w:after="0" w:line="328" w:lineRule="auto"/>
        <w:tabs>
          <w:tab w:leader="none" w:pos="1136"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The Executive shall be eligible to receive equity awards and, as of the Effective Date, Executive would be issued options to acquire 23,000 unrestricted shares of Addus common stock and granted 2,300 restricted shares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ind w:left="1740"/>
        <w:spacing w:after="0" w:line="241" w:lineRule="auto"/>
        <w:rPr>
          <w:sz w:val="20"/>
          <w:szCs w:val="20"/>
          <w:color w:val="auto"/>
        </w:rPr>
      </w:pPr>
      <w:r>
        <w:rPr>
          <w:rFonts w:ascii="Arial" w:cs="Arial" w:eastAsia="Arial" w:hAnsi="Arial"/>
          <w:sz w:val="22"/>
          <w:szCs w:val="22"/>
          <w:color w:val="auto"/>
        </w:rPr>
        <w:t>Addus common stock (the “Initial Grants”). The Initial Grants vest annually over a four-year period, subject to the terms and conditions set forth in the Company’s stock incentive plan and the respective stock agreements.</w:t>
      </w:r>
    </w:p>
    <w:p>
      <w:pPr>
        <w:spacing w:after="0" w:line="178" w:lineRule="exact"/>
        <w:rPr>
          <w:sz w:val="20"/>
          <w:szCs w:val="20"/>
          <w:color w:val="auto"/>
        </w:rPr>
      </w:pPr>
    </w:p>
    <w:p>
      <w:pPr>
        <w:ind w:left="860" w:hanging="852"/>
        <w:spacing w:after="0"/>
        <w:tabs>
          <w:tab w:leader="none" w:pos="86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Expenses.</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182"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134" w:lineRule="exact"/>
        <w:rPr>
          <w:sz w:val="20"/>
          <w:szCs w:val="20"/>
          <w:color w:val="auto"/>
        </w:rPr>
      </w:pPr>
    </w:p>
    <w:p>
      <w:pPr>
        <w:jc w:val="both"/>
        <w:ind w:left="1700" w:hanging="842"/>
        <w:spacing w:after="0" w:line="252" w:lineRule="auto"/>
        <w:tabs>
          <w:tab w:leader="none" w:pos="17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Company has chosen to forgo a traditional sick or vacation accrual policy for its executives. Instead, executives may request Paid Time Off (PTO). Executives do not “accrue” PTO days as in traditional plans, and therefore will not be compensated for any unused PTO time upon separation of employment. The Company has discretion to approve or deny PTO requests under this program.</w:t>
      </w:r>
    </w:p>
    <w:p>
      <w:pPr>
        <w:spacing w:after="0" w:line="173" w:lineRule="exact"/>
        <w:rPr>
          <w:rFonts w:ascii="Arial" w:cs="Arial" w:eastAsia="Arial" w:hAnsi="Arial"/>
          <w:sz w:val="21"/>
          <w:szCs w:val="21"/>
          <w:color w:val="auto"/>
        </w:rPr>
      </w:pPr>
    </w:p>
    <w:p>
      <w:pPr>
        <w:ind w:left="1700" w:hanging="842"/>
        <w:spacing w:after="0"/>
        <w:tabs>
          <w:tab w:leader="none" w:pos="17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Six (6) Company holidays, plus two (2) floating holidays, per year.</w:t>
      </w:r>
    </w:p>
    <w:p>
      <w:pPr>
        <w:spacing w:after="0" w:line="206" w:lineRule="exact"/>
        <w:rPr>
          <w:rFonts w:ascii="Arial" w:cs="Arial" w:eastAsia="Arial" w:hAnsi="Arial"/>
          <w:sz w:val="22"/>
          <w:szCs w:val="22"/>
          <w:color w:val="auto"/>
        </w:rPr>
      </w:pPr>
    </w:p>
    <w:p>
      <w:pPr>
        <w:jc w:val="both"/>
        <w:ind w:left="1700" w:hanging="842"/>
        <w:spacing w:after="0" w:line="238" w:lineRule="auto"/>
        <w:tabs>
          <w:tab w:leader="none" w:pos="17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Coverage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184" w:lineRule="exact"/>
        <w:rPr>
          <w:rFonts w:ascii="Arial" w:cs="Arial" w:eastAsia="Arial" w:hAnsi="Arial"/>
          <w:sz w:val="22"/>
          <w:szCs w:val="22"/>
          <w:color w:val="auto"/>
        </w:rPr>
      </w:pPr>
    </w:p>
    <w:p>
      <w:pPr>
        <w:jc w:val="both"/>
        <w:ind w:left="1700" w:hanging="842"/>
        <w:spacing w:after="0"/>
        <w:tabs>
          <w:tab w:leader="none" w:pos="17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Life insurance policy with a face amount of up to five (5) times the Base Salary, provided that the Company shall not be required to spend greater than three percent (3%) of the Base Salary in purchasing such insurance policy.</w:t>
      </w:r>
    </w:p>
    <w:p>
      <w:pPr>
        <w:spacing w:after="0" w:line="186" w:lineRule="exact"/>
        <w:rPr>
          <w:rFonts w:ascii="Arial" w:cs="Arial" w:eastAsia="Arial" w:hAnsi="Arial"/>
          <w:sz w:val="22"/>
          <w:szCs w:val="22"/>
          <w:color w:val="auto"/>
        </w:rPr>
      </w:pPr>
    </w:p>
    <w:p>
      <w:pPr>
        <w:jc w:val="both"/>
        <w:ind w:left="1700" w:hanging="842"/>
        <w:spacing w:after="0"/>
        <w:tabs>
          <w:tab w:leader="none" w:pos="17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Short-term and long-term disability insurance to the same extent and according to the same terms as the Company’s other similarly-situated executives are covered, which may change, at the sole discretion of the Board of Directors, from time to time.</w:t>
      </w:r>
    </w:p>
    <w:p>
      <w:pPr>
        <w:spacing w:after="0" w:line="186" w:lineRule="exact"/>
        <w:rPr>
          <w:rFonts w:ascii="Arial" w:cs="Arial" w:eastAsia="Arial" w:hAnsi="Arial"/>
          <w:sz w:val="22"/>
          <w:szCs w:val="22"/>
          <w:color w:val="auto"/>
        </w:rPr>
      </w:pPr>
    </w:p>
    <w:p>
      <w:pPr>
        <w:ind w:left="1700" w:hanging="842"/>
        <w:spacing w:after="0" w:line="250" w:lineRule="auto"/>
        <w:tabs>
          <w:tab w:leader="none" w:pos="17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Tuition reimbursement shall be available for courses relevant to the Executive’s position and taken at an accredited institution, subject to prior approval by the Chief Executive Officer.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both"/>
        <w:ind w:left="1700" w:hanging="842"/>
        <w:spacing w:after="0" w:line="238" w:lineRule="auto"/>
        <w:tabs>
          <w:tab w:leader="none" w:pos="17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Participation in the Company’s 401(k) plan up to the defined Internal Revenue Service limit beginning 30 days after the Effective Date or such other date as required under the plan. The Company will annually match 6% of the Executive’s annual contribution to such plan during the Employment Term, subject to the Company’s established policies and procedures.</w:t>
      </w:r>
    </w:p>
    <w:p>
      <w:pPr>
        <w:spacing w:after="0" w:line="179" w:lineRule="exact"/>
        <w:rPr>
          <w:rFonts w:ascii="Arial" w:cs="Arial" w:eastAsia="Arial" w:hAnsi="Arial"/>
          <w:sz w:val="22"/>
          <w:szCs w:val="22"/>
          <w:color w:val="auto"/>
        </w:rPr>
      </w:pPr>
    </w:p>
    <w:p>
      <w:pPr>
        <w:ind w:left="860" w:hanging="852"/>
        <w:spacing w:after="0"/>
        <w:tabs>
          <w:tab w:leader="none" w:pos="86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by the Company.</w:t>
      </w:r>
    </w:p>
    <w:p>
      <w:pPr>
        <w:spacing w:after="0" w:line="212"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Company may terminate the Executive’s employment hereunder at any time for Reasonable Cause. The term “Reasonable Cause” shall be limited to the following:</w:t>
      </w:r>
    </w:p>
    <w:p>
      <w:pPr>
        <w:spacing w:after="0" w:line="174" w:lineRule="exact"/>
        <w:rPr>
          <w:rFonts w:ascii="Arial" w:cs="Arial" w:eastAsia="Arial" w:hAnsi="Arial"/>
          <w:sz w:val="22"/>
          <w:szCs w:val="22"/>
          <w:color w:val="auto"/>
        </w:rPr>
      </w:pPr>
    </w:p>
    <w:p>
      <w:pPr>
        <w:jc w:val="both"/>
        <w:ind w:left="1740" w:hanging="5"/>
        <w:spacing w:after="0" w:line="246" w:lineRule="auto"/>
        <w:tabs>
          <w:tab w:leader="none" w:pos="2592" w:val="left"/>
        </w:tabs>
        <w:numPr>
          <w:ilvl w:val="2"/>
          <w:numId w:val="51"/>
        </w:numPr>
        <w:rPr>
          <w:rFonts w:ascii="Arial" w:cs="Arial" w:eastAsia="Arial" w:hAnsi="Arial"/>
          <w:sz w:val="21"/>
          <w:szCs w:val="21"/>
          <w:color w:val="auto"/>
        </w:rPr>
      </w:pPr>
      <w:r>
        <w:rPr>
          <w:rFonts w:ascii="Arial" w:cs="Arial" w:eastAsia="Arial" w:hAnsi="Arial"/>
          <w:sz w:val="21"/>
          <w:szCs w:val="21"/>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179" w:lineRule="exact"/>
        <w:rPr>
          <w:rFonts w:ascii="Arial" w:cs="Arial" w:eastAsia="Arial" w:hAnsi="Arial"/>
          <w:sz w:val="21"/>
          <w:szCs w:val="21"/>
          <w:color w:val="auto"/>
        </w:rPr>
      </w:pPr>
    </w:p>
    <w:p>
      <w:pPr>
        <w:ind w:left="1740" w:right="20" w:hanging="5"/>
        <w:spacing w:after="0" w:line="250" w:lineRule="auto"/>
        <w:tabs>
          <w:tab w:leader="none" w:pos="26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Willfully engaging in any action that materially damages, or that may reasonably be expected to materially damage, the Addus HealthCare Group or the business or goodwill thereof;</w:t>
      </w:r>
    </w:p>
    <w:p>
      <w:pPr>
        <w:spacing w:after="0" w:line="174" w:lineRule="exact"/>
        <w:rPr>
          <w:rFonts w:ascii="Arial" w:cs="Arial" w:eastAsia="Arial" w:hAnsi="Arial"/>
          <w:sz w:val="22"/>
          <w:szCs w:val="22"/>
          <w:color w:val="auto"/>
        </w:rPr>
      </w:pPr>
    </w:p>
    <w:p>
      <w:pPr>
        <w:ind w:left="2700" w:hanging="965"/>
        <w:spacing w:after="0"/>
        <w:tabs>
          <w:tab w:leader="none" w:pos="2700" w:val="left"/>
        </w:tabs>
        <w:numPr>
          <w:ilvl w:val="2"/>
          <w:numId w:val="51"/>
        </w:numPr>
        <w:rPr>
          <w:rFonts w:ascii="Arial" w:cs="Arial" w:eastAsia="Arial" w:hAnsi="Arial"/>
          <w:sz w:val="22"/>
          <w:szCs w:val="22"/>
          <w:color w:val="auto"/>
        </w:rPr>
      </w:pPr>
      <w:r>
        <w:rPr>
          <w:rFonts w:ascii="Arial" w:cs="Arial" w:eastAsia="Arial" w:hAnsi="Arial"/>
          <w:sz w:val="22"/>
          <w:szCs w:val="22"/>
          <w:color w:val="auto"/>
        </w:rPr>
        <w:t>Breaching the Executive’s fiduciary duty to the Addus HealthCare Group;</w:t>
      </w:r>
    </w:p>
    <w:p>
      <w:pPr>
        <w:spacing w:after="0" w:line="206" w:lineRule="exact"/>
        <w:rPr>
          <w:rFonts w:ascii="Arial" w:cs="Arial" w:eastAsia="Arial" w:hAnsi="Arial"/>
          <w:sz w:val="22"/>
          <w:szCs w:val="22"/>
          <w:color w:val="auto"/>
        </w:rPr>
      </w:pPr>
    </w:p>
    <w:p>
      <w:pPr>
        <w:jc w:val="both"/>
        <w:ind w:left="1740" w:hanging="5"/>
        <w:spacing w:after="0" w:line="257" w:lineRule="auto"/>
        <w:tabs>
          <w:tab w:leader="none" w:pos="2700" w:val="left"/>
        </w:tabs>
        <w:numPr>
          <w:ilvl w:val="2"/>
          <w:numId w:val="51"/>
        </w:numPr>
        <w:rPr>
          <w:rFonts w:ascii="Arial" w:cs="Arial" w:eastAsia="Arial" w:hAnsi="Arial"/>
          <w:sz w:val="21"/>
          <w:szCs w:val="21"/>
          <w:color w:val="auto"/>
        </w:rPr>
      </w:pPr>
      <w:r>
        <w:rPr>
          <w:rFonts w:ascii="Arial" w:cs="Arial" w:eastAsia="Arial" w:hAnsi="Arial"/>
          <w:sz w:val="21"/>
          <w:szCs w:val="21"/>
          <w:color w:val="auto"/>
        </w:rPr>
        <w:t>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spacing w:after="0" w:line="169" w:lineRule="exact"/>
        <w:rPr>
          <w:rFonts w:ascii="Arial" w:cs="Arial" w:eastAsia="Arial" w:hAnsi="Arial"/>
          <w:sz w:val="21"/>
          <w:szCs w:val="21"/>
          <w:color w:val="auto"/>
        </w:rPr>
      </w:pPr>
    </w:p>
    <w:p>
      <w:pPr>
        <w:ind w:left="2640" w:hanging="905"/>
        <w:spacing w:after="0"/>
        <w:tabs>
          <w:tab w:leader="none" w:pos="2640" w:val="left"/>
        </w:tabs>
        <w:numPr>
          <w:ilvl w:val="2"/>
          <w:numId w:val="51"/>
        </w:numPr>
        <w:rPr>
          <w:rFonts w:ascii="Arial" w:cs="Arial" w:eastAsia="Arial" w:hAnsi="Arial"/>
          <w:sz w:val="22"/>
          <w:szCs w:val="22"/>
          <w:color w:val="auto"/>
        </w:rPr>
      </w:pPr>
      <w:r>
        <w:rPr>
          <w:rFonts w:ascii="Arial" w:cs="Arial" w:eastAsia="Arial" w:hAnsi="Arial"/>
          <w:sz w:val="22"/>
          <w:szCs w:val="22"/>
          <w:color w:val="auto"/>
        </w:rPr>
        <w:t>Gross negligence or willful misconduct by the Executive;</w:t>
      </w:r>
    </w:p>
    <w:p>
      <w:pPr>
        <w:spacing w:after="0" w:line="206" w:lineRule="exact"/>
        <w:rPr>
          <w:rFonts w:ascii="Arial" w:cs="Arial" w:eastAsia="Arial" w:hAnsi="Arial"/>
          <w:sz w:val="22"/>
          <w:szCs w:val="22"/>
          <w:color w:val="auto"/>
        </w:rPr>
      </w:pPr>
    </w:p>
    <w:p>
      <w:pPr>
        <w:ind w:left="1740" w:hanging="5"/>
        <w:spacing w:after="0" w:line="250" w:lineRule="auto"/>
        <w:tabs>
          <w:tab w:leader="none" w:pos="270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Committing acts constituting gross insubordination, such as, without limitation, the intentional disregard of any reasonable directive of the CEO or the Board of Directors; or</w:t>
      </w:r>
    </w:p>
    <w:p>
      <w:pPr>
        <w:spacing w:after="0" w:line="174" w:lineRule="exact"/>
        <w:rPr>
          <w:rFonts w:ascii="Arial" w:cs="Arial" w:eastAsia="Arial" w:hAnsi="Arial"/>
          <w:sz w:val="22"/>
          <w:szCs w:val="22"/>
          <w:color w:val="auto"/>
        </w:rPr>
      </w:pPr>
    </w:p>
    <w:p>
      <w:pPr>
        <w:jc w:val="both"/>
        <w:ind w:left="1740" w:hanging="5"/>
        <w:spacing w:after="0" w:line="235" w:lineRule="auto"/>
        <w:tabs>
          <w:tab w:leader="none" w:pos="2760" w:val="left"/>
        </w:tabs>
        <w:numPr>
          <w:ilvl w:val="2"/>
          <w:numId w:val="51"/>
        </w:numPr>
        <w:rPr>
          <w:rFonts w:ascii="Arial" w:cs="Arial" w:eastAsia="Arial" w:hAnsi="Arial"/>
          <w:sz w:val="22"/>
          <w:szCs w:val="22"/>
          <w:color w:val="auto"/>
        </w:rPr>
      </w:pPr>
      <w:r>
        <w:rPr>
          <w:rFonts w:ascii="Arial" w:cs="Arial" w:eastAsia="Arial" w:hAnsi="Arial"/>
          <w:sz w:val="22"/>
          <w:szCs w:val="22"/>
          <w:color w:val="auto"/>
        </w:rPr>
        <w:t>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days within which the performance deficiency must be cured to the reasonable satisfaction of the CEO or the Board of Directors, as applicable, in order to prevent a termination for reasonable cause; provided, however, that the Executive shall only be permitted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ind w:left="1740"/>
        <w:spacing w:after="0" w:line="251" w:lineRule="auto"/>
        <w:rPr>
          <w:sz w:val="20"/>
          <w:szCs w:val="20"/>
          <w:color w:val="auto"/>
        </w:rPr>
      </w:pPr>
      <w:r>
        <w:rPr>
          <w:rFonts w:ascii="Arial" w:cs="Arial" w:eastAsia="Arial" w:hAnsi="Arial"/>
          <w:sz w:val="22"/>
          <w:szCs w:val="22"/>
          <w:color w:val="auto"/>
        </w:rPr>
        <w:t>the opportunity to cure such performance deficiencies a total of two times in any twelve (12)-month rolling period.</w:t>
      </w:r>
    </w:p>
    <w:p>
      <w:pPr>
        <w:spacing w:after="0" w:line="173" w:lineRule="exact"/>
        <w:rPr>
          <w:sz w:val="20"/>
          <w:szCs w:val="20"/>
          <w:color w:val="auto"/>
        </w:rPr>
      </w:pPr>
    </w:p>
    <w:p>
      <w:pPr>
        <w:jc w:val="both"/>
        <w:ind w:left="1700" w:hanging="842"/>
        <w:spacing w:after="0" w:line="279" w:lineRule="auto"/>
        <w:tabs>
          <w:tab w:leader="none" w:pos="17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9"/>
          <w:szCs w:val="19"/>
          <w:u w:val="single" w:color="auto"/>
          <w:color w:val="auto"/>
        </w:rPr>
        <w:t>Disability</w:t>
      </w:r>
      <w:r>
        <w:rPr>
          <w:rFonts w:ascii="Arial" w:cs="Arial" w:eastAsia="Arial" w:hAnsi="Arial"/>
          <w:sz w:val="19"/>
          <w:szCs w:val="19"/>
          <w:color w:val="auto"/>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150" w:lineRule="exact"/>
        <w:rPr>
          <w:rFonts w:ascii="Arial" w:cs="Arial" w:eastAsia="Arial" w:hAnsi="Arial"/>
          <w:sz w:val="19"/>
          <w:szCs w:val="19"/>
          <w:color w:val="auto"/>
        </w:rPr>
      </w:pPr>
    </w:p>
    <w:p>
      <w:pPr>
        <w:ind w:left="1700" w:hanging="842"/>
        <w:spacing w:after="0" w:line="250" w:lineRule="auto"/>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Company may terminate the Executive’s employment hereunder at any time for any other reason, or for no reason.</w:t>
      </w:r>
    </w:p>
    <w:p>
      <w:pPr>
        <w:spacing w:after="0" w:line="174" w:lineRule="exact"/>
        <w:rPr>
          <w:rFonts w:ascii="Arial" w:cs="Arial" w:eastAsia="Arial" w:hAnsi="Arial"/>
          <w:sz w:val="22"/>
          <w:szCs w:val="22"/>
          <w:color w:val="auto"/>
        </w:rPr>
      </w:pPr>
    </w:p>
    <w:p>
      <w:pPr>
        <w:jc w:val="both"/>
        <w:ind w:left="1700" w:hanging="842"/>
        <w:spacing w:after="0"/>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80" w:lineRule="exact"/>
        <w:rPr>
          <w:rFonts w:ascii="Arial" w:cs="Arial" w:eastAsia="Arial" w:hAnsi="Arial"/>
          <w:sz w:val="22"/>
          <w:szCs w:val="22"/>
          <w:color w:val="auto"/>
        </w:rPr>
      </w:pPr>
    </w:p>
    <w:p>
      <w:pPr>
        <w:ind w:left="860" w:hanging="852"/>
        <w:spacing w:after="0"/>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by the Executive.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Executive may terminate his employment with the Company (a) for Good Reason (as defined below) or</w:t>
      </w:r>
    </w:p>
    <w:p>
      <w:pPr>
        <w:spacing w:after="0" w:line="20" w:lineRule="exact"/>
        <w:rPr>
          <w:sz w:val="20"/>
          <w:szCs w:val="20"/>
          <w:color w:val="auto"/>
        </w:rPr>
      </w:pPr>
    </w:p>
    <w:p>
      <w:pPr>
        <w:jc w:val="both"/>
        <w:ind w:firstLine="8"/>
        <w:spacing w:after="0" w:line="243" w:lineRule="auto"/>
        <w:tabs>
          <w:tab w:leader="none" w:pos="343"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without Good Reason, in each case, upon not less than thirty (30) days prior written notice to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that after the receipt of such notice, the Company may, in its discretion accelerate the effective date of such termination</w:t>
      </w:r>
      <w:r>
        <w:rPr>
          <w:rFonts w:ascii="Arial" w:cs="Arial" w:eastAsia="Arial" w:hAnsi="Arial"/>
          <w:sz w:val="21"/>
          <w:szCs w:val="21"/>
          <w:i w:val="1"/>
          <w:iCs w:val="1"/>
          <w:color w:val="auto"/>
        </w:rPr>
        <w:t xml:space="preserve"> </w:t>
      </w:r>
      <w:r>
        <w:rPr>
          <w:rFonts w:ascii="Arial" w:cs="Arial" w:eastAsia="Arial" w:hAnsi="Arial"/>
          <w:sz w:val="21"/>
          <w:szCs w:val="21"/>
          <w:color w:val="auto"/>
        </w:rPr>
        <w:t>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21"/>
          <w:szCs w:val="21"/>
          <w:u w:val="single" w:color="auto"/>
          <w:color w:val="auto"/>
        </w:rPr>
        <w:t>Good Reason</w:t>
      </w:r>
      <w:r>
        <w:rPr>
          <w:rFonts w:ascii="Arial" w:cs="Arial" w:eastAsia="Arial" w:hAnsi="Arial"/>
          <w:sz w:val="21"/>
          <w:szCs w:val="21"/>
          <w:color w:val="auto"/>
        </w:rPr>
        <w:t>” means (i) any reduction in the Executive’s Base Salary, (ii) any material reduction to the Executive’s employment duties and responsibilities, (iii) any material breach by the Company of any material term of this Agreement, other than a breach which is remedied by the Company within 10 days after receipt of written notice given by the Executive, (iv) a change in the Executive’s direct reporting duty to a person other than the CEO of the Company or the Board of Directors; or (v) the relocation of the Executive’s principal office to a location more than fifty (50) miles from Frisco, Texas.</w:t>
      </w:r>
    </w:p>
    <w:p>
      <w:pPr>
        <w:spacing w:after="0" w:line="177"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and Obligations Upon Termination.</w:t>
      </w:r>
    </w:p>
    <w:p>
      <w:pPr>
        <w:spacing w:after="0" w:line="212" w:lineRule="exact"/>
        <w:rPr>
          <w:rFonts w:ascii="Arial" w:cs="Arial" w:eastAsia="Arial" w:hAnsi="Arial"/>
          <w:sz w:val="22"/>
          <w:szCs w:val="22"/>
          <w:color w:val="auto"/>
        </w:rPr>
      </w:pPr>
    </w:p>
    <w:p>
      <w:pPr>
        <w:jc w:val="both"/>
        <w:ind w:left="1700" w:hanging="842"/>
        <w:spacing w:after="0" w:line="238" w:lineRule="auto"/>
        <w:tabs>
          <w:tab w:leader="none" w:pos="17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185" w:lineRule="exact"/>
        <w:rPr>
          <w:sz w:val="20"/>
          <w:szCs w:val="20"/>
          <w:color w:val="auto"/>
        </w:rPr>
      </w:pPr>
    </w:p>
    <w:p>
      <w:pPr>
        <w:ind w:left="1740" w:hanging="5"/>
        <w:spacing w:after="0" w:line="250" w:lineRule="auto"/>
        <w:tabs>
          <w:tab w:leader="none" w:pos="2592"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unpaid Base Salary under Section 3(a) hereof for any period prior to the effective date of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left="882" w:right="20" w:hanging="5"/>
        <w:spacing w:after="0" w:line="251" w:lineRule="auto"/>
        <w:tabs>
          <w:tab w:leader="none" w:pos="179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accrued but unpaid benefits under Section 5 hereof for any period prior to the effective date of termination; and</w:t>
      </w:r>
    </w:p>
    <w:p>
      <w:pPr>
        <w:spacing w:after="0" w:line="173" w:lineRule="exact"/>
        <w:rPr>
          <w:rFonts w:ascii="Arial" w:cs="Arial" w:eastAsia="Arial" w:hAnsi="Arial"/>
          <w:sz w:val="22"/>
          <w:szCs w:val="22"/>
          <w:color w:val="auto"/>
        </w:rPr>
      </w:pPr>
    </w:p>
    <w:p>
      <w:pPr>
        <w:ind w:left="882" w:hanging="5"/>
        <w:spacing w:after="0" w:line="250" w:lineRule="auto"/>
        <w:tabs>
          <w:tab w:leader="none" w:pos="18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case of termination pursuant to Section 6(b), eligibility for life or disability insurance benefits described in Sections 5(e) or (f), as applicable.</w:t>
      </w:r>
    </w:p>
    <w:p>
      <w:pPr>
        <w:spacing w:after="0" w:line="175" w:lineRule="exact"/>
        <w:rPr>
          <w:sz w:val="20"/>
          <w:szCs w:val="20"/>
          <w:color w:val="auto"/>
        </w:rPr>
      </w:pPr>
    </w:p>
    <w:p>
      <w:pPr>
        <w:ind w:left="882"/>
        <w:spacing w:after="0" w:line="250" w:lineRule="auto"/>
        <w:rPr>
          <w:sz w:val="20"/>
          <w:szCs w:val="20"/>
          <w:color w:val="auto"/>
        </w:rPr>
      </w:pPr>
      <w:r>
        <w:rPr>
          <w:rFonts w:ascii="Arial" w:cs="Arial" w:eastAsia="Arial" w:hAnsi="Arial"/>
          <w:sz w:val="22"/>
          <w:szCs w:val="22"/>
          <w:color w:val="auto"/>
        </w:rPr>
        <w:t>Such payments shall be made to the Executive whether or not the Company chooses to utilize the services of the Executive for the required notice period specified in Section 7.</w:t>
      </w:r>
    </w:p>
    <w:p>
      <w:pPr>
        <w:spacing w:after="0" w:line="175" w:lineRule="exact"/>
        <w:rPr>
          <w:sz w:val="20"/>
          <w:szCs w:val="20"/>
          <w:color w:val="auto"/>
        </w:rPr>
      </w:pPr>
    </w:p>
    <w:p>
      <w:pPr>
        <w:jc w:val="both"/>
        <w:ind w:left="842" w:hanging="842"/>
        <w:spacing w:after="0"/>
        <w:tabs>
          <w:tab w:leader="none" w:pos="84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86" w:lineRule="exact"/>
        <w:rPr>
          <w:rFonts w:ascii="Arial" w:cs="Arial" w:eastAsia="Arial" w:hAnsi="Arial"/>
          <w:sz w:val="22"/>
          <w:szCs w:val="22"/>
          <w:color w:val="auto"/>
        </w:rPr>
      </w:pPr>
    </w:p>
    <w:p>
      <w:pPr>
        <w:ind w:left="882" w:hanging="5"/>
        <w:spacing w:after="0" w:line="250" w:lineRule="auto"/>
        <w:tabs>
          <w:tab w:leader="none" w:pos="1733"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unpaid Base Salary under Section 3(a) hereof for any period prior to the effective date of termination;</w:t>
      </w:r>
    </w:p>
    <w:p>
      <w:pPr>
        <w:spacing w:after="0" w:line="174" w:lineRule="exact"/>
        <w:rPr>
          <w:rFonts w:ascii="Arial" w:cs="Arial" w:eastAsia="Arial" w:hAnsi="Arial"/>
          <w:sz w:val="22"/>
          <w:szCs w:val="22"/>
          <w:color w:val="auto"/>
        </w:rPr>
      </w:pPr>
    </w:p>
    <w:p>
      <w:pPr>
        <w:jc w:val="both"/>
        <w:ind w:left="882" w:hanging="5"/>
        <w:spacing w:after="0" w:line="249" w:lineRule="auto"/>
        <w:tabs>
          <w:tab w:leader="none" w:pos="1793" w:val="left"/>
        </w:tabs>
        <w:numPr>
          <w:ilvl w:val="1"/>
          <w:numId w:val="58"/>
        </w:numPr>
        <w:rPr>
          <w:rFonts w:ascii="Arial" w:cs="Arial" w:eastAsia="Arial" w:hAnsi="Arial"/>
          <w:sz w:val="21"/>
          <w:szCs w:val="21"/>
          <w:color w:val="auto"/>
        </w:rPr>
      </w:pPr>
      <w:r>
        <w:rPr>
          <w:rFonts w:ascii="Arial" w:cs="Arial" w:eastAsia="Arial" w:hAnsi="Arial"/>
          <w:sz w:val="21"/>
          <w:szCs w:val="21"/>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178" w:lineRule="exact"/>
        <w:rPr>
          <w:rFonts w:ascii="Arial" w:cs="Arial" w:eastAsia="Arial" w:hAnsi="Arial"/>
          <w:sz w:val="21"/>
          <w:szCs w:val="21"/>
          <w:color w:val="auto"/>
        </w:rPr>
      </w:pPr>
    </w:p>
    <w:p>
      <w:pPr>
        <w:ind w:left="882" w:right="20" w:hanging="5"/>
        <w:spacing w:after="0" w:line="250" w:lineRule="auto"/>
        <w:tabs>
          <w:tab w:leader="none" w:pos="1853"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accrued but unpaid benefits under Section 5 hereof for any period prior to the effective date of termination, in accordance with the terms of the applicable plan or arrangement;</w:t>
      </w:r>
    </w:p>
    <w:p>
      <w:pPr>
        <w:spacing w:after="0" w:line="174" w:lineRule="exact"/>
        <w:rPr>
          <w:rFonts w:ascii="Arial" w:cs="Arial" w:eastAsia="Arial" w:hAnsi="Arial"/>
          <w:sz w:val="22"/>
          <w:szCs w:val="22"/>
          <w:color w:val="auto"/>
        </w:rPr>
      </w:pPr>
    </w:p>
    <w:p>
      <w:pPr>
        <w:jc w:val="both"/>
        <w:ind w:left="882" w:hanging="5"/>
        <w:spacing w:after="0" w:line="273" w:lineRule="auto"/>
        <w:tabs>
          <w:tab w:leader="none" w:pos="1841" w:val="left"/>
        </w:tabs>
        <w:numPr>
          <w:ilvl w:val="1"/>
          <w:numId w:val="58"/>
        </w:numPr>
        <w:rPr>
          <w:rFonts w:ascii="Arial" w:cs="Arial" w:eastAsia="Arial" w:hAnsi="Arial"/>
          <w:sz w:val="19"/>
          <w:szCs w:val="19"/>
          <w:color w:val="auto"/>
        </w:rPr>
      </w:pPr>
      <w:r>
        <w:rPr>
          <w:rFonts w:ascii="Arial" w:cs="Arial" w:eastAsia="Arial" w:hAnsi="Arial"/>
          <w:sz w:val="19"/>
          <w:szCs w:val="19"/>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Severance Pay</w:t>
      </w:r>
      <w:r>
        <w:rPr>
          <w:rFonts w:ascii="Arial" w:cs="Arial" w:eastAsia="Arial" w:hAnsi="Arial"/>
          <w:sz w:val="19"/>
          <w:szCs w:val="19"/>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55" w:lineRule="exact"/>
        <w:rPr>
          <w:sz w:val="20"/>
          <w:szCs w:val="20"/>
          <w:color w:val="auto"/>
        </w:rPr>
      </w:pPr>
    </w:p>
    <w:p>
      <w:pPr>
        <w:ind w:left="882" w:right="20"/>
        <w:spacing w:after="0" w:line="250"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Base Cash Compensation</w:t>
      </w:r>
      <w:r>
        <w:rPr>
          <w:rFonts w:ascii="Arial" w:cs="Arial" w:eastAsia="Arial" w:hAnsi="Arial"/>
          <w:sz w:val="22"/>
          <w:szCs w:val="22"/>
          <w:color w:val="auto"/>
        </w:rPr>
        <w:t>” shall mean the highest annual Base Salary in effect for the Executive.</w:t>
      </w:r>
    </w:p>
    <w:p>
      <w:pPr>
        <w:spacing w:after="0" w:line="175"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8" w:right="339" w:bottom="1440" w:gutter="0" w:footer="0" w:header="0"/>
        </w:sectPr>
      </w:pPr>
    </w:p>
    <w:bookmarkStart w:id="57" w:name="page58"/>
    <w:bookmarkEnd w:id="57"/>
    <w:p>
      <w:pPr>
        <w:jc w:val="both"/>
        <w:ind w:left="842" w:hanging="842"/>
        <w:spacing w:after="0" w:line="268" w:lineRule="auto"/>
        <w:tabs>
          <w:tab w:leader="none" w:pos="842"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9"/>
          <w:szCs w:val="19"/>
          <w:u w:val="single" w:color="auto"/>
          <w:color w:val="auto"/>
        </w:rPr>
        <w:t>Change of Control Severance Pay</w:t>
      </w:r>
      <w:r>
        <w:rPr>
          <w:rFonts w:ascii="Arial" w:cs="Arial" w:eastAsia="Arial" w:hAnsi="Arial"/>
          <w:sz w:val="19"/>
          <w:szCs w:val="19"/>
          <w:color w:val="auto"/>
        </w:rPr>
        <w:t>” and, together with Base Severance Pay, “</w:t>
      </w:r>
      <w:r>
        <w:rPr>
          <w:rFonts w:ascii="Arial" w:cs="Arial" w:eastAsia="Arial" w:hAnsi="Arial"/>
          <w:sz w:val="19"/>
          <w:szCs w:val="19"/>
          <w:u w:val="single" w:color="auto"/>
          <w:color w:val="auto"/>
        </w:rPr>
        <w:t>Severance Pay</w:t>
      </w:r>
      <w:r>
        <w:rPr>
          <w:rFonts w:ascii="Arial" w:cs="Arial" w:eastAsia="Arial" w:hAnsi="Arial"/>
          <w:sz w:val="19"/>
          <w:szCs w:val="19"/>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8" w:right="339" w:bottom="1440" w:gutter="0" w:footer="0" w:header="0"/>
        </w:sectPr>
      </w:pPr>
    </w:p>
    <w:bookmarkStart w:id="58" w:name="page59"/>
    <w:bookmarkEnd w:id="58"/>
    <w:p>
      <w:pPr>
        <w:jc w:val="both"/>
        <w:ind w:left="1740"/>
        <w:spacing w:after="0" w:line="236"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Annual Cash Compensation</w:t>
      </w:r>
      <w:r>
        <w:rPr>
          <w:rFonts w:ascii="Arial" w:cs="Arial" w:eastAsia="Arial" w:hAnsi="Arial"/>
          <w:sz w:val="22"/>
          <w:szCs w:val="22"/>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188" w:lineRule="exact"/>
        <w:rPr>
          <w:sz w:val="20"/>
          <w:szCs w:val="20"/>
          <w:color w:val="auto"/>
        </w:rPr>
      </w:pPr>
    </w:p>
    <w:p>
      <w:pPr>
        <w:jc w:val="both"/>
        <w:ind w:left="1700" w:hanging="842"/>
        <w:spacing w:after="0" w:line="245" w:lineRule="auto"/>
        <w:tabs>
          <w:tab w:leader="none" w:pos="17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21"/>
          <w:szCs w:val="21"/>
          <w:u w:val="single" w:color="auto"/>
          <w:color w:val="auto"/>
        </w:rPr>
        <w:t>Code §409A</w:t>
      </w:r>
      <w:r>
        <w:rPr>
          <w:rFonts w:ascii="Arial" w:cs="Arial" w:eastAsia="Arial" w:hAnsi="Arial"/>
          <w:sz w:val="21"/>
          <w:szCs w:val="21"/>
          <w:color w:val="auto"/>
        </w:rPr>
        <w:t>”) and (ii) conditioned upon the release, shall be made before the first day of the second calendar year, regardless of when the release is actually executed and returned to the Company.</w:t>
      </w:r>
    </w:p>
    <w:p>
      <w:pPr>
        <w:spacing w:after="0" w:line="174" w:lineRule="exact"/>
        <w:rPr>
          <w:rFonts w:ascii="Arial" w:cs="Arial" w:eastAsia="Arial" w:hAnsi="Arial"/>
          <w:sz w:val="21"/>
          <w:szCs w:val="21"/>
          <w:color w:val="auto"/>
        </w:rPr>
      </w:pPr>
    </w:p>
    <w:p>
      <w:pPr>
        <w:ind w:left="860" w:hanging="852"/>
        <w:spacing w:after="0"/>
        <w:tabs>
          <w:tab w:leader="none" w:pos="86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Covenants of the Executive.</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1"/>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Conflicts</w:t>
      </w:r>
    </w:p>
    <w:p>
      <w:pPr>
        <w:spacing w:after="0" w:line="212" w:lineRule="exact"/>
        <w:rPr>
          <w:sz w:val="20"/>
          <w:szCs w:val="20"/>
          <w:color w:val="auto"/>
        </w:rPr>
      </w:pPr>
    </w:p>
    <w:p>
      <w:pPr>
        <w:ind w:left="880" w:right="500" w:hanging="806"/>
        <w:spacing w:after="0" w:line="274" w:lineRule="auto"/>
        <w:tabs>
          <w:tab w:leader="none" w:pos="191"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The Executive represents and warrants that he is not personally subject to any agreement, order, or decree that restricts his acceptance of this Agreement and performance of his duties with the Company hereunder.</w:t>
      </w:r>
    </w:p>
    <w:p>
      <w:pPr>
        <w:spacing w:after="0" w:line="144" w:lineRule="exact"/>
        <w:rPr>
          <w:rFonts w:ascii="Arial" w:cs="Arial" w:eastAsia="Arial" w:hAnsi="Arial"/>
          <w:sz w:val="21"/>
          <w:szCs w:val="21"/>
          <w:b w:val="1"/>
          <w:bCs w:val="1"/>
          <w:color w:val="auto"/>
        </w:rPr>
      </w:pPr>
    </w:p>
    <w:p>
      <w:pPr>
        <w:ind w:left="1700" w:hanging="842"/>
        <w:spacing w:after="0"/>
        <w:tabs>
          <w:tab w:leader="none" w:pos="1700" w:val="left"/>
        </w:tabs>
        <w:numPr>
          <w:ilvl w:val="1"/>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Non-Competition; Non-Solicitation</w:t>
      </w:r>
    </w:p>
    <w:p>
      <w:pPr>
        <w:spacing w:after="0" w:line="212" w:lineRule="exact"/>
        <w:rPr>
          <w:sz w:val="20"/>
          <w:szCs w:val="20"/>
          <w:color w:val="auto"/>
        </w:rPr>
      </w:pPr>
    </w:p>
    <w:p>
      <w:pPr>
        <w:ind w:left="1740" w:hanging="736"/>
        <w:spacing w:after="0" w:line="236" w:lineRule="auto"/>
        <w:tabs>
          <w:tab w:leader="none" w:pos="1123"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During the Employment Term and during the Restrictive Period (as defined below), the Executive shall not, without the prior written consent of the Company, directly or indirectly, in any capacity whatsoever, either on his own behalf or on behalf of any other person or entity whom he may manage, control, participate in, consult with, render services for, or be employed by or associated with, compete with the Business (as defined below) in any of the following described manners:</w:t>
      </w:r>
    </w:p>
    <w:p>
      <w:pPr>
        <w:spacing w:after="0" w:line="187" w:lineRule="exact"/>
        <w:rPr>
          <w:rFonts w:ascii="Arial" w:cs="Arial" w:eastAsia="Arial" w:hAnsi="Arial"/>
          <w:sz w:val="22"/>
          <w:szCs w:val="22"/>
          <w:b w:val="1"/>
          <w:bCs w:val="1"/>
          <w:color w:val="auto"/>
        </w:rPr>
      </w:pPr>
    </w:p>
    <w:p>
      <w:pPr>
        <w:jc w:val="both"/>
        <w:ind w:left="1740" w:hanging="5"/>
        <w:spacing w:after="0" w:line="238" w:lineRule="auto"/>
        <w:tabs>
          <w:tab w:leader="none" w:pos="2592" w:val="left"/>
        </w:tabs>
        <w:numPr>
          <w:ilvl w:val="1"/>
          <w:numId w:val="63"/>
        </w:numPr>
        <w:rPr>
          <w:rFonts w:ascii="Arial" w:cs="Arial" w:eastAsia="Arial" w:hAnsi="Arial"/>
          <w:sz w:val="22"/>
          <w:szCs w:val="22"/>
          <w:color w:val="auto"/>
        </w:rPr>
      </w:pPr>
      <w:r>
        <w:rPr>
          <w:rFonts w:ascii="Arial" w:cs="Arial" w:eastAsia="Arial" w:hAnsi="Arial"/>
          <w:sz w:val="22"/>
          <w:szCs w:val="22"/>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184" w:lineRule="exact"/>
        <w:rPr>
          <w:rFonts w:ascii="Arial" w:cs="Arial" w:eastAsia="Arial" w:hAnsi="Arial"/>
          <w:sz w:val="22"/>
          <w:szCs w:val="22"/>
          <w:color w:val="auto"/>
        </w:rPr>
      </w:pPr>
    </w:p>
    <w:p>
      <w:pPr>
        <w:jc w:val="both"/>
        <w:ind w:left="1740" w:hanging="5"/>
        <w:spacing w:after="0" w:line="238" w:lineRule="auto"/>
        <w:tabs>
          <w:tab w:leader="none" w:pos="2652" w:val="left"/>
        </w:tabs>
        <w:numPr>
          <w:ilvl w:val="1"/>
          <w:numId w:val="63"/>
        </w:numPr>
        <w:rPr>
          <w:rFonts w:ascii="Arial" w:cs="Arial" w:eastAsia="Arial" w:hAnsi="Arial"/>
          <w:sz w:val="22"/>
          <w:szCs w:val="22"/>
          <w:color w:val="auto"/>
        </w:rPr>
      </w:pPr>
      <w:r>
        <w:rPr>
          <w:rFonts w:ascii="Arial" w:cs="Arial" w:eastAsia="Arial" w:hAnsi="Arial"/>
          <w:sz w:val="22"/>
          <w:szCs w:val="22"/>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ind w:left="882" w:hanging="5"/>
        <w:spacing w:after="0" w:line="241" w:lineRule="auto"/>
        <w:tabs>
          <w:tab w:leader="none" w:pos="185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83" w:lineRule="exact"/>
        <w:rPr>
          <w:rFonts w:ascii="Arial" w:cs="Arial" w:eastAsia="Arial" w:hAnsi="Arial"/>
          <w:sz w:val="22"/>
          <w:szCs w:val="22"/>
          <w:color w:val="auto"/>
        </w:rPr>
      </w:pPr>
    </w:p>
    <w:p>
      <w:pPr>
        <w:jc w:val="both"/>
        <w:ind w:left="882" w:hanging="5"/>
        <w:spacing w:after="0" w:line="287" w:lineRule="auto"/>
        <w:tabs>
          <w:tab w:leader="none" w:pos="1841"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43" w:lineRule="exact"/>
        <w:rPr>
          <w:sz w:val="20"/>
          <w:szCs w:val="20"/>
          <w:color w:val="auto"/>
        </w:rPr>
      </w:pPr>
    </w:p>
    <w:p>
      <w:pPr>
        <w:jc w:val="both"/>
        <w:ind w:left="882"/>
        <w:spacing w:after="0" w:line="249" w:lineRule="auto"/>
        <w:rPr>
          <w:sz w:val="20"/>
          <w:szCs w:val="20"/>
          <w:color w:val="auto"/>
        </w:rPr>
      </w:pPr>
      <w:r>
        <w:rPr>
          <w:rFonts w:ascii="Arial" w:cs="Arial" w:eastAsia="Arial" w:hAnsi="Arial"/>
          <w:sz w:val="21"/>
          <w:szCs w:val="21"/>
          <w:color w:val="auto"/>
        </w:rPr>
        <w:t>For purposes hereof, the term “</w:t>
      </w:r>
      <w:r>
        <w:rPr>
          <w:rFonts w:ascii="Arial" w:cs="Arial" w:eastAsia="Arial" w:hAnsi="Arial"/>
          <w:sz w:val="21"/>
          <w:szCs w:val="21"/>
          <w:u w:val="single" w:color="auto"/>
          <w:color w:val="auto"/>
        </w:rPr>
        <w:t>Business</w:t>
      </w:r>
      <w:r>
        <w:rPr>
          <w:rFonts w:ascii="Arial" w:cs="Arial" w:eastAsia="Arial" w:hAnsi="Arial"/>
          <w:sz w:val="21"/>
          <w:szCs w:val="21"/>
          <w:color w:val="auto"/>
        </w:rPr>
        <w:t>” means the business of providing home care services of the type and nature that the Addus HealthCare Group performs and/or any other business activity in which the Addus HealthCare Group performs or program or service under active development proposed to be performed and/or any other business activity in which the Addus HealthCare Group becomes engaged in on or after the date hereof while the Executive is employed by the Company.</w:t>
      </w:r>
    </w:p>
    <w:p>
      <w:pPr>
        <w:spacing w:after="0" w:line="178" w:lineRule="exact"/>
        <w:rPr>
          <w:sz w:val="20"/>
          <w:szCs w:val="20"/>
          <w:color w:val="auto"/>
        </w:rPr>
      </w:pPr>
    </w:p>
    <w:p>
      <w:pPr>
        <w:jc w:val="both"/>
        <w:ind w:left="882"/>
        <w:spacing w:after="0" w:line="235" w:lineRule="auto"/>
        <w:rPr>
          <w:sz w:val="20"/>
          <w:szCs w:val="20"/>
          <w:color w:val="auto"/>
        </w:rPr>
      </w:pPr>
      <w:r>
        <w:rPr>
          <w:rFonts w:ascii="Arial" w:cs="Arial" w:eastAsia="Arial" w:hAnsi="Arial"/>
          <w:sz w:val="22"/>
          <w:szCs w:val="22"/>
          <w:color w:val="auto"/>
        </w:rPr>
        <w:t>For purposes hereof, the term “</w:t>
      </w:r>
      <w:r>
        <w:rPr>
          <w:rFonts w:ascii="Arial" w:cs="Arial" w:eastAsia="Arial" w:hAnsi="Arial"/>
          <w:sz w:val="22"/>
          <w:szCs w:val="22"/>
          <w:u w:val="single" w:color="auto"/>
          <w:color w:val="auto"/>
        </w:rPr>
        <w:t>Restrictive Period</w:t>
      </w:r>
      <w:r>
        <w:rPr>
          <w:rFonts w:ascii="Arial" w:cs="Arial" w:eastAsia="Arial" w:hAnsi="Arial"/>
          <w:sz w:val="22"/>
          <w:szCs w:val="22"/>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188" w:lineRule="exact"/>
        <w:rPr>
          <w:sz w:val="20"/>
          <w:szCs w:val="20"/>
          <w:color w:val="auto"/>
        </w:rPr>
      </w:pPr>
    </w:p>
    <w:p>
      <w:pPr>
        <w:jc w:val="both"/>
        <w:ind w:left="882"/>
        <w:spacing w:after="0" w:line="234" w:lineRule="auto"/>
        <w:rPr>
          <w:sz w:val="20"/>
          <w:szCs w:val="20"/>
          <w:color w:val="auto"/>
        </w:rPr>
      </w:pPr>
      <w:r>
        <w:rPr>
          <w:rFonts w:ascii="Arial" w:cs="Arial" w:eastAsia="Arial" w:hAnsi="Arial"/>
          <w:sz w:val="22"/>
          <w:szCs w:val="22"/>
          <w:color w:val="auto"/>
        </w:rPr>
        <w:t>Notwithstanding the foregoing provisions, nothing herein shall prohibit the Executive from owning one percent (1%) or less of any securities of an Addus HealthCare Group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185" w:lineRule="exact"/>
        <w:rPr>
          <w:sz w:val="20"/>
          <w:szCs w:val="20"/>
          <w:color w:val="auto"/>
        </w:rPr>
      </w:pPr>
    </w:p>
    <w:p>
      <w:pPr>
        <w:ind w:left="842" w:hanging="842"/>
        <w:spacing w:after="0"/>
        <w:tabs>
          <w:tab w:leader="none" w:pos="842"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Non-Disclosure</w:t>
      </w:r>
    </w:p>
    <w:p>
      <w:pPr>
        <w:spacing w:after="0" w:line="212" w:lineRule="exact"/>
        <w:rPr>
          <w:sz w:val="20"/>
          <w:szCs w:val="20"/>
          <w:color w:val="auto"/>
        </w:rPr>
      </w:pPr>
    </w:p>
    <w:p>
      <w:pPr>
        <w:ind w:left="882" w:hanging="736"/>
        <w:spacing w:after="0" w:line="246" w:lineRule="auto"/>
        <w:tabs>
          <w:tab w:leader="none" w:pos="314" w:val="left"/>
        </w:tabs>
        <w:numPr>
          <w:ilvl w:val="0"/>
          <w:numId w:val="66"/>
        </w:numPr>
        <w:rPr>
          <w:rFonts w:ascii="Arial" w:cs="Arial" w:eastAsia="Arial" w:hAnsi="Arial"/>
          <w:sz w:val="21"/>
          <w:szCs w:val="21"/>
          <w:i w:val="1"/>
          <w:iCs w:val="1"/>
          <w:color w:val="auto"/>
        </w:rPr>
      </w:pPr>
      <w:r>
        <w:rPr>
          <w:rFonts w:ascii="Arial" w:cs="Arial" w:eastAsia="Arial" w:hAnsi="Arial"/>
          <w:sz w:val="21"/>
          <w:szCs w:val="21"/>
          <w:color w:val="auto"/>
        </w:rPr>
        <w:t>The Executive recognizes and acknowledges that he will have access to certain confidential and proprietary information of 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This restriction shall not, however, prohibit the Executive from communicating with any Government Agency or otherwise</w:t>
      </w:r>
    </w:p>
    <w:p>
      <w:pPr>
        <w:spacing w:after="0" w:line="180"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8" w:right="339" w:bottom="1440" w:gutter="0" w:footer="0" w:header="0"/>
        </w:sectPr>
      </w:pPr>
    </w:p>
    <w:bookmarkStart w:id="60" w:name="page61"/>
    <w:bookmarkEnd w:id="60"/>
    <w:p>
      <w:pPr>
        <w:jc w:val="both"/>
        <w:ind w:left="882"/>
        <w:spacing w:after="0" w:line="269" w:lineRule="auto"/>
        <w:rPr>
          <w:sz w:val="20"/>
          <w:szCs w:val="20"/>
          <w:color w:val="auto"/>
        </w:rPr>
      </w:pPr>
      <w:r>
        <w:rPr>
          <w:rFonts w:ascii="Arial" w:cs="Arial" w:eastAsia="Arial" w:hAnsi="Arial"/>
          <w:sz w:val="19"/>
          <w:szCs w:val="19"/>
          <w:color w:val="auto"/>
        </w:rPr>
        <w:t>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200" w:lineRule="exact"/>
        <w:rPr>
          <w:sz w:val="20"/>
          <w:szCs w:val="20"/>
          <w:color w:val="auto"/>
        </w:rPr>
      </w:pPr>
    </w:p>
    <w:p>
      <w:pPr>
        <w:spacing w:after="0" w:line="208" w:lineRule="exact"/>
        <w:rPr>
          <w:sz w:val="20"/>
          <w:szCs w:val="20"/>
          <w:color w:val="auto"/>
        </w:rPr>
      </w:pPr>
    </w:p>
    <w:p>
      <w:pPr>
        <w:ind w:left="842" w:hanging="842"/>
        <w:spacing w:after="0"/>
        <w:tabs>
          <w:tab w:leader="none" w:pos="842"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Covenant Regarding Confidential and Proprietary Information</w:t>
      </w:r>
    </w:p>
    <w:p>
      <w:pPr>
        <w:spacing w:after="0" w:line="212" w:lineRule="exact"/>
        <w:rPr>
          <w:sz w:val="20"/>
          <w:szCs w:val="20"/>
          <w:color w:val="auto"/>
        </w:rPr>
      </w:pPr>
    </w:p>
    <w:p>
      <w:pPr>
        <w:ind w:left="882" w:hanging="736"/>
        <w:spacing w:after="0" w:line="245" w:lineRule="auto"/>
        <w:tabs>
          <w:tab w:leader="none" w:pos="268"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The Executive will promptly disclose in writing to the Company 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w:t>
      </w:r>
    </w:p>
    <w:p>
      <w:pPr>
        <w:spacing w:after="0" w:line="181" w:lineRule="exact"/>
        <w:rPr>
          <w:sz w:val="20"/>
          <w:szCs w:val="20"/>
          <w:color w:val="auto"/>
        </w:rPr>
      </w:pPr>
    </w:p>
    <w:p>
      <w:pPr>
        <w:ind w:left="4662"/>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8" w:right="339" w:bottom="1440" w:gutter="0" w:footer="0" w:header="0"/>
        </w:sectPr>
      </w:pPr>
    </w:p>
    <w:bookmarkStart w:id="61" w:name="page62"/>
    <w:bookmarkEnd w:id="61"/>
    <w:p>
      <w:pPr>
        <w:jc w:val="both"/>
        <w:ind w:left="882"/>
        <w:spacing w:after="0" w:line="268" w:lineRule="auto"/>
        <w:rPr>
          <w:sz w:val="20"/>
          <w:szCs w:val="20"/>
          <w:color w:val="auto"/>
        </w:rPr>
      </w:pPr>
      <w:r>
        <w:rPr>
          <w:rFonts w:ascii="Arial" w:cs="Arial" w:eastAsia="Arial" w:hAnsi="Arial"/>
          <w:sz w:val="19"/>
          <w:szCs w:val="19"/>
          <w:color w:val="auto"/>
        </w:rPr>
        <w:t>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w:t>
      </w:r>
    </w:p>
    <w:p>
      <w:pPr>
        <w:spacing w:after="0" w:line="7" w:lineRule="exact"/>
        <w:rPr>
          <w:sz w:val="20"/>
          <w:szCs w:val="20"/>
          <w:color w:val="auto"/>
        </w:rPr>
      </w:pPr>
    </w:p>
    <w:p>
      <w:pPr>
        <w:ind w:left="882" w:right="20" w:hanging="5"/>
        <w:spacing w:after="0" w:line="236" w:lineRule="auto"/>
        <w:tabs>
          <w:tab w:leader="none" w:pos="1229"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improvement, discovery, idea, invention, or publication results from any work performed by the Executive for the Addus HealthCare Group.</w:t>
      </w:r>
    </w:p>
    <w:p>
      <w:pPr>
        <w:spacing w:after="0" w:line="180" w:lineRule="exact"/>
        <w:rPr>
          <w:rFonts w:ascii="Arial" w:cs="Arial" w:eastAsia="Arial" w:hAnsi="Arial"/>
          <w:sz w:val="22"/>
          <w:szCs w:val="22"/>
          <w:color w:val="auto"/>
        </w:rPr>
      </w:pPr>
    </w:p>
    <w:p>
      <w:pPr>
        <w:ind w:left="842" w:hanging="842"/>
        <w:spacing w:after="0"/>
        <w:tabs>
          <w:tab w:leader="none" w:pos="842"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Non-Disparagement</w:t>
      </w:r>
    </w:p>
    <w:p>
      <w:pPr>
        <w:spacing w:after="0" w:line="212" w:lineRule="exact"/>
        <w:rPr>
          <w:sz w:val="20"/>
          <w:szCs w:val="20"/>
          <w:color w:val="auto"/>
        </w:rPr>
      </w:pPr>
    </w:p>
    <w:p>
      <w:pPr>
        <w:jc w:val="right"/>
        <w:ind w:left="922" w:right="40" w:hanging="737"/>
        <w:spacing w:after="0" w:line="276" w:lineRule="auto"/>
        <w:tabs>
          <w:tab w:leader="none" w:pos="29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Executive agrees that, during the Employment Term and the Restrictive Period, he will not make any statement, either in writing or orally, that is communicated publicly or is reasonably likely to be communicated publicly</w:t>
      </w:r>
    </w:p>
    <w:p>
      <w:pPr>
        <w:spacing w:after="0" w:line="1" w:lineRule="exact"/>
        <w:rPr>
          <w:sz w:val="20"/>
          <w:szCs w:val="20"/>
          <w:color w:val="auto"/>
        </w:rPr>
      </w:pPr>
    </w:p>
    <w:p>
      <w:pPr>
        <w:jc w:val="center"/>
        <w:ind w:left="2060" w:right="420"/>
        <w:spacing w:after="0" w:line="234" w:lineRule="auto"/>
        <w:rPr>
          <w:sz w:val="20"/>
          <w:szCs w:val="20"/>
          <w:color w:val="auto"/>
        </w:rPr>
      </w:pPr>
      <w:r>
        <w:rPr>
          <w:rFonts w:ascii="Arial" w:cs="Arial" w:eastAsia="Arial" w:hAnsi="Arial"/>
          <w:sz w:val="22"/>
          <w:szCs w:val="22"/>
          <w:color w:val="auto"/>
        </w:rPr>
        <w:t>and that is reasonably likely to disparage or otherwise harm the business or reputation of the Addus HealthCare Group, or the reputation of any of its current or former directors, officers, employees, or stockholders.</w:t>
      </w:r>
    </w:p>
    <w:p>
      <w:pPr>
        <w:spacing w:after="0" w:line="181" w:lineRule="exact"/>
        <w:rPr>
          <w:sz w:val="20"/>
          <w:szCs w:val="20"/>
          <w:color w:val="auto"/>
        </w:rPr>
      </w:pPr>
    </w:p>
    <w:p>
      <w:pPr>
        <w:ind w:left="842" w:hanging="842"/>
        <w:spacing w:after="0"/>
        <w:tabs>
          <w:tab w:leader="none" w:pos="842"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Documents and Other Property</w:t>
      </w:r>
    </w:p>
    <w:p>
      <w:pPr>
        <w:spacing w:after="0" w:line="212" w:lineRule="exact"/>
        <w:rPr>
          <w:sz w:val="20"/>
          <w:szCs w:val="20"/>
          <w:color w:val="auto"/>
        </w:rPr>
      </w:pPr>
    </w:p>
    <w:p>
      <w:pPr>
        <w:ind w:left="1122" w:right="100" w:hanging="870"/>
        <w:spacing w:after="0" w:line="276" w:lineRule="auto"/>
        <w:tabs>
          <w:tab w:leader="none" w:pos="363" w:val="left"/>
        </w:tabs>
        <w:numPr>
          <w:ilvl w:val="1"/>
          <w:numId w:val="73"/>
        </w:numPr>
        <w:rPr>
          <w:rFonts w:ascii="Arial" w:cs="Arial" w:eastAsia="Arial" w:hAnsi="Arial"/>
          <w:sz w:val="19"/>
          <w:szCs w:val="19"/>
          <w:color w:val="auto"/>
        </w:rPr>
      </w:pPr>
      <w:r>
        <w:rPr>
          <w:rFonts w:ascii="Arial" w:cs="Arial" w:eastAsia="Arial" w:hAnsi="Arial"/>
          <w:sz w:val="19"/>
          <w:szCs w:val="19"/>
          <w:color w:val="auto"/>
        </w:rPr>
        <w:t>Upon termination of employment, the Executive shall return all originals and copies of books, records, documents, customer lists, sales materials, tapes, keys, credit cards and other tangible property of Addus HealthCare</w:t>
      </w:r>
    </w:p>
    <w:p>
      <w:pPr>
        <w:spacing w:after="0" w:line="1" w:lineRule="exact"/>
        <w:rPr>
          <w:rFonts w:ascii="Arial" w:cs="Arial" w:eastAsia="Arial" w:hAnsi="Arial"/>
          <w:sz w:val="19"/>
          <w:szCs w:val="19"/>
          <w:color w:val="auto"/>
        </w:rPr>
      </w:pPr>
    </w:p>
    <w:p>
      <w:pPr>
        <w:ind w:left="2962"/>
        <w:spacing w:after="0"/>
        <w:rPr>
          <w:rFonts w:ascii="Arial" w:cs="Arial" w:eastAsia="Arial" w:hAnsi="Arial"/>
          <w:sz w:val="19"/>
          <w:szCs w:val="19"/>
          <w:color w:val="auto"/>
        </w:rPr>
      </w:pPr>
      <w:r>
        <w:rPr>
          <w:rFonts w:ascii="Arial" w:cs="Arial" w:eastAsia="Arial" w:hAnsi="Arial"/>
          <w:sz w:val="22"/>
          <w:szCs w:val="22"/>
          <w:color w:val="auto"/>
        </w:rPr>
        <w:t>Group within the Executive’s possession or under his control.</w:t>
      </w:r>
    </w:p>
    <w:p>
      <w:pPr>
        <w:spacing w:after="0" w:line="182" w:lineRule="exact"/>
        <w:rPr>
          <w:rFonts w:ascii="Arial" w:cs="Arial" w:eastAsia="Arial" w:hAnsi="Arial"/>
          <w:sz w:val="19"/>
          <w:szCs w:val="19"/>
          <w:color w:val="auto"/>
        </w:rPr>
      </w:pPr>
    </w:p>
    <w:p>
      <w:pPr>
        <w:ind w:left="842" w:hanging="842"/>
        <w:spacing w:after="0"/>
        <w:tabs>
          <w:tab w:leader="none" w:pos="842"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 for Breach</w:t>
      </w:r>
    </w:p>
    <w:p>
      <w:pPr>
        <w:spacing w:after="0" w:line="212" w:lineRule="exact"/>
        <w:rPr>
          <w:sz w:val="20"/>
          <w:szCs w:val="20"/>
          <w:color w:val="auto"/>
        </w:rPr>
      </w:pPr>
    </w:p>
    <w:p>
      <w:pPr>
        <w:ind w:left="1302" w:right="60" w:hanging="1092"/>
        <w:spacing w:after="0" w:line="276" w:lineRule="auto"/>
        <w:rPr>
          <w:sz w:val="20"/>
          <w:szCs w:val="20"/>
          <w:color w:val="auto"/>
        </w:rPr>
      </w:pPr>
      <w:r>
        <w:rPr>
          <w:rFonts w:ascii="Arial" w:cs="Arial" w:eastAsia="Arial" w:hAnsi="Arial"/>
          <w:sz w:val="19"/>
          <w:szCs w:val="19"/>
          <w:color w:val="auto"/>
        </w:rPr>
        <w:t>. In the event of a breach or threat of a breach of the provisions of this Section 9, the Executive hereby acknowledges that such breach or threat of a breach will cause the Company to suffer irreparable harm and that the</w:t>
      </w:r>
    </w:p>
    <w:p>
      <w:pPr>
        <w:spacing w:after="0" w:line="1" w:lineRule="exact"/>
        <w:rPr>
          <w:sz w:val="20"/>
          <w:szCs w:val="20"/>
          <w:color w:val="auto"/>
        </w:rPr>
      </w:pPr>
    </w:p>
    <w:p>
      <w:pPr>
        <w:jc w:val="center"/>
        <w:ind w:left="2060" w:right="20"/>
        <w:spacing w:after="0" w:line="243" w:lineRule="auto"/>
        <w:rPr>
          <w:sz w:val="20"/>
          <w:szCs w:val="20"/>
          <w:color w:val="auto"/>
        </w:rPr>
      </w:pPr>
      <w:r>
        <w:rPr>
          <w:rFonts w:ascii="Arial" w:cs="Arial" w:eastAsia="Arial" w:hAnsi="Arial"/>
          <w:sz w:val="21"/>
          <w:szCs w:val="21"/>
          <w:color w:val="auto"/>
        </w:rPr>
        <w:t>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and any remaining Severance Pay and benefits pursuant to Section 8, the recovery of damages from the 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p>
      <w:pPr>
        <w:spacing w:after="0" w:line="183" w:lineRule="exact"/>
        <w:rPr>
          <w:sz w:val="20"/>
          <w:szCs w:val="20"/>
          <w:color w:val="auto"/>
        </w:rPr>
      </w:pPr>
    </w:p>
    <w:p>
      <w:pPr>
        <w:ind w:left="4662"/>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118" w:right="339" w:bottom="1440" w:gutter="0" w:footer="0" w:header="0"/>
        </w:sectPr>
      </w:pPr>
    </w:p>
    <w:bookmarkStart w:id="62" w:name="page63"/>
    <w:bookmarkEnd w:id="62"/>
    <w:p>
      <w:pPr>
        <w:ind w:left="1700" w:hanging="842"/>
        <w:spacing w:after="0"/>
        <w:tabs>
          <w:tab w:leader="none" w:pos="170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w:t>
      </w:r>
    </w:p>
    <w:p>
      <w:pPr>
        <w:spacing w:after="0" w:line="213" w:lineRule="exact"/>
        <w:rPr>
          <w:sz w:val="20"/>
          <w:szCs w:val="20"/>
          <w:color w:val="auto"/>
        </w:rPr>
      </w:pPr>
    </w:p>
    <w:p>
      <w:pPr>
        <w:ind w:left="1760" w:right="40" w:hanging="625"/>
        <w:spacing w:after="0" w:line="269" w:lineRule="auto"/>
        <w:tabs>
          <w:tab w:leader="none" w:pos="1233"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The Executive acknowledges that he will be directly and materially involved as a senior executive in all important 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w:t>
      </w:r>
    </w:p>
    <w:p>
      <w:pPr>
        <w:spacing w:after="0" w:line="1" w:lineRule="exact"/>
        <w:rPr>
          <w:sz w:val="20"/>
          <w:szCs w:val="20"/>
          <w:color w:val="auto"/>
        </w:rPr>
      </w:pPr>
    </w:p>
    <w:p>
      <w:pPr>
        <w:jc w:val="center"/>
        <w:ind w:left="2060" w:right="40"/>
        <w:spacing w:after="0" w:line="236" w:lineRule="auto"/>
        <w:rPr>
          <w:sz w:val="20"/>
          <w:szCs w:val="20"/>
          <w:color w:val="auto"/>
        </w:rPr>
      </w:pPr>
      <w:r>
        <w:rPr>
          <w:rFonts w:ascii="Arial" w:cs="Arial" w:eastAsia="Arial" w:hAnsi="Arial"/>
          <w:sz w:val="22"/>
          <w:szCs w:val="22"/>
          <w:color w:val="auto"/>
        </w:rPr>
        <w:t>that he will be able to earn a reasonable livelihood following termination of his employment notwithstanding enforcement of the covenants contained herein.</w:t>
      </w:r>
    </w:p>
    <w:p>
      <w:pPr>
        <w:spacing w:after="0" w:line="181" w:lineRule="exact"/>
        <w:rPr>
          <w:sz w:val="20"/>
          <w:szCs w:val="20"/>
          <w:color w:val="auto"/>
        </w:rPr>
      </w:pPr>
    </w:p>
    <w:p>
      <w:pPr>
        <w:ind w:left="1700" w:hanging="842"/>
        <w:spacing w:after="0"/>
        <w:tabs>
          <w:tab w:leader="none" w:pos="1700"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Set Off</w:t>
      </w:r>
    </w:p>
    <w:p>
      <w:pPr>
        <w:spacing w:after="0" w:line="212" w:lineRule="exact"/>
        <w:rPr>
          <w:sz w:val="20"/>
          <w:szCs w:val="20"/>
          <w:color w:val="auto"/>
        </w:rPr>
      </w:pPr>
    </w:p>
    <w:p>
      <w:pPr>
        <w:ind w:left="1920" w:right="100" w:hanging="821"/>
        <w:spacing w:after="0" w:line="276" w:lineRule="auto"/>
        <w:tabs>
          <w:tab w:leader="none" w:pos="1215"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In the event of a breach by the Executive of the provisions of this Agreement, the Company is hereby authorized at any time and from time to time, to the fullest extent permitted by law, and after ten (10) days prior written</w:t>
      </w:r>
    </w:p>
    <w:p>
      <w:pPr>
        <w:spacing w:after="0" w:line="1" w:lineRule="exact"/>
        <w:rPr>
          <w:sz w:val="20"/>
          <w:szCs w:val="20"/>
          <w:color w:val="auto"/>
        </w:rPr>
      </w:pPr>
    </w:p>
    <w:p>
      <w:pPr>
        <w:jc w:val="center"/>
        <w:ind w:left="2060" w:right="80"/>
        <w:spacing w:after="0" w:line="233" w:lineRule="auto"/>
        <w:rPr>
          <w:sz w:val="20"/>
          <w:szCs w:val="20"/>
          <w:color w:val="auto"/>
        </w:rPr>
      </w:pPr>
      <w:r>
        <w:rPr>
          <w:rFonts w:ascii="Arial" w:cs="Arial" w:eastAsia="Arial" w:hAnsi="Arial"/>
          <w:sz w:val="22"/>
          <w:szCs w:val="22"/>
          <w:color w:val="auto"/>
        </w:rPr>
        <w:t>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79" w:lineRule="exact"/>
        <w:rPr>
          <w:sz w:val="20"/>
          <w:szCs w:val="20"/>
          <w:color w:val="auto"/>
        </w:rPr>
      </w:pPr>
    </w:p>
    <w:p>
      <w:pPr>
        <w:ind w:left="860" w:hanging="852"/>
        <w:spacing w:after="0"/>
        <w:tabs>
          <w:tab w:leader="none" w:pos="860"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Prior Agreement.</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spacing w:after="0" w:line="172" w:lineRule="exact"/>
        <w:rPr>
          <w:sz w:val="20"/>
          <w:szCs w:val="20"/>
          <w:color w:val="auto"/>
        </w:rPr>
      </w:pPr>
    </w:p>
    <w:p>
      <w:pPr>
        <w:ind w:left="860" w:hanging="852"/>
        <w:spacing w:after="0"/>
        <w:tabs>
          <w:tab w:leader="none" w:pos="86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99" w:lineRule="exact"/>
        <w:rPr>
          <w:sz w:val="20"/>
          <w:szCs w:val="20"/>
          <w:color w:val="auto"/>
        </w:rPr>
      </w:pPr>
    </w:p>
    <w:p>
      <w:pPr>
        <w:ind w:left="860" w:hanging="852"/>
        <w:spacing w:after="0"/>
        <w:tabs>
          <w:tab w:leader="none" w:pos="86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line="251" w:lineRule="auto"/>
        <w:rPr>
          <w:sz w:val="20"/>
          <w:szCs w:val="20"/>
          <w:color w:val="auto"/>
        </w:rPr>
      </w:pPr>
      <w:r>
        <w:rPr>
          <w:rFonts w:ascii="Arial" w:cs="Arial" w:eastAsia="Arial" w:hAnsi="Arial"/>
          <w:sz w:val="22"/>
          <w:szCs w:val="22"/>
          <w:color w:val="auto"/>
        </w:rPr>
        <w:t>(except that email shall not be deemed given upon refusal thereof). Notice to each Party, if mailed or sent by overnight courier service, shall be to the following addresses:</w:t>
      </w:r>
    </w:p>
    <w:p>
      <w:pPr>
        <w:spacing w:after="0" w:line="173" w:lineRule="exact"/>
        <w:rPr>
          <w:sz w:val="20"/>
          <w:szCs w:val="20"/>
          <w:color w:val="auto"/>
        </w:rPr>
      </w:pPr>
    </w:p>
    <w:p>
      <w:pPr>
        <w:ind w:left="1700" w:hanging="842"/>
        <w:spacing w:after="0"/>
        <w:tabs>
          <w:tab w:leader="none" w:pos="17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to the Executive, to:</w:t>
      </w:r>
    </w:p>
    <w:p>
      <w:pPr>
        <w:spacing w:after="0" w:line="214" w:lineRule="exact"/>
        <w:rPr>
          <w:sz w:val="20"/>
          <w:szCs w:val="20"/>
          <w:color w:val="auto"/>
        </w:rPr>
      </w:pPr>
    </w:p>
    <w:p>
      <w:pPr>
        <w:ind w:left="1840"/>
        <w:spacing w:after="0"/>
        <w:rPr>
          <w:sz w:val="20"/>
          <w:szCs w:val="20"/>
          <w:color w:val="auto"/>
        </w:rPr>
      </w:pPr>
      <w:r>
        <w:rPr>
          <w:rFonts w:ascii="Arial" w:cs="Arial" w:eastAsia="Arial" w:hAnsi="Arial"/>
          <w:sz w:val="21"/>
          <w:szCs w:val="21"/>
          <w:color w:val="auto"/>
        </w:rPr>
        <w:t>Roberton Stevenson</w:t>
      </w:r>
    </w:p>
    <w:p>
      <w:pPr>
        <w:spacing w:after="0" w:line="20" w:lineRule="exact"/>
        <w:rPr>
          <w:sz w:val="20"/>
          <w:szCs w:val="20"/>
          <w:color w:val="auto"/>
        </w:rPr>
      </w:pPr>
    </w:p>
    <w:p>
      <w:pPr>
        <w:ind w:left="1840"/>
        <w:spacing w:after="0"/>
        <w:rPr>
          <w:sz w:val="20"/>
          <w:szCs w:val="20"/>
          <w:color w:val="auto"/>
        </w:rPr>
      </w:pPr>
      <w:r>
        <w:rPr>
          <w:rFonts w:ascii="Arial" w:cs="Arial" w:eastAsia="Arial" w:hAnsi="Arial"/>
          <w:sz w:val="21"/>
          <w:szCs w:val="21"/>
          <w:color w:val="auto"/>
        </w:rPr>
        <w:t>1621 Chisholm Trail</w:t>
      </w:r>
    </w:p>
    <w:p>
      <w:pPr>
        <w:spacing w:after="0" w:line="2" w:lineRule="exact"/>
        <w:rPr>
          <w:sz w:val="20"/>
          <w:szCs w:val="20"/>
          <w:color w:val="auto"/>
        </w:rPr>
      </w:pPr>
    </w:p>
    <w:p>
      <w:pPr>
        <w:ind w:left="1840"/>
        <w:spacing w:after="0"/>
        <w:rPr>
          <w:sz w:val="20"/>
          <w:szCs w:val="20"/>
          <w:color w:val="auto"/>
        </w:rPr>
      </w:pPr>
      <w:r>
        <w:rPr>
          <w:rFonts w:ascii="Arial" w:cs="Arial" w:eastAsia="Arial" w:hAnsi="Arial"/>
          <w:sz w:val="21"/>
          <w:szCs w:val="21"/>
          <w:color w:val="auto"/>
        </w:rPr>
        <w:t>Prosper, TX 75078</w:t>
      </w:r>
    </w:p>
    <w:p>
      <w:pPr>
        <w:spacing w:after="0" w:line="19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Addus HealthCare, Inc.</w:t>
      </w:r>
    </w:p>
    <w:p>
      <w:pPr>
        <w:ind w:left="1660"/>
        <w:spacing w:after="0" w:line="238" w:lineRule="auto"/>
        <w:rPr>
          <w:sz w:val="20"/>
          <w:szCs w:val="20"/>
          <w:color w:val="auto"/>
        </w:rPr>
      </w:pPr>
      <w:r>
        <w:rPr>
          <w:rFonts w:ascii="Arial" w:cs="Arial" w:eastAsia="Arial" w:hAnsi="Arial"/>
          <w:sz w:val="22"/>
          <w:szCs w:val="22"/>
          <w:color w:val="auto"/>
        </w:rPr>
        <w:t>6303 Cowboys Way</w:t>
      </w:r>
    </w:p>
    <w:p>
      <w:pPr>
        <w:ind w:left="1660"/>
        <w:spacing w:after="0" w:line="230" w:lineRule="auto"/>
        <w:rPr>
          <w:sz w:val="20"/>
          <w:szCs w:val="20"/>
          <w:color w:val="auto"/>
        </w:rPr>
      </w:pPr>
      <w:r>
        <w:rPr>
          <w:rFonts w:ascii="Arial" w:cs="Arial" w:eastAsia="Arial" w:hAnsi="Arial"/>
          <w:sz w:val="22"/>
          <w:szCs w:val="22"/>
          <w:color w:val="auto"/>
        </w:rPr>
        <w:t>Suite 600</w:t>
      </w:r>
    </w:p>
    <w:p>
      <w:pPr>
        <w:ind w:left="1660"/>
        <w:spacing w:after="0" w:line="231" w:lineRule="auto"/>
        <w:rPr>
          <w:sz w:val="20"/>
          <w:szCs w:val="20"/>
          <w:color w:val="auto"/>
        </w:rPr>
      </w:pPr>
      <w:r>
        <w:rPr>
          <w:rFonts w:ascii="Arial" w:cs="Arial" w:eastAsia="Arial" w:hAnsi="Arial"/>
          <w:sz w:val="22"/>
          <w:szCs w:val="22"/>
          <w:color w:val="auto"/>
        </w:rPr>
        <w:t>Frisco, TX 75034</w:t>
      </w:r>
    </w:p>
    <w:p>
      <w:pPr>
        <w:ind w:left="1660"/>
        <w:spacing w:after="0"/>
        <w:rPr>
          <w:sz w:val="20"/>
          <w:szCs w:val="20"/>
          <w:color w:val="auto"/>
        </w:rPr>
      </w:pPr>
      <w:r>
        <w:rPr>
          <w:rFonts w:ascii="Arial" w:cs="Arial" w:eastAsia="Arial" w:hAnsi="Arial"/>
          <w:sz w:val="22"/>
          <w:szCs w:val="22"/>
          <w:color w:val="auto"/>
        </w:rPr>
        <w:t>Attention: Sean Gaffney, Chief Legal Officer</w:t>
      </w:r>
    </w:p>
    <w:p>
      <w:pPr>
        <w:spacing w:after="0" w:line="18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Bass Berry &amp; Sims PLC</w:t>
      </w:r>
    </w:p>
    <w:p>
      <w:pPr>
        <w:ind w:left="1660"/>
        <w:spacing w:after="0" w:line="238" w:lineRule="auto"/>
        <w:rPr>
          <w:sz w:val="20"/>
          <w:szCs w:val="20"/>
          <w:color w:val="auto"/>
        </w:rPr>
      </w:pPr>
      <w:r>
        <w:rPr>
          <w:rFonts w:ascii="Arial" w:cs="Arial" w:eastAsia="Arial" w:hAnsi="Arial"/>
          <w:sz w:val="22"/>
          <w:szCs w:val="22"/>
          <w:color w:val="auto"/>
        </w:rPr>
        <w:t>150 Third Avenue South</w:t>
      </w:r>
    </w:p>
    <w:p>
      <w:pPr>
        <w:ind w:left="1660"/>
        <w:spacing w:after="0" w:line="230" w:lineRule="auto"/>
        <w:rPr>
          <w:sz w:val="20"/>
          <w:szCs w:val="20"/>
          <w:color w:val="auto"/>
        </w:rPr>
      </w:pPr>
      <w:r>
        <w:rPr>
          <w:rFonts w:ascii="Arial" w:cs="Arial" w:eastAsia="Arial" w:hAnsi="Arial"/>
          <w:sz w:val="22"/>
          <w:szCs w:val="22"/>
          <w:color w:val="auto"/>
        </w:rPr>
        <w:t>Suite 2800</w:t>
      </w:r>
    </w:p>
    <w:p>
      <w:pPr>
        <w:ind w:left="1660"/>
        <w:spacing w:after="0" w:line="231" w:lineRule="auto"/>
        <w:rPr>
          <w:sz w:val="20"/>
          <w:szCs w:val="20"/>
          <w:color w:val="auto"/>
        </w:rPr>
      </w:pPr>
      <w:r>
        <w:rPr>
          <w:rFonts w:ascii="Arial" w:cs="Arial" w:eastAsia="Arial" w:hAnsi="Arial"/>
          <w:sz w:val="22"/>
          <w:szCs w:val="22"/>
          <w:color w:val="auto"/>
        </w:rPr>
        <w:t>Nashville, TN 37201</w:t>
      </w:r>
    </w:p>
    <w:p>
      <w:pPr>
        <w:ind w:left="1660"/>
        <w:spacing w:after="0" w:line="230" w:lineRule="auto"/>
        <w:rPr>
          <w:sz w:val="20"/>
          <w:szCs w:val="20"/>
          <w:color w:val="auto"/>
        </w:rPr>
      </w:pPr>
      <w:r>
        <w:rPr>
          <w:rFonts w:ascii="Arial" w:cs="Arial" w:eastAsia="Arial" w:hAnsi="Arial"/>
          <w:sz w:val="22"/>
          <w:szCs w:val="22"/>
          <w:color w:val="auto"/>
        </w:rPr>
        <w:t>Attention: David Cox, Esq.</w:t>
      </w:r>
    </w:p>
    <w:p>
      <w:pPr>
        <w:ind w:left="1660"/>
        <w:spacing w:after="0" w:line="231" w:lineRule="auto"/>
        <w:rPr>
          <w:sz w:val="20"/>
          <w:szCs w:val="20"/>
          <w:color w:val="auto"/>
        </w:rPr>
      </w:pPr>
      <w:r>
        <w:rPr>
          <w:rFonts w:ascii="Arial" w:cs="Arial" w:eastAsia="Arial" w:hAnsi="Arial"/>
          <w:sz w:val="22"/>
          <w:szCs w:val="22"/>
          <w:color w:val="auto"/>
        </w:rPr>
        <w:t>Telephone: (615) 742-6299</w:t>
      </w:r>
    </w:p>
    <w:p>
      <w:pPr>
        <w:ind w:left="1660"/>
        <w:spacing w:after="0" w:line="230" w:lineRule="auto"/>
        <w:rPr>
          <w:sz w:val="20"/>
          <w:szCs w:val="20"/>
          <w:color w:val="auto"/>
        </w:rPr>
      </w:pPr>
      <w:r>
        <w:rPr>
          <w:rFonts w:ascii="Arial" w:cs="Arial" w:eastAsia="Arial" w:hAnsi="Arial"/>
          <w:sz w:val="22"/>
          <w:szCs w:val="22"/>
          <w:color w:val="auto"/>
        </w:rPr>
        <w:t>Facsimile: (615) 742-2864</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E-mail: dcox@bassberry.com</w:t>
      </w:r>
    </w:p>
    <w:p>
      <w:pPr>
        <w:spacing w:after="0" w:line="188"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Any Party may change its address for notice by giving all other Parties notice of such change pursuant to this Section 12.</w:t>
      </w:r>
    </w:p>
    <w:p>
      <w:pPr>
        <w:spacing w:after="0" w:line="169" w:lineRule="exact"/>
        <w:rPr>
          <w:sz w:val="20"/>
          <w:szCs w:val="20"/>
          <w:color w:val="auto"/>
        </w:rPr>
      </w:pPr>
    </w:p>
    <w:p>
      <w:pPr>
        <w:ind w:left="860" w:hanging="852"/>
        <w:spacing w:after="0"/>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p>
    <w:p>
      <w:pPr>
        <w:spacing w:after="0" w:line="212"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9"/>
          <w:szCs w:val="19"/>
          <w:color w:val="auto"/>
        </w:rPr>
        <w:t>This Agreement may not be changed, modified, or amended except in writing signed by both Parties to this Agreement.</w:t>
      </w:r>
    </w:p>
    <w:p>
      <w:pPr>
        <w:spacing w:after="0" w:line="234" w:lineRule="exact"/>
        <w:rPr>
          <w:rFonts w:ascii="Arial" w:cs="Arial" w:eastAsia="Arial" w:hAnsi="Arial"/>
          <w:sz w:val="22"/>
          <w:szCs w:val="22"/>
          <w:color w:val="auto"/>
        </w:rPr>
      </w:pPr>
    </w:p>
    <w:p>
      <w:pPr>
        <w:ind w:left="860" w:hanging="852"/>
        <w:spacing w:after="0"/>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p>
    <w:p>
      <w:pPr>
        <w:spacing w:after="0" w:line="21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waiver by either Party of the breach of any provision of this Agreement shall not operate or be construed as a waiver of any subsequent breach by either Party.</w:t>
      </w:r>
    </w:p>
    <w:p>
      <w:pPr>
        <w:spacing w:after="0" w:line="169" w:lineRule="exact"/>
        <w:rPr>
          <w:sz w:val="20"/>
          <w:szCs w:val="20"/>
          <w:color w:val="auto"/>
        </w:rPr>
      </w:pPr>
    </w:p>
    <w:p>
      <w:pPr>
        <w:ind w:left="860" w:hanging="852"/>
        <w:spacing w:after="0"/>
        <w:tabs>
          <w:tab w:leader="none" w:pos="860"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Invalidity of Any Provision.</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860" w:hanging="852"/>
        <w:spacing w:after="0"/>
        <w:tabs>
          <w:tab w:leader="none" w:pos="860" w:val="left"/>
        </w:tabs>
        <w:numPr>
          <w:ilvl w:val="0"/>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409A Compliance.</w:t>
      </w:r>
    </w:p>
    <w:p>
      <w:pPr>
        <w:spacing w:after="0" w:line="21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9"/>
          <w:szCs w:val="19"/>
          <w:u w:val="single" w:color="auto"/>
          <w:color w:val="auto"/>
        </w:rPr>
        <w:t>Delay Period</w:t>
      </w:r>
      <w:r>
        <w:rPr>
          <w:rFonts w:ascii="Arial" w:cs="Arial" w:eastAsia="Arial" w:hAnsi="Arial"/>
          <w:sz w:val="19"/>
          <w:szCs w:val="19"/>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200" w:lineRule="exact"/>
        <w:rPr>
          <w:sz w:val="20"/>
          <w:szCs w:val="20"/>
          <w:color w:val="auto"/>
        </w:rPr>
      </w:pPr>
    </w:p>
    <w:p>
      <w:pPr>
        <w:spacing w:after="0" w:line="211" w:lineRule="exact"/>
        <w:rPr>
          <w:sz w:val="20"/>
          <w:szCs w:val="20"/>
          <w:color w:val="auto"/>
        </w:rPr>
      </w:pPr>
    </w:p>
    <w:p>
      <w:pPr>
        <w:ind w:left="860" w:hanging="852"/>
        <w:spacing w:after="0"/>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80" w:lineRule="exact"/>
        <w:rPr>
          <w:sz w:val="20"/>
          <w:szCs w:val="20"/>
          <w:color w:val="auto"/>
        </w:rPr>
      </w:pPr>
    </w:p>
    <w:p>
      <w:pPr>
        <w:ind w:left="860" w:hanging="852"/>
        <w:spacing w:after="0"/>
        <w:tabs>
          <w:tab w:leader="none" w:pos="860" w:val="left"/>
        </w:tabs>
        <w:numPr>
          <w:ilvl w:val="0"/>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Survival.</w:t>
      </w:r>
    </w:p>
    <w:p>
      <w:pPr>
        <w:spacing w:after="0" w:line="212"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Obligations under this Agreement which by their nature would continue beyond the termination of this Agreement, including without limitation Sections 8 and 9, shall survive termination of this Agreement for any reason.</w:t>
      </w:r>
    </w:p>
    <w:p>
      <w:pPr>
        <w:spacing w:after="0" w:line="145" w:lineRule="exact"/>
        <w:rPr>
          <w:sz w:val="20"/>
          <w:szCs w:val="20"/>
          <w:color w:val="auto"/>
        </w:rPr>
      </w:pPr>
    </w:p>
    <w:p>
      <w:pPr>
        <w:ind w:left="860" w:hanging="852"/>
        <w:spacing w:after="0"/>
        <w:tabs>
          <w:tab w:leader="none" w:pos="860" w:val="left"/>
        </w:tabs>
        <w:numPr>
          <w:ilvl w:val="0"/>
          <w:numId w:val="87"/>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both"/>
        <w:ind w:firstLine="864"/>
        <w:spacing w:after="0" w:line="270" w:lineRule="auto"/>
        <w:rPr>
          <w:sz w:val="20"/>
          <w:szCs w:val="20"/>
          <w:color w:val="auto"/>
        </w:rPr>
      </w:pPr>
      <w:r>
        <w:rPr>
          <w:rFonts w:ascii="Arial" w:cs="Arial" w:eastAsia="Arial" w:hAnsi="Arial"/>
          <w:sz w:val="19"/>
          <w:szCs w:val="19"/>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9"/>
          <w:szCs w:val="19"/>
          <w:u w:val="single" w:color="auto"/>
          <w:color w:val="auto"/>
        </w:rPr>
        <w:t>Arbitrator</w:t>
      </w:r>
      <w:r>
        <w:rPr>
          <w:rFonts w:ascii="Arial" w:cs="Arial" w:eastAsia="Arial" w:hAnsi="Arial"/>
          <w:sz w:val="19"/>
          <w:szCs w:val="19"/>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151" w:lineRule="exact"/>
        <w:rPr>
          <w:sz w:val="20"/>
          <w:szCs w:val="20"/>
          <w:color w:val="auto"/>
        </w:rPr>
      </w:pPr>
    </w:p>
    <w:p>
      <w:pPr>
        <w:ind w:left="860" w:hanging="852"/>
        <w:spacing w:after="0"/>
        <w:tabs>
          <w:tab w:leader="none" w:pos="86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JURY TRIAL.</w:t>
      </w:r>
    </w:p>
    <w:p>
      <w:pPr>
        <w:spacing w:after="0" w:line="21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6" w:name="page67"/>
    <w:bookmarkEnd w:id="66"/>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as of the date first written above.</w:t>
      </w:r>
    </w:p>
    <w:p>
      <w:pPr>
        <w:sectPr>
          <w:pgSz w:w="11900" w:h="16838" w:orient="portrait"/>
          <w:cols w:equalWidth="0" w:num="1">
            <w:col w:w="9259"/>
          </w:cols>
          <w:pgMar w:left="1200" w:top="328" w:right="1440" w:bottom="1440" w:gutter="0" w:footer="0" w:header="0"/>
        </w:sectPr>
      </w:pPr>
    </w:p>
    <w:p>
      <w:pPr>
        <w:spacing w:after="0" w:line="24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ADDUS HEALTHCARE, INC.</w:t>
      </w:r>
    </w:p>
    <w:p>
      <w:pPr>
        <w:spacing w:after="0" w:line="212" w:lineRule="exact"/>
        <w:rPr>
          <w:sz w:val="20"/>
          <w:szCs w:val="20"/>
          <w:color w:val="auto"/>
        </w:rPr>
      </w:pPr>
    </w:p>
    <w:p>
      <w:pPr>
        <w:jc w:val="right"/>
        <w:ind w:right="2519"/>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/s/R. DIRK ALLISON</w:t>
      </w:r>
    </w:p>
    <w:p>
      <w:pPr>
        <w:jc w:val="right"/>
        <w:ind w:right="2519"/>
        <w:spacing w:after="0" w:line="238" w:lineRule="auto"/>
        <w:rPr>
          <w:sz w:val="20"/>
          <w:szCs w:val="20"/>
          <w:color w:val="auto"/>
        </w:rPr>
      </w:pPr>
      <w:r>
        <w:rPr>
          <w:rFonts w:ascii="Arial" w:cs="Arial" w:eastAsia="Arial" w:hAnsi="Arial"/>
          <w:sz w:val="22"/>
          <w:szCs w:val="22"/>
          <w:color w:val="auto"/>
        </w:rPr>
        <w:t>Name: R. Dirk Allison</w:t>
      </w:r>
    </w:p>
    <w:p>
      <w:pPr>
        <w:ind w:left="4780"/>
        <w:spacing w:after="0"/>
        <w:rPr>
          <w:sz w:val="20"/>
          <w:szCs w:val="20"/>
          <w:color w:val="auto"/>
        </w:rPr>
      </w:pPr>
      <w:r>
        <w:rPr>
          <w:rFonts w:ascii="Arial" w:cs="Arial" w:eastAsia="Arial" w:hAnsi="Arial"/>
          <w:sz w:val="19"/>
          <w:szCs w:val="19"/>
          <w:color w:val="auto"/>
        </w:rPr>
        <w:t>Title: President and Chief Executive Officer</w:t>
      </w:r>
    </w:p>
    <w:p>
      <w:pPr>
        <w:spacing w:after="0" w:line="250"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/s/ROBERTON STEVENSON</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Roberton Stevenson</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19"/>
          <w:szCs w:val="19"/>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153670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328" w:right="1440" w:bottom="1440" w:gutter="0" w:footer="0" w:header="0"/>
          <w:type w:val="continuous"/>
        </w:sectPr>
      </w:pPr>
    </w:p>
    <w:bookmarkStart w:id="67" w:name="page68"/>
    <w:bookmarkEnd w:id="67"/>
    <w:p>
      <w:pPr>
        <w:ind w:left="5140"/>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ind w:left="5340"/>
        <w:spacing w:after="0"/>
        <w:rPr>
          <w:sz w:val="20"/>
          <w:szCs w:val="20"/>
          <w:color w:val="auto"/>
        </w:rPr>
      </w:pPr>
      <w:r>
        <w:rPr>
          <w:rFonts w:ascii="Arial" w:cs="Arial" w:eastAsia="Arial" w:hAnsi="Arial"/>
          <w:sz w:val="22"/>
          <w:szCs w:val="22"/>
          <w:b w:val="1"/>
          <w:bCs w:val="1"/>
          <w:u w:val="single" w:color="auto"/>
          <w:color w:val="auto"/>
        </w:rPr>
        <w:t>Bonus</w:t>
      </w:r>
    </w:p>
    <w:p>
      <w:pPr>
        <w:spacing w:after="0" w:line="18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Executive is eligible to receive a bonus with a target amount of 75% of the Executive’s annual Base Salary during the applicable calendar year (pro-rated for any partial year, including, without limitation, the 2021 calendar year, during which Executive’s bonus will be pro-rated based on 6 months of employment at the Senior Vice President level and 6 months of employment as EVP, Chief Human Resource Officer),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240"/>
          </w:cols>
          <w:pgMar w:left="320" w:top="32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Date: August 4, 2021</w:t>
            </w:r>
          </w:p>
        </w:tc>
        <w:tc>
          <w:tcPr>
            <w:tcW w:w="7800" w:type="dxa"/>
            <w:vAlign w:val="bottom"/>
            <w:gridSpan w:val="2"/>
          </w:tcPr>
          <w:p>
            <w:pPr>
              <w:ind w:left="2040"/>
              <w:spacing w:after="0"/>
              <w:rPr>
                <w:sz w:val="20"/>
                <w:szCs w:val="20"/>
                <w:color w:val="auto"/>
              </w:rPr>
            </w:pPr>
            <w:r>
              <w:rPr>
                <w:rFonts w:ascii="Arial" w:cs="Arial" w:eastAsia="Arial" w:hAnsi="Arial"/>
                <w:sz w:val="16"/>
                <w:szCs w:val="16"/>
                <w:color w:val="auto"/>
              </w:rPr>
              <w:t>By: /s/ R. Dirk Allison</w:t>
            </w:r>
          </w:p>
        </w:tc>
      </w:tr>
      <w:tr>
        <w:trPr>
          <w:trHeight w:val="189"/>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20"/>
                <w:szCs w:val="20"/>
                <w:color w:val="auto"/>
              </w:rPr>
            </w:pPr>
            <w:r>
              <w:rPr>
                <w:rFonts w:ascii="Arial" w:cs="Arial" w:eastAsia="Arial" w:hAnsi="Arial"/>
                <w:sz w:val="16"/>
                <w:szCs w:val="16"/>
                <w:color w:val="auto"/>
              </w:rPr>
              <w:t>Date: August 4, 2021</w:t>
            </w:r>
          </w:p>
        </w:tc>
        <w:tc>
          <w:tcPr>
            <w:tcW w:w="7800" w:type="dxa"/>
            <w:vAlign w:val="bottom"/>
            <w:gridSpan w:val="2"/>
          </w:tcPr>
          <w:p>
            <w:pPr>
              <w:ind w:left="2040"/>
              <w:spacing w:after="0"/>
              <w:rPr>
                <w:sz w:val="20"/>
                <w:szCs w:val="20"/>
                <w:color w:val="auto"/>
              </w:rPr>
            </w:pPr>
            <w:r>
              <w:rPr>
                <w:rFonts w:ascii="Arial" w:cs="Arial" w:eastAsia="Arial" w:hAnsi="Arial"/>
                <w:sz w:val="16"/>
                <w:szCs w:val="16"/>
                <w:color w:val="auto"/>
              </w:rPr>
              <w:t>By: /s/ Brian Poff</w:t>
            </w:r>
          </w:p>
        </w:tc>
      </w:tr>
      <w:tr>
        <w:trPr>
          <w:trHeight w:val="189"/>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June 30, 2021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Date: August 4, 2021</w:t>
            </w:r>
          </w:p>
        </w:tc>
        <w:tc>
          <w:tcPr>
            <w:tcW w:w="7780" w:type="dxa"/>
            <w:vAlign w:val="bottom"/>
            <w:gridSpan w:val="2"/>
          </w:tcPr>
          <w:p>
            <w:pPr>
              <w:ind w:left="2060"/>
              <w:spacing w:after="0"/>
              <w:rPr>
                <w:sz w:val="20"/>
                <w:szCs w:val="20"/>
                <w:color w:val="auto"/>
              </w:rPr>
            </w:pPr>
            <w:r>
              <w:rPr>
                <w:rFonts w:ascii="Arial" w:cs="Arial" w:eastAsia="Arial" w:hAnsi="Arial"/>
                <w:sz w:val="16"/>
                <w:szCs w:val="16"/>
                <w:color w:val="auto"/>
              </w:rPr>
              <w:t>By:  /s/ R. Dirk Allison</w:t>
            </w:r>
          </w:p>
        </w:tc>
      </w:tr>
      <w:tr>
        <w:trPr>
          <w:trHeight w:val="234"/>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4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2021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880" w:hanging="841"/>
        <w:spacing w:after="0"/>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Date: August 4, 2021</w:t>
            </w:r>
          </w:p>
        </w:tc>
        <w:tc>
          <w:tcPr>
            <w:tcW w:w="7780" w:type="dxa"/>
            <w:vAlign w:val="bottom"/>
            <w:gridSpan w:val="2"/>
          </w:tcPr>
          <w:p>
            <w:pPr>
              <w:ind w:left="2060"/>
              <w:spacing w:after="0"/>
              <w:rPr>
                <w:sz w:val="20"/>
                <w:szCs w:val="20"/>
                <w:color w:val="auto"/>
              </w:rPr>
            </w:pPr>
            <w:r>
              <w:rPr>
                <w:rFonts w:ascii="Arial" w:cs="Arial" w:eastAsia="Arial" w:hAnsi="Arial"/>
                <w:sz w:val="16"/>
                <w:szCs w:val="16"/>
                <w:color w:val="auto"/>
              </w:rPr>
              <w:t>By:   /s/ Brian Poff</w:t>
            </w:r>
          </w:p>
        </w:tc>
      </w:tr>
      <w:tr>
        <w:trPr>
          <w:trHeight w:val="233"/>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43"/>
        </w:trPr>
        <w:tc>
          <w:tcPr>
            <w:tcW w:w="34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2"/>
    </w:lvl>
  </w:abstractNum>
  <w:abstractNum w:abstractNumId="12">
    <w:nsid w:val="12E685FB"/>
    <w:multiLevelType w:val="hybridMultilevel"/>
    <w:lvl w:ilvl="0">
      <w:lvlJc w:val="left"/>
      <w:lvlText w:val="%1."/>
      <w:numFmt w:val="decimal"/>
      <w:start w:val="3"/>
    </w:lvl>
  </w:abstractNum>
  <w:abstractNum w:abstractNumId="13">
    <w:nsid w:val="70C6A529"/>
    <w:multiLevelType w:val="hybridMultilevel"/>
    <w:lvl w:ilvl="0">
      <w:lvlJc w:val="left"/>
      <w:lvlText w:val="%1"/>
      <w:numFmt w:val="decimal"/>
      <w:start w:val="1"/>
    </w:lvl>
    <w:lvl w:ilvl="1">
      <w:lvlJc w:val="left"/>
      <w:lvlText w:val="(%2)"/>
      <w:numFmt w:val="lowerLetter"/>
      <w:start w:val="1"/>
    </w:lvl>
  </w:abstractNum>
  <w:abstractNum w:abstractNumId="14">
    <w:nsid w:val="520EEDD1"/>
    <w:multiLevelType w:val="hybridMultilevel"/>
    <w:lvl w:ilvl="0">
      <w:lvlJc w:val="left"/>
      <w:lvlText w:val="%1."/>
      <w:numFmt w:val="decimal"/>
      <w:start w:val="4"/>
    </w:lvl>
    <w:lvl w:ilvl="1">
      <w:lvlJc w:val="left"/>
      <w:lvlText w:val="%2"/>
      <w:numFmt w:val="lowerLetter"/>
      <w:start w:val="1"/>
    </w:lvl>
  </w:abstractNum>
  <w:abstractNum w:abstractNumId="15">
    <w:nsid w:val="374A3FE6"/>
    <w:multiLevelType w:val="hybridMultilevel"/>
    <w:lvl w:ilvl="0">
      <w:lvlJc w:val="left"/>
      <w:lvlText w:val="%1."/>
      <w:numFmt w:val="decimal"/>
      <w:start w:val="6"/>
    </w:lvl>
  </w:abstractNum>
  <w:abstractNum w:abstractNumId="16">
    <w:nsid w:val="4F4EF005"/>
    <w:multiLevelType w:val="hybridMultilevel"/>
    <w:lvl w:ilvl="0">
      <w:lvlJc w:val="left"/>
      <w:lvlText w:val="%1."/>
      <w:numFmt w:val="decimal"/>
      <w:start w:val="7"/>
    </w:lvl>
  </w:abstractNum>
  <w:abstractNum w:abstractNumId="17">
    <w:nsid w:val="23F9C13C"/>
    <w:multiLevelType w:val="hybridMultilevel"/>
    <w:lvl w:ilvl="0">
      <w:lvlJc w:val="left"/>
      <w:lvlText w:val="%1."/>
      <w:numFmt w:val="decimal"/>
      <w:start w:val="8"/>
    </w:lvl>
  </w:abstractNum>
  <w:abstractNum w:abstractNumId="18">
    <w:nsid w:val="649BB77C"/>
    <w:multiLevelType w:val="hybridMultilevel"/>
    <w:lvl w:ilvl="0">
      <w:lvlJc w:val="left"/>
      <w:lvlText w:val="%1."/>
      <w:numFmt w:val="decimal"/>
      <w:start w:val="9"/>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Letter"/>
      <w:start w:val="2"/>
    </w:lvl>
  </w:abstractNum>
  <w:abstractNum w:abstractNumId="21">
    <w:nsid w:val="1CF10FD8"/>
    <w:multiLevelType w:val="hybridMultilevel"/>
    <w:lvl w:ilvl="0">
      <w:lvlJc w:val="left"/>
      <w:lvlText w:val="%1."/>
      <w:numFmt w:val="decimal"/>
      <w:start w:val="10"/>
    </w:lvl>
  </w:abstractNum>
  <w:abstractNum w:abstractNumId="22">
    <w:nsid w:val="180115BE"/>
    <w:multiLevelType w:val="hybridMultilevel"/>
    <w:lvl w:ilvl="0">
      <w:lvlJc w:val="left"/>
      <w:lvlText w:val="%1."/>
      <w:numFmt w:val="decimal"/>
      <w:start w:val="11"/>
    </w:lvl>
  </w:abstractNum>
  <w:abstractNum w:abstractNumId="23">
    <w:nsid w:val="235BA861"/>
    <w:multiLevelType w:val="hybridMultilevel"/>
    <w:lvl w:ilvl="0">
      <w:lvlJc w:val="left"/>
      <w:lvlText w:val="%1."/>
      <w:numFmt w:val="decimal"/>
      <w:start w:val="12"/>
    </w:lvl>
  </w:abstractNum>
  <w:abstractNum w:abstractNumId="24">
    <w:nsid w:val="47398C89"/>
    <w:multiLevelType w:val="hybridMultilevel"/>
    <w:lvl w:ilvl="0">
      <w:lvlJc w:val="left"/>
      <w:lvlText w:val="%1."/>
      <w:numFmt w:val="decimal"/>
      <w:start w:val="13"/>
    </w:lvl>
  </w:abstractNum>
  <w:abstractNum w:abstractNumId="25">
    <w:nsid w:val="354FE9F9"/>
    <w:multiLevelType w:val="hybridMultilevel"/>
    <w:lvl w:ilvl="0">
      <w:lvlJc w:val="left"/>
      <w:lvlText w:val="%1."/>
      <w:numFmt w:val="decimal"/>
      <w:start w:val="14"/>
    </w:lvl>
  </w:abstractNum>
  <w:abstractNum w:abstractNumId="26">
    <w:nsid w:val="15B5AF5C"/>
    <w:multiLevelType w:val="hybridMultilevel"/>
    <w:lvl w:ilvl="0">
      <w:lvlJc w:val="left"/>
      <w:lvlText w:val="%1."/>
      <w:numFmt w:val="decimal"/>
      <w:start w:val="15"/>
    </w:lvl>
  </w:abstractNum>
  <w:abstractNum w:abstractNumId="27">
    <w:nsid w:val="741226BB"/>
    <w:multiLevelType w:val="hybridMultilevel"/>
    <w:lvl w:ilvl="0">
      <w:lvlJc w:val="left"/>
      <w:lvlText w:val="%1."/>
      <w:numFmt w:val="decimal"/>
      <w:start w:val="16"/>
    </w:lvl>
  </w:abstractNum>
  <w:abstractNum w:abstractNumId="28">
    <w:nsid w:val="D34B6A8"/>
    <w:multiLevelType w:val="hybridMultilevel"/>
    <w:lvl w:ilvl="0">
      <w:lvlJc w:val="left"/>
      <w:lvlText w:val="%1."/>
      <w:numFmt w:val="decimal"/>
      <w:start w:val="20"/>
    </w:lvl>
  </w:abstractNum>
  <w:abstractNum w:abstractNumId="29">
    <w:nsid w:val="10233C99"/>
    <w:multiLevelType w:val="hybridMultilevel"/>
    <w:lvl w:ilvl="0">
      <w:lvlJc w:val="left"/>
      <w:lvlText w:val="%1."/>
      <w:numFmt w:val="decimal"/>
      <w:start w:val="21"/>
    </w:lvl>
  </w:abstractNum>
  <w:abstractNum w:abstractNumId="30">
    <w:nsid w:val="3F6AB60F"/>
    <w:multiLevelType w:val="hybridMultilevel"/>
    <w:lvl w:ilvl="0">
      <w:lvlJc w:val="left"/>
      <w:lvlText w:val="%1."/>
      <w:numFmt w:val="decimal"/>
      <w:start w:val="1"/>
    </w:lvl>
    <w:lvl w:ilvl="1">
      <w:lvlJc w:val="left"/>
      <w:lvlText w:val="(%2)"/>
      <w:numFmt w:val="lowerLetter"/>
      <w:start w:val="1"/>
    </w:lvl>
  </w:abstractNum>
  <w:abstractNum w:abstractNumId="31">
    <w:nsid w:val="61574095"/>
    <w:multiLevelType w:val="hybridMultilevel"/>
    <w:lvl w:ilvl="0">
      <w:lvlJc w:val="left"/>
      <w:lvlText w:val="%1."/>
      <w:numFmt w:val="decimal"/>
      <w:start w:val="3"/>
    </w:lvl>
  </w:abstractNum>
  <w:abstractNum w:abstractNumId="32">
    <w:nsid w:val="7E0C57B1"/>
    <w:multiLevelType w:val="hybridMultilevel"/>
    <w:lvl w:ilvl="0">
      <w:lvlJc w:val="left"/>
      <w:lvlText w:val="%1."/>
      <w:numFmt w:val="decimal"/>
      <w:start w:val="8"/>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lowerLetter"/>
      <w:start w:val="2"/>
    </w:lvl>
  </w:abstractNum>
  <w:abstractNum w:abstractNumId="35">
    <w:nsid w:val="310C50B3"/>
    <w:multiLevelType w:val="hybridMultilevel"/>
    <w:lvl w:ilvl="0">
      <w:lvlJc w:val="left"/>
      <w:lvlText w:val="%1."/>
      <w:numFmt w:val="decimal"/>
      <w:start w:val="12"/>
    </w:lvl>
  </w:abstractNum>
  <w:abstractNum w:abstractNumId="36">
    <w:nsid w:val="5FF87E05"/>
    <w:multiLevelType w:val="hybridMultilevel"/>
    <w:lvl w:ilvl="0">
      <w:lvlJc w:val="left"/>
      <w:lvlText w:val="%1."/>
      <w:numFmt w:val="decimal"/>
      <w:start w:val="19"/>
    </w:lvl>
  </w:abstractNum>
  <w:abstractNum w:abstractNumId="37">
    <w:nsid w:val="2F305DEF"/>
    <w:multiLevelType w:val="hybridMultilevel"/>
    <w:lvl w:ilvl="0">
      <w:lvlJc w:val="left"/>
      <w:lvlText w:val="%1."/>
      <w:numFmt w:val="decimal"/>
      <w:start w:val="1"/>
    </w:lvl>
    <w:lvl w:ilvl="1">
      <w:lvlJc w:val="left"/>
      <w:lvlText w:val="(%2)"/>
      <w:numFmt w:val="lowerLetter"/>
      <w:start w:val="1"/>
    </w:lvl>
  </w:abstractNum>
  <w:abstractNum w:abstractNumId="38">
    <w:nsid w:val="25A70BF7"/>
    <w:multiLevelType w:val="hybridMultilevel"/>
    <w:lvl w:ilvl="0">
      <w:lvlJc w:val="left"/>
      <w:lvlText w:val="%1."/>
      <w:numFmt w:val="decimal"/>
      <w:start w:val="2"/>
    </w:lvl>
  </w:abstractNum>
  <w:abstractNum w:abstractNumId="39">
    <w:nsid w:val="1DBABF00"/>
    <w:multiLevelType w:val="hybridMultilevel"/>
    <w:lvl w:ilvl="0">
      <w:lvlJc w:val="left"/>
      <w:lvlText w:val="%1."/>
      <w:numFmt w:val="decimal"/>
      <w:start w:val="3"/>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lowerLetter"/>
      <w:start w:val="2"/>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1)"/>
      <w:numFmt w:val="lowerLetter"/>
      <w:start w:val="3"/>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4"/>
    </w:lvl>
  </w:abstractNum>
  <w:abstractNum w:abstractNumId="47">
    <w:nsid w:val="5F5E7FD0"/>
    <w:multiLevelType w:val="hybridMultilevel"/>
    <w:lvl w:ilvl="0">
      <w:lvlJc w:val="left"/>
      <w:lvlText w:val="%1."/>
      <w:numFmt w:val="decimal"/>
      <w:start w:val="5"/>
    </w:lvl>
  </w:abstractNum>
  <w:abstractNum w:abstractNumId="48">
    <w:nsid w:val="98A3148"/>
    <w:multiLevelType w:val="hybridMultilevel"/>
    <w:lvl w:ilvl="0">
      <w:lvlJc w:val="left"/>
      <w:lvlText w:val="(%1)"/>
      <w:numFmt w:val="lowerLetter"/>
      <w:start w:val="1"/>
    </w:lvl>
  </w:abstractNum>
  <w:abstractNum w:abstractNumId="49">
    <w:nsid w:val="799D024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50">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
    <w:nsid w:val="42C296BD"/>
    <w:multiLevelType w:val="hybridMultilevel"/>
    <w:lvl w:ilvl="0">
      <w:lvlJc w:val="left"/>
      <w:lvlText w:val="%1"/>
      <w:numFmt w:val="decimal"/>
      <w:start w:val="1"/>
    </w:lvl>
    <w:lvl w:ilvl="1">
      <w:lvlJc w:val="left"/>
      <w:lvlText w:val="(%2)"/>
      <w:numFmt w:val="lowerLetter"/>
      <w:start w:val="2"/>
    </w:lvl>
  </w:abstractNum>
  <w:abstractNum w:abstractNumId="52">
    <w:nsid w:val="168E121F"/>
    <w:multiLevelType w:val="hybridMultilevel"/>
    <w:lvl w:ilvl="0">
      <w:lvlJc w:val="left"/>
      <w:lvlText w:val="%1."/>
      <w:numFmt w:val="decimal"/>
      <w:start w:val="7"/>
    </w:lvl>
    <w:lvl w:ilvl="1">
      <w:lvlJc w:val="left"/>
      <w:lvlText w:val="%2"/>
      <w:numFmt w:val="lowerLetter"/>
      <w:start w:val="1"/>
    </w:lvl>
  </w:abstractNum>
  <w:abstractNum w:abstractNumId="53">
    <w:nsid w:val="1EBA5D23"/>
    <w:multiLevelType w:val="hybridMultilevel"/>
    <w:lvl w:ilvl="0">
      <w:lvlJc w:val="left"/>
      <w:lvlText w:val="(%1)"/>
      <w:numFmt w:val="lowerLetter"/>
      <w:start w:val="2"/>
    </w:lvl>
  </w:abstractNum>
  <w:abstractNum w:abstractNumId="54">
    <w:nsid w:val="661E3F1E"/>
    <w:multiLevelType w:val="hybridMultilevel"/>
    <w:lvl w:ilvl="0">
      <w:lvlJc w:val="left"/>
      <w:lvlText w:val="%1."/>
      <w:numFmt w:val="decimal"/>
      <w:start w:val="8"/>
    </w:lvl>
    <w:lvl w:ilvl="1">
      <w:lvlJc w:val="left"/>
      <w:lvlText w:val="(%2)"/>
      <w:numFmt w:val="lowerLetter"/>
      <w:start w:val="1"/>
    </w:lvl>
  </w:abstractNum>
  <w:abstractNum w:abstractNumId="55">
    <w:nsid w:val="5DC79EA8"/>
    <w:multiLevelType w:val="hybridMultilevel"/>
    <w:lvl w:ilvl="0">
      <w:lvlJc w:val="left"/>
      <w:lvlText w:val="(%1)"/>
      <w:numFmt w:val="lowerRoman"/>
      <w:start w:val="1"/>
    </w:lvl>
  </w:abstractNum>
  <w:abstractNum w:abstractNumId="56">
    <w:nsid w:val="540A471C"/>
    <w:multiLevelType w:val="hybridMultilevel"/>
    <w:lvl w:ilvl="0">
      <w:lvlJc w:val="left"/>
      <w:lvlText w:val="(%1)"/>
      <w:numFmt w:val="lowerRoman"/>
      <w:start w:val="2"/>
    </w:lvl>
  </w:abstractNum>
  <w:abstractNum w:abstractNumId="57">
    <w:nsid w:val="7BD3EE7B"/>
    <w:multiLevelType w:val="hybridMultilevel"/>
    <w:lvl w:ilvl="0">
      <w:lvlJc w:val="left"/>
      <w:lvlText w:val="(%1)"/>
      <w:numFmt w:val="lowerLetter"/>
      <w:start w:val="2"/>
    </w:lvl>
    <w:lvl w:ilvl="1">
      <w:lvlJc w:val="left"/>
      <w:lvlText w:val="(%2)"/>
      <w:numFmt w:val="lowerRoman"/>
      <w:start w:val="1"/>
    </w:lvl>
  </w:abstractNum>
  <w:abstractNum w:abstractNumId="58">
    <w:nsid w:val="51D9C564"/>
    <w:multiLevelType w:val="hybridMultilevel"/>
    <w:lvl w:ilvl="0">
      <w:lvlJc w:val="left"/>
      <w:lvlText w:val="(%1)"/>
      <w:numFmt w:val="lowerLetter"/>
      <w:start w:val="3"/>
    </w:lvl>
  </w:abstractNum>
  <w:abstractNum w:abstractNumId="59">
    <w:nsid w:val="613EFDC5"/>
    <w:multiLevelType w:val="hybridMultilevel"/>
    <w:lvl w:ilvl="0">
      <w:lvlJc w:val="left"/>
      <w:lvlText w:val="%1"/>
      <w:numFmt w:val="decimal"/>
      <w:start w:val="1"/>
    </w:lvl>
    <w:lvl w:ilvl="1">
      <w:lvlJc w:val="left"/>
      <w:lvlText w:val="(%2)"/>
      <w:numFmt w:val="lowerLetter"/>
      <w:start w:val="4"/>
    </w:lvl>
  </w:abstractNum>
  <w:abstractNum w:abstractNumId="60">
    <w:nsid w:val="BF72B14"/>
    <w:multiLevelType w:val="hybridMultilevel"/>
    <w:lvl w:ilvl="0">
      <w:lvlJc w:val="left"/>
      <w:lvlText w:val="%1."/>
      <w:numFmt w:val="decimal"/>
      <w:start w:val="9"/>
    </w:lvl>
    <w:lvl w:ilvl="1">
      <w:lvlJc w:val="left"/>
      <w:lvlText w:val="(%2)"/>
      <w:numFmt w:val="lowerLetter"/>
      <w:start w:val="1"/>
    </w:lvl>
  </w:abstractNum>
  <w:abstractNum w:abstractNumId="61">
    <w:nsid w:val="11447B73"/>
    <w:multiLevelType w:val="hybridMultilevel"/>
    <w:lvl w:ilvl="0">
      <w:lvlJc w:val="left"/>
      <w:lvlText w:val="."/>
      <w:numFmt w:val="bullet"/>
      <w:start w:val="1"/>
    </w:lvl>
    <w:lvl w:ilvl="1">
      <w:lvlJc w:val="left"/>
      <w:lvlText w:val="(%2)"/>
      <w:numFmt w:val="lowerLetter"/>
      <w:start w:val="2"/>
    </w:lvl>
  </w:abstractNum>
  <w:abstractNum w:abstractNumId="62">
    <w:nsid w:val="42963E5A"/>
    <w:multiLevelType w:val="hybridMultilevel"/>
    <w:lvl w:ilvl="0">
      <w:lvlJc w:val="left"/>
      <w:lvlText w:val="."/>
      <w:numFmt w:val="bullet"/>
      <w:start w:val="1"/>
    </w:lvl>
    <w:lvl w:ilvl="1">
      <w:lvlJc w:val="left"/>
      <w:lvlText w:val="(%2)"/>
      <w:numFmt w:val="lowerRoman"/>
      <w:start w:val="1"/>
    </w:lvl>
  </w:abstractNum>
  <w:abstractNum w:abstractNumId="63">
    <w:nsid w:val="A0382C5"/>
    <w:multiLevelType w:val="hybridMultilevel"/>
    <w:lvl w:ilvl="0">
      <w:lvlJc w:val="left"/>
      <w:lvlText w:val="(%1)"/>
      <w:numFmt w:val="lowerRoman"/>
      <w:start w:val="3"/>
    </w:lvl>
  </w:abstractNum>
  <w:abstractNum w:abstractNumId="64">
    <w:nsid w:val="8F2B15E"/>
    <w:multiLevelType w:val="hybridMultilevel"/>
    <w:lvl w:ilvl="0">
      <w:lvlJc w:val="left"/>
      <w:lvlText w:val="(%1)"/>
      <w:numFmt w:val="lowerLetter"/>
      <w:start w:val="3"/>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lowerLetter"/>
      <w:start w:val="4"/>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lowerLetter"/>
      <w:start w:val="1"/>
    </w:lvl>
    <w:lvl w:ilvl="1">
      <w:lvlJc w:val="left"/>
      <w:lvlText w:val="(%2)"/>
      <w:numFmt w:val="lowerLetter"/>
      <w:start w:val="25"/>
    </w:lvl>
  </w:abstractNum>
  <w:abstractNum w:abstractNumId="69">
    <w:nsid w:val="60B6DF70"/>
    <w:multiLevelType w:val="hybridMultilevel"/>
    <w:lvl w:ilvl="0">
      <w:lvlJc w:val="left"/>
      <w:lvlText w:val="(%1)"/>
      <w:numFmt w:val="lowerLetter"/>
      <w:start w:val="5"/>
    </w:lvl>
    <w:lvl w:ilvl="1">
      <w:lvlJc w:val="left"/>
      <w:lvlText w:val="%2"/>
      <w:numFmt w:val="lowerLetter"/>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1)"/>
      <w:numFmt w:val="lowerLetter"/>
      <w:start w:val="6"/>
    </w:lvl>
  </w:abstractNum>
  <w:abstractNum w:abstractNumId="72">
    <w:nsid w:val="7FFFCA11"/>
    <w:multiLevelType w:val="hybridMultilevel"/>
    <w:lvl w:ilvl="0">
      <w:lvlJc w:val="left"/>
      <w:lvlText w:val="(%1)"/>
      <w:numFmt w:val="lowerLetter"/>
      <w:start w:val="6"/>
    </w:lvl>
    <w:lvl w:ilvl="1">
      <w:lvlJc w:val="left"/>
      <w:lvlText w:val="."/>
      <w:numFmt w:val="bullet"/>
      <w:start w:val="1"/>
    </w:lvl>
  </w:abstractNum>
  <w:abstractNum w:abstractNumId="73">
    <w:nsid w:val="1A27709E"/>
    <w:multiLevelType w:val="hybridMultilevel"/>
    <w:lvl w:ilvl="0">
      <w:lvlJc w:val="left"/>
      <w:lvlText w:val="(%1)"/>
      <w:numFmt w:val="lowerLetter"/>
      <w:start w:val="8"/>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lowerRoman"/>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1."/>
      <w:numFmt w:val="decimal"/>
      <w:start w:val="10"/>
    </w:lvl>
  </w:abstractNum>
  <w:abstractNum w:abstractNumId="78">
    <w:nsid w:val="6F6DD9AC"/>
    <w:multiLevelType w:val="hybridMultilevel"/>
    <w:lvl w:ilvl="0">
      <w:lvlJc w:val="left"/>
      <w:lvlText w:val="%1."/>
      <w:numFmt w:val="decimal"/>
      <w:start w:val="11"/>
    </w:lvl>
  </w:abstractNum>
  <w:abstractNum w:abstractNumId="79">
    <w:nsid w:val="94211F2"/>
    <w:multiLevelType w:val="hybridMultilevel"/>
    <w:lvl w:ilvl="0">
      <w:lvlJc w:val="left"/>
      <w:lvlText w:val="%1."/>
      <w:numFmt w:val="decimal"/>
      <w:start w:val="12"/>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decimal"/>
      <w:start w:val="13"/>
    </w:lvl>
  </w:abstractNum>
  <w:abstractNum w:abstractNumId="82">
    <w:nsid w:val="4C04A8AF"/>
    <w:multiLevelType w:val="hybridMultilevel"/>
    <w:lvl w:ilvl="0">
      <w:lvlJc w:val="left"/>
      <w:lvlText w:val="%1."/>
      <w:numFmt w:val="decimal"/>
      <w:start w:val="15"/>
    </w:lvl>
  </w:abstractNum>
  <w:abstractNum w:abstractNumId="83">
    <w:nsid w:val="1716703B"/>
    <w:multiLevelType w:val="hybridMultilevel"/>
    <w:lvl w:ilvl="0">
      <w:lvlJc w:val="left"/>
      <w:lvlText w:val="%1."/>
      <w:numFmt w:val="decimal"/>
      <w:start w:val="16"/>
    </w:lvl>
  </w:abstractNum>
  <w:abstractNum w:abstractNumId="84">
    <w:nsid w:val="14E17E33"/>
    <w:multiLevelType w:val="hybridMultilevel"/>
    <w:lvl w:ilvl="0">
      <w:lvlJc w:val="left"/>
      <w:lvlText w:val="%1."/>
      <w:numFmt w:val="decimal"/>
      <w:start w:val="17"/>
    </w:lvl>
  </w:abstractNum>
  <w:abstractNum w:abstractNumId="85">
    <w:nsid w:val="3222E7CD"/>
    <w:multiLevelType w:val="hybridMultilevel"/>
    <w:lvl w:ilvl="0">
      <w:lvlJc w:val="left"/>
      <w:lvlText w:val="%1."/>
      <w:numFmt w:val="decimal"/>
      <w:start w:val="18"/>
    </w:lvl>
  </w:abstractNum>
  <w:abstractNum w:abstractNumId="86">
    <w:nsid w:val="74DE0EE3"/>
    <w:multiLevelType w:val="hybridMultilevel"/>
    <w:lvl w:ilvl="0">
      <w:lvlJc w:val="left"/>
      <w:lvlText w:val="%1."/>
      <w:numFmt w:val="decimal"/>
      <w:start w:val="19"/>
    </w:lvl>
  </w:abstractNum>
  <w:abstractNum w:abstractNumId="87">
    <w:nsid w:val="68EBC550"/>
    <w:multiLevelType w:val="hybridMultilevel"/>
    <w:lvl w:ilvl="0">
      <w:lvlJc w:val="left"/>
      <w:lvlText w:val="%1."/>
      <w:numFmt w:val="decimal"/>
      <w:start w:val="20"/>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58" Type="http://schemas.openxmlformats.org/officeDocument/2006/relationships/hyperlink" Target="http://www.sec.gov/Archives/edgar/data/1468328/000119312509238641/dex31.htm" TargetMode="External"/><Relationship Id="rId59" Type="http://schemas.openxmlformats.org/officeDocument/2006/relationships/hyperlink" Target="http://www.sec.gov/Archives/edgar/data/1468328/000119312513211165/d535575dex32.htm" TargetMode="External"/><Relationship Id="rId60"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2021-08-04T15:38:51Z</dcterms:created>
  <dcterms:modified xsi:type="dcterms:W3CDTF">2021-08-04T15:38:51Z</dcterms:modified>
</cp:coreProperties>
</file>