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adus-20231231.htm"/>
        <w:bookmarkStart w:id="1" w:name="ksadus202312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8" w:space="1" w:color="000000"/>
        </w:pBdr>
        <w:bidi w:val="0"/>
        <w:spacing w:before="0" w:after="8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8" w:space="1" w:color="000000"/>
        </w:pBdr>
        <w:bidi w:val="0"/>
        <w:spacing w:before="0" w:after="80"/>
        <w:jc w:val="center"/>
        <w:rPr/>
      </w:pPr>
      <w:r>
        <w:rPr/>
        <w:t> </w:t>
      </w:r>
    </w:p>
    <w:p>
      <w:pPr>
        <w:pStyle w:val="TextBody"/>
        <w:bidi w:val="0"/>
        <w:jc w:val="left"/>
        <w:rPr/>
      </w:pPr>
      <w:r>
        <w:rPr/>
        <w:t> </w:t>
      </w:r>
    </w:p>
    <w:tbl>
      <w:tblPr>
        <w:tblW w:w="9867" w:type="dxa"/>
        <w:jc w:val="left"/>
        <w:tblInd w:w="0" w:type="dxa"/>
        <w:tblLayout w:type="fixed"/>
        <w:tblCellMar>
          <w:top w:w="28" w:type="dxa"/>
          <w:left w:w="28" w:type="dxa"/>
          <w:bottom w:w="28" w:type="dxa"/>
          <w:right w:w="28" w:type="dxa"/>
        </w:tblCellMar>
      </w:tblPr>
      <w:tblGrid>
        <w:gridCol w:w="821"/>
        <w:gridCol w:w="9046"/>
      </w:tblGrid>
      <w:tr>
        <w:trPr/>
        <w:tc>
          <w:tcPr>
            <w:tcW w:w="82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ind w:left="0" w:right="0" w:firstLine="490"/>
              <w:jc w:val="left"/>
              <w:rPr>
                <w:color w:val="000000"/>
              </w:rPr>
            </w:pPr>
            <w:r>
              <w:rPr>
                <w:color w:val="000000"/>
              </w:rPr>
              <w:t>☒</w:t>
            </w:r>
          </w:p>
        </w:tc>
        <w:tc>
          <w:tcPr>
            <w:tcW w:w="9046" w:type="dxa"/>
            <w:tcBorders/>
            <w:vAlign w:val="center"/>
          </w:tcPr>
          <w:p>
            <w:pPr>
              <w:pStyle w:val="TableContents"/>
              <w:pBdr/>
              <w:bidi w:val="0"/>
              <w:spacing w:before="0" w:after="283"/>
              <w:ind w:left="0" w:right="0" w:hanging="490"/>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80" w:after="120"/>
        <w:jc w:val="center"/>
        <w:rPr>
          <w:rFonts w:ascii="Times New Roman" w:hAnsi="Times New Roman"/>
          <w:b/>
          <w:color w:val="000000"/>
          <w:sz w:val="16"/>
        </w:rPr>
      </w:pPr>
      <w:r>
        <w:rPr>
          <w:rFonts w:ascii="Times New Roman" w:hAnsi="Times New Roman"/>
          <w:b/>
          <w:color w:val="000000"/>
          <w:sz w:val="16"/>
        </w:rPr>
        <w:t>Commission file number 001-34504</w:t>
      </w:r>
    </w:p>
    <w:p>
      <w:pPr>
        <w:pStyle w:val="TextBody"/>
        <w:pBdr>
          <w:bottom w:val="single" w:sz="8" w:space="1" w:color="000000"/>
        </w:pBdr>
        <w:bidi w:val="0"/>
        <w:spacing w:before="0" w:after="80"/>
        <w:jc w:val="center"/>
        <w:rPr/>
      </w:pPr>
      <w:r>
        <w:rPr/>
        <w:t> </w:t>
      </w:r>
    </w:p>
    <w:p>
      <w:pPr>
        <w:pStyle w:val="TextBody"/>
        <w:bidi w:val="0"/>
        <w:jc w:val="center"/>
        <w:rPr>
          <w:rFonts w:ascii="Times New Roman" w:hAnsi="Times New Roman"/>
          <w:b/>
          <w:color w:val="000000"/>
          <w:sz w:val="38"/>
        </w:rPr>
      </w:pPr>
      <w:r>
        <w:rPr>
          <w:rFonts w:ascii="Times New Roman" w:hAnsi="Times New Roman"/>
          <w:b/>
          <w:color w:val="000000"/>
          <w:sz w:val="38"/>
        </w:rPr>
        <w:t>ADDUS HOMECARE CORPORATION</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spacing w:before="0" w:after="80"/>
        <w:jc w:val="center"/>
        <w:rPr/>
      </w:pPr>
      <w:r>
        <w:rPr/>
        <w:t> </w:t>
      </w:r>
    </w:p>
    <w:tbl>
      <w:tblPr>
        <w:tblW w:w="4671" w:type="dxa"/>
        <w:jc w:val="left"/>
        <w:tblInd w:w="0" w:type="dxa"/>
        <w:tblLayout w:type="fixed"/>
        <w:tblCellMar>
          <w:top w:w="28" w:type="dxa"/>
          <w:left w:w="28" w:type="dxa"/>
          <w:bottom w:w="28" w:type="dxa"/>
          <w:right w:w="28" w:type="dxa"/>
        </w:tblCellMar>
      </w:tblPr>
      <w:tblGrid>
        <w:gridCol w:w="3301"/>
        <w:gridCol w:w="109"/>
        <w:gridCol w:w="1261"/>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20-5340172</w:t>
            </w:r>
          </w:p>
        </w:tc>
      </w:tr>
      <w:tr>
        <w:trPr/>
        <w:tc>
          <w:tcPr>
            <w:tcW w:w="3301" w:type="dxa"/>
            <w:tcBorders/>
            <w:vAlign w:val="center"/>
          </w:tcPr>
          <w:p>
            <w:pPr>
              <w:pStyle w:val="TableContents"/>
              <w:bidi w:val="0"/>
              <w:jc w:val="center"/>
              <w:rPr>
                <w:rFonts w:ascii="Times New Roman" w:hAnsi="Times New Roman"/>
                <w:color w:val="000000"/>
                <w:sz w:val="15"/>
              </w:rPr>
            </w:pPr>
            <w:r>
              <w:rPr>
                <w:rFonts w:ascii="Times New Roman" w:hAnsi="Times New Roman"/>
                <w:color w:val="000000"/>
                <w:sz w:val="15"/>
              </w:rPr>
              <w:t>(State or other jurisdiction of</w:t>
            </w:r>
          </w:p>
          <w:p>
            <w:pPr>
              <w:pStyle w:val="TableContents"/>
              <w:bidi w:val="0"/>
              <w:spacing w:before="0" w:after="120"/>
              <w:jc w:val="center"/>
              <w:rPr>
                <w:rFonts w:ascii="Times New Roman" w:hAnsi="Times New Roman"/>
                <w:color w:val="000000"/>
                <w:sz w:val="15"/>
              </w:rPr>
            </w:pPr>
            <w:r>
              <w:rPr>
                <w:rFonts w:ascii="Times New Roman" w:hAnsi="Times New Roman"/>
                <w:color w:val="000000"/>
                <w:sz w:val="15"/>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jc w:val="center"/>
              <w:rPr>
                <w:rFonts w:ascii="Times New Roman" w:hAnsi="Times New Roman"/>
                <w:color w:val="000000"/>
                <w:sz w:val="15"/>
              </w:rPr>
            </w:pPr>
            <w:r>
              <w:rPr>
                <w:rFonts w:ascii="Times New Roman" w:hAnsi="Times New Roman"/>
                <w:color w:val="000000"/>
                <w:sz w:val="15"/>
              </w:rPr>
              <w:t>(I.R.S. Employer</w:t>
            </w:r>
          </w:p>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Identification No.)</w:t>
            </w:r>
          </w:p>
        </w:tc>
      </w:tr>
      <w:tr>
        <w:trPr/>
        <w:tc>
          <w:tcPr>
            <w:tcW w:w="3301" w:type="dxa"/>
            <w:tcBorders/>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6303 Cowboys Way, Suite 600</w:t>
            </w:r>
            <w:r>
              <w:rPr>
                <w:rFonts w:ascii="Times New Roman" w:hAnsi="Times New Roman"/>
                <w:color w:val="000000"/>
                <w:sz w:val="18"/>
              </w:rPr>
              <w:t xml:space="preserve"> </w:t>
            </w:r>
            <w:r>
              <w:rPr>
                <w:rFonts w:ascii="Times New Roman" w:hAnsi="Times New Roman"/>
                <w:b/>
                <w:color w:val="000000"/>
                <w:sz w:val="18"/>
              </w:rPr>
              <w:t>Frisco, TX</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75034</w:t>
            </w:r>
          </w:p>
        </w:tc>
      </w:tr>
      <w:tr>
        <w:trPr/>
        <w:tc>
          <w:tcPr>
            <w:tcW w:w="3301"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469-535-8200</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bidi w:val="0"/>
        <w:spacing w:before="8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tbl>
      <w:tblPr>
        <w:tblW w:w="7548" w:type="dxa"/>
        <w:jc w:val="left"/>
        <w:tblInd w:w="0" w:type="dxa"/>
        <w:tblLayout w:type="fixed"/>
        <w:tblCellMar>
          <w:top w:w="28" w:type="dxa"/>
          <w:left w:w="28" w:type="dxa"/>
          <w:bottom w:w="28" w:type="dxa"/>
          <w:right w:w="28" w:type="dxa"/>
        </w:tblCellMar>
      </w:tblPr>
      <w:tblGrid>
        <w:gridCol w:w="2506"/>
        <w:gridCol w:w="1561"/>
        <w:gridCol w:w="3481"/>
      </w:tblGrid>
      <w:tr>
        <w:trPr/>
        <w:tc>
          <w:tcPr>
            <w:tcW w:w="25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ADUS</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Securities registered pursuant to Section 12(g) of the Act:</w:t>
      </w:r>
      <w:r>
        <w:rPr>
          <w:rFonts w:ascii="Times New Roman" w:hAnsi="Times New Roman"/>
          <w:color w:val="000000"/>
          <w:sz w:val="20"/>
        </w:rPr>
        <w:t xml:space="preserve"> </w:t>
      </w:r>
      <w:r>
        <w:rPr>
          <w:rFonts w:ascii="Times New Roman" w:hAnsi="Times New Roman"/>
          <w:color w:val="000000"/>
          <w:sz w:val="18"/>
        </w:rPr>
        <w:t>None</w:t>
      </w:r>
    </w:p>
    <w:p>
      <w:pPr>
        <w:pStyle w:val="TextBody"/>
        <w:pBdr>
          <w:bottom w:val="single" w:sz="8"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1501"/>
        <w:gridCol w:w="376"/>
        <w:gridCol w:w="146"/>
        <w:gridCol w:w="18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The aggregate market value of the voting and non-voting common stock held by non-affiliates of the registrant, based on the last sale price on The Nasdaq Global Market on June 30, 2023</w:t>
      </w:r>
      <w:r>
        <w:rPr>
          <w:rFonts w:ascii="Times New Roman" w:hAnsi="Times New Roman"/>
          <w:color w:val="000000"/>
          <w:sz w:val="20"/>
        </w:rPr>
        <w:t xml:space="preserve"> </w:t>
      </w:r>
      <w:r>
        <w:rPr>
          <w:rFonts w:ascii="Times New Roman" w:hAnsi="Times New Roman"/>
          <w:color w:val="000000"/>
          <w:sz w:val="15"/>
        </w:rPr>
        <w:t>(the last business day of the registrant’s most recently completed second fiscal quarter) was approximately $1,473,419,000.</w:t>
      </w:r>
    </w:p>
    <w:p>
      <w:pPr>
        <w:pStyle w:val="TextBody"/>
        <w:bidi w:val="0"/>
        <w:spacing w:before="40" w:after="40"/>
        <w:jc w:val="center"/>
        <w:rPr>
          <w:rFonts w:ascii="Times New Roman" w:hAnsi="Times New Roman"/>
          <w:sz w:val="20"/>
        </w:rPr>
      </w:pPr>
      <w:r>
        <w:rPr>
          <w:rFonts w:ascii="Times New Roman" w:hAnsi="Times New Roman"/>
          <w:color w:val="000000"/>
          <w:sz w:val="15"/>
        </w:rPr>
        <w:t>As of February 16, 2024, there were 16,227,251</w:t>
      </w:r>
      <w:r>
        <w:rPr>
          <w:rFonts w:ascii="Times New Roman" w:hAnsi="Times New Roman"/>
          <w:color w:val="000000"/>
          <w:sz w:val="20"/>
        </w:rPr>
        <w:t xml:space="preserve"> </w:t>
      </w:r>
      <w:r>
        <w:rPr>
          <w:rFonts w:ascii="Times New Roman" w:hAnsi="Times New Roman"/>
          <w:color w:val="000000"/>
          <w:sz w:val="15"/>
        </w:rPr>
        <w:t>shares of common stock outstanding.</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Certain portions of the registrant’s Definitive Proxy Statement for its 2024 Annual Meeting of Stockholders (which is expected to be filed with the Commission within 120 days after the end of the registrant’s 2023 fiscal year) are incorporated by reference into Part III of this Annual Report on Form 10-K.</w:t>
      </w:r>
    </w:p>
    <w:tbl>
      <w:tblPr>
        <w:tblW w:w="7056" w:type="dxa"/>
        <w:jc w:val="left"/>
        <w:tblInd w:w="0" w:type="dxa"/>
        <w:tblLayout w:type="fixed"/>
        <w:tblCellMar>
          <w:top w:w="28" w:type="dxa"/>
          <w:left w:w="28" w:type="dxa"/>
          <w:bottom w:w="28" w:type="dxa"/>
          <w:right w:w="28" w:type="dxa"/>
        </w:tblCellMar>
      </w:tblPr>
      <w:tblGrid>
        <w:gridCol w:w="1696"/>
        <w:gridCol w:w="331"/>
        <w:gridCol w:w="1006"/>
        <w:gridCol w:w="1876"/>
        <w:gridCol w:w="1186"/>
        <w:gridCol w:w="961"/>
      </w:tblGrid>
      <w:tr>
        <w:trPr/>
        <w:tc>
          <w:tcPr>
            <w:tcW w:w="16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Firm PCAOB Id:</w:t>
            </w:r>
          </w:p>
        </w:tc>
        <w:tc>
          <w:tcPr>
            <w:tcW w:w="3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238</w:t>
            </w:r>
          </w:p>
        </w:tc>
        <w:tc>
          <w:tcPr>
            <w:tcW w:w="100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Name:</w:t>
            </w:r>
          </w:p>
        </w:tc>
        <w:tc>
          <w:tcPr>
            <w:tcW w:w="18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PricewaterhouseCoopers LLP</w:t>
            </w:r>
          </w:p>
        </w:tc>
        <w:tc>
          <w:tcPr>
            <w:tcW w:w="118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15"/>
              </w:rPr>
            </w:pPr>
            <w:r>
              <w:rPr>
                <w:rFonts w:ascii="Times New Roman" w:hAnsi="Times New Roman"/>
                <w:color w:val="000000"/>
                <w:sz w:val="15"/>
              </w:rPr>
              <w:t>Auditor Location:</w:t>
            </w:r>
          </w:p>
        </w:tc>
        <w:tc>
          <w:tcPr>
            <w:tcW w:w="96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15"/>
              </w:rPr>
            </w:pPr>
            <w:r>
              <w:rPr>
                <w:rFonts w:ascii="Times New Roman" w:hAnsi="Times New Roman"/>
                <w:color w:val="000000"/>
                <w:sz w:val="15"/>
              </w:rPr>
              <w:t>Dallas, Texas</w:t>
            </w:r>
          </w:p>
        </w:tc>
      </w:tr>
    </w:tbl>
    <w:p>
      <w:pPr>
        <w:pStyle w:val="TextBody"/>
        <w:pBdr>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9"/>
        <w:gridCol w:w="146"/>
        <w:gridCol w:w="8282"/>
        <w:gridCol w:w="146"/>
        <w:gridCol w:w="602"/>
      </w:tblGrid>
      <w:tr>
        <w:trPr/>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29" w:type="dxa"/>
            <w:tcBorders/>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_business">
              <w:r>
                <w:rPr>
                  <w:rStyle w:val="InternetLink"/>
                  <w:rFonts w:ascii="Times New Roman" w:hAnsi="Times New Roman"/>
                  <w:b/>
                  <w:color w:val="0000FF"/>
                  <w:sz w:val="20"/>
                  <w:u w:val="single"/>
                </w:rPr>
                <w:t>Business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1A.</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a_risk_factors">
              <w:r>
                <w:rPr>
                  <w:rStyle w:val="InternetLink"/>
                  <w:rFonts w:ascii="Times New Roman" w:hAnsi="Times New Roman"/>
                  <w:b/>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1B.</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b/>
                  <w:color w:val="0000FF"/>
                  <w:sz w:val="20"/>
                  <w:u w:val="single"/>
                </w:rPr>
                <w:t>Unresolved Staff Comments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1C.</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c_cybersecurity">
              <w:r>
                <w:rPr>
                  <w:rStyle w:val="InternetLink"/>
                  <w:rFonts w:ascii="Times New Roman" w:hAnsi="Times New Roman"/>
                  <w:b/>
                  <w:color w:val="0000FF"/>
                  <w:sz w:val="20"/>
                  <w:u w:val="single"/>
                </w:rPr>
                <w:t>Cybersecurity</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2.</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2_properties">
              <w:r>
                <w:rPr>
                  <w:rStyle w:val="InternetLink"/>
                  <w:rFonts w:ascii="Times New Roman" w:hAnsi="Times New Roman"/>
                  <w:b/>
                  <w:color w:val="0000FF"/>
                  <w:sz w:val="20"/>
                  <w:u w:val="single"/>
                </w:rPr>
                <w:t>Properties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3.</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3_legal_proceedings">
              <w:r>
                <w:rPr>
                  <w:rStyle w:val="InternetLink"/>
                  <w:rFonts w:ascii="Times New Roman" w:hAnsi="Times New Roman"/>
                  <w:b/>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4.</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29" w:type="dxa"/>
            <w:tcBorders/>
            <w:vAlign w:val="center"/>
          </w:tcPr>
          <w:p>
            <w:pPr>
              <w:pStyle w:val="TableContents"/>
              <w:bidi w:val="0"/>
              <w:spacing w:before="0" w:after="283"/>
              <w:ind w:left="240" w:right="0" w:firstLine="240"/>
              <w:jc w:val="left"/>
              <w:rPr/>
            </w:pPr>
            <w:r>
              <w:rPr/>
              <w:t> </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1029" w:type="dxa"/>
            <w:tcBorders/>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5.</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b/>
                  <w:color w:val="0000FF"/>
                  <w:sz w:val="20"/>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6.</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6_reserved">
              <w:r>
                <w:rPr>
                  <w:rStyle w:val="InternetLink"/>
                  <w:rFonts w:ascii="Times New Roman" w:hAnsi="Times New Roman"/>
                  <w:color w:val="0563C1"/>
                  <w:sz w:val="20"/>
                  <w:u w:val="single"/>
                </w:rPr>
                <w:t>[</w:t>
              </w:r>
            </w:hyperlink>
            <w:hyperlink w:anchor="item_6_reserved">
              <w:r>
                <w:rPr>
                  <w:rStyle w:val="InternetLink"/>
                  <w:rFonts w:ascii="Times New Roman" w:hAnsi="Times New Roman"/>
                  <w:b/>
                  <w:color w:val="0000FF"/>
                  <w:sz w:val="20"/>
                  <w:u w:val="single"/>
                </w:rPr>
                <w:t>Reserved</w:t>
              </w:r>
            </w:hyperlink>
            <w:hyperlink w:anchor="item_6_reserved">
              <w:r>
                <w:rPr>
                  <w:rStyle w:val="InternetLink"/>
                  <w:rFonts w:ascii="Times New Roman" w:hAnsi="Times New Roman"/>
                  <w:color w:val="0563C1"/>
                  <w:sz w:val="20"/>
                  <w:u w:val="single"/>
                </w:rPr>
                <w:t>]</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7.</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managements_discussion_analysis_financia">
              <w:r>
                <w:rPr>
                  <w:rStyle w:val="InternetLink"/>
                  <w:rFonts w:ascii="Times New Roman" w:hAnsi="Times New Roman"/>
                  <w:b/>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7A.</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b/>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56</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8.</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b/>
                  <w:color w:val="0000FF"/>
                  <w:sz w:val="20"/>
                  <w:u w:val="single"/>
                </w:rPr>
                <w:t>Financial Statements and Supplementary Data</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56</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b/>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56</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9A.</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9a_controls_procedures">
              <w:r>
                <w:rPr>
                  <w:rStyle w:val="InternetLink"/>
                  <w:rFonts w:ascii="Times New Roman" w:hAnsi="Times New Roman"/>
                  <w:b/>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56</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9B.</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9b_or_information">
              <w:r>
                <w:rPr>
                  <w:rStyle w:val="InternetLink"/>
                  <w:rFonts w:ascii="Times New Roman" w:hAnsi="Times New Roman"/>
                  <w:b/>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57</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9C.</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9c_disclosure_regarding_foreign_jur">
              <w:r>
                <w:rPr>
                  <w:rStyle w:val="InternetLink"/>
                  <w:rFonts w:ascii="Times New Roman" w:hAnsi="Times New Roman"/>
                  <w:b/>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57</w:t>
            </w:r>
          </w:p>
        </w:tc>
      </w:tr>
      <w:tr>
        <w:trPr/>
        <w:tc>
          <w:tcPr>
            <w:tcW w:w="1029" w:type="dxa"/>
            <w:tcBorders/>
            <w:vAlign w:val="center"/>
          </w:tcPr>
          <w:p>
            <w:pPr>
              <w:pStyle w:val="TableContents"/>
              <w:bidi w:val="0"/>
              <w:spacing w:before="0" w:after="283"/>
              <w:ind w:left="240" w:right="0" w:firstLine="240"/>
              <w:jc w:val="left"/>
              <w:rPr/>
            </w:pPr>
            <w:r>
              <w:rPr/>
              <w:t> </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1029" w:type="dxa"/>
            <w:tcBorders/>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10.</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b/>
                  <w:color w:val="0000FF"/>
                  <w:sz w:val="20"/>
                  <w:u w:val="single"/>
                </w:rPr>
                <w:t>Directors, Executive Officers and Corporate Governance</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11.</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1_executive_compensation">
              <w:r>
                <w:rPr>
                  <w:rStyle w:val="InternetLink"/>
                  <w:rFonts w:ascii="Times New Roman" w:hAnsi="Times New Roman"/>
                  <w:b/>
                  <w:color w:val="0000FF"/>
                  <w:sz w:val="20"/>
                  <w:u w:val="single"/>
                </w:rPr>
                <w:t>Executive Compensation</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12.</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b/>
                  <w:color w:val="0000FF"/>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13.</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b/>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14.</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4_principal_accounting_fees_and_se">
              <w:r>
                <w:rPr>
                  <w:rStyle w:val="InternetLink"/>
                  <w:rFonts w:ascii="Times New Roman" w:hAnsi="Times New Roman"/>
                  <w:b/>
                  <w:color w:val="0000FF"/>
                  <w:sz w:val="20"/>
                  <w:u w:val="single"/>
                </w:rPr>
                <w:t>Principal Accounting Fees and Services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1029" w:type="dxa"/>
            <w:tcBorders/>
            <w:vAlign w:val="center"/>
          </w:tcPr>
          <w:p>
            <w:pPr>
              <w:pStyle w:val="TableContents"/>
              <w:bidi w:val="0"/>
              <w:spacing w:before="0" w:after="283"/>
              <w:ind w:left="240" w:right="0" w:firstLine="240"/>
              <w:jc w:val="left"/>
              <w:rPr/>
            </w:pPr>
            <w:r>
              <w:rPr/>
              <w:t> </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 </w:t>
            </w:r>
          </w:p>
        </w:tc>
      </w:tr>
      <w:tr>
        <w:trPr/>
        <w:tc>
          <w:tcPr>
            <w:tcW w:w="1029" w:type="dxa"/>
            <w:tcBorders/>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59</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15.</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b/>
                  <w:color w:val="0000FF"/>
                  <w:sz w:val="20"/>
                  <w:u w:val="single"/>
                </w:rPr>
                <w:t>Exhibits and Financial Statement Schedules</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59</w:t>
            </w:r>
          </w:p>
        </w:tc>
      </w:tr>
      <w:tr>
        <w:trPr/>
        <w:tc>
          <w:tcPr>
            <w:tcW w:w="1029" w:type="dxa"/>
            <w:tcBorders/>
            <w:vAlign w:val="center"/>
          </w:tcPr>
          <w:p>
            <w:pPr>
              <w:pStyle w:val="TableContents"/>
              <w:bidi w:val="0"/>
              <w:spacing w:before="0" w:after="283"/>
              <w:ind w:left="240" w:right="0" w:firstLine="240"/>
              <w:jc w:val="left"/>
              <w:rPr>
                <w:rFonts w:ascii="Times New Roman" w:hAnsi="Times New Roman"/>
                <w:b/>
                <w:color w:val="000000"/>
                <w:sz w:val="20"/>
              </w:rPr>
            </w:pPr>
            <w:r>
              <w:rPr>
                <w:rFonts w:ascii="Times New Roman" w:hAnsi="Times New Roman"/>
                <w:b/>
                <w:color w:val="000000"/>
                <w:sz w:val="20"/>
              </w:rPr>
              <w:t>Item 16.</w:t>
            </w:r>
          </w:p>
        </w:tc>
        <w:tc>
          <w:tcPr>
            <w:tcW w:w="146"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hyperlink w:anchor="item_16_form_10k_summary">
              <w:r>
                <w:rPr>
                  <w:rStyle w:val="InternetLink"/>
                  <w:rFonts w:ascii="Times New Roman" w:hAnsi="Times New Roman"/>
                  <w:b/>
                  <w:color w:val="0000FF"/>
                  <w:sz w:val="20"/>
                  <w:u w:val="single"/>
                </w:rPr>
                <w:t>Form 10-K Summary</w:t>
              </w:r>
            </w:hyperlink>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CAUTION CONCERNING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macroeconomic conditions, including significant global inflation and elevated interest rates, legislative developments, trade disruptions and the potential adverse effects of current geopolitical conditions;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disruptions due to natural disasters, acts of terrorism, pandemics, riots, civil insurrection or social unrest, looting, protests, strikes or street demonstrations;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operational and reimbursement processes and payment structures at the state or federal levels;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Medicaid, Medicare, other government program and managed care organizations policies and payment rates, and the timeliness of reimbursements received under government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or our failure to comply with, existing federal and state laws or regulations, or our failure to comply with new government laws or regulations on a timely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the healthcare industry;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geographical concentration of our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case mix of consumers and payment methodologies;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operational changes resulting from the assumption by managed care organizations of responsibility for managing and paying for our services to consumers;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nature and success of future financial and/or delivery system reforms;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estimates and judgments associated with critical accounting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or establish new referral sources;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renew significant agreements or groups of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qualified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state and city minimum wage pressure, including any failure of any governmental entity to enact a minimum wage offset and/or the timing of any such enactment;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payments and covered services due to the overall economic conditions and deficit reduction measures by federal and state governments, and our expectations regarding these changes;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containment initiatives undertaken by federal and state governmental and other third-party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access financing through the capital and credit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meet debt service requirements and comply with covenants in debt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integrate and manage our information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impact of security breaches, cyber-attacks, loss of data, or cybersecurity threats or incidents, and any actual or perceived failures to comply with legal requirements related to the privacy of confidential consumer data and other sensitive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growth of the markets for our services, including our expectations regarding the markets for our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eligibility standards and limits on services imposed by state governmental agencies;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for litigation, audits and investigations;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discretionary determinations by government officials;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successfully implement our business model to grow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identifying, pursuing, consummating and integrating acquisition opportunities and expand into new geographic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acquisitions and dispositions on our business, including the potential inability to realize the benefits of potential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quality and cost of our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tax rates;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other matters,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7—”Management’s Discussion and Analysis of Financial Condition and Results of Operations—Critical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provided, “Addus,” “we,” “us,” “our,” and the “Company” refer to Addus HomeCare Corporation and our consolidated subsidiaries and “Holdings” refers to Addus HomeCare Corporation. When we refer to 2023, 2022 and 2021, we mean the twelve-month period then ended December 31, unless otherwise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this Annual Report on Form 10-K for the year ended December 31, 2023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Addus has been providing home care services since 1979. We operate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provided services in 22 states through approximately 219 offices. For the year ended December 31, 2023, we served approximately 91,000 discrete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drive organic growth while also growing through acquisitions, focusing on growth in the states in which we have a presence while adding clinical care services to our offerings. As of December 31, 2023, we provide all three levels of care, personal care, home health and hospice services, in Ohio, Tennessee, Illinois and New Mexico and strategically continue to pursue other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our financial results is provided in the table below.</w:t>
      </w:r>
    </w:p>
    <w:p>
      <w:pPr>
        <w:pStyle w:val="TextBody"/>
        <w:bidi w:val="0"/>
        <w:jc w:val="left"/>
        <w:rPr/>
      </w:pPr>
      <w:r>
        <w:rPr/>
        <w:t> </w:t>
      </w:r>
    </w:p>
    <w:tbl>
      <w:tblPr>
        <w:tblW w:w="6256" w:type="dxa"/>
        <w:jc w:val="left"/>
        <w:tblInd w:w="0" w:type="dxa"/>
        <w:tblLayout w:type="fixed"/>
        <w:tblCellMar>
          <w:top w:w="28" w:type="dxa"/>
          <w:left w:w="28" w:type="dxa"/>
          <w:bottom w:w="28" w:type="dxa"/>
          <w:right w:w="28" w:type="dxa"/>
        </w:tblCellMar>
      </w:tblPr>
      <w:tblGrid>
        <w:gridCol w:w="3136"/>
        <w:gridCol w:w="146"/>
        <w:gridCol w:w="229"/>
        <w:gridCol w:w="1013"/>
        <w:gridCol w:w="158"/>
        <w:gridCol w:w="158"/>
        <w:gridCol w:w="229"/>
        <w:gridCol w:w="850"/>
        <w:gridCol w:w="14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74"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care</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Hospice</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Home health</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service revenue by segment</w:t>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center"/>
              <w:rPr/>
            </w:pPr>
            <w:r>
              <w:rPr/>
              <w:t> </w:t>
            </w:r>
          </w:p>
        </w:tc>
        <w:tc>
          <w:tcPr>
            <w:tcW w:w="107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937,994</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which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model provides significant value to managed care organizations. States continue to implement managed care programs for Medicaid enrollees, and, as a result, managed care organizations have been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Market and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home care services that primarily include personal care services to assist with activities of daily living, as well as hospice and home health services. These services allow the elderly and other infirm adults who require long-term care and assistance with activities of daily living to maintain their independence at home with their families. Personal care services are a significant component of home and community-based services (“HCBS”), which have grown in significance and demand in recent years. In particular, the demand for personal care services is growing from managed care delivery models, including Medicaid Long-Term Services and Supports (“LTSS”) programs and Medicare Advantage plans. Managed care plans aim to manage cost, utilization and quality through collaboration of health insurance plans and healthcare providers. We also offer personal care services to private pay consumers. We expect demand for HCBS to continue to grow due to the aging of the U.S. population and improved opportunities for individuals to receive home-based care as an alternative to institutional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our model serves an aging population in a home setting at a lower cost, we believe that we have favorable opportunities for growth. The personal care, hospice and home health service industries have developed in a fragmented manner, with many small participants and a few larger participants that have a significant market share across multiple regions or states. The historic lack of licensure or certification requirements in some states makes it difficult to estimate the number of home-based services agencies, although these requirements and other barriers to entry are now increasing. We expect ongoing consolidation within our industry, driven by the desire of healthcare systems and managed care organizations to narrow their networks of service providers, and also by the industry’s increasingly complex regulatory, operating and technology requirements. We believe we are well positioned to capitalize on these trends, given our reputation in the market, strong payor relationships and integration of technology into our business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personal care services industry is subject to increasing regulation. At the federal level, efforts have focused on improved coordination of regulation across the various types of Medicaid programs through which personal care services are offered. For example, federal standards require states to mandate that providers use an electronic visit verification (“EVV”) system to collect certain data from Medicaid-funded home visits. States have flexibility in the model they use to implement the mandate, which means EVV systems, vendors and contracting processes can vary significantly by state. States increasingly require providers to register with regulatory authorities or obtain licenses. Providers must dedicate substantial resources to ensure continuing compliance with all applicable laws and regulations, and significant expenditures may be necessary to offer new services or to expand into new markets. We believe licensing and other operational requirements and regulations, the increasing focus on improving health outcomes, the rising cost and complexity of operations and technology and pressure on reimbursement rates may discourage new providers and may encourage industry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Medicare-Medicaid Coordination Office (“MMCO”) was established within the Centers for Medicare &amp; Medicaid Services (“CMS”) to improve services for consumers who are eligible for both Medicare and Medicaid, also known as “dual eligibles,”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In addition, the MMCO and the CMS Innovation Center are considering or have implemented demonstration projects affecting reimbursement for services provided to dual eligibles.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personal care program and our technology make us well-suited to partner with managed care organizations to address the needs of the “dual eligible” population, and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Growth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revenues is closely correlated with the number of consumers to whom we provide our services. Our continued growth depends on our ability to provide consistent high-quality care, maintain our existing payor relationships, establish relationships with new payors, increase our referral sources and attract and retain caregivers. Our continued growth is also dependent upon the authorization by state agencies of new consumers to receive our services. We believe there are several market opportunities for growth as the population ages. Moreover, individuals generally prefer to receive care in their homes, and we believe the COVID-19 pandemic heightened this preference due to health concerns that may be associated with institutional settings for long-term care, along with concerns about the re-imposition of visitor restrictions that were imposed in many long-term care facilities in response to the pandemic. Finally, we believe the provision of home-based services is more cost-effective than the provision of similar services in institutional settings for long-term care. We plan to continue our revenue growth and enhance our competitive positioning by executing on the following growth strategies: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Consistently Provide High-Quality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assists our caregivers with identifying changes in our consumers’ health and condition before acute intervention is required, which we believe lowers the overall cost of care.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Drive Organic Growth in Existing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drive organic growth through several initiatives, including continuing to build and enhance our sales and marketing capabilities, enhancing our business intelligence analytic capabilities, recruiting and retaining employees and investing in technology and operations to drive efficiencies. We also expect our organic growth will benefit from an increase in demand for our services by an aging population and our increased alignment with referral sources and payors. We continue to selectively open new offices in existing markets when an opportunity is identified and appropriate.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Market to Managed Care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large-scale provider of home-based care, we are partnering with managed care organizations, taking advantage of an industry shift from traditional fee-for-service Medicare and Medicaid and toward managed care models which aim to better coordinate care, among other goals.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 In particular, our expansion from primarily personal care services into hospice and home health has increased our value to our managed care partners by diversifying our home-based care offerings.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Grow Through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organic growth, we have been growing through acquisitions that have expanded our presence in current markets or facilitated our entry into new markets. We completed two acquisitions in 2023: Coastal Nursecare of Florida, Inc. (“CareStaff”) on January 1, 2023 and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on August 1, 2023. Acquisitions completed in 2023 accounted for $18.8 million in net service revenues for the year ended December 31, 2023. We also completed two acquisitions in 2022: JourneyCare Inc. (“JourneyCare”) on February 1, 2022 and Apple Home Healthcare, LTD (“Apple Home”) on October 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active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opportunities generated by our acquisition pipeline, as well as our history of integrating acquisitions, will lead to additional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three business segments: personal care, hospice and home health. Without our services, many of our consumers would be at increased risk of placement in a long-term care institution.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Personal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feeding and dressing, medication reminders, meal planning and preparation, housekeeping and transportation services. Many consumers need such services on a long-term basis to address chronic or acute conditions. Our personal care segment also includes staffing services, with clients including assisted living facilities, nursing homes and hospice facilities. Each payor client establishes its own eligibility standards, determines the type, amount, duration and scope of services, and establishes the applicable reimbursement rate in accordance with applicable laws, regulations or contracts.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hospice segment provides physical, emotional and spiritual care for people who are terminally ill as well as related services for their families. The hospice services we provide include palliative nursing care, social work, spiritual counseling, homemaker services and bereavement counseling. Generally, patients receiving hospice services have a life expectancy of six months or less.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home health segment provides services that are primarily medical in nature to individuals who may require assistance during an illness or after hospitalization and include skilled nursing and physical, occupational and speech therapy. We generally provide home health services on a short-term, intermittent or episodic basis to individuals, typically to assist patients recovering from an illness or injury.</w:t>
      </w:r>
    </w:p>
    <w:p>
      <w:pPr>
        <w:pStyle w:val="TextBody"/>
        <w:bidi w:val="0"/>
        <w:spacing w:before="240" w:after="283"/>
        <w:jc w:val="left"/>
        <w:rPr>
          <w:rFonts w:ascii="Times New Roman" w:hAnsi="Times New Roman"/>
          <w:sz w:val="20"/>
        </w:rPr>
      </w:pPr>
      <w:r>
        <w:rPr>
          <w:rFonts w:ascii="Times New Roman" w:hAnsi="Times New Roman"/>
          <w:color w:val="000000"/>
          <w:sz w:val="20"/>
        </w:rPr>
        <w:t>We measure the performance of each segment using a number of different metrics. See “</w:t>
      </w:r>
      <w:r>
        <w:rPr>
          <w:rFonts w:ascii="Times New Roman" w:hAnsi="Times New Roman"/>
          <w:i/>
          <w:color w:val="000000"/>
          <w:sz w:val="20"/>
        </w:rPr>
        <w:t>Management’s Discussion and Analysis of Financial Condition and Results of Operations—Results of Operations</w:t>
      </w:r>
      <w:r>
        <w:rPr>
          <w:rFonts w:ascii="Times New Roman" w:hAnsi="Times New Roman"/>
          <w:color w:val="000000"/>
          <w:sz w:val="20"/>
        </w:rPr>
        <w:t>” for information regarding the Company’s segment metrics.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clients are principally federal, state and local governmental agencies and managed care organizations. The federal, state and local programs under which the agencies operate are subject to legislative and budgetary restrictions, changes and other risks that can influence reimbursement rates. Managed care organizations that operate as an extension of government payors are subject to similar economic pressures. Our commercial insurance payor clients are typically for-profit companies and are continuously seeking opportunities to control costs.</w:t>
      </w:r>
    </w:p>
    <w:p>
      <w:pPr>
        <w:pStyle w:val="TextBody"/>
        <w:bidi w:val="0"/>
        <w:spacing w:before="240" w:after="283"/>
        <w:jc w:val="left"/>
        <w:rPr>
          <w:rFonts w:ascii="Times New Roman" w:hAnsi="Times New Roman"/>
          <w:sz w:val="20"/>
        </w:rPr>
      </w:pPr>
      <w:r>
        <w:rPr>
          <w:rFonts w:ascii="Times New Roman" w:hAnsi="Times New Roman"/>
          <w:color w:val="000000"/>
          <w:sz w:val="20"/>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personal care segment payor mix as states shift from administering fee-for-service programs to utilizing managed care models. See “</w:t>
      </w:r>
      <w:r>
        <w:rPr>
          <w:rFonts w:ascii="Times New Roman" w:hAnsi="Times New Roman"/>
          <w:i/>
          <w:color w:val="000000"/>
          <w:sz w:val="20"/>
        </w:rPr>
        <w:t>Management’s Discussion and Analysis of Financial Condition and Results of Operations—Overview</w:t>
      </w:r>
      <w:r>
        <w:rPr>
          <w:rFonts w:ascii="Times New Roman" w:hAnsi="Times New Roman"/>
          <w:color w:val="000000"/>
          <w:sz w:val="20"/>
        </w:rPr>
        <w:t>” for our revenue mix by payor type.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industry is highly competitive, fragmented and market specific. Each local market has its own competitive profile and no single competitor has significant market share across all of our markets. Our competition consists of personal care service providers, home health providers, hospice providers, private caregivers, publicly held companies, privately held companies, privately held single-site agencies, hospital-based agencies, not-for-profit organizations, community-based organizations, managed care organizations and self-directed care programs. In addition, payors, including governmental agencies, contract with other providers for services we offer. We have experienced, and expect to continue to experience, competition from new entrants into our markets. Increased competition may result in pricing pressures, loss of or failure to gain market share or loss of consumers or payors, any of which could harm our business. In addition, some of our competitors and/or competitive care models may have greater financial, technical, political and marketing resources, as well as name recognition with consumers and payors.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systems of governmental entities and attempt to work with and provide input to the responsible government personnel, provider associations and consumer advocacy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establish new referral relationships with various managed care organizations that contract with the states to service the Medicaid programs. We have met with many contracted managed care organizations in markets we serve and believe we are building the relationships necessary to generate continued referrals of new clients.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 substantially all of our personal care consumers through third-party referrals, including state departments on aging, rehabilitation, mental health and children’s services, county departments of social services, managed care organizations, the Veterans Health Administration and city departments on aging. Generally, family members of potential consumers are made aware of available in-home or alternative living arrangements through state or local case management systems. These systems are operated by governmental or private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hospice and home health patients, we receive substantially all of our referrals through other healthcare providers, such as hospitals, physicians, nursing homes and assisted living facilities. We have a team of community liaisons in our hospice and home health operations that educate and develop relationships with other healthcare providers and the community at large.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Payment for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reimbursed for substantially all of our services by federal, state and local government programs, such as Medicare and Medicaid state programs, managed care organizations, other state agencies and the Veterans Health Administration. In addition, we are reimbursed by commercial insurance and private pay consumers. Depending on the type of service, coverage for services may be predicated on a case manager, physician or nurse determination that the care is necessary or on the development of a plan for care in the home.</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Medicare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is a federal program that provides certain medical insurance benefits to persons aged 65 or older and other qualified persons. Each of our hospice and home care agencies must comply with the extensive conditions of participation in the Medicare program in order to continue receiving Medicare reimbursement.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CMS requires hospice providers to submit quality reporting data each year and updates hospice payment rates annually using a market basket index. Hospices that do not satisfy quality reporting requirements are subject to a 2 percentage point reduction to the market basket percentage update. Beginning in federal fiscal year 2024, the reduction to the market basket update for failure to satisfy quality reporting requirements will increase to 4 percentage points. Additionally, hospice providers are subject to two specific payment limit caps under the Medicare program each federal fiscal year: the inpatient cap and the aggregate cap, as discussed further in Note 1 to the Notes to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reimburses home health agencies under a prospective payment system, paying a national, standardized 30-day period payment rate if a period of care meets a threshold of home health visits. The daily home health payment rate is adjusted for case-mix and area wage levels. CMS uses the Patient-Driven Groupings Model (“PDGM”) as the case-mix classification model to place periods of care into payment categories, classifying patients based on clinical characteristics. An outlier adjustment may be paid for periods of care in which costs exceed a specific threshold amount. CMS updates home health payment rates annually using a market basket index. Home health agencies that do not submit required quality data are subject to a 2 percentage point reduction to the market basket update. CMS began implementing a nationwide expansion of the Home Health Value-Based Purchasing (“HHVBP”) Model in 2022. Under the HHVBP Model, home health agencies receive increases or reductions to their Medicare fee-for-service payments of up to 5% based on performance against specific quality measures relative to the performance of other home health providers. Data collected in each performance year impacts Medicare payments two years later. Calendar year 2023 was the first performance year under the expanded HHVBP Model, which will affect payments in calendar year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Medicare requires home health agencies to submit a one-time Notice of Admission (“NOA”) for each patient that establishes that the beneficiary is under a Medicare home health period of care. Failure to submit the NOA within five calendar days from the start of care date will result in a reduction to the 30-day period payment amount for each day from the start of care date until the date the NOA is submitted.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Medicaid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intermittent home health services for Medicaid beneficiaries, but cover continuous services for children and young adults with complicated medical conditions and home and community-based services for seniors and people with disabilities.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models vary by state. Currently, home health services are often reimbursed by state Medicaid programs on a fee-for-service basis. For hospice services, the state pays an amount for each day that a beneficiary is under the care of a hospice provider based on the type and intensity of services furnished. Many states are moving the administration of their Medicaid hospice and home healthcare programs to managed care organizations in order to effectively manage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personal care services and other HCBS are largely reimbursed on a fee-for-service basis. Some states have received permission from CMS to provide HCBS under waivers of traditional Medicaid requirements. In an effort to control escalating Medicaid costs, states are increasingly requiring Medicaid beneficiaries to enroll in managed care plans for better coordination of HCBS and healthcare services. For example, over three-quarters of Medicaid beneficiaries in Illinois are a part of the Health Choice Illinois statewide managed care program, which is serviced by various managed care organizations. Reimbursement from the managed care organizations for personal care services is generally on an hourly, fee-for-service basis with rates consistent with or as a percentage of the individual state funded rates, where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Illinois Department on Aging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amount of our net service revenues from our personal care segment are derived from once specific payor client, the Illinois Department on Aging, which accounted for 20.9% and 20.7% of our net service revenues for 2023 and 2022, respectively. The Illinois Department on Aging coordinates programs and community-based services intended to improve quality of life and preserve the independence of older individuals. The Illinois Department on Aging is funded by Medicaid, Illinois’s Commitment to Human Services Fund, and general revenue funds of the state of Illinois, and also receives funding available under the federal Older Americans Act (“OAA”). The Department on Aging’s Community Care Program (“CCP”) provides adult day services, emergency home response, automated medication dispenser services, and in-home services, which consist of personal care services, to individuals who are age 60 and over and meet other eligibility requirements. Some of these services are provided through Medicaid waivers granted by CMS.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Consumers are identified by “care coordinators” contracted independently with the Illinois Department on Aging. Once a consumer has been evaluated and determined to be eligible for a program, an assigned care coordinator refers the consumer to a list of authorized providers, from which the consumer selects the provider. We provide our services in accordance with a care plan developed by the care coordinator and under administrative directives from the Illinois Department on Aging. We are reimbursed on an hourly fee-for-service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Veterans Health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Veterans Health Administration operates the nation’s largest integrated healthcare system, with more than 1,300 healthcare facilities,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principally in New Mexico, Illinois and California.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sources of funding are available to support personal care, hospice and home health services in different states and localities. For example,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Commercial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long-term care insurance policies contain benefits for in-home services. Policies are generally subject to dollar limitations on the amount of daily, weekly or monthly coverage provided.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Insurance Programs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Human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breakdown of our part- and full-time employees, including the employees in our corporate support center, as of December 31, 2023:</w:t>
      </w:r>
    </w:p>
    <w:p>
      <w:pPr>
        <w:pStyle w:val="TextBody"/>
        <w:bidi w:val="0"/>
        <w:jc w:val="left"/>
        <w:rPr/>
      </w:pPr>
      <w:r>
        <w:rPr/>
        <w:t> </w:t>
      </w:r>
    </w:p>
    <w:tbl>
      <w:tblPr>
        <w:tblW w:w="5687" w:type="dxa"/>
        <w:jc w:val="left"/>
        <w:tblInd w:w="0" w:type="dxa"/>
        <w:tblLayout w:type="fixed"/>
        <w:tblCellMar>
          <w:top w:w="28" w:type="dxa"/>
          <w:left w:w="28" w:type="dxa"/>
          <w:bottom w:w="28" w:type="dxa"/>
          <w:right w:w="28" w:type="dxa"/>
        </w:tblCellMar>
      </w:tblPr>
      <w:tblGrid>
        <w:gridCol w:w="2356"/>
        <w:gridCol w:w="146"/>
        <w:gridCol w:w="155"/>
        <w:gridCol w:w="611"/>
        <w:gridCol w:w="146"/>
        <w:gridCol w:w="146"/>
        <w:gridCol w:w="146"/>
        <w:gridCol w:w="676"/>
        <w:gridCol w:w="146"/>
        <w:gridCol w:w="146"/>
        <w:gridCol w:w="146"/>
        <w:gridCol w:w="67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Caregivers and agency staff</w:t>
            </w:r>
          </w:p>
        </w:tc>
        <w:tc>
          <w:tcPr>
            <w:tcW w:w="146"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34,304</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support centers</w:t>
            </w:r>
          </w:p>
        </w:tc>
        <w:tc>
          <w:tcPr>
            <w:tcW w:w="146" w:type="dxa"/>
            <w:tcBorders/>
            <w:shd w:fill="FFFFFF" w:val="cle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Addus, our people are crucial to our mission. Our Addus CARES commitment to human capital excellence inspires a culture that attracts, retains, and engages our employees to serve our important mission, and it is fundamental to our corporate philosophy.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Workforce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workforce is a dynamic and diverse assembly of talent. At the core of our operations is a dedicated team of 5,528 full-time caregivers, clinical staff, and administrative employees. Complementing their efforts are 28,776 part-time caregivers and administrative employees. We offer flexibility in the form of adaptable work options, which may not be as readily available in other industries. In our most recent annual employee engagement survey, our workforce scored work-life balance at an 80% satisfaction 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Two corporate support centers house a total of 542 administrative and professional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17,859 or 51.3% of our total employees are represented by labor unions. We maintain strong working relationships with these labor unions. We have numerous collective bargaining agreements with local affiliates of the Service Employees International Union (“SEIU”), which are renegotiated from time to time.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People Development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in a strong workplace culture focused on people development. We have named this initiative “Addus CARES”, which represents our commitment to creating a culture that attracts, retains, and engages people to serve our important mission.We aspire to create a workplace that values and listens to its employees, provides ample opportunities for their skills development, and effectively recognizes their achievements. By leveraging our People Development and Experience Department, we aspire to create a workplace that values and listens to its employees, provides ample opportunities for their skills development, and effectively recognizes their achievements throughout the employee life cycle.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Addus prioritizes a robust listening strategy that allows for regular opportunities for feedback throughout an employee’s tenure. People experience surveys serve as a foundation of this strategy. In the most recent such survey, company management received an 82% satisfaction rating among all employee respondents, and 80% of our caregiver respondents indicated they would recommend Addus as a great place to work.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dedication to workforce experience is also reflected in the breadth of our training programs and our ongoing commitment to employee development. Addus has recently introduced new innovative initiatives such as our Ignite and Emerge employee development programs. Ignite equips new leaders with the necessary skills, tools, and resources to lead within our organizational culture and values. Emerge cultivates future leaders, strengthening our future with a diverse internal leadership pipeline for potential future promotions. Additionally, Addus deploys ongoing learning opportunities throughout the employee life cycle via the Addus Learning Academy and clinical learning management systems. The Addus Learning Academy allows employees to access online resources needed to build and enhance the important skills related to their respective roles at Addus and to provide beneficial soft-skills training for personal growth. With recent investments in new learning management platforms and additional investments in existing platforms, Addus’ clinical learning management systems provide a growing catalog of continuing learning opportunities for patient-facing employees to improve their clinical skills and promote consistent, quality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it is important to acknowledge our employees and managers who are carrying our mission and values forward every day, and we are committed to fostering employee engagement through effective recognition programs and communications. The Addus Elite employee recognition program consists of three levels of employee recognition: real-time peer-to-peer, quarterly company-wide, and annual Addus Elite Hall of Fame. All three components are designed to recognize and celebrate the work our employees do daily. Additionally, we have focused our organizational communication tools to disseminate vital company information more efficiently and effectively through the Addus Resource Center, AddusConnect, and Addus Ink. The Addus Resource Center is a company information portal for on-demand company information. AddusConnect is a biweekly e-newsletter that succinctly features important company updates, information, and resources. Addus Ink is a semi-annual publication that highlights local stories and news from around the country that celebrate our mission and values.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Employee Welfare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commitment to providing high quality care and service to our clients and patients, while also promoting the health and well-being of our employees, Addus takes a multifaceted approach to employee wellness and safety.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strategically designed benefit offerings, Addus provides access to healthcare coverage that balances the medical needs of our workforce with affordability for our diverse employment populations. In addition, the company aims to assist in the financial well-being of our workforce through company benefits such as early wage access programs, an employee discount marketplace, and educational resources for employees on financial well-being. Addus offers a non-profit employee disaster relief fund program, Addus ACTS, that provides emergency financial grants for employees in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Addus maintains a structured workplace safety program throughout the employee life cycle that provides job-relevant education, training, and skills focused on both the prevention of workplace injuries and improving awareness of mitigation efforts, should risks materialize on the job. Through these comprehensive safety efforts, the Addus safety program enhances our ability to provide consistent and quality client care and service.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Talent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Talent acquisition is a strategic imperative of the company, and our Addus CARES culture is committed to attracting, retaining, and engaging talent. Our commitment to talent acquisition is evident in both our internal mobility efforts and our external recruitment. Internally, the company provides a tuition reimbursement program designed to encourage the continued educational pursuit of academic degrees that prepare employees for their next logical internal career progression, or that improve their ability to perform their current role. Clinical ladder initiatives focus on clinical certification advancement of existing employees. External recruitment has been bolstered by new investments in job search efforts, programmatic job advertising, and new recruitment technologies, most recently with the introduction of a new mobile-optimized Applicant Tracking System. Recruitment strategies, including company-wide hiring events, local partnerships with colleges and nursing schools, sponsored clinical rotations, and student scholarships have better positioned the company to attract top talent.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utilize multiple applications to support our various lines of business and locations for patient accounting. Each application supports its respective line of business and locations with administrative, office, clinical and operating information system needs, including compliance of our operating systems with federal and state privacy, security and interoperability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comply with federal and state laws and regulations around EVV use, we utilize several different vendors and have built interfaces between the EVV vendor and the patient accounting system utilized in the respective branch location. Our caregivers use a mix of Interactive Voice Response (“IVR”) and mobile applications for EVV. In addition, we use these technologies to record basic information about each visit, record start and end times for a scheduled shift, track mileage reimbursement, send text messages to the caregivers and communicate basic payroll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license the Qlik Business Intelligence (“Qlik”) platform to provide historical, current, and forward-looking operational performance analysis. We currently have our personal care and hospice segments integrated into Qlik.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at all levels, from senior management to operators in the field.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utilize the ADP Vantage Suite as our base human resources and payroll processing system and use their services and products to manage our leave of absence processes, benefits, 401(k) and flexible spending account administration, garnishment services, payroll tax filings, ACA compliance and filings, and time and attendance. For financial management, we utilize Oracle’s Planning Budgeting Cloud Service as our solution for budgeting, forecasting, and financial reporting and Oracle Fusion for the general ledger, accounts payable and fixed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is subject to extensive federal, state and local regulation. Changes in the laws and regulations, or new interpretations of existing laws and regulations, may have a material impact on the scope of services offered (including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substantial fines,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further discussion at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Medicare and Medicaid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participate in and qualify for reimbursement under Medicare, our home health agencies and hospices must comply with extensive conditions of participation. Likewise, to participate in Medicaid programs, our personal care services, hospices and home health agencies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subject to changing political, regulatory, and economic influences at the federal and state level, along with scientific and technological initiatives and innovations that may affect our business. In recent years, the healthcare industry has undergone significant changes, many of which have been aimed at reducing costs and government spending and increasing access to health insurance. The most prominent of these efforts, the Patient Protection and Affordable Care Act, as amended by the Health Care and Education Reconciliation Act of 2010 (collectively, the “ACA”), affects how healthcare services are covered, delivered and reimbursed. The ACA increased health insurance coverage through a combination of public program expansion, private sector health insurance requirements and other reforms. However, the law has been, and continues to be, subject to legislative and regulatory changes and court challenges.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States continue to explore payment and delivery reform initiatives, including quality of care incentives. Some states use or have applied to use Medicaid waivers granted by CMS to implement the ACA’s Medicaid expansion provisions, impose different eligibility or enrollment restrictions, or otherwise implement programs that vary from federal standards. Some of these program changes may reduce the number of current and/or future Medicaid enrollees in certain states. For example, Georgia imposes work and community engagement requirements under a Medicaid demonstration program for new enrollees that launched in mid-2023 with the permission of a federal court, while the current presidential administration and several courts have rejected similar initiatives in other states, making it difficult to predict the nature and success of potential changes. In addition, enrollment in managed Medicaid plans has increased in recent years, as state governments seek to control the cost of Medicaid programs. Managed Medicaid programs enable states to contract with one or more entities for patient enrollment, care management and claims adjudication. The states usually do not relinquish program responsibilities for financing, eligibility criteria and core benefit plan design.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CMS Innovation Center tests innovative payment and service delivery systems to reduce Medicare and Medicaid program expenditures while maintaining or enhancing quality. For example, the CMS Innovation Center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In addition, the Improving Medicare Post-Acute Care Transformation Act of 2014 (the “IMPACT Act”) required HHS, in conjunction with the Medicare Payment Advisory Commission, to consider and propose a unified post-acute care payment model for post-acute care services. Currently, home health agencies, skilled nursing facilities, inpatient rehabilitation facilities, and long-term care hospitals are reimbursed under four distinct Medicare payment systems. In contrast, a unified post-acute care payment model would pay these post-acute care providers under a single framework according to a patient’s characteristics, rather than the post-acute care setting where the patient receives treatment. As required by the IMPACT Act, CMS and the HHS Office of the Assistant Secretary for Planning and Evaluation issued a report in July 2022 that presented an initial prototype, and MedPAC issued a report in June 2023 evaluating a prototype design. Although both CMS and MedPAC determined that designing a unified prospective payment system for post-acute care providers is feasible, MedPAC concluded that implementation would require significant policy changes and considerable agency resources and noted that CMS may consider smaller-scale site-neutral policies to address some of the overlap in patients treated in different settings. Other recent reform initiatives and proposals at the federal and state levels include those focused on price transparency, which may impact prices and the relationships between providers, patients, and payors. For example, among other consumer protections, the No Surprises Act imposes various requirements on providers and health plans intended to prevent “surprise” medical bills. It requires providers to send an insured patient’s health plan a good faith estimate of expected charges, including billing and diagnostic codes, prior to when the patient is scheduled to receive the item or service. HHS is deferring enforcement of the good faith estimate requirement for insured patients until it issues additional regulations. The No Surprises Act also generally requires providers to provide a good faith estimate of expected charges to uninsured or self-pay individuals in advance of the scheduled services or upon request. HHS is delaying enforcement with regard to good faith estimates that do not include expected charges for co-providers or co-facilities until the agency issues additional regulations. A number of states have adopted their own healthcare price transparency requirements. In addition, trends toward transparency and value-based pricing may impact our competitive position and patient volumes. For example, the CMS Care Compare website makes publicly available certain data on home health agency and hospice performance on quality measures and patient satisfaction. Further, Medicare reimbursement is tied to reporting of quality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CMS published a proposed rule, intended to improve access to services for Medicaid beneficiaries, that includes provisions related to HCBS payments. Specifically, in an effort to address workforce shortages, the proposed rule would (if finalized in its proposed form) require that a minimum of 80% of Medicaid payments in a state for home health aide, personal care services and some similar services be spent on compensation to direct care workers, in addition to related payment transparency requirements. CMS has proposed allowing states four years to implement changes required by a final rule. The ultimate impact of the 80% requirement, if finalized as proposed, could be adverse for periods after implementation, but other aspects of the rule could also benefit our business by improving access to services, depending on the policies ultimately set forth in any final rule. The comment period for the proposed rule ended July 1, 2023. The Company filed a comment letter on the proposed rule before this deadline, as did many other organizations, states and stakeholders. On January 26, 2024, CMS sent a final rule to the Office of Management and Budget (OMB) for review and clearance. The contents of the final rule are unknown at this time, and the final rule may be significantly different than the proposed rule. OMB review is the last step in the process prior to release of the regulation in the Federal Register. The final rule’s timetable on the OMB website projects a release by April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uncertainty regarding the potential impact of health reform efforts at the federal and state levels. For example, some members of Congress have proposed measures that would expand government-sponsored coverage, including single-payor models. Some states have implemented or are considering measures such as individual health insurance mandates and public health insurance options. Other industry participants, such as private payors and large employer groups and their affiliates, may also introduce financial or delivery system reforms. Health reform initiatives and proposals from the government or the private sector may impact prices, our relationships with patients, payors or ancillary providers, and our competitive position, among other effects.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Permits, Licensure and Certificate of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hospice, home health and personal care services are authorized and/or licensed in accordance with various state and county requirements, which also address a variety of operational issues including standards for the provision of medical or care services, clinical records, personnel, infection control and care plans. Additionally, healthcare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states also require a provider to obtain a certificate of need or permit of approval (“CON”) before establishing, constructing, acquiring or expanding certain health services, operations or facilities or making certain capital expenditures. These requirements are intended to avoid unnecessary duplication of services. In order to obtain a CON, a state health planning agency must determine that a need exists for the project.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Fraud and Abuse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and regulations governing our operations, including the terms of participation in Medicare, Medicaid and other government programs, impose certain requirements and limitations on our operations, business arrangements and our interactions with providers and consumers. These laws include, but are not limited to, the federal Anti-Kickback Statute, the federal Stark Law, the federal False Claims Act (“FCA”), the federal Civil Monetary Penalties Law, other federal and state fraud and abuse, insurance fraud, and fee-splitting laws, which may extend to services reimbursable by any payor,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fraud and abuse laws and regulations to which we are subject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providers and others from directly or indirectly soliciting, receiving, offering or paying any remuneration with the intent of generating referrals or orders for services or items covered by a federal healthcare program. Courts have interpreted this statute broadly and held that there is a violation of the Anti-Kickback Statute if just one purpose of the remuneration is to generate referrals.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(including home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FCA and similar state laws that govern the submission of claims for reimbursement and prohibit the making of false claims or statements. The government may use the FCA to prosecute Medicare and other government program fraud in areas such as coding errors and billing for services not provided. Among the many other potential bases for liability is the knowing and improper failure to report and refund amounts owed to the government within 60 days of identifying an overpayment. Submission of claims for services or items generated in violation of the Anti-Kickback Statute constitutes a false or fraudulent claim under the FCA. The federal government has taken the position, and some courts have held, that providers who allegedly have violated other statutes, such as the Stark Law, have thereby submitted false claims under the FCA. The FCA may be enforced directly by the federal government or by a whistleblower on the government’s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Monetary Penalties Law, which prohibits, among other conduct, offering remuneration to influence a Medicare or Medicaid beneficiary’s selection of a healthcare provider, contracting with an individual or entity known to be excluded from a federal healthcare program, billing for services not rendered or for medically unnecessary services, misrepresenting actual services rendered in order to obtain higher reimbursement, and the failure to return overpayments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anti-kickback and self-referral provisions, false claims laws, insurance fraud laws, and fee-splitting laws. The scope and interpretation of these state laws vary, and in some cases apply to items or services reimbursed by any payor, including patients and commercial insurers. For instance, the Illinois Insurance Claims Fraud Prevention Act penalizes the knowing offer or payment of remuneration to induce a person to procure client or patients under a contract of insurance, including commercial insurance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Penalties for violation of various fraud and abuse laws or other failure to substantially comply with the numerous conditions of participation in the Medicare or Medicaid programs may result in criminal penalties, civil sanctions, including substantial civil monetary penalties, and exclusion from participation in federal healthcare programs, including Medicare and Medicaid.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Payment Integrity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 and could result in referrals to other agencies to investigate and/or prosecute potential fraud or abuse.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and state Medicaid agencies contract with third parties to promote the integrity of the Medicaid and Medicare programs through reviews of quality concerns and detections and corrections of improper payments. For example, CMS and state Medicaid agencies contract with recovery audit contractors (“RACs”) on a contingency fee basis to conduct post-payment reviews to detect and correct improper payments in the Medicare and Medicaid programs. RACs review claims submitted to Medicare for billing compliance, including correct coding and medical necessity. The RAC program’s scope also includes Medicaid claims. States may coordinate with Medicaid RACs regarding recoupment of overpayments and refer suspected fraud and abuse to appropriate law enforcement agencies. In addition, CMS engages unified program integrity contractors (“UPICS”) to perform proactive analysis, audits, investigations and other program integrity functions across the Medicare and Medicaid programs, with the goal of identifying and deterring fraud and abuse to avoid improper payments. Working across five geographic jurisdictions, UPICs collaborate with states and coordinate provider investigations across the Medicare and Medicaid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various federal and state agencies, such as HHS, issue pronouncements that identify practices and provider types that may be subject to heightened scrutiny, as well as practices that may violate fraud and abuse laws. We believe, but cannot assure you, that our operations comply with the principles expressed by HHS in these reports, advisories and guidance.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HIPAA and Other Privacy and Security and Data Exchange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as amended (“HIPAA”) and its implementing regulations require the use of uniform electronic data transmission standards and code sets for certain healthcare claims and reimbursement payment transactions submitted or received electronically. HIPAA extensively regulates the use, disclosure, confidentiality, availability and integrity of individually identifiable health information, known as “protected health information,” and provides for a number of individual rights with respect to such information. As a “covered entity” subject to HIPAA, we are required to maintain privacy and security policies, train workforce members, maintain physical, administrative, and technical safeguards, enter into confidentiality agreements with vendors that handle protected health information (“business associates”), and permit individuals to access and amend their protected health information. In addition, we must report any breaches of unsecured protected health information. HIPAA violations may result in criminal penalties and significant civil penalties.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federal and state laws and regulations that apply to the collection, use, retention, protection, security, disclosure, transfer and other processing of personal data, such as the California Consumer Protection Act, which was recently significantly modified by the California Privacy Rights Act, may also impose additional or inconsistent obligations and/or result in additional penalties. Virginia and certain other states have also passed comprehensive privacy legislation, and several privacy bills have been proposed both at the federal and state level that may result in additional legal requirements that impact our business. The potential effects of these laws are far-reaching and may require us to modify our data processing practices and policies and to incur substantial costs and expenses in order to comply. Healthcare providers and industry participants are also subject to a growing number of requirements intended to promote the interoperability and exchange of patient health information, including prohibitions on information blocking. For example, certain healthcare providers and other entities are subject to information blocking restrictions pursuant to the 21st Century Cures Act that prohibit practices that are likely to interfere with the access, exchange or use of electronic health information, except as required by law or specified by HHS as a reasonable and necessary activity. Violations may result in penalties or other negative financial impacts.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Environmental, Health and Safety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could be affected by climate change to the extent that climate change results in severe weather conditions or other disruptions impacting the communities in which we conduct operations or adversely impacts general economic conditions, including in communities in which we conduct operations. Moreover, legal requirements regulating greenhouse gas emissions or otherwise associated with the transition to a lower carbon economy may increase in the future, which could increase our costs associated with compliance and otherwise disrupt and adversely affect our operations. At the current time, our compliance with environmental legal requirements, including legal requirements relating to climate change, do not have a material effect on our capital expenditures, financial results or operations, and we did not incur material capital expenditures for environmental matters during the year ended December 31, 2023. However, it is possible that future environmental-related developments may impact us, including as a result of climate change and/or new legal requirements associated with the transition to a lower carbon economy, in a manner that we are currently unable to predict.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Access to Public Filings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Through our website, </w:t>
      </w:r>
      <w:r>
        <w:rPr>
          <w:rFonts w:ascii="Times New Roman" w:hAnsi="Times New Roman"/>
          <w:i/>
          <w:color w:val="000000"/>
          <w:sz w:val="20"/>
        </w:rPr>
        <w:t>www.addus.com,</w:t>
      </w:r>
      <w:r>
        <w:rPr>
          <w:rFonts w:ascii="Times New Roman" w:hAnsi="Times New Roman"/>
          <w:color w:val="000000"/>
          <w:sz w:val="20"/>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Times New Roman" w:hAnsi="Times New Roman"/>
          <w:i/>
          <w:sz w:val="20"/>
        </w:rPr>
        <w:t>www.sec.gov</w:t>
      </w:r>
      <w:r>
        <w:rPr>
          <w:rFonts w:ascii="Times New Roman" w:hAnsi="Times New Roman"/>
          <w:i/>
          <w:color w:val="000000"/>
          <w:sz w:val="20"/>
        </w:rPr>
        <w:t xml:space="preserve">. </w:t>
      </w:r>
      <w:r>
        <w:rPr>
          <w:rFonts w:ascii="Times New Roman" w:hAnsi="Times New Roman"/>
          <w:color w:val="000000"/>
          <w:sz w:val="20"/>
        </w:rPr>
        <w:t>The references to our website address in this Form 10-K do not constitute incorporation by reference of the information contained on the website and should not be considered part of this document.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considerations and risks that follow are organized within relevant headings but may be relevant to other headings as well.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refer to the explanation of the qualifications and limitations on forward-looking statements under “Special Caution Concerning Forward-Looking Statements.” All forward-looking statements made by us are qualified by the risk factors described below.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Growth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growth strategy depends on our ability to manage growing and effectively integrating operations and we may not be successful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plan calls for significant growth in business over the next several years through the expansion of our services in existing markets and the potential establishment of a presence in new markets. This growth has placed and continues to place significant demands on our management team, systems, internal controls and financial and professional resources. In addition, we will need to further develop our financial controls and reporting systems to accommodate our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Previously completed or future acquisitions, or growth initiatives, may be unsuccessful and could expose us to unforeseen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strategy includes potential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regulatory risks, the assumption of liabilities, exposure to unforeseen liabilities of acquired providers, and the diversion of the management team’s attention.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The failure to effectively integrate future acquisitions could have a material adverse impact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grown our business opportunistically through de novo offices and we may in the future selectively open new offices in existing and new states. De novo offices involve risks, including those relating to licensing, accreditation, and payor program enrollment, hiring new personnel, establishing relationships with referral sources and delays or difficulty in installing our operating and information systems. We may not be successful in generating sufficient business activity to sustain the operating costs of such de novo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pursue acquisitions or expand into new geographic regions without obtaining additional capital or consent from our lenders.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2023 and 2022, we had cash balances of $64.8 million and $80.0 million, respectively, and $126.4 million and $134.9 million, respectively, of outstanding debt on our credit facility. After giving effect to the amount drawn on our credit facility, approximately $8.0 million and $8.2 million of outstanding letters of credit at December 31, 2023 and 2022, respectively, and borrowing limits based on an advanced multiple of Adjusted EBITDA (as defined in the Credit Agreement), we had $335.6 million and $237.2 million available for borrowing under our credit facility as of December 31, 2023 and 2022, respectively. Since our credit facility provides for borrowings based on a multiple of an Adjusted EBITDA ratio, any declines in our Adjusted EBITDA would result in a decrease in our available borrowings under our credit facility.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ability under our credit facility to consummate acquisitions is restricted if we exceed certain Total Net Leverage Ratio (as defined in the Credit Agreement, and subject to adjustments as provided therein) thresholds, without the consent of the lenders; provided, however, in certain circumstances, in connection with a Material Acquisition (as defined in the Credit Agreement), we can elect to increase our Total Net Leverage Ratio compliance covenant for the then current fiscal quarter and the three succeeding fiscal quarters.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financial results have been, and may continue to be, adversely impacted by negative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in the United States continue to be challenging in various respects, and the United States economy continues to experience significant inflationary pressures, elevated interest rates, challenging labor market conditions, potential adverse effects associated with current geopolitical conditions. Taking into account these factors, we have incurred, and may continue to incur, increased competition for new caregivers and skilled healthcare staff, which will continue to impact our ability to attract and retain new employees. Further, the inflationary conditions have resulted in, and may continue to result in, increased operating costs, particularly as the result of increased wages we have paid and may continue to pay our caregivers and other personnel and our ability to attract and retain personnel. Our ability to realize rate increases from government programs and private payors, which represent most of our revenue, might be limited despite inflation. Higher interest rates also raise our financing costs. These factors had an unfavorable impact on our financial results during the year ended December 31, 2023, and may have an unfavorable impact on our financial results in future periods which could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anticipate that the federal deficit, the growing magnitude of Medicare and Medicaid expenditures and the aging of the U.S. population will continue to place pressure on government healthcare programs, and it is possible that future deficit reduction legislation will mandate additional Medicare spending reductions. In addition, if economic conditions in the United States significantly deteriorate, any such developments could materially and adversely affect our results of operations, financial position, and/or our cash flows, even if interest rates fall. For example, states could face significant fiscal challenges and revise their revenue forecasts and adjust their budgets, and sales tax collections and income tax receipts could be depressed. Negative macroeconomic conditions could also disrupt financial markets and capital markets and the businesses of financial institutions, potentially causing a slowdown in the decision-making of these institutions. This may affect the timing on which we may obtain any additional funding and there can be no assurance that we will be able to raise additional funds on terms acceptable to us, if at 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Timing differences in reimbursement may cause liquidity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operations primarily through the collection of accounts receivable, but there is a delay between the time that we provide services and the time that we receive reimbursement or payment for these services. These delays may result from such factors as changes by payors to data submission requirements, requests by fiscal intermediaries for additional data or documentation, other Medicare or Medicaid issues, or information system problems. Further, many of the states in which we operate are operating with budget deficits for the 2023 fiscal year and fiscal year 2024 state budgets could be impacted to the extent economic conditions in the United States are challenging in 2024. Various states may in the future delay reimbursement, which would adversely affect our liquidity. In addition, from time to time, procedural issues require us to resubmit claims before payment is remitted, which contributes to our aged receivables. Additionally, we may experience unanticipated delays in receiving reimbursement from state programs due to changes in their policies or billing or audit procedures. Delays in receiving reimbursement or payments from Medicare, Medicaid and other payors may adversely impact our working capital. As a result, working capital management, including prompt and diligent billing and collection, is an important factor in our results of operations and liquidity. Our working capital management procedures may not successfully negate this risk.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routine and periodic surveys, audits and investigations by governmental agencies and private payors, which could have adverse findings that may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(“MACs”), RACs and UPICs) to conduct audits and investigations to evaluate billing practices and identify overpayments. In addition, individual states have similar integrity programs, including Medicaid RAC Programs. In certain states, payment of home health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in certain states, including Illinois, Ohio, Oklahoma, North Carolina, Florida and Texas. Providers in these states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Private third-party payors may also conduct audits and investigations, and we also perform internal audits and monitoring.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audits and investigations can result and have resulted in recoupments by Medicare, state programs and other payors of amounts previously paid to us if we fail to comply with applicable laws or program requirements. Depending on the nature of the conduct found in such audits and investigations and whether the underlying conduct could be considered systemic, the resolution of these audits and investigations could have a material, adverse effect on our financial position, results of operations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Private third-party payors may also conduct audits and investigations, and we also perform internal audits and monitoring. Depending on the nature of the conduct found in such audits and whether the underlying conduct could be considered systemic, the resolution of these audits could have a material, adverse effect on our financial position, results of operations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revenues are concentrated in a small number of states, which makes us particularly sensitive to regulatory and economic changes in those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are particularly sensitive to regulatory and economic changes in states in which we generate a significant portion of our revenues including Illinois, New Mexico and New York.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efforts to reduce the costs of the Illinois Department on Aging programs could adversely affect our service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2023 and 2022, we derived approximately 20.9% and 20.7%, respectively, of our revenue from the Illinois Department on Aging programs. State government officials have in the past attempted, and in the future may attempt, to reduce government spending by proposing changes aimed at reducing expenditures by this department. The nature and extent of any proposed future cost reduction initiatives is unknown. If future reforms impact the eligibility of consumers for services, the number of hours authorized or otherwise restrict services provided to existing consumers, our service revenues, results of operations, financial position and growth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renew a significant payor agreement or group of related payor agreements may materially impact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agreements is generally in effect for a specific term, but they are also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Negative publicity or changes in public perception of our services may adversely affect our ability to receive referrals, obtain new agreements and renew existing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The HCBS Quality Measure Set, published by CMS, is intended to promote more common and consistent use of nationally standardized quality measures within and across state HCBS programs. Use of these HCBS measures by states, managed care organizations and other entities involved in HCBS is voluntary. In addition, the CMS Care Compare website makes publicly available certain data on home health agency and hospice performance on quality measures and patient satisfaction. Medicare reimbursement for these provider types is tied to reporting of quality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that the services that we provide are of high quality, if our quality measures, some of which are published online by CMS, are deemed to be unsatisfactory or not of the highest value in relation to those of our competitors, our reputation could be 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may be harmed by labor relations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risk of work stoppages and other labor relations matters because our hourly workforce is highly unionized. As of December 31, 2023, 51.3% of our workforce was represented by labor unions.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Moreover, potential changes to federal labor laws and regulations, including those supported by the current presidential administration, could increase the likelihood of employee unionization activity and the ability of employees to unionize. Labor costs are the most significant component of our total expenditures and, therefore, an increase in the cost of labor could significantly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were required to write down all or part of our goodwill and/or our intangible assets, our net earnings and net worth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$663.0 million and $582.8 million of goodwill and $92.0 million and $72.2 million of intangible assets recorded on our Consolidated Balance Sheets at December 31, 2023 and 2022,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such failure could adversely impact our business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404 of the Sarbanes-Oxley Act of 2002, or the Sarbanes-Oxley Act, requires our management to report on, and requires our independent registered public accounting firm to attest to, the effectiveness of our internal control over financial reporting. 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we now or in the future have deficiencies in our internal control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Regulatory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Compliance with changing laws and regulations including specific program compliance may result in additional expenses and pose challenges for our management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subject to extensive government regulation. For example, the state agencies that contract for our services require us to comply with various laws and regulations affecting the services we provide. We have a compliance department, headed by our chief compliance officer, that monitors and reports on our compliance efforts. The laws and regulations governing our operations are subject to change. The implementation of these changes may require us to modify our operations or increase our efforts to remain compliant, may reduce the authorizations for services to be provided, and may result in certain consumers no longer being eligible for our services, any of which may result in lower revenues and increased costs, reducing our operating performance and profitability. If we continue to serve our consumers without addressing changes in laws and regulations, we are at risk for non-compliance with program requirements and potential penalties, which may be significant.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hospice operations are subject to annual Medicare caps. If we exceed the caps, our business and consolidated financial condition, results of operations and cash flows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payments made by Medicare to each hospice provider number (generally corresponding to each of our hospice agencies) are subject to an inpatient cap and an aggregate cap, which are set each federal fiscal year. The inpatient cap limits the number of days of inpatient care to no more than 20% of total patient care days. The aggregate cap limits the amount of Medicare reimbursement a hospice may receive, based on the number of Medicare patients served. If a hospice’s Medicare payments exceed its inpatient or aggregate caps, it must repay Medicare for the excess amount.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Reductions in reimbursement and other changes to Medicare, Medicaid, and other federal, state and local medical and social programs could adversely affect our consumer caseload, units of service, revenues, gross profit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caseload and revenues are derived from government healthcare programs, primarily Medicare and Medicaid. For the year ended December 31, 2023, we derived approximately 59.5% of our net service revenues from state and local governmental agencies, primarily through Medicaid state programs and 21.5% from Medicare. However, changes in government healthcare programs may decrease the reimbursement we receive or limit access to, or utilization of, our services. As federal healthcare expenditures continue to increase and as many state governments navigate budgetary pressures, federal and state governments have made, and may continue to make, significant changes to the Medicare and Medicaid programs and reimbursement received for services rendered to beneficiaries of such programs. For example, the Budget Control Act of 2011 (“BCA”) requires automatic spending reductions to reduce the federal deficit, resulting in a uniform reduction across all Medicare programs of 2% per fiscal year that extends through the first seven months of 2032. As a result of the American Rescue Plan Act of 2021 (“ARPA”), an additional Medicare payment reduction of up to 4% was required to take effect in January 2022, although Congress has delayed implementation of this reduction until 2025. It is difficult to predict whether, when, or what other deficit reduction initiatives may be proposed by Congress, but future legislation may include additional Medicare spending reductions.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among other factors. Reductions to federal support for state Medicaid or other programs could also result in budgetary shortfalls. As a result, many states have made, are considering or may consider making changes in their Medicaid or other state and local medical and social programs, including enacting legislation designed to reduce Medicaid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that may occur at the federal or state level to contain costs include,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increases in, or decreasing, reimbursement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redefining eligibility standards or coverage criteria for social and medical programs or the receipt of services under those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consumer responsibility, including through increased co-payment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decreasing benefits, such as limiting the number of hours of personal care services that will be covered;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changing reimbursement methodology and program participation eligibility;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slowing payments to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utilization of self-directed care alternatives or “all inclusive”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shifting beneficiaries to managed care organizations;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demonstration projects and alternative payment models.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these measures have been implemented by, or are proposed in, states in which we operate. For example, we provide support services as a fiscal intermediary to the New York Consumer Directed Personal Assistance Program (“CDPAP”), a self-directed care alternative program that allows eligible individuals who need help with activities of daily living or skilled nursing services to choose their caregivers. 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In April 2022, the New York legislature passed its fiscal year 2023 state budget, which amended the Fiscal Intermediary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(“NYSDOH”). These fiscal intermediaries are permitted to continue operating in all counties contained in their RFO application, provided they submitted an attestation and supporting information to the NYSDOH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in the CDPAP through County Social Service Departments. On June 6, 2023, the NYSDOH notified the Company that it had received a contract award. Under this contract, the Company is providing services to all current payors and has resumed new fee-for-service patient admissions through County Social Service Departments in the CDPAP. The CDPAP continues to be targeted for changes by New York governmental authorities, however. For example, the governor’s most recent update on the state budget contained proposals that could adversely affect the Company’s ability to participate in the CDPAP. These proposals may not be adopted in their current form, or at all. The Company recognized approximately $40.7 million and $3.5 million in net service revenue and operating income, respectively, from the CDPAP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derived approximately 44.5% of our net service revenues from services provided in Illinois, 17.0% of our net service revenues in New Mexico and 8.7% of our net service revenues in New York. Because a substantial portion of our business is concentrated in these states, any significant reduction in state expenditures that pay for our services or other significant changes in these states may have a disproportionately negative impact on our future operating results. We cannot predict whether states material to our operating results will experience changes or other challenges that negatively impact our ability to be reimbursed for our services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volume of uninsured patients could adversely affect our cash flows and results of operations. In recent years, federal and state legislatures have considered or passed various proposals impacting the size of the uninsured population. For example, Medicaid enrollment increased as a result of COVID-19 relief legislation that authorized a temporary increase in federal funds for certain Medicaid expenditures in states that maintained continuous Medicaid enrollment, among other requirements. The end of the continuous enrollment condition in 2023, including the resumption of redeterminations for Medicaid enrollees, has resulted in significant coverage disruptions and dis-enrollments of enrollees, and Medicaid enrollment is generally expected to decline through fiscal year 2024 (which ends June 30, 2024, in most states). While we believe the population targeted by our model will be less affected than other Medicaid enrollees, there is uncertainty regarding how enrollment will ultimately change as unwinding continues and states return to normal eligibility and enrollment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Congress, CMS and state authorities may implement changes to reimbursement for or coverage of items and services that affect our business and operations. For example, from time to time, CMS revises the reimbursement systems used to reimburse healthcare providers, including through changes to the home health and hospice reimbursement systems, which may result in reduced Medicare and/or Medicaid payments. The shift toward value-based care continues, including through the implementation of alternative payment models and various demonstration projects. Some states have obtained CMS approval to test new or existing approaches to payment and delivery of Medicaid benefits. Payment policies for different types of providers and for various items and services continue to evolve, and future health reform efforts could impact both federal and state programs.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changes in Medicare, Medicaid or other state and local medical and social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and policies. As a result, changes to government healthcare programs that reduce Medicare, Medicaid or other payments may negatively impact payments from private payors, as well. Any reduction in reimbursements from governmental or private payors or policies that negatively affect utilization of our services, such as the imposition of copayments or prior authorization requirements, could also materially adversely affect our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Federal and state regulation may impair our ability to consummate acquisitions or open new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laws and regulations may adversely impact our ability to acquire or open new start-up agencies, and the change of ownership processes for Medicare, Medicaid and other payors can be complex. For example, a Medicare regulation known as the “36 Month Rule” restricts buyers from assuming Medicare billing privileges of Medicare-certified home health agencies and, effective January 1, 2024, hospices. The 36 Month Rule applies if the acquired home health agency or hospice either enrolled in Medicare or underwent a change in majority ownership fewer than 36 months prior to the acquisition, subject to certain exceptions. Instead, the buyer must enroll as a new provider with Medicare. The 36 Month Rule can increase competition for acquisition targets that are not subject to the rule and may cause significant Medicare billing delays for the purchases of home health agencies and hospices that are subject to the rule. Home health agencies and (effective January 1, 2024) hospices undergoing changes of ownership are considered a “high-risk” provider type, subjecting provider enrollment applications to increased scrutiny, which may result in delays in processing. Further, in the past, CMS has limited enrollment of new home health agencies. If another moratorium is imposed on enrollment of new providers in a geographic area we desire to service, our ability to expand operations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operations in a state will also depend, where required, on our ability to obtain a state license to operate and, in some cases, CON approval. States may limit the number of licenses they issue. In addition, some states require disclosures by healthcare entities to state attorneys general or other designated entities in advance of sales or other transactions. The failure to obtain any required CON or license or other required approvals could impair our ability to operate or expand our business. The increasingly challenging regulatory environment may negatively impact our ability to acquire healthcare businesses if they are found to have material unresolved compliance issues. Resolving any such issues and completing applicable review or approval processes could significantly delay or prevent us from acquiring other businesses and increase our acquisition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implementation of alternative payment models and the transition of Medicaid and Medicare beneficiaries to managed care organizations may limit our market share and could adversely affect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 Further, if we fail to effectively provide or coordinate the efficient delivery of quality services, our reputation may be negatively impacted, we may receive reduced reimbursement amounts and we may owe repayments to payors, which could cause our revenues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similarly impacted by increased enrollment of Medicare and Medicaid beneficiaries in managed care plans, which is part of the general shift away from traditional fee-for-service models. Under the managed Medicare program, also known as Medicare Advantage, the federal government contracts with private health insurers to provide Medicare benefits. Insurers may choose to offer supplemental benefits, including in-home support services, and impose higher plan costs on beneficiaries. Approximately half of Medicare beneficiaries are enrolled in a Medicare Advantage plan, a figure that continues to grow. While hospice services are currently reimbursed as a traditional fee-for-service program under Medicare Part A, CMS is testing the inclusion of the Part A hospice benefit with the Medicare Advantage benefits package. Under the Hospice Benefit Component of the Value-Based Insurance Design Model, Medicare Advantage plans are financially responsible for all traditional Medicare services, including hospice care. If hospice services are offered more widely under Medicare Advantage plans, the change could result in reduced reimbursement, limited utilization, and increased competition for managed care contracts.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in managed Medicaid plans is also growing, as states are increasingly relying on managed care organizations to deliver Medicaid program services as a strategy to control costs and manage resources. We may experience increased competition for managed care contracts due to state regulation and limitations. For instance, New York law limits the number of home care providers with which a managed Medicaid long-term care plan can contract.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 Other alternative payment models may be presented by the government and commercial payors that subject our Company to financial risk. It is difficult to predict the nature and success of any such models. We cannot predict at this time what effect alternative payment models may have on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industry is highly competitive, fragmented and market-specific.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and long-term care industries are highly competitive among service providers and care models. We compete with personal care service providers, hospice providers, home health providers, private caregivers, publicly held companies, privately held companies, privately held single-site agencies, hospital-based agencies, not-for-profit organizations, community-based organizations and self-directed care programs. Some of these providers and competitive care models may have greater financial, technical, political and marketing resources, name recognition or a larger number of consumers and payors than we do. In addition, some of our competitors offer more services than we do in the markets in which we operate. These competitive advantages may limit our ability to attract and retain referrals in local markets and to increase our overall market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Some states also require a provider to obtain a CON before establishing certain health services, operations or facilities. CON restrictions may reduce the level of competition in a given industry or in a particular geographic region. In addition, economic changes such as increases in minimum wage and changes in Department of Labor rules can also impact the ease of entry into a market. These factors may affect competition in the states in which we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Often our contracts with payors are not exclusive. Local competitors may develop strategic relationships with referral sources and payors. Further, consolidation within the payor industry, vertical integration efforts involving payors and healthcare providers, and cost-reduction strategies by payors continue to increase, which may affect our competitive position. In addition, existing competitors may offer new or enhanced services that we do not provide or be viewed by consumers as a more desirable local alternative. These and other factors could impact our ability to contract with payors on favorable terms, result in pricing pressures, loss of or failure to gain market share or loss of consumers or payors, or otherwise affect our competitive position. Further,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Trends toward price transparency and value-based purchasing may have an impact on our competitive position, ability to obtain and maintain favorable contract terms, and consumer volumes. For example, health insurers must provide online price comparison tools to help individuals get personalized cost estimates for covered items and services. HHS also requires health insurers to publish online the charges negotiated with providers for healthcare services. In addition, the CMS Care Compare website makes publicly available certain data on home health agency and hospice performance on quality measures and patient satisfaction. It is unclear how price transparency requirements, value-based purchasing and similar initiatives will affect consumer behavior, our relationships with payors, or our ability to set and negotiate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these competitive trends to continue. If we are unable to compete effectively, consumers may seek services from other providers, which could have a negative impact on our business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laws and extensive regulations governing our business, we could be subject to penalties or be required to make changes to our operations, which could negatively impact our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licensure and certification and enrollment with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for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appropriateness and necessity of services provided;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adequacy and quality of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qualifications and training of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confidentiality, maintenance, interoperability, data breach, identity theft, security, access and exchange of medical records and other health-related and personal information including information blocking, data breach, ransomware, identify theft and online tracking of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protection, health and safety;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relationships with physicians, other referral sources and recipients of referrals;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policies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of, and changes to, facilities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adequacy and manner of documentation for services provided;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billing and coding for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proper handling of overpayments;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collection and communications with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laws include, but are not limited to the federal Anti-Kickback Statute, the federal Stark Law, the federal FCA, the federal Civil Monetary Penalties Law, other federal and state fraud and abuse, insurance fraud, and fee-splitting laws, which may extend to services reimbursable by any payor, including private insurers, the No Surprises Act, and federal and state laws governing the security and privacy of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contractual relationships with current and potential referral sources and recipients, including hospitals and health systems, skilled nursing facilities and certain physicians who provide medical director and clinical services to our Company. We attempt to structure our relationships to meet applicable regulatory requirements, but we cannot provide assurance that every relationship is fully compliant. Further, we may fail to discover instances of noncompliance by businesses we acquire.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applicable laws and regulations, which are subject to change, we could be subject to civil sanctions and criminal penalties, including substantial monetary penalties, the termination of rights to participate in federal and state healthcare programs, exclusion from federal healthcare programs, the suspension or revocation of licenses, and we could face nonpayment or encounter delays in our ability to bill and collect for services provided, any of which could adversely affect our business, results of operations, or financial results. Actions taken against one of our entities may subject our other entities to adverse consequences. While we endeavor to comply with applicable laws and regulations, we cannot ensure you that our practices are fully compliant or that courts or regulatory agencies will not interpret those laws and regulations in ways that will adversely affect our practices. Further, the laws and regulations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The costs of compliance with, and the other burdens imposed by, applicable laws and regulations may be substantial and could increase our operational costs, result in interruptions or delays in the availability of systems and/or result in a patient volume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government agencies have heightened and coordinated civil and criminal enforcement efforts throughout the healthcare industry. We may face audits or investigations by government agencies or third parties, including under certain of our contractual relationships. An adverse outcome under any such audit or investigation, a determination that we have violated applicable laws and regulations, or a public announcement that we are being investigated for possible violations could result in liability, result in adverse publicity, require us to change our operations to implement plans of correction for alleged deficiencies, and result in other negative consequences that could adversely affect our business, financial condition, or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all applicable federal, state and local laws and regulations relating to employment, including OSHA requirements, wage and hour and other compensation requirements (including disclosure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Each of our subsidiaries that employ an average of at least 50 full-time employees in a calendar year are required to offer a minimum level of health coverage for 95% of our full-time employees in 2023 or be subject to an annual penalty, for example. Since our personal care operations are concentrated in Illinois, New Mexico and New York, we are also particularly sensitive to changes in laws and regulations in these states. Additionally, the current presidential administration has signaled its support for increases in minimum wage. We may not be able to offset any increased costs and expenses. Furthermore, any failure to comply with these laws, including even a seemingly minor infraction, can result in significant penalties which could harm our reputation and have a material adverse effect on our business. The COVID-19 pandemic increased some of these risks, with certain states modifying occupational health and safety guidelines in a manner that increases scrutiny and complexity of operations with respect to appropriate training and use in the workplace of PPE and the possibility of corresponding regulatory audit activity with respect to the adequacy of our practices and procedures. The COVID-19 pandemic also resulted in states modifying standards associated with payment amounts and required justifications to qualify for sick leave and unemployment benefits. These modifications may result in increased operational costs to us, which may adversely impact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civil monetary penalties, an assessment of up to three times the amount claimed and exclusion from the program.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may be adversely impacted by healthcare reform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healthcare industry has undergone significant changes, many of which have been aimed at reducing costs and government spending. The U.S. Congress and certain state legislatures have considered and passed a large number of laws affecting the healthcare industry, including laws intended to impact access to health insurance. The most prominent of these legislative reform efforts, the ACA affects how healthcare services are covered, delivered, and reimbursed, and expanded health insurance coverage through a combination of public program expansion and private sector health insurance reforms. However, the ACA has been, and continues to be, subject to legislative and regulatory changes and court challenges. It is possible that changes by Congress or government agencies could eliminate or alter provisions beneficial to us, while leaving in place provisions reducing our reimbursement or otherwise negatively impacting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CMS administrators may make changes to Medicaid payment models or impose new limitations on the use of Medicaid funds. For example, in May 2023, CMS published a proposed rule that, if finalized in its current form, would require that a minimum of 80% of Medicaid payments in a state for home health aide, personal care services and some similar services be spent on compensation to direct care workers, in addition to related payment transparency requirements. If adopted, this requirement could negatively impact our business and financial performance by, among other things, increasing our labor costs. Likewise, CMS administrators may grant various flexibilities to states in the administration of state Medicaid programs, including by modifying the scope of waivers under which states may implement Medicaid expansion provisions, impose different eligibility or enrollment restrictions, or otherwise implement programs that vary from federal standards. Some of these program changes may reduce the number of Medicaid enrollees in certain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recent reform initiatives and proposals at the federal and state levels include those focused on price transparency and value-based pricing, which may impact our competitive position, patient volumes, and the relationships between providers, patients, and payors. For example, the CMS Care Compare website makes publicly available certain data on home health agency and hospice performance on quality measures and patient satisfaction. Medicare reimbursement is tied to reporting of quality measures. In addition, among other consumer protections, the No Surprises Act imposes various requirements on providers and health plans that are intended to prevent “surprise” medical bills. The law generally requires providers to send an insured patient’s health plan a good faith estimate of expected charges, including billing and diagnostic codes, prior to when the patient is scheduled to receive the item or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whether, when and what other health reform measures will be adopted through governmental avenues and/or the private sector, the timing and implementation of any such efforts, and the impact of those efforts on providers as well as other healthcare industry participants. Some members of Congress have proposed expanding government-funded coverage, including proposals to expand coverage of federally-funded insurance programs as an alternative to private insurance or to establish a single payor system (such reforms are often referred to as “Medicare for All”), and some states have implemented or proposed public health insurance options. We are unable to predict the nature and success of current and future healthcare reform initiatives, any of which may have an adverse effect on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industry trend toward value-based purchasing may negatively impact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trend in the healthcare industry toward value-based purchasing of healthcare services among both government and commercial payors. Generally, value-based purchasing programs emphasize quality of outcome and efficiency of care provided, rather than quantity of care provided. For example, Medicare requires hospices and home health agencies to report certain quality data in order to receive full reimbursement. Failure to report quality data or poor performance may negatively impact the amount of reimbursement received. In addition, CMS publishes home health and hospice quality measure data online, through its Care Compare website, to allow consumers and others to search and compare data for Medicare-certified providers. Alongside this quality and public reporting effort, home health agencies receive, under the HHVBP Model, increases or decreases to their Medicare fee-for-service payments of up to 5% based on performance against specific quality measures relative to the performance of other home health providers. Data collected in each performance year impacts Medicare payments two years later.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CMS may establish new value-based purchasing programs affecting a broader range of providers, some of which may be mandatory. Initiatives aimed at improving quality and cost of care include alternative payment models, such as ACOs and bundled payment arrangements. The CMS Innovation Center is aiming to have all fee-for-service Medicare beneficiaries and most Medicaid beneficiaries in a care relationship with accountability for quality and total cost of care by 2030. There are also several state-driven value-based care initiatives. For example, some states have aligned quality metrics across payors through legislation or regulation. Commercial payors are shifting toward value-based reimbursement arrangements as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value-based purchasing programs, including programs that condition reimbursement on patient outcome measures, to become more common and to involve a higher percentage of reimbursement amounts. It is unclear whether alternative models will successfully coordinate care and reduce costs or whether they will decrease overall reimbursement. While we believe we are adapting our business strategies to compete in a value-based reimbursement environment, we are unable at this time to predict how this trend will affect our results of operations.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financial position, results of operations and cash flows to decline.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Liability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subject us to risk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 the healthcare and personal care services industries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resulting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 We may also be subject to lawsuits from patients, employees and others exposed to contagious diseases in connection with the services provided by our workforce in client residences and third party facilities. Some of the actions brought against us may seek large sums of money as damages and involve significant defense costs. Our professional and general liability insurance may not cover all claims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regulatory agencies have previously brought and may in the future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FCA or other federal and state whistleblower statutes designed to combat fraud and abuse in our industry. These and other similar lawsuits can involve significant defense costs, as well as significant monetary awards or penalties that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lawsuits or regulatory proceedings could distract us from running our business or irreparably damage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insurance liability coverage may not be sufficient for our business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Data Security and Privacy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depends on the proper functioning, availability, and security of our information systems. Our operations may be disrupted if we are unable to effectively integrate, manage and maintain the security of our information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external service providers to provide continual maintenance, upgrading, and enhancement of our primary information systems used for our operational needs. The software we license for our various patient information systems supports intake, personnel scheduling, office clinical and centralized billing and receivables management in an integrated database, enabling us to standardize the care delivered across our network of offices and monitor our performance and consumer outcomes. Information systems may be vulnerable to damage from a variety of sources, including telecommunications or network failures, human acts and natural disasters. The number of administrative employees working remotely has increased substantially in recent years, increasing our dependence on systems that facilitate remote access, and we may experience increased risks as a result.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providers fail to support the software or systems we use, or if we lose our software licenses, our operations could be negatively affected. 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supports the use of EVV to electronically collect visit information when our caregivers and providers deliver home care services. Our solution uses a combination of IVR and GPS enabled smartphones to capture time in and time out, mileage and travel time, as well as the completed care plan tasks. We license this software through CellTrak and partner with states that utilize other software. We rely on these vendors to provide continual maintenance and enhancements, as well as security of any protected data. To the extent that our EVV vendors fail to support these processes, our internal operations could be negatively affected. Under the 21st Century Cures Act, states must require the use of EVV for all Medicaid-funded personal care services and home health services that require an in-home visit by a provider. States that failed to meet the deadlines for implementation may be subject to incremental reductions in federal funding, absent approval of a good faith exemption. If any states in which we operate fail to properly and timely implement EVV and lose an amount of their funding, or if those states adopt standards for EVV that are not compatible with our operations, our internal operations could be negatively affected. Further, to the extent that the EVV solutions that we use are determined to be noncompliant with federal or state EVV requirements, we could be subject to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COVID-19 pandemic also led to a substantial increase in administrative employees working remotely and, consequently, accessing our system remotely. As a result, we are more dependent on our systems that facilitate remote access and potentially could experience increased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taken precautionary measures designed to prevent problems that could affect our information systems. We have implemented backup of our key information systems that are designed to allow our operations to failover to our geographically separate disaster recovery datacenter with a quick return to operations for all sites and systems in the event our main datacenter becomes inoperable because of a natural disaster, attacks or other cause. All of our sites and branch offices have redundant connections to our primary and backup datacenters using data lines and cellular connections through VPN or MPLS. The key business functions for our main sites also have redundancies with key functions geographically split between our two main facilities, should one not be available due to the above mentioned scenarios. While we believe these measures are reasonable, no system of information security is able to eliminate the risk of business disruptions, and we or our third-party vendors that we rely upon may experience system failures.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The occurrence of any system failure could result in interruptions, delays, the loss or corruption of data and cessations or interruptions in the availability of systems, all of which could have a material, adverse effect on our financial position and results of operations and harm our business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adversely impact our financial results, and otherwise be disruptive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extensively on computer systems to manage clinical and financial data, to communicate with our consumers, payors, vendors and other third parties, and to summarize and analyze our operating results. We frequently exchange clinical and financial data with third parties in connection with our routine operations and in order to meet our contractual and regulatory obligations. We are required to comply with the federal and state privacy and security laws and requirements, including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various states, including California, Colorado, Illinois, Nevada, New York, Massachusetts and Virginia have enacted, and other states are expected to enact, laws and regulations concerning privacy, data protection and information security. To the extent we are subject to such legislation, including as a result of any creation, use or deployment of artificial intelligence, we may be required to modify our data processing practices and policies and to incur substantial costs and expenses in an effort to comply. These laws often provide for civil penalties for violations, as well as a private right of action for data breaches that may increase data breach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in security measures designed to protect against the threat of security breaches and cyber-attacks, including email phishing schemes, malware and ransomware. However, our technology, and that of our third-party service providers, may fail to adequately secure the protected health information and personally identifiable information we create, receive, transmit and maintain in our databases. We may be at increased risk because we outsource certain services or functions to, or have systems that interface with, third parties. These third parties may store or have access to our data. The information systems of third parties are also subject to various risks, and a breach or attack affecting any of these third parties could harm our business. Furthermore, because the techniques used in cyber-attacks change frequently, they may not be immediately recognized, and we may experience or be affected by security or data breaches that remain undetected for an extended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cyber threat environment presents increased risk for all companies, including companies in our industry. We are regularly the target of attempted cybersecurity and other threats that could have a security impact, and we expect to continue to experience an increase in cybersecurity threats in the future. In spite of our policies, procedures and other security measures used to protect our computer systems and data, occasionally, we have experienced breaches that have required us to notify affected consumers and the government, and we have worked with 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If we or any of our third-party service providers or certain other third-parties are subject to cyber-attacks or experience security or data breaches in the future, this could result in harm to consumers, loss, misappropriation, corruption, or unauthorized access of protected patient medical data or other information subject to privacy laws, disruption to our information technology systems and/or business, reputational harm. We may also be subject us to litigation and governmental enforcement actions (including under HIPAA and other applicable laws) as a result of cyber-attacks or security or data breaches, which could result in fines, settlement agreements, corrective action plans, and of which could have a material adverse effect on our business, financial position and results of operations. Some state laws provide a private right of action for data breaches, which may increase data breach litigation. Further, our insurance coverage intended to address cybersecurity and data breach risks may not be sufficient to cover all losses or the types of claims that may arise.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attract and retain qualified personnel or we may incur increased costs in doing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attract and retain qualified non-executive personnel in the markets in which we operate in order to provide our services. We compete for personnel with other providers of social and medical services as well as companies in other service-based industries. As the labor market continues to be tight and unemployment remains at low levels, the competition for employees has increased, which will continue to impact our ability to attract and retain new caregivers. In addition, the competition for skilled healthcare staff has increased significantly, which continues to impact our ability to attract and retain qualified skilled healthcare staff. To the extent that the United States continues to have low unemployment levels and shortages of caregivers and skilled healthcare staff, it may continue to hinder our ability to attract and retain sufficient caregivers and skilled healthcare staff to meet the continuing demand for both our non-clinical and clinical services. Moreover, the increased staffing challenges have resulted in, and may continue to result in, increased labor cost to satisfy our staffing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offset higher labor costs by increasing the rates we charge for our services. In addition, if we fail to attract and retain qualified and skilled personnel, our ability to conduct our business operations effectively and our results of operations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the services of our executive team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upon the continued employment of certain members of our executive team to manage several of our key functional areas, including operations, business development, accounting, finance, human resources, marketing, information systems, contracting and compliance. Moreover, the current competitive labor market may make it more difficult to retain or hire members of our executive team. The departure of any member of our executive team may materially adversely affect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Related to Our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Restrictive covenants in the agreements governing our indebtedness may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credit facility contains various covenants that limit our ability to take certain actions, including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create, incur, assume or suffer to exist any lien;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or otherwise dispose of assets, including capital stock of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consolidate, sell or otherwise dispose of all or substantially all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restricted payments, including paying dividends and making certain loans and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incur, assume, permit to exist, or otherwise become or remain directly or indirectly liable with respect to any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any line of additional line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our organization documents;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 change in accounting treatment or reporting practices, change our name or change our jurisdiction of organization or 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any payment or prepayment of certain subordinated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agreements that restrict dividends and certain other payments from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 sale leaseback or similar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Factors beyond our control, including inclement weather, natural disasters, acts of terrorism, pandemics, riots, civil insurrection or social unrest, looting, protests, strikes and street demonstrations, may impact our ability to provide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weather conditions, natural disasters, acts of terrorism, military conflict, pandemics, riots, civil insurrection or social unrest,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consumers, patients, caregivers and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 tornadoes, flooding, wildfires and earthquakes. The impact of disasters and similar events is inherently uncertain. Moreover, adverse weather conditions may become more frequent and/or severe as the result of climate change. Moreover, we could be affected by climate change and other environmental issues to the extent such issues adversely affect the general economy, adversely impact our supply chain or increase the costs of supplies needed for our operations, or otherwise result in disruptions impacting the communities in which our facilities are located. In addition, legal requirements regulating greenhouse gas emissions and energy inputs or otherwise associated with the transition to a lower carbon economy may increase in the future, which could increase our costs associated with compliance and otherwise disrupt and adversely affect our operations. The impact of these or other factors beyond our control could have an adverse effect on our business, financial position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emergence and effects related to a potential future pandemic, epidemic, or outbreak of infectious disease could adversely impact our business and future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provider of healthcare and personal care services, we have been and continue to be affected by the health and economic effects of COVID-19. COVID-19 continues to evolve, and we may not be able to predict or effectively respond to future developments and any such developments could materially affect our business, results of operations, financial position, and cash flows. The extent of any ongoing and future impact will depend on, among other factors, the duration and severity of any severe or widespread outbreaks of COVID-19; the availability, acceptance and effectiveness of medical treatments and vaccines; the impact of any mutations of the virus; and the impact of COVID-19 and related government actions on the healthcare industry and broader economy.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response to the COVID-19 pandemic, the federal government authorized financial relief for eligible healthcare providers through the Provider Relief Fund. Although recipients are not required to repay funding received, provided that they attest to and comply with certain terms and conditions, changes to interpretations of guidance on the underlying terms and conditions may result in derecognition of amounts previously received. We received amounts from the Provider Relief Fund and returned any unused funds. We have also acquired and may in the future acquire companies that received funds from the Provider Relief Fund. We believe we have structured our use of these funds in accordance with the terms and conditions. However, we may be subject to or incur costs from related government actions including payment recoupment, audits and inquiries by governmental authorities, and criminal, civil or administrative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a future pandemic, epidemic, or outbreak of an infectious disease or other public health crisis were to affect our markets, our business could be adversely affected. Any such crisis could diminish public trust in healthcare providers, particularly those that are treating or have treated patients affected by contagious diseases. Patient volumes may decline or volumes of uninsured and underinsured patients may increase, depending on the economic circumstances surrounding the pandemic, epidemic or outbreak. Further, a pandemic, epidemic or outbreak could adversely impact our business by causing a temporary shutdown or difficulty accessing patients, particularly facility-based patients, by causing disruption or delays in supply chains for materials and products, or by causing staffing shortages. Although we have contingency plans in place, including infection control plans, the potential impact of, as well as the public’s response and governmental responses to, any such future pandemic, epidemic or outbreak of infectious disease with respect to our markets is difficult to predict and could adversely impact our business and future results of operations and financial condition.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more vulnerable to the effects of a public health emergency than other businesses due to the nature of our consumers and the physical proximity required by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consumers and patients are older individuals, many of whom may be more vulnerable than the general public during a pandemic or in a public health emergency due to complex medical conditions or socioeconomic factors. Our employees may also be at greater risk of contracting contagious diseases due to their increased exposure to vulnerable consumers. Due to the physical proximity required to offer many of our services, our employees could have difficulty attending to our consumers if social distancing policies or quarantines are instituted in response to a public health emergency. In addition, the Company may expand existing internal policies in a manner that may have a similar effect. If another pandemic occurs, we could again suffer losses to our consumer population or a reduction in the availability of our employees. Further, we could face litigation if our employees or customers contract contagious diseases while our employees perform their duties. Accordingly, certain public health emergencies could have a material adverse effect on our financial condition and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that cybersecurity threats pose a risk to our business. As part of the Company’s overall risk management systems and processes, we employ a risk management framework designed with the goals of identifying, assessing and managing material risks from cybersecurity threats. Key aspects of this risk management framework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cybersecurity incident response plan, coordinated by the Company’s IT department and Chief Information Security Officer, which includes controls and procedures for identifying, reporting and responding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Partnering with outside cybersecurity vendors periodically to gain an independent view of our cybersecurity and information security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our employees with regular training on cybersecurity and the protection of our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testing a business continuity and disaster recovery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Database activity monitoring, encryption, secure file transfer protocols and application firewalls;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insurance coverage intended to address cybersecurity and data breach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implemented processes to help identify, assess and manage cybersecurity risks associated with our use of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risks from cybersecurity threats of which we are currently aware, including as a result of any previous cybersecurity incidents, have materially affected or are reasonably likely to materially affect us, including our business strategy, results of operations or financial condition. For additional information, see “A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adversely impact our financial results, and otherwise be disruptive to our business.” included in Part I, Item 1A of this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integrated into our overall risk management system and processes. Together with the Board’s standing committees, the Company’s Board of Directors is responsible for ensuring that material risks, including material cybersecurity risks, are identified and managed appropriately. The Board receives updates at least bi-annually from our Chief Information Officer concerning our information security and cyber risk strategy, cyber defense initiatives, cyber event preparedness and cybersecurity risk assessments. The Chief Information Officer has extensive IT and program management experience and works closely with our Chief Information Security Officer, who oversees our cybersecurity program on a day-to-day basis. The Chief Information Security Officer has extensive cybersecurity experience, including more than 15 years working in senior IT infrastructure and IT security roles in the healthcare sector (seven of which years were spent as the Chief Information Security Officer). Our cybersecurity incident response plan provides that the Chief Information Security Officer will work with our IT Department and the impacted segment of our business to investigate and respond to any identified incident (including by escalating the incident to the Company’s senior management and the Board depending on the nature and scope). </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any real property. We lease administrative offices for our local branches, none of which are individually material. We lease approximately 59,000 and 75,000 square feet of office space in Downers Grove, Illinois and Frisco, Texas, respectively, which serve as our support centers. We sublease approximately 21,000 and 37,400 square feet of our office space in Downers Grove and Frisco, respectively,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information with respect to this item may be found in Note 11 to the Consolidated Financial Statements in Part II, Item 8—“Financial Statements and Supplementary Data,” which is incorporated herein by reference.</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“ADUS.”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2.0% of our shares of common stock were held by our officers and directors and approximately 98.0% of our common stock was held by 374 institutional investors. An insignificant amount of common stock is held by individual holders. As of February 16, 2024, Addus HomeCare Corporation had approximately 32,080 shareholders of its common stock, including 89 shareholders of record.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pStyle w:val="TextBody"/>
        <w:bidi w:val="0"/>
        <w:spacing w:before="360" w:after="283"/>
        <w:jc w:val="left"/>
        <w:rPr>
          <w:rFonts w:ascii="Times New Roman" w:hAnsi="Times New Roman"/>
          <w:sz w:val="20"/>
        </w:rPr>
      </w:pPr>
      <w:bookmarkStart w:id="13" w:name="item_6_reserved"/>
      <w:bookmarkEnd w:id="13"/>
      <w:r>
        <w:rPr>
          <w:rFonts w:ascii="Times New Roman" w:hAnsi="Times New Roman"/>
          <w:b/>
          <w:color w:val="000000"/>
          <w:sz w:val="20"/>
        </w:rPr>
        <w:t xml:space="preserve">ITEM 6. </w:t>
      </w:r>
      <w:r>
        <w:rPr>
          <w:rFonts w:ascii="Times New Roman" w:hAnsi="Times New Roman"/>
          <w:color w:val="000000"/>
          <w:sz w:val="20"/>
        </w:rPr>
        <w:t>[</w:t>
      </w:r>
      <w:r>
        <w:rPr>
          <w:rFonts w:ascii="Times New Roman" w:hAnsi="Times New Roman"/>
          <w:b/>
          <w:color w:val="000000"/>
          <w:sz w:val="20"/>
        </w:rPr>
        <w:t>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4" w:name="managements_discussion_analysis_financia"/>
      <w:bookmarkEnd w:id="14"/>
      <w:r>
        <w:rPr>
          <w:rFonts w:ascii="Times New Roman" w:hAnsi="Times New Roman"/>
          <w:b/>
          <w:color w:val="000000"/>
          <w:sz w:val="20"/>
        </w:rPr>
        <w:t>ITEM 7.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as well as other factors that are not currently known to us, that we currently consider immaterial or that are not specific to us, such as general economic conditions. The discussion of our financial condition and results of operations for the year ended December 31, 2022 compared to the year ended December 31, 2021, included in Item 7. Management’s Discussion and Analysis of Financial Condition and Results of Operations (“MD&amp;A”) can be found in the Annual Report on Form 10-K for the year ended December 31,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36.6%, 36.0% and 37.2% of our revenue during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certain consolidated financial and statistical data results for 2023, 2022 and 2021 are provided in the table below. </w:t>
      </w:r>
    </w:p>
    <w:p>
      <w:pPr>
        <w:pStyle w:val="TextBody"/>
        <w:bidi w:val="0"/>
        <w:jc w:val="left"/>
        <w:rPr/>
      </w:pPr>
      <w:r>
        <w:rPr/>
        <w:t> </w:t>
      </w:r>
    </w:p>
    <w:tbl>
      <w:tblPr>
        <w:tblW w:w="6572" w:type="dxa"/>
        <w:jc w:val="left"/>
        <w:tblInd w:w="0" w:type="dxa"/>
        <w:tblLayout w:type="fixed"/>
        <w:tblCellMar>
          <w:top w:w="28" w:type="dxa"/>
          <w:left w:w="28" w:type="dxa"/>
          <w:bottom w:w="28" w:type="dxa"/>
          <w:right w:w="28" w:type="dxa"/>
        </w:tblCellMar>
      </w:tblPr>
      <w:tblGrid>
        <w:gridCol w:w="2281"/>
        <w:gridCol w:w="146"/>
        <w:gridCol w:w="225"/>
        <w:gridCol w:w="993"/>
        <w:gridCol w:w="155"/>
        <w:gridCol w:w="155"/>
        <w:gridCol w:w="225"/>
        <w:gridCol w:w="833"/>
        <w:gridCol w:w="155"/>
        <w:gridCol w:w="155"/>
        <w:gridCol w:w="225"/>
        <w:gridCol w:w="833"/>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5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States and Locations)</w:t>
            </w:r>
          </w:p>
        </w:tc>
        <w:tc>
          <w:tcPr>
            <w:tcW w:w="191" w:type="dxa"/>
            <w:tcBorders/>
            <w:shd w:fill="FFFFFF" w:val="cle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864,499</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937,994</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947,585</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97,661</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served at period end</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Company defines adjusted EBITDA as earnings before interest expense, other non-operating income, taxes, depreciation, amortization, acquisition expense, stock-based compensation expense, restructure expenses and other non-recurring costs and loss on the sale of assets and retroactive rate increases from New York. The Company defined adjusted EBITDA to exclude net COVID expenses arising from the pandemic from the second quarter of 2020 to the first quarter of 2021.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Management believes that Adjusted EBITDA is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this Annual Report on Form 10-K should be carefully evaluated.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 2022, we completed the acquisition of the operations of JourneyCare. The purchase price was approximately $86.6 million, including the amount of acquired excess cash held by JourneyCare at the closing of the acquisition (approximately $0.4 million). The JourneyCare acquisition was funded with a combination of a $35.0 million draw on the Company’s revolving credit facility and available cash. With the JourneyCare acquisition, the Company expanded its hospice services in the state of Illinois.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 2022, we completed the acquisition of Apple Home for $12.7 million, with funding provided by drawing on the Company’s revolving credit facility. With the purchase of Apple Home, the Company expanded clinical services for its home health segment to Illinois.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 2023, we completed the acquisition of CareStaff for approximately $1.0 million, with funding provided by available cash. With the purchase of CareStaff, the Company expanded its personal care services to consumers in Florida.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 2023, we completed the acquisition of Tennessee Quality Care for approximately $111.2 million, with funding primarily provided by drawing on the Company’s revolving credit facility. The purchase price is subject to the completion of working capital and related adjustments. With the purchase of Tennessee Quality Care, the Company expanded its services within its hospice and home health segment to Tennessee.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by Payor and Significant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clients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2023, 2022 and 2021, our revenue by payor and significant states by segment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7"/>
        <w:gridCol w:w="146"/>
        <w:gridCol w:w="223"/>
        <w:gridCol w:w="827"/>
        <w:gridCol w:w="146"/>
        <w:gridCol w:w="146"/>
        <w:gridCol w:w="159"/>
        <w:gridCol w:w="622"/>
        <w:gridCol w:w="146"/>
        <w:gridCol w:w="271"/>
        <w:gridCol w:w="146"/>
        <w:gridCol w:w="223"/>
        <w:gridCol w:w="827"/>
        <w:gridCol w:w="146"/>
        <w:gridCol w:w="146"/>
        <w:gridCol w:w="159"/>
        <w:gridCol w:w="622"/>
        <w:gridCol w:w="146"/>
        <w:gridCol w:w="271"/>
        <w:gridCol w:w="146"/>
        <w:gridCol w:w="223"/>
        <w:gridCol w:w="827"/>
        <w:gridCol w:w="146"/>
        <w:gridCol w:w="146"/>
        <w:gridCol w:w="159"/>
        <w:gridCol w:w="622"/>
        <w:gridCol w:w="146"/>
        <w:gridCol w:w="321"/>
      </w:tblGrid>
      <w:tr>
        <w:trPr/>
        <w:tc>
          <w:tcPr>
            <w:tcW w:w="2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9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local and other governmental programs</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pay</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personal care segment net </w:t>
              <w:br/>
              <w:t>    service revenues</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0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0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personal care segment net </w:t>
              <w:br/>
              <w:t>    service revenues</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acquisition of CareStaff in 2023, the Company expanded its personal care services to consumers in the state of Florida.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1"/>
        <w:gridCol w:w="146"/>
        <w:gridCol w:w="225"/>
        <w:gridCol w:w="834"/>
        <w:gridCol w:w="146"/>
        <w:gridCol w:w="146"/>
        <w:gridCol w:w="185"/>
        <w:gridCol w:w="726"/>
        <w:gridCol w:w="146"/>
        <w:gridCol w:w="271"/>
        <w:gridCol w:w="146"/>
        <w:gridCol w:w="225"/>
        <w:gridCol w:w="834"/>
        <w:gridCol w:w="146"/>
        <w:gridCol w:w="146"/>
        <w:gridCol w:w="185"/>
        <w:gridCol w:w="726"/>
        <w:gridCol w:w="146"/>
        <w:gridCol w:w="271"/>
        <w:gridCol w:w="146"/>
        <w:gridCol w:w="225"/>
        <w:gridCol w:w="834"/>
        <w:gridCol w:w="146"/>
        <w:gridCol w:w="146"/>
        <w:gridCol w:w="185"/>
        <w:gridCol w:w="726"/>
        <w:gridCol w:w="146"/>
        <w:gridCol w:w="320"/>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hospice segment net </w:t>
              <w:br/>
              <w:t>    service revenues</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hospice segment net </w:t>
              <w:br/>
              <w:t>    service revenues</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acquisition of JourneyCare in 2022, the Company expanded its hospice services to patients in the state of Illinois, and with the acquisition of Tennessee Quality Care in 2023, the Company also expanded its hospice services to patients in the state of Tennessee.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238"/>
        <w:gridCol w:w="764"/>
        <w:gridCol w:w="146"/>
        <w:gridCol w:w="146"/>
        <w:gridCol w:w="187"/>
        <w:gridCol w:w="734"/>
        <w:gridCol w:w="146"/>
        <w:gridCol w:w="271"/>
        <w:gridCol w:w="146"/>
        <w:gridCol w:w="238"/>
        <w:gridCol w:w="764"/>
        <w:gridCol w:w="146"/>
        <w:gridCol w:w="146"/>
        <w:gridCol w:w="187"/>
        <w:gridCol w:w="734"/>
        <w:gridCol w:w="146"/>
        <w:gridCol w:w="271"/>
        <w:gridCol w:w="146"/>
        <w:gridCol w:w="238"/>
        <w:gridCol w:w="764"/>
        <w:gridCol w:w="146"/>
        <w:gridCol w:w="146"/>
        <w:gridCol w:w="187"/>
        <w:gridCol w:w="734"/>
        <w:gridCol w:w="146"/>
        <w:gridCol w:w="322"/>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vAlign w:val="center"/>
          </w:tcPr>
          <w:p>
            <w:pPr>
              <w:pStyle w:val="TableContents"/>
              <w:bidi w:val="0"/>
              <w:spacing w:before="0" w:after="283"/>
              <w:jc w:val="center"/>
              <w:rPr/>
            </w:pPr>
            <w:r>
              <w:rPr/>
              <w:t> </w:t>
            </w:r>
          </w:p>
        </w:tc>
      </w:tr>
      <w:tr>
        <w:trPr/>
        <w:tc>
          <w:tcPr>
            <w:tcW w:w="1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vAlign w:val="center"/>
          </w:tcPr>
          <w:p>
            <w:pPr>
              <w:pStyle w:val="TableContents"/>
              <w:bidi w:val="0"/>
              <w:spacing w:before="0" w:after="283"/>
              <w:jc w:val="center"/>
              <w:rPr/>
            </w:pPr>
            <w:r>
              <w:rPr/>
              <w:t> </w:t>
            </w:r>
          </w:p>
        </w:tc>
      </w:tr>
      <w:tr>
        <w:trPr/>
        <w:tc>
          <w:tcPr>
            <w:tcW w:w="1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r>
      <w:tr>
        <w:trPr/>
        <w:tc>
          <w:tcPr>
            <w:tcW w:w="1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home health segment net </w:t>
              <w:br/>
              <w:t>    service revenues</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r>
      <w:tr>
        <w:trPr/>
        <w:tc>
          <w:tcPr>
            <w:tcW w:w="1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home health segment net </w:t>
              <w:br/>
              <w:t>    service revenues</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acquisition of Tennessee Quality Care in 2023, the Company also expanded its home health services to patients in the state of Tennessee.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a significant amount of our net service revenues in Illinois, which represented 44.5% and 43.8% of our net service revenues for the years ended December 31, 2023 and 2022, respectively. A significant amount of our revenue is derived from one payor client, the Illinois Department on Aging, the largest payor program for our Illinois personal care operations, which accounted for 20.9% and 20.7% of our net service revenues for the years ended December 31, 2023 and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Illinois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26, 2019, the City of Chicago voted to approve increases in the Chicago minimum wage to $14 per hour beginning July 1, 2020 and to $15 per hour beginning July 1, 2021. In each subsequent year, the City is required to raise the wage based on the lower of the increases in the Consumer Price Index (“CPI”) or 2.5% subject to a cap and other requirements. On July 1, 2023, the rate was adjusted to $15.80.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Illinois fiscal year 2022 budget included an increase in hourly rates for in-home care services to $24.96, to be effective January 1, 2022. On July 12, 2021, in connection with the temporary increase in federal funding for Medicaid HCBS authorized by the ARPA, the State of Illinois submitted its Initial Spending Plan and Narrative to CMS for approval. That plan included the acceleration by two months of the rate increase to $24.96 from January 1, 2022, to November 1, 2021. The Company recognized $3.6 million related to the rate increase for the year ended December 31,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March 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Illinois Medicaid omnibus legislation passed in June 2023 included an increase in hourly rates for in-home care services to $28.07, which took effect on January 1, 2024 and required a minimum wage rate of $17.00 per hour.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will benefit from the rate increases noted above as planned for 2024, but there is no assurance that there will be additional offsetting rate increases in Illinois for fiscal years beyond fiscal year 2024, and our financial performance will be adversely impacted for any periods in which an additional offsetting reimbursement rate increase is not in effect.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Medicare and Medicaid Reimbursement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Hospice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Hospice services provided to Medicare beneficiaries are paid under the Medicare Hospice Prospective Payment System, under which CMS sets a daily rate for each day a patient is enrolled in the hospice benefit. CMS updates these rates each federal fiscal year. Effective October 1, 2023, CMS increased hospice payment rates by 3.1%. This reflects a 3.3% market basket increase and a negative 0.2 percentage point productivity adjustment. Hospices that do not satisfy quality reporting requirements will be subject to a 4-percentage point reduction to the market basket update.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$33,494.01 for federal fiscal year 2024. If a hospice’s Medicare payments exceed its inpatient or aggregate caps, it must repay Medicare the excess amount.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Home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CMS updates the HHPPS payment rates each calendar year. For calendar year 2024, CMS estimates that Medicare payments to home health agencies will increase by 0.8%. This is based on a home health payment update percentage of 3.0, which reflects a 3.3% market basket update reduced by a productivity adjustment of negative 0.3 percentage points, and an estimated 2.6%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currently applies to home health agencies in certain states, including Illinois, Ohio, Oklahoma, North Carolina, Florida and Texas.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Act required HHS, together with MedPAC, to consider and propose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in July 2022 presenting a prototype for a unified post-acute care payment model, and MedPAC submitted a report to Congress in June 2023 evaluating a prototype design. Although both CMS and MedPAC concluded that designing a unified payment system is feasible, CMS noted that universal implementation of a unified payment system would require congressional action and MedPAC cautioned that implementation would be complex. Due to the agency resources required to implement a unified model, MedPAC noted that CMS may consider smaller-scale site-neutral policies to address some of the overlap in patients treated in different settings and highlighted that recent changes to various post-acute care payment systems address some of the concerns underlying the push for a unified model.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York Consumer Directed Personal Assistance Program (“CDPAP”)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CDPAP is a self-directed care alternative program that allows eligible individuals who need help with activities of daily living or skilled nursing services to choose their caregivers. We provide support services as a CDPAP fiscal intermediary. The Company recognized approximately $40.7 million in revenue from the program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2019, New York initiated a new RFO process to competitively procure CDPAP fiscal intermediaries. On February 11, 2021, the NYSDOH announced its initial selection of entities to enter into contracts as a Lead Fiscal Intermediary. The Company was not one of the selected entities in the initial RFO process. The Company submitted a formal protest in response to this selection process, which was filed and accepted on March 19, 2021. In April 2022, the New York legislature passed the fiscal year 2023 state budget, which amended the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These fiscal intermediaries were permitted to continue operating in all counties contained in their RFO application, provided they submitted an attestation and supporting information to the New York State Department of Health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through County Social Service Departments in the CDPAP. On June 6, 2023, the New York State Department of Health notified the Company that it had received a contract award. Under this contract, the Company is providing services to all current payors and has resumed new fee-for-service patient admissions through County Social Service Departments in the CDPAP. The CDPAP continues to be targeted for changes by New York governmental authorities, however. For example, the governor’s most recent update on the state budget contained proposals that could adversely affect the Company’s ability to participate in the CDPAP.</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CMS Proposed Rule: </w:t>
      </w:r>
      <w:r>
        <w:rPr>
          <w:rFonts w:ascii="Times New Roman" w:hAnsi="Times New Roman"/>
          <w:color w:val="000000"/>
          <w:sz w:val="20"/>
        </w:rPr>
        <w:t>“</w:t>
      </w:r>
      <w:r>
        <w:rPr>
          <w:rFonts w:ascii="Times New Roman" w:hAnsi="Times New Roman"/>
          <w:b/>
          <w:i/>
          <w:color w:val="000000"/>
          <w:sz w:val="20"/>
        </w:rPr>
        <w:t>Ensuring Access to Medicaid Services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CMS published a proposed rule, intended to improve access to services for Medicaid beneficiaries, that includes provisions related to HCBS payments. Specifically, in an effort to address workforce shortages, the proposed rule would (if finalized in its proposed form) require that a minimum of 80% of Medicaid payments in a state for home health aide, personal care services and some similar services be spent on compensation to direct care workers, in addition to related payment transparency requirements. CMS has proposed allowing states four years to implement changes required by a final rule. The ultimate impact of the 80% requirement, if finalized as proposed, could be adverse for periods after implementation, but other aspects of the rule could also benefit our business by improving access to services, depending on the policies ultimately set forth in any final rule. The comment period for the proposed rule ended July 1, 2023. The Company filed a comment letter on the proposed rule before this deadline, as did many other organizations, states and stakeholders. On January 26, 2024, CMS sent a final rule to the Office of Management and Budget (OMB) for review and clearance. The contents of the final rule are unknown at this time, and the final rule may be significantly different than the proposed rule. OMB review is the last step in the process prior to release of the regulation in the Federal Register. The final rule’s timetable on the OMB website projects a release by April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COVID-19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public health emergency declared by HHS as a result of the COVID-19 pandemic expired May 11, 2023. Compared to earlier periods, the number of COVID-19 infections and related hospitalizations has significantly declined. However, we may be more vulnerable to the effects of COVID-19 than other businesses due to the nature of our consumers and patients and the physical proximity required by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2023 and 2022, COVID-19-related expenses in our personal care segment were approximately $2.8 million and $4.5 million, respectively. COVID-19 related expenses are included in cost of service revenue on the Consolidated Statements of Income. Additionally, we recognized revenue of $1.6 million and $4.3 million attributable to temporary rate increases from certain payors in our personal care segment for the years ended December 31, 2023 and 2022,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2023 and 2022, COVID-19-related expenses in our hospice segment were approximately $0.1 million and $0.2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labor market continues to be tight and unemployment remains at low levels, we expect the competition for new caregivers, including skilled healthcare staff to be significant. To the extent that we continue to experience a shortage of caregivers, it may hinder our ability to attract and retain sufficient caregivers to meet the continuing demand for both our non-clinical and clinical services. The ongoing staffing challenges may also continue to result in increased labor costs to satisfy our staffing requirements.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Components of our Statements of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Service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Service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credit losses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reported when incurred and principally consists of interest and unused credit line fees on the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income is from domestic sources. We incur state and local taxes in states in which we operate. Our effective income tax rate was 23.1% and 23.5% for the years ended December 31, 2023 and 2022, respectively. The difference between our federal statutory and effective income tax rates was principally due to the inclusion of state taxes, non-deductible compensation, excess tax expense/benefit and the use of federal employment tax credits.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Year Ended December 31, 2023 Compared to Year Ended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for the periods indicated, our consolidated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3"/>
        <w:gridCol w:w="146"/>
        <w:gridCol w:w="211"/>
        <w:gridCol w:w="931"/>
        <w:gridCol w:w="166"/>
        <w:gridCol w:w="146"/>
        <w:gridCol w:w="189"/>
        <w:gridCol w:w="650"/>
        <w:gridCol w:w="166"/>
        <w:gridCol w:w="271"/>
        <w:gridCol w:w="146"/>
        <w:gridCol w:w="211"/>
        <w:gridCol w:w="781"/>
        <w:gridCol w:w="166"/>
        <w:gridCol w:w="146"/>
        <w:gridCol w:w="189"/>
        <w:gridCol w:w="650"/>
        <w:gridCol w:w="146"/>
        <w:gridCol w:w="271"/>
        <w:gridCol w:w="146"/>
        <w:gridCol w:w="211"/>
        <w:gridCol w:w="781"/>
        <w:gridCol w:w="166"/>
        <w:gridCol w:w="146"/>
        <w:gridCol w:w="146"/>
        <w:gridCol w:w="571"/>
        <w:gridCol w:w="146"/>
        <w:gridCol w:w="317"/>
      </w:tblGrid>
      <w:tr>
        <w:trPr/>
        <w:tc>
          <w:tcPr>
            <w:tcW w:w="1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Service</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net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service revenues increased by 11.3% to $1,058.7 million for the year ended December 31, 2023 compared to $951.1 million in 2022. Net service revenue increased by $88.2 million, $5.4 million and $13.9 million in our personal care, hospice and home health segments, respectively, for the year ended December 31, 2023, compared to 2022. Net service revenue increased due to a 8.2% increase in revenues per billable hour and a 4.2% increase in billable hours for the year ended December 31, 2023 in our personal care segment compared to 2022. The increase in our hospice segment revenue was primarily due to an increase in average daily census and revenue per patient day, mainly attributed to the acquisition of Tennessee Quality Care on August 1, 2023. The increase in our home health segment is primarily due to the full-year effect in 2023 of the acquisition of Apple Home on October 1, 2022 and the acquisition of Tennessee Quality Care on August 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expressed as a percentage of net service revenues, increased to 32.1% for the year ended December 31, 2023, from 31.5% in 2022. The increase was primarily attributable to the increase in gross profit percentage in our personal care and home health segments of 1.6% and 6.6%, respectively, offset by a decline in our hospice segment of 3.2%. The home health increase was primarily attributable to the Tennessee Quality Care acquisition on August 1,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to $234.8 million for the year ended December 31, 2023 compared to $216.9 million in 2022. The increase in general and administrative expenses was primarily due to acquisitions that resulted in an increase in administrative employee wages, taxes and benefit costs of $16.3 million. General and administrative expenses, expressed as a percentage of net service revenues, decreased to 22.2% for 2023, from 22.8% in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were $14.1 million for each of the years ended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net increased to $9.6 million from $8.6 million for the year ended December 31, 2023 compared to 2022. The increase in interest expense was primarily due to higher average outstanding borrowings from additional borrowings used to fund acquisitions and increased interest rates under our credit facility for the year ended December 31, 2023 compared to 2022.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of our income is from domestic sources. We incur state and local taxes in states in which we operate. The effective income tax rate was 23.1% and 23.5% for the years ended December 31, 2023 and 2022, respectively. </w:t>
      </w:r>
      <w:r>
        <w:rPr>
          <w:rFonts w:ascii="Times New Roman" w:hAnsi="Times New Roman"/>
          <w:color w:val="000000"/>
          <w:sz w:val="18"/>
        </w:rPr>
        <w:t>Our lower effective income tax rate in 2023 was principally due to the inclusion of state taxes and non-deductible compensation, partially offset by excess tax benefit and the use of federal employment tax credits. For the years ended December 31, 2023 and 2022, the state tax rates were 5.6% and 6.0%,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 –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and related analysis summarize our operating results and business metrics by segment: </w:t>
      </w:r>
    </w:p>
    <w:p>
      <w:pPr>
        <w:pStyle w:val="TextBody"/>
        <w:bidi w:val="0"/>
        <w:spacing w:before="120" w:after="283"/>
        <w:jc w:val="left"/>
        <w:rPr>
          <w:rFonts w:ascii="Times New Roman" w:hAnsi="Times New Roman"/>
          <w:sz w:val="20"/>
        </w:rPr>
      </w:pPr>
      <w:r>
        <w:rPr>
          <w:rFonts w:ascii="Times New Roman" w:hAnsi="Times New Roman"/>
          <w:b/>
          <w:i/>
          <w:color w:val="000000"/>
          <w:sz w:val="20"/>
        </w:rPr>
        <w:t>Personal Care Segment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2"/>
        <w:gridCol w:w="146"/>
        <w:gridCol w:w="211"/>
        <w:gridCol w:w="781"/>
        <w:gridCol w:w="146"/>
        <w:gridCol w:w="271"/>
        <w:gridCol w:w="168"/>
        <w:gridCol w:w="660"/>
        <w:gridCol w:w="146"/>
        <w:gridCol w:w="271"/>
        <w:gridCol w:w="146"/>
        <w:gridCol w:w="211"/>
        <w:gridCol w:w="781"/>
        <w:gridCol w:w="146"/>
        <w:gridCol w:w="271"/>
        <w:gridCol w:w="168"/>
        <w:gridCol w:w="660"/>
        <w:gridCol w:w="146"/>
        <w:gridCol w:w="271"/>
        <w:gridCol w:w="146"/>
        <w:gridCol w:w="211"/>
        <w:gridCol w:w="676"/>
        <w:gridCol w:w="146"/>
        <w:gridCol w:w="146"/>
        <w:gridCol w:w="146"/>
        <w:gridCol w:w="466"/>
        <w:gridCol w:w="146"/>
        <w:gridCol w:w="320"/>
      </w:tblGrid>
      <w:tr>
        <w:trPr/>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2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9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2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1"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46" w:type="dxa"/>
            <w:tcBorders/>
            <w:shd w:fill="FFFFFF" w:val="cle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20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185,890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righ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 Except</w:t>
              <w:br/>
              <w:t>   Billable Hours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billable census *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Billable hours *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billable hours per census per month *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20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Billable hours per business day *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2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Revenues per billable hour *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Same store growth revenue % * </w:t>
            </w:r>
            <w:r>
              <w:rPr>
                <w:rFonts w:ascii="Times New Roman" w:hAnsi="Times New Roman"/>
                <w:color w:val="000000"/>
                <w:sz w:val="13"/>
              </w:rPr>
              <w:t>(3) (4)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billable census is the number of unique clients receiving a billable service during the year and is the total census divided by months in operation during the period.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pPr>
      <w:r>
        <w:rPr>
          <w:rFonts w:ascii="Times New Roman" w:hAnsi="Times New Roman"/>
          <w:color w:val="000000"/>
          <w:sz w:val="18"/>
        </w:rPr>
        <w:t>2023 same store growth reflects the change in year-over-year revenue for the same store base. We define the same store base to include those stores open for at least 52 full weeks. This measure highlights the</w:t>
      </w:r>
      <w:r>
        <w:rPr>
          <w:color w:val="000000"/>
        </w:rPr>
        <w:t xml:space="preserve"> </w:t>
      </w:r>
      <w:r>
        <w:rPr>
          <w:rFonts w:ascii="Times New Roman" w:hAnsi="Times New Roman"/>
          <w:color w:val="000000"/>
          <w:sz w:val="18"/>
        </w:rPr>
        <w:t>performance of existing stores, while excluding the impact of acquisitions, new store openings and closures, and ARPA associated revenue from this calculation.</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pPr>
      <w:r>
        <w:rPr>
          <w:rFonts w:ascii="Times New Roman" w:hAnsi="Times New Roman"/>
          <w:color w:val="000000"/>
          <w:sz w:val="18"/>
        </w:rPr>
        <w:t>2022 same store growth reflects the change in year-over-year revenue for the same store base. We define the same store base to include those stores open for at least 52 full weeks. This measure highlights the</w:t>
      </w:r>
      <w:r>
        <w:rPr>
          <w:color w:val="000000"/>
        </w:rPr>
        <w:t xml:space="preserve"> </w:t>
      </w:r>
      <w:r>
        <w:rPr>
          <w:rFonts w:ascii="Times New Roman" w:hAnsi="Times New Roman"/>
          <w:color w:val="000000"/>
          <w:sz w:val="18"/>
        </w:rPr>
        <w:t>performance of existing stores, while excluding the impact of acquisitions, new store openings and closures, the New York CDPAP and ARPA associated revenue from this calculation.</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personal care segment derives a significant amount of net service revenues from operations in Illinois, which represented 51.7% and 51.1% of our net service revenues for the years ended December 31, 2023 and 2022, respectively. One payor client, the Illinois Department on Aging, accounted for 20.9% and 20.7% of net service revenues for the years ended December 31, 2023 and 2022, respectively. Net service revenues from state, local and other governmental programs accounted for 50.4% and 49.3% of net service revenues for the years ended December 31, 2023 and 2022, respectively. Managed care organizations accounted for 46.2% and 46.3% of net service revenues for the years ended December 31, 2023 and 2022, respectively, with commercial insurance, private pay and other payors accounting for the remainder of net service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service revenues increased by 12.5% for the year ended December 31, 2023 compared to the year ended December 31, 2022 primarily as a result of an increase in revenues per billable hour of 8.2%, mainly attributed to rate increases discussed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expressed as a percentage of net service revenues, increased from 26.3% for the year ended December 31, 2022 to 27.9% for the year ended December 31, 2023 due to a decrease of 1.1% in direct payroll expense as a percentage of net service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personal care segment’s general and administrative expenses primarily consist of administrative employee wages, taxes and benefit costs, rent, information technology and office expenses. General and administrative expenses, expressed as a percentage of net service revenues, was 8.1% and 8.6% for the years ended December 31, 2023 and 2022, respectively.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Hospice Segment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211"/>
        <w:gridCol w:w="931"/>
        <w:gridCol w:w="146"/>
        <w:gridCol w:w="271"/>
        <w:gridCol w:w="176"/>
        <w:gridCol w:w="689"/>
        <w:gridCol w:w="146"/>
        <w:gridCol w:w="271"/>
        <w:gridCol w:w="146"/>
        <w:gridCol w:w="211"/>
        <w:gridCol w:w="931"/>
        <w:gridCol w:w="146"/>
        <w:gridCol w:w="271"/>
        <w:gridCol w:w="176"/>
        <w:gridCol w:w="689"/>
        <w:gridCol w:w="146"/>
        <w:gridCol w:w="271"/>
        <w:gridCol w:w="146"/>
        <w:gridCol w:w="211"/>
        <w:gridCol w:w="676"/>
        <w:gridCol w:w="166"/>
        <w:gridCol w:w="146"/>
        <w:gridCol w:w="146"/>
        <w:gridCol w:w="526"/>
        <w:gridCol w:w="166"/>
        <w:gridCol w:w="317"/>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4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center"/>
              <w:rPr/>
            </w:pPr>
            <w:r>
              <w:rPr/>
              <w:t> </w:t>
            </w:r>
          </w:p>
        </w:tc>
      </w:tr>
      <w:tr>
        <w:trPr/>
        <w:tc>
          <w:tcPr>
            <w:tcW w:w="1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45"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66" w:type="dxa"/>
            <w:tcBorders/>
            <w:shd w:fill="FFFFFF" w:val="clear"/>
            <w:vAlign w:val="center"/>
          </w:tcPr>
          <w:p>
            <w:pPr>
              <w:pStyle w:val="TableContents"/>
              <w:bidi w:val="0"/>
              <w:spacing w:before="0" w:after="283"/>
              <w:jc w:val="center"/>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Admissions *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daily census *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length of stay *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r>
      <w:tr>
        <w:trPr/>
        <w:tc>
          <w:tcPr>
            <w:tcW w:w="1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 days * </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1,203,522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1,176,193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r>
        <w:trPr/>
        <w:tc>
          <w:tcPr>
            <w:tcW w:w="1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 per patient day * </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growth</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center"/>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ind w:left="0" w:right="0" w:firstLine="100"/>
              <w:jc w:val="left"/>
              <w:rPr/>
            </w:pPr>
            <w:r>
              <w:rPr/>
              <w:t> </w:t>
            </w:r>
          </w:p>
        </w:tc>
      </w:tr>
      <w:tr>
        <w:trPr/>
        <w:tc>
          <w:tcPr>
            <w:tcW w:w="1731" w:type="dxa"/>
            <w:tcBorders/>
            <w:shd w:fill="FFFFFF"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Revenue *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firstLine="100"/>
              <w:jc w:val="left"/>
              <w:rPr/>
            </w:pPr>
            <w:r>
              <w:rPr/>
              <w:t> </w:t>
            </w:r>
          </w:p>
        </w:tc>
      </w:tr>
      <w:tr>
        <w:trPr/>
        <w:tc>
          <w:tcPr>
            <w:tcW w:w="1731"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Average daily census * </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referral process and new patients on service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daily census is total patient days divided by the number of days in the period, adjusted for patient days for acquisitions beginning on date of acquisition.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Average length of stay is the average number of days a patient is on service, calculated upon discharge, and is total patient days divided by total discharges in the period.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Patient days is days of service for all patients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Revenue per patient day is hospice revenue divided by the number of patient days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left"/>
        <w:rPr/>
      </w:pPr>
      <w:r>
        <w:rPr>
          <w:rFonts w:ascii="Times New Roman" w:hAnsi="Times New Roman"/>
          <w:color w:val="000000"/>
          <w:sz w:val="18"/>
        </w:rPr>
        <w:t>Revenue organic growth and average daily census organic growth reflect the change in year-over-year revenue and average daily census for the same store base. We define the same store base to include those stores open for at least 52 full weeks. These measures highlight the</w:t>
      </w:r>
      <w:r>
        <w:rPr>
          <w:color w:val="000000"/>
        </w:rPr>
        <w:t xml:space="preserve"> </w:t>
      </w:r>
      <w:r>
        <w:rPr>
          <w:rFonts w:ascii="Times New Roman" w:hAnsi="Times New Roman"/>
          <w:color w:val="000000"/>
          <w:sz w:val="18"/>
        </w:rPr>
        <w:t>performance of existing stores, while excluding the impact of acquisitions, new store openings and closures.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Hospice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service revenues from Medicare accounted for 89.9% and 90.9% and Medicare Advantage accounted for 3.4% and 3.6% for the years ended December 31, 2023 and 2022, respectively. Net service revenues increased by $5.4 million for the year ended December 31, 2023 compared to the year ended December 31, 2022 primarily due to increases in average daily census and revenue per patient day, mainly attributed to the organic growth and the acquisitions of the operations of Tennessee Quality Care on August 1, 2023 and JourneyCare on February 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expressed as a percentage of net service revenues, was 46.8% and 50.0% for the years ended December 31, 2023 and 2022, respectively. The decrease in gross profit as a percentage of net service revenues was mainly attributed to higher direct employee wages, taxes and benefit costs of $6.4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hospice segment’s general and administrative expenses primarily consist of administrative employee wages, taxes and benefit costs, rent, information technology and office expenses. General and administrative expenses, expressed as a percentage of net service revenues, was 25.1% and 24.7% for the years ended December 31, 2023 and 2022, respectively. The increase in general and administrative expenses was primarily due to acquisitions that resulted in a $2.4 million increase in administrative employee wages for the year ended December 31, 2023.</w:t>
      </w:r>
    </w:p>
    <w:p>
      <w:pPr>
        <w:pStyle w:val="TextBody"/>
        <w:bidi w:val="0"/>
        <w:spacing w:before="360" w:after="283"/>
        <w:jc w:val="left"/>
        <w:rPr>
          <w:rFonts w:ascii="Times New Roman" w:hAnsi="Times New Roman"/>
          <w:sz w:val="20"/>
        </w:rPr>
      </w:pPr>
      <w:r>
        <w:rPr>
          <w:rFonts w:ascii="Times New Roman" w:hAnsi="Times New Roman"/>
          <w:b/>
          <w:i/>
          <w:color w:val="000000"/>
          <w:sz w:val="20"/>
        </w:rPr>
        <w:t>Home Health Segment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3"/>
        <w:gridCol w:w="146"/>
        <w:gridCol w:w="211"/>
        <w:gridCol w:w="781"/>
        <w:gridCol w:w="166"/>
        <w:gridCol w:w="271"/>
        <w:gridCol w:w="181"/>
        <w:gridCol w:w="710"/>
        <w:gridCol w:w="146"/>
        <w:gridCol w:w="271"/>
        <w:gridCol w:w="146"/>
        <w:gridCol w:w="211"/>
        <w:gridCol w:w="781"/>
        <w:gridCol w:w="146"/>
        <w:gridCol w:w="271"/>
        <w:gridCol w:w="181"/>
        <w:gridCol w:w="710"/>
        <w:gridCol w:w="146"/>
        <w:gridCol w:w="271"/>
        <w:gridCol w:w="146"/>
        <w:gridCol w:w="211"/>
        <w:gridCol w:w="676"/>
        <w:gridCol w:w="146"/>
        <w:gridCol w:w="146"/>
        <w:gridCol w:w="146"/>
        <w:gridCol w:w="571"/>
        <w:gridCol w:w="146"/>
        <w:gridCol w:w="318"/>
      </w:tblGrid>
      <w:tr>
        <w:trPr/>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4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center"/>
              <w:rPr/>
            </w:pPr>
            <w:r>
              <w:rPr/>
              <w:t> </w:t>
            </w:r>
          </w:p>
        </w:tc>
      </w:tr>
      <w:tr>
        <w:trPr/>
        <w:tc>
          <w:tcPr>
            <w:tcW w:w="19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642"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 Except Percentages)</w:t>
            </w:r>
          </w:p>
        </w:tc>
        <w:tc>
          <w:tcPr>
            <w:tcW w:w="146" w:type="dxa"/>
            <w:tcBorders/>
            <w:shd w:fill="FFFFFF" w:val="cle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Metrics (Actual Numbers)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period end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New admissions *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Recertifications *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19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volume *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195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Visits * </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293,381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growth</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ind w:left="0" w:right="0" w:firstLine="100"/>
              <w:jc w:val="left"/>
              <w:rPr/>
            </w:pPr>
            <w:r>
              <w:rPr/>
              <w:t> </w:t>
            </w:r>
          </w:p>
        </w:tc>
      </w:tr>
      <w:tr>
        <w:trPr/>
        <w:tc>
          <w:tcPr>
            <w:tcW w:w="1953"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20"/>
              </w:rPr>
              <w:t xml:space="preserve">- Revenue *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new patients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Total volume is total admissions and total recertifications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number of services to patients in the period.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left"/>
        <w:rPr/>
      </w:pPr>
      <w:r>
        <w:rPr>
          <w:rFonts w:ascii="Times New Roman" w:hAnsi="Times New Roman"/>
          <w:color w:val="000000"/>
          <w:sz w:val="18"/>
        </w:rPr>
        <w:t>Revenue organic growth and new admissions organic growth reflect the change in year-over-year revenue and new admissions for the same store base. We define the same store base to include those stores open for at least 52 full weeks. These measures highlight the</w:t>
      </w:r>
      <w:r>
        <w:rPr>
          <w:color w:val="000000"/>
        </w:rPr>
        <w:t xml:space="preserve"> </w:t>
      </w:r>
      <w:r>
        <w:rPr>
          <w:rFonts w:ascii="Times New Roman" w:hAnsi="Times New Roman"/>
          <w:color w:val="000000"/>
          <w:sz w:val="18"/>
        </w:rPr>
        <w:t>performance of existing stores, while excluding the impact of acquisitions, new store openings and 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Home health generates revenue by providing home health services on a short-term, intermittent or episodic basis to individuals, generally to treat an illness or injury. Net service revenues from Medicare accounted for 72.3% and 73.5% and managed care organizations accounted for 22.2% and 20.3% for the years ended December 31, 2023 and 2022, respectively. Home health services provided to Medicare beneficiaries are paid under the Medicare HHPPS,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service revenues increased by $13.9 million for the year ended December 31, 2023 compared to 2022. Total visits increased for the year ended December 31, 2023, mainly attributed to the acquisition of Tennessee Quality Care on August 1, 2023 and the full-year effect in 2023 of the acquisition of Apple Home on October 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profit, expressed as a percentage of net service revenues, was 37.0% and 30.4% for the years ended December 31, 2023 and 2022, respectively. The increase in gross profit as a percentage of net service revenues was due to a decrease of 6.6% in direct payroll expense as a percentage of net service revenues.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home health segment’s general and administrative expenses consist of administrative employee wages, taxes and benefit costs, rent, information technology and office expenses. General and administrative expenses, expressed as a percentage of net service revenues, was 24.7% and 23.9% for the years ended December 31, 2023 and 2022, respectively. The increase in general and administrative expenses was primarily due to acquisitions that resulted in a $3.1 million increase in administrative employee wages, taxes and benefit costs and a $0.3 million increase in rent expenses for the year ended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measure that has limitations as an analytical tool, and should not be considered in isolation or as a substitute for analysis of our results of operations as reported under generally accepted accounting principles in the United States (“GAAP”). The financial results presented in accordance with U.S. GAAP and a reconciliation of this non-GAAP measure included within this Annual Report on Form 10-K should be carefully evaluated.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EBITDA as earnings before interest expense, other non-operating income, taxes, depreciation, amortization, acquisition expenses, stock-based compensation expense, restructure expenses and other non-recurring costs, loss on the sale of assets and retroactive rate increases from New York. The Company defined adjusted EBITDA to exclude net COVID expenses arising from the pandemic from the second quarter of 2020 to the first quarter of 2021. Adjusted EBITDA is a performance measure used by management that is not calculated in accordance with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Adjusted EBITDA is useful to investors, management and others in evaluating our operating performance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is a measure widely used by securities analysts, investors and others to evaluate the financial performance of other 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stock-based compensation expense of $10.3 million, $10.6 million and $9.4 million for the years ended December 31, 2023, 2022 and 2021, respectively. By comparing our Adjusted EBITDA in different periods, our investors can evaluate our operating results without stock-based compensation expense, which is a non-cash expense which we believe is not a key measure of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management has chosen to use Adjusted EBITDA as a performance measure because we believe that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evaluate the effectiveness of business strategies, such as the allocation of resources, the mix of organic growth and acquisitive growth and adjustments to our payor mix;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valuation of prospective acquisitions, and to evaluate the effectiveness of integration of past acquisitions into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communications with our Board concerning our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cash expenditures or future requirements for capital expenditures or other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interest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cash requirements for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have to be replaced in the future, and Adjusted EBITDA does not reflect any cash requirements for these replacements;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acquisition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restructure expense and other non-recurring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any net COVID-19 expense arising from the pandemic from the second quarter of 2020 to the first quarter of 2021;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in our industry may calculate Adjusted EBITDA differently than we do, limiting its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net income, the most directly comparable GAAP measure, to Adjusted EBITDA:</w:t>
      </w:r>
    </w:p>
    <w:p>
      <w:pPr>
        <w:pStyle w:val="TextBody"/>
        <w:bidi w:val="0"/>
        <w:jc w:val="left"/>
        <w:rPr/>
      </w:pPr>
      <w:r>
        <w:rPr/>
        <w:t> </w:t>
      </w:r>
    </w:p>
    <w:tbl>
      <w:tblPr>
        <w:tblW w:w="8523" w:type="dxa"/>
        <w:jc w:val="left"/>
        <w:tblInd w:w="0" w:type="dxa"/>
        <w:tblLayout w:type="fixed"/>
        <w:tblCellMar>
          <w:top w:w="28" w:type="dxa"/>
          <w:left w:w="28" w:type="dxa"/>
          <w:bottom w:w="28" w:type="dxa"/>
          <w:right w:w="28" w:type="dxa"/>
        </w:tblCellMar>
      </w:tblPr>
      <w:tblGrid>
        <w:gridCol w:w="4471"/>
        <w:gridCol w:w="146"/>
        <w:gridCol w:w="211"/>
        <w:gridCol w:w="781"/>
        <w:gridCol w:w="166"/>
        <w:gridCol w:w="146"/>
        <w:gridCol w:w="211"/>
        <w:gridCol w:w="781"/>
        <w:gridCol w:w="166"/>
        <w:gridCol w:w="146"/>
        <w:gridCol w:w="211"/>
        <w:gridCol w:w="676"/>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1" w:type="dxa"/>
            <w:tcBorders/>
            <w:shd w:fill="FFFFFF" w:val="cle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Reconciliation of net income to Adjusted EBITDA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Impact of retroactive New York rate increase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Restructure expense and other related costs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COVID-19 expense, net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sale of assets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selected historical Consolidated Statements of Income data for the fiscal years ended December 31, 2023, 2022 and 2021, were derived from our audited Consolidated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Excludes net COVID expenses arising from the pandemic from the second quarter of 2020 to the first quarter of 2021.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Management deems Adjusted EBITDA to be a key performance indicator. Management uses key performance indicators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pStyle w:val="TextBody"/>
        <w:bidi w:val="0"/>
        <w:spacing w:before="360" w:after="283"/>
        <w:jc w:val="left"/>
        <w:rPr>
          <w:rFonts w:ascii="Times New Roman" w:hAnsi="Times New Roman"/>
          <w:b/>
          <w:i/>
          <w:color w:val="000000"/>
          <w:sz w:val="20"/>
        </w:rPr>
      </w:pPr>
      <w:bookmarkStart w:id="15" w:name="fis_income_statement_2"/>
      <w:bookmarkStart w:id="16" w:name="fis_liquidity_capital"/>
      <w:bookmarkEnd w:id="15"/>
      <w:bookmarkEnd w:id="16"/>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are cash on hand and cash from operations and borrowings under our credit facility. At December 31, 2023 and 2022, we had cash balances of $64.8 million and $80.0 million, respectively. Cash flows from operating activities represent the inflow of cash from our payor clients and the outflow of cash for payroll and payroll taxes, operating expenses, interest and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drew approximately $110.0 million on the revolver portion of our credit facility to fund, in part, the purchase price paid in connection with the Tennessee Quality Care acquisition, and repaid $118.5 million under our revolving credit facility in 2023. At December 31, 2023, we had a total of $126.4 million in revolving loans, with an interest rate of 7.21% outstanding on our credit facility. After giving effect to the amounts drawn on our credit facility, approximately $8.0 million of outstanding letters of credit and borrowing limits based on an advance multiple of Adjusted EBITDA (as defined in the Credit Agreement), we had $470.0 million of capacity and $335.6 million available for borrowing under our credit facility. At December 31, 2022, we had a total of $134.9 million of revolving loans, with an interest rate of 6.13%. During the year ended December 31, 2022, the Company drew approximately $47.0 million on the revolver portion of its credit facility to fund, in part, the Journey Care and Apple Home acquisitions on February 1, 2022 and October 1,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credit facility requires us to maintain a total net leverage ratio not exceeding 3.75:1.00. At December 31, 2023,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Borrowing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Credit Agreement provides for a $600.0 million revolving credit facility and a $125.0 million incremental loan facility, which incremental loan facility may be for term loans or an increase to the revolving loan commitments. The maturity of the credit facility is July 30, 2026. Pursuant to the Third Amendment to Amended and Restated Credit Agreement dated as of April 26, 2023, the Company amended its credit facility to replace the London Inter-Bank Offered Rate (“LIBOR”) with the secured overnight financing rate as administered by the Federal Reserve Bank of New York (“SOFR”) as the benchmark reference rate for loans under its credit facility. The transition to SOFR did not and is not expected to have a material impact on the Company’s results of operations or liquidity.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7, Long-Term Debt, to the Notes to Consolidated Financial Statements for additional details of our long-term debt.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Current Macroeconomic Conditions and COVID-19 Relief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in the United States continue to be challenging in various respects. For example, the United States economy continues to experience significant inflationary pressures, elevated interest rates, challenging labor market conditions, and disruptions to supply networks. Any resulting economic downturn would pose a risk to states’ revenues, which in turn could affect our reimbursements and collections received for services rendered. Depending on the severity and length of any potential economic downturn, states could face significant fiscal challenges and revise their revenue forecasts and adjust their budgets, and sales tax collections and income tax withholdings could be depressed in fiscal year 2023 (which began July 1 in most states), and, potentially, future fiscal years. In this regard, Illinois, New Mexico and New York, our top three personal care markets, previously revised revenue estimates downward for the 2022 fiscal year as the result of earlier negative economic conditions arising from the pandemic. Also, in response to reduced revenues, the state of New York authorized the issuance of short-term bonds and implemented uniform reductions to Medicaid payments, applicable to home health and personal care services (hospice services were exempt). These reductions took effect for dates of service on or after April 2, 2020, and were eliminated effective April 1, 2022.</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COVID-19 Provider Relief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response to the COVID-19 pandemic, the federal government took various measures intended to assist healthcare providers, including authorizing several forms of financial relief. One of the primary sources of relief for eligible healthcare providers was the Provider Relief Fund, distributions from which were intended to compensate healthcare providers for lost revenues and healthcare related expenses incurred in response to the COVID-19 pandemic. Recipients were not required to repay funding received, provided that they attested to and complied with certain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2020, the Company received grants in an aggregate principal amount of $13.7 million from the Provider Relief Fund, for which we had previously applied. The Company utilized the remaining $12.3 million of these funds during the year ended December 31, 2021, for healthcare related expenses, including retention payments attributable to COVID-19 that were unreimbursed by other sources. We were required to properly and fully document the use of such funds in reports to HHS. The Company documented the use of such funds in reports to HHS, as required, and submitted the reports to HHS prior to the deadline of March 31, 2022. During the year ended December 31, 2022, we submitted an unmodified audit report to HHS in accordance with Generally Accepted Government Auditing Standards, as required for commercial organizations that received and expended total awards of $750,000 or more.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Payroll tax deferral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Coronavirus Aid, Relief and Economic Security Act (“CARES Act”) also provides for certain federal income and other tax changes, including allowing for the deferral of the employer portion of Social Security payroll taxes through December 31, 2020.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$4.1 million and $3.0 million as of December 31, 2022 and 2021,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ARPA Spending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ARPA became law on March 11, 2021 and provides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state funding provided by the ARPA in an aggregate amount of $3.7 million and $23.4 million for the years ended December 31, 2023 and 2022, respectively. The Company recorded revenue of $0.3 million and $1.9 million and related cost of service revenues of $0.1 million and $1.5 million for certain states that met the revenue recognition criteria for the years ended December 31, 2023 and 2022, respectively. The Company deferred the remaining $3.4 million and $21.5 million, which was received from states with specific spending plans and reporting requirements, for the years ended December 31, 2023 and 2022, respectively. The Company utilized $10.5 million and $8.6 million of these funds during the years ended December 31, 2023 and 2022, respectively, primarily for caregivers and adding support to recruiting and retention efforts. The deferred portion of ARPA funding was $5.8 million and $12.9 million for the years ended December 31, 2023 and 2022, respectively, which is included within Government stimulus advances on the Company’s Consolidated Balance Sheets.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Medicare sequester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CARES Act and related legislation also include other provisions offering financial relief, including, for example, temporarily suspending the Medicare sequester, which would have otherwise reduced payments to Medicare providers by 2% as required by the Budget Control Act of 2011. The sequestration adjustment resumed with a 1% reduction beginning April 1, 2022, and a 2% reduction beginning July 1, 2022. These sequestration cuts have been extended through April 2032.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hospice segment, Medicare sequester relief resulted in an increase in net service revenues of $0.0 million and $1.4 million for the years ended December 31, 2023 and 2022, respectively. In our home health segment, Medicare sequester relief resulted in an increase in net service revenues of $0.0 million and $0.3 million, 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 Further, we anticipate that the federal deficit will continue to place pressure on government healthcare programs, and it is possible that future deficit reduction legislation will impose additional Medicare spending reductions.</w:t>
      </w:r>
    </w:p>
    <w:p>
      <w:pPr>
        <w:pStyle w:val="TextBody"/>
        <w:bidi w:val="0"/>
        <w:spacing w:before="360" w:after="283"/>
        <w:jc w:val="left"/>
        <w:rPr>
          <w:rFonts w:ascii="Times New Roman" w:hAnsi="Times New Roman"/>
          <w:b/>
          <w:i/>
          <w:color w:val="000000"/>
          <w:sz w:val="20"/>
        </w:rPr>
      </w:pPr>
      <w:bookmarkStart w:id="17" w:name="fis_unidentified_table_17"/>
      <w:bookmarkEnd w:id="17"/>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historical changes in our cash flows for the years ended December 31, 2023, 2022 and 2021:</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84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7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39,488</w:t>
            </w:r>
          </w:p>
        </w:tc>
        <w:tc>
          <w:tcPr>
            <w:tcW w:w="2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26,344</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$112.2 million for the year ended December 31, 2023, compared to $105.1 million in 2022 primarily due to the timing of receipts on accounts receivable and the timing of government stimulus funds. The changes in accounts receivable were primarily related to the growth in revenue and a decrease in days sales outstanding (“DSO”) during the year ended December 31, 2023 compared to 2022, as described below. The related receivables due from the Illinois Department on Aging represented 25.8% and 18.0% of net accounts receivable at December 31, 2023 and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was $119.2 million for the year ended December 31, 2023, compared to $106.6 million for the year ended December 31, 2022. Our investing activities for the year ended December 31, 2023 consisted of $1.0 million primarily for the acquisition of CareStaff, $111.2 million for the acquisition of Tennessee Quality Care and $9.4 million in purchases of property and equipment primarily related to technology infrastructure. Our investing activities for the year ended December 31, 2022 primarily consisted of $86.6 million primarily for the acquisition of JourneyCare, $12.7 million for the acquisition of Apple Home and $8.3 million in purchases of property and equipment primarily related to technology infrastructure.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$8.2 million for the year ended December 31, 2023 compared to $87.4 million for the year ended December 31, 2022. Our financing activities for the year ended December 31, 2023 included borrowings of $110.0 million on the revolver portion of our credit facility to fund two acquisitions and the payment of $118.5 million of our revolving loans. Our financing activities for the year ended December 31, 2022 included borrowings of $47.0 million on the revolver portion of our credit facility to fund two acquisitions and the payment of $137.0 million of our revolving loans.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Outstanding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accounts receivable as of December 31, 2023 and 2022 were $117.8 million and $127.1 million, respectively. Outstanding accounts receivable, net of the allowance for credit losses, decreased by $10.0 million as of December 31, 2023 compared to December 31, 2022. The open receivable balance from the Illinois Department on Aging, the largest payor program for the Company’s Illinois personal care operation, increased by $7.3 million from $22.5 million as of December 31, 2022 to $29.8 million as of December 31, 2023.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our DSO by taking the accounts receivable outstanding, net of the allowance for credit losses, divided by the net service revenues for the last quarter, multiplied by the number of days in that quarter. Our DSOs were 39 days and 45 days at December 31, 2023 and 2022, respectively. The DSOs for our largest payor, the Illinois Department on Aging, at December 31, 2023 and 2022 were 50 days and 42 days,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did not have any off-balance sheet guarantees or arrangements with unconsolidated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Note 1 to the Notes to Consolidated Financial Statements. An accounting policy is deemed to be critical if it involves a significant level of estimation uncertainty and has had or is reasonably likely to have a material impact on our financial condition or results of operations. We base our estimates and judgments on historical experience and other sources and factors that we believe to be reasonable under the circumstances, however, actual results may differ from these estimates. Our critical accounting policies requiring estimates, assumptions and judgments that we believe have the most significant impact on our consolidated financial statements are described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 Accounts Receivable and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we participate are complex and subject to interpretation. Net service revenues related to uninsured accounts, or self-pay, is recorded net of implicit price concessions estimated based on historical collection experience to reduce revenue to the estimated amount we expect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We monitor our net service revenues and collections from these sources and record any necessary adjustment to net service revenues based upon management’s assessment of historical write offs and expected net collections, business and economic conditions, trends in federal, state and private employer healthcare coverage and other collection indicators.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we expect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we compare our cash collections to recorded net service revenues and evaluate our historical allowances, including implicit price concessions, based upon the ultimate resolution of the accounts receivable balance.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and 2022, goodwill was $663.0 million and $582.8 million, respectively, included in our Consolidated Balance Sheets. The carrying value of our goodwill is the excess of the purchase price over the fair value of the net assets acquired from various acquisitions. In accordance with ASC Topic 350, </w:t>
      </w:r>
      <w:r>
        <w:rPr>
          <w:rFonts w:ascii="Times New Roman" w:hAnsi="Times New Roman"/>
          <w:i/>
          <w:color w:val="000000"/>
          <w:sz w:val="20"/>
        </w:rPr>
        <w:t>Goodwill and Other Intangible Assets</w:t>
      </w:r>
      <w:r>
        <w:rPr>
          <w:rFonts w:ascii="Times New Roman" w:hAnsi="Times New Roman"/>
          <w:color w:val="000000"/>
          <w:sz w:val="20"/>
        </w:rPr>
        <w:t xml:space="preserve">,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We may also bypass the qualitative assessment and perform a quantitative test. Additionally, it is our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2023, 2022 and 2021, we performed the quantitative analysis to evaluate whether an impairment occurred. Since quoted market prices for our reporting units are not available, we rely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operating margins and the weighted-average cost of capital.</w:t>
      </w:r>
    </w:p>
    <w:p>
      <w:pPr>
        <w:pStyle w:val="TextBody"/>
        <w:bidi w:val="0"/>
        <w:spacing w:before="240" w:after="283"/>
        <w:jc w:val="left"/>
        <w:rPr>
          <w:rFonts w:ascii="Times New Roman" w:hAnsi="Times New Roman"/>
          <w:sz w:val="20"/>
        </w:rPr>
      </w:pPr>
      <w:r>
        <w:rPr>
          <w:rFonts w:ascii="Times New Roman" w:hAnsi="Times New Roman"/>
          <w:color w:val="000000"/>
          <w:sz w:val="20"/>
        </w:rPr>
        <w:t>Based on the totality of the information available, we concluded that it was more likely than not that the estimated fair values of our reporting units were greater than their carrying values. Consequently, we concluded that there were no impairments for the years ended December 31, 2023</w:t>
      </w:r>
      <w:r>
        <w:rPr>
          <w:rFonts w:ascii="Times New Roman" w:hAnsi="Times New Roman"/>
          <w:color w:val="000000"/>
          <w:sz w:val="24"/>
        </w:rPr>
        <w:t xml:space="preserve">, </w:t>
      </w:r>
      <w:r>
        <w:rPr>
          <w:rFonts w:ascii="Times New Roman" w:hAnsi="Times New Roman"/>
          <w:color w:val="000000"/>
          <w:sz w:val="20"/>
        </w:rPr>
        <w:t>2022 or 2021. For the fiscal year 2023 impairment tests, the fair value of the reporting units exceeded their respective carrying values (commonly referred to as “headroom”) by at least 100% in the personal care and in the home health reporting unit, and 20% in the hospice reporting unit. The headroom percentage for the hospice reporting unit decreased as compared to the prior year primarily due to the result of labor shortages with rising costs adding pressure to gross margin and patient volumes have not rebounded as quickly following the acute phase of the COVID-19 pandemic as previously anticipated. We performed a sensitivity analysis on this reporting unit and determined that a more than 1.2% increase to the weighted- average cost of capital, the most sensitive assumption used in the estimate, would result in the fair value being lower than the carrying value. The Company bases its fair value estimates on assumptions management believes to be reasonable but which are unpredictable and inherently uncertain. Actual future results may differ from those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and 2022, intangibles, net of accumulated amortization, was $92.0 million and $72.2 million, respectively, included in our Consolidated Balance Sheets. Our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w:t>
      </w:r>
      <w:r>
        <w:rPr>
          <w:rFonts w:ascii="Times New Roman" w:hAnsi="Times New Roman"/>
          <w:i/>
          <w:color w:val="000000"/>
          <w:sz w:val="20"/>
        </w:rPr>
        <w:t>Goodwill and Other Intangible Assets</w:t>
      </w:r>
      <w:r>
        <w:rPr>
          <w:rFonts w:ascii="Times New Roman" w:hAnsi="Times New Roman"/>
          <w:color w:val="000000"/>
          <w:sz w:val="20"/>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2023, 2022 or 2021. Amortization of intangible assets is reported in the statement of income caption, “Depreciation and amortization” and not included in the income statement caption cost of service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to the Notes to Consolidated Financial Statements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Standby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outstanding letters of credit of $8.0 million at December 31, 2023. These standby letters of credit benefit our third-party insurer for our high deductible workers’ compensation insurance program. The amount of the letters of credit is negotiated annually in conjunction with the insurance renewals.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on hand, our anticipated cash flows from operations and amounts available under our Credit Agreement will be sufficient to fund our anticipated operating and investing needs for the next 12 months and for the foreseeable future thereafter. Cash from operations could also be affected by various risks and uncertainties, including, but not limited to the effects of risks detailed in Part I, Item 1A—”Risk Factors”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outstanding debt on our revolving loan under our credit facility of $126.4 million, payable on July 30, 2026. Interest payments associated with the debt aggregate to $27.1 million, with $10.8 million payable within 12 months. As described in Note 7 to the Notes to Consolidated Financial Statements, interest on borrowings under the revolving loan are variable. The calculated interest payable amounts use actual rates available through January 2024 and assumes the January rates of 7.21%, respectively, for all future interest payable on the revolving loans. See Note 7, Long-Term Debt, to the Notes to Consolidated Financial Statements for additional details of our long-term debt.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lease arrangements for local branches, our corporate headquarters and certain equipment. As of December 31, 2023, the Company had fixed lease payment obligations aggregating to $61.2 million, with $13.8 million payable within 12 months. See Note 2, Leases, to the Notes to Consolidated Financial Statements for additional details of our leases.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Impact of Inflation</w:t>
      </w:r>
    </w:p>
    <w:p>
      <w:pPr>
        <w:pStyle w:val="TextBody"/>
        <w:bidi w:val="0"/>
        <w:spacing w:before="120" w:after="283"/>
        <w:jc w:val="left"/>
        <w:rPr>
          <w:rFonts w:ascii="Times New Roman" w:hAnsi="Times New Roman"/>
          <w:sz w:val="20"/>
        </w:rPr>
      </w:pPr>
      <w:r>
        <w:rPr>
          <w:rFonts w:ascii="Times New Roman" w:hAnsi="Times New Roman"/>
          <w:color w:val="000000"/>
          <w:sz w:val="20"/>
        </w:rPr>
        <w:t>The United States has recently experienced high rates of inflation. These inflationary conditions have resulted in, and may continue to result in, increased operating costs, particularly as the result of increased wages we have paid and may continue to pay our caregivers and other personnel and our ability to attract and retain personnel. Increased price levels might allow us to increase our fees to private pay clients, but our ability to realize rate increases from government programs might be limited despite inflation. Inflation may also raise our financing costs. For additional information regarding the risks to us from the current competitive labor market and increasing labor costs, see Item 1A—Risk Factors — “</w:t>
      </w:r>
      <w:r>
        <w:rPr>
          <w:rFonts w:ascii="Times New Roman" w:hAnsi="Times New Roman"/>
          <w:i/>
          <w:color w:val="000000"/>
          <w:sz w:val="20"/>
        </w:rPr>
        <w:t>We may not be able to attract and retain qualified personnel or we may incur increased costs in doing so.</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8" w:name="item_7a_quantitative_qualitative_disclos"/>
      <w:bookmarkEnd w:id="18"/>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associated with changes in interest rates on our variable rate long-term debt. As of December 31, 2023, we had outstanding borrowings of approximately $126.4 million on our credit facility, all of which was subject to variable interest rates. As of December 31, 2022, we had outstanding borrowings of approximately $134.9 million on our credit facility, all of which was subject to variable interest rates. If the variable rates on this debt were 100 basis points higher than the rate applicable to the borrowing during the year ended December 31, 2023, our net income would have decreased by $1.0 million, or $0.06 per diluted share. We do not currently have any derivative or hedging arrangements, or other known exposures, to changes in interest rates.</w:t>
      </w:r>
    </w:p>
    <w:p>
      <w:pPr>
        <w:pStyle w:val="TextBody"/>
        <w:bidi w:val="0"/>
        <w:spacing w:before="360" w:after="283"/>
        <w:jc w:val="left"/>
        <w:rPr>
          <w:rFonts w:ascii="Times New Roman" w:hAnsi="Times New Roman"/>
          <w:sz w:val="20"/>
        </w:rPr>
      </w:pPr>
      <w:bookmarkStart w:id="19" w:name="item_8_financial_statements_supplementar"/>
      <w:bookmarkEnd w:id="19"/>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color w:val="000000"/>
          <w:sz w:val="20"/>
        </w:rPr>
        <w:t>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related Notes to Consolidated Financial Statements and the report of our independent registered public accounting firm, are set forth on the pages indicated in Part IV, Item 15—”Exhibits and Financial Statement Schedules.”</w:t>
      </w:r>
    </w:p>
    <w:p>
      <w:pPr>
        <w:pStyle w:val="TextBody"/>
        <w:bidi w:val="0"/>
        <w:spacing w:before="360" w:after="283"/>
        <w:jc w:val="left"/>
        <w:rPr>
          <w:rFonts w:ascii="Times New Roman" w:hAnsi="Times New Roman"/>
          <w:sz w:val="20"/>
        </w:rPr>
      </w:pPr>
      <w:bookmarkStart w:id="20" w:name="item_9_changes_in_disagreements_with_acc"/>
      <w:bookmarkEnd w:id="20"/>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1" w:name="item_9a_controls_procedures"/>
      <w:bookmarkEnd w:id="21"/>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conducted an evaluation of our disclosure controls and procedures, as such term is defined under Rule 13a-15(e)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recorded, processed, summarized and reported, within the time periods specified in the SEC’s rules and forms, and that such information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our Chief Executive Officer and Chief Financial Officer concluded that our disclosure controls and procedures were effective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Under the supervision and with the participation of our management, including our Chief Executive Officer and Chief Financial Officer, we conducted an assessment of the effectiveness of our internal control over financial reporting based on the framework in Internal Control — Integrated Framework issued by the Committee of Sponsoring Organizations of the Treadway Commission (2013 framework). Based on our assessment under the framework in Internal Control — Integrated Framework, our management concluded that our internal control over financial reporting was effective as of December 31,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SEC Staff guidance, companies are permitted to exclude acquisitions from their first assessment of internal control over financial reporting which covers the period in which such acquisition was completed. We excluded Coastal Nursecare of Florida, Inc. (“CareStaff”) and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each of which are wholly-owned subsidiaries, from our assessment of internal control over financial reporting as of December 31, 2023 because they were acquired in purchase business combinations on January 1, 2023 and August 1, 2023, respectively.</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CareStaff represented 0.2% of our revenues and 0.4% of our operating income, respectively, for the year ended December 31, 2023.</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 Quality Care represented 1.5% of our revenues and 3.3% of our operating income, respectively, for the year ended December 31, 2023.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2023 has been audited by PricewaterhouseCoopers LLP, an independent registered public accounting firm, as stated in its report which appears within Part IV, Item 15—“Exhibits and Financial Statement Schedules.”.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fiscal quarter ended December 31, 2023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2" w:name="item_9b_or_information"/>
      <w:bookmarkEnd w:id="22"/>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Without limiting the generality of the foregoing, during the quarter ended December 31, 2023, no director or Section 16 officer adopted or terminated any Rule 10b5-1 trading arrangements or non-Rule 10b5-1 trading arrangements, as such terms are defined in Item 408 of Regulation S-K.</w:t>
      </w:r>
    </w:p>
    <w:p>
      <w:pPr>
        <w:pStyle w:val="TextBody"/>
        <w:bidi w:val="0"/>
        <w:spacing w:before="360" w:after="283"/>
        <w:jc w:val="left"/>
        <w:rPr>
          <w:rFonts w:ascii="Times New Roman" w:hAnsi="Times New Roman"/>
          <w:sz w:val="20"/>
        </w:rPr>
      </w:pPr>
      <w:bookmarkStart w:id="23" w:name="item_9c_disclosure_regarding_foreign_jur"/>
      <w:bookmarkEnd w:id="23"/>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color w:val="000000"/>
          <w:sz w:val="20"/>
        </w:rPr>
        <w:t>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4" w:name="part_iii"/>
      <w:bookmarkEnd w:id="2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10-K as we intend to file our definitive Proxy Statement for the 2023 Annual Meeting of Stockholders pursuant to Regulation 14A of the Exchange Act not later than 120 days after the end of the fiscal year covered by this Annual Report, and certain information included in the Proxy Statement is incorporated herein by reference.</w:t>
      </w:r>
    </w:p>
    <w:p>
      <w:pPr>
        <w:pStyle w:val="TextBody"/>
        <w:bidi w:val="0"/>
        <w:spacing w:before="360" w:after="283"/>
        <w:jc w:val="left"/>
        <w:rPr>
          <w:rFonts w:ascii="Times New Roman" w:hAnsi="Times New Roman"/>
          <w:b/>
          <w:color w:val="000000"/>
          <w:sz w:val="20"/>
        </w:rPr>
      </w:pPr>
      <w:bookmarkStart w:id="25" w:name="item_10_directors_executive_ficers_corpo"/>
      <w:bookmarkEnd w:id="25"/>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2024 Proxy Statement to be filed with the SEC not later than 120 days after the end of the fiscal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Business Conduct and Ethics (“Code of Conduct”) that is applicable to all of our employees, officers and members of our Board of Directors,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 copy of the current version of our Code of Conduct is available in the Investors—Corporate Governance section of our internet website located at www.addus.com. A copy of the Code of Conduct is also available in print, free of charge, to any stockholder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w:t>
      </w:r>
    </w:p>
    <w:p>
      <w:pPr>
        <w:pStyle w:val="TextBody"/>
        <w:bidi w:val="0"/>
        <w:spacing w:before="360" w:after="283"/>
        <w:jc w:val="left"/>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2024 Proxy Statement to be filed with the SEC not later than 120 days after the end of the fiscal year ended December 31, 2023.</w:t>
      </w:r>
    </w:p>
    <w:p>
      <w:pPr>
        <w:pStyle w:val="TextBody"/>
        <w:bidi w:val="0"/>
        <w:spacing w:before="360" w:after="283"/>
        <w:jc w:val="left"/>
        <w:rPr>
          <w:rFonts w:ascii="Times New Roman" w:hAnsi="Times New Roman"/>
          <w:b/>
          <w:color w:val="000000"/>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2024 Proxy Statement to be filed with the SEC not later than 120 days after the end of the fiscal year ended December 31, 2023.</w:t>
      </w:r>
    </w:p>
    <w:p>
      <w:pPr>
        <w:pStyle w:val="TextBody"/>
        <w:bidi w:val="0"/>
        <w:spacing w:before="360" w:after="283"/>
        <w:jc w:val="left"/>
        <w:rPr>
          <w:rFonts w:ascii="Times New Roman" w:hAnsi="Times New Roman"/>
          <w:b/>
          <w:color w:val="000000"/>
          <w:sz w:val="20"/>
        </w:rPr>
      </w:pPr>
      <w:bookmarkStart w:id="28" w:name="item_13_certain_relationships_related_tr"/>
      <w:bookmarkEnd w:id="28"/>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2024 Proxy Statement to be filed with the SEC not later than 120 days after the end of the fiscal year ended December 31, 2023.</w:t>
      </w:r>
    </w:p>
    <w:p>
      <w:pPr>
        <w:pStyle w:val="TextBody"/>
        <w:bidi w:val="0"/>
        <w:spacing w:before="360" w:after="283"/>
        <w:jc w:val="left"/>
        <w:rPr>
          <w:rFonts w:ascii="Times New Roman" w:hAnsi="Times New Roman"/>
          <w:b/>
          <w:color w:val="000000"/>
          <w:sz w:val="20"/>
        </w:rPr>
      </w:pPr>
      <w:bookmarkStart w:id="29" w:name="item_14_principal_accounting_fees_and_se"/>
      <w:bookmarkEnd w:id="29"/>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2024 Proxy Statement to be filed with the SEC not later than 120 days after the end of the fiscal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0" w:name="part_iv"/>
      <w:bookmarkEnd w:id="30"/>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31" w:name="item_15_exhibits_financial_statement_sch"/>
      <w:bookmarkEnd w:id="31"/>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(2) The Financial Statements listed on the index on page F-1 following are included herein. All schedules are omitted, either because they are not applicable or because the required information is shown in the financial statements or the notes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240" w:after="283"/>
        <w:jc w:val="center"/>
        <w:rPr>
          <w:rFonts w:ascii="Times New Roman" w:hAnsi="Times New Roman"/>
          <w:sz w:val="20"/>
        </w:rPr>
      </w:pPr>
      <w:bookmarkStart w:id="32" w:name="exhibit_index"/>
      <w:bookmarkEnd w:id="32"/>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819"/>
        <w:gridCol w:w="146"/>
        <w:gridCol w:w="586"/>
        <w:gridCol w:w="146"/>
        <w:gridCol w:w="765"/>
        <w:gridCol w:w="146"/>
        <w:gridCol w:w="651"/>
        <w:gridCol w:w="146"/>
        <w:gridCol w:w="84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28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Addus HomeCare Corporation dated as of October 27, 2009.</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11/20/2009</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3.2</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Addus HomeCare Corporation, as amended by the First Amendment to Amended and Restated Bylaws</w:t>
              </w:r>
            </w:hyperlink>
            <w:hyperlink r:id="rId6">
              <w:r>
                <w:rPr>
                  <w:rStyle w:val="InternetLink"/>
                  <w:rFonts w:ascii="Times New Roman" w:hAnsi="Times New Roman"/>
                  <w:color w:val="0563C1"/>
                  <w:sz w:val="20"/>
                  <w:u w:val="single"/>
                </w:rPr>
                <w:t>.</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05/9/2013</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4.1</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4.2</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Securities of Addus HomeCare Corporation Registered under Section 12 of the Exchange Act.</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10.1*</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Addus Holding Corporation 2006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10.2*</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Director Form of Non-Qualified Stock Option Certificate under the 2006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10.3*</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Executive Form of Non-Qualified Stock Option Certificate under the 2006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17">
              <w:r>
                <w:rPr>
                  <w:rStyle w:val="InternetLink"/>
                  <w:rFonts w:ascii="Times New Roman" w:hAnsi="Times New Roman"/>
                  <w:color w:val="000080"/>
                  <w:sz w:val="20"/>
                  <w:u w:val="single"/>
                </w:rPr>
                <w:t>10.</w:t>
              </w:r>
            </w:hyperlink>
            <w:r>
              <w:rPr>
                <w:rFonts w:ascii="Times New Roman" w:hAnsi="Times New Roman"/>
                <w:color w:val="0000FF"/>
                <w:sz w:val="20"/>
                <w:u w:val="single"/>
              </w:rPr>
              <w:t>4</w:t>
            </w:r>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2009 Form of Indemnification Agreement.</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7/17/2009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10.5*</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Addus HomeCare Corporation 2009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10.6*</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Nonqualified Stock Option Award Agreement pursuant to the 2009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10.20(a)</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10.7*</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Restricted Stock Award Agreement pursuant to the 2009 Stock Incentive Plan.</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333-160634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9/21/2009</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10.20(b)</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10.8</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Securities Purchase Agreement, dated as of April 24, 2015, by and among Addus HealthCare, Inc., Margaret Coffey, Carol Kolar, South Shore Home Health Service, Inc. and Acaring Home Care, LLC.</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5/8/2015</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10.9</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Credit Agreement, dated as of May 8, 2017, by and among Addus Healthcare, Inc., as the Borrower, the other parties from time to time a party thereto, and Capital One, National Association, as a Lender and Swing Lender and as Agent for all Lenders, Suntrust Bank, as Documentation Agent, Bank of the West, Compass Bank, Fifth Third Bank and JPMorgan Chase Bank, N.A., as Co-Syndication Agents, the other financial institutions party thereto, as Lenders, Capital One, National Association, Bank of the West, Compass Bank, Fifth Third Bank and JPMorgan Chase Bank, N.A. and Suntrust Robinson Humphrey as Joint Lead Arrangers and Capital One, National Association, as Sole Bookrunner.</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5/9/2017</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10.10*</w:t>
              </w:r>
            </w:hyperlink>
          </w:p>
        </w:tc>
        <w:tc>
          <w:tcPr>
            <w:tcW w:w="146" w:type="dxa"/>
            <w:tcBorders/>
            <w:vAlign w:val="center"/>
          </w:tcPr>
          <w:p>
            <w:pPr>
              <w:pStyle w:val="TableContents"/>
              <w:bidi w:val="0"/>
              <w:spacing w:before="0" w:after="283"/>
              <w:jc w:val="left"/>
              <w:rPr>
                <w:sz w:val="4"/>
                <w:szCs w:val="4"/>
              </w:rPr>
            </w:pPr>
            <w:r>
              <w:rPr>
                <w:sz w:val="4"/>
                <w:szCs w:val="4"/>
              </w:rPr>
            </w:r>
          </w:p>
        </w:tc>
        <w:tc>
          <w:tcPr>
            <w:tcW w:w="5819"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Addus HomeCare Corporation’s 2017 Omnibus Incentive Plan, effective as of April 27, 2017.</w:t>
              </w:r>
            </w:hyperlink>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6/16/2017</w:t>
            </w:r>
          </w:p>
        </w:tc>
        <w:tc>
          <w:tcPr>
            <w:tcW w:w="14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957" w:type="dxa"/>
            <w:gridSpan w:val="2"/>
            <w:tcBorders/>
            <w:vAlign w:val="center"/>
          </w:tcPr>
          <w:p>
            <w:pPr>
              <w:pStyle w:val="TableContents"/>
              <w:bidi w:val="0"/>
              <w:spacing w:before="0" w:after="283"/>
              <w:jc w:val="left"/>
              <w:rPr/>
            </w:pPr>
            <w:r>
              <w:rPr/>
              <w:t> </w:t>
            </w:r>
          </w:p>
        </w:tc>
        <w:tc>
          <w:tcPr>
            <w:tcW w:w="58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
        <w:gridCol w:w="146"/>
        <w:gridCol w:w="6251"/>
        <w:gridCol w:w="146"/>
        <w:gridCol w:w="612"/>
        <w:gridCol w:w="146"/>
        <w:gridCol w:w="796"/>
        <w:gridCol w:w="146"/>
        <w:gridCol w:w="595"/>
        <w:gridCol w:w="146"/>
        <w:gridCol w:w="619"/>
      </w:tblGrid>
      <w:tr>
        <w:trPr/>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602"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10.11*</w:t>
              </w:r>
            </w:hyperlink>
          </w:p>
        </w:tc>
        <w:tc>
          <w:tcPr>
            <w:tcW w:w="146" w:type="dxa"/>
            <w:tcBorders/>
            <w:vAlign w:val="center"/>
          </w:tcPr>
          <w:p>
            <w:pPr>
              <w:pStyle w:val="TableContents"/>
              <w:bidi w:val="0"/>
              <w:spacing w:before="0" w:after="283"/>
              <w:jc w:val="left"/>
              <w:rPr>
                <w:sz w:val="4"/>
                <w:szCs w:val="4"/>
              </w:rPr>
            </w:pPr>
            <w:r>
              <w:rPr>
                <w:sz w:val="4"/>
                <w:szCs w:val="4"/>
              </w:rPr>
            </w:r>
          </w:p>
        </w:tc>
        <w:tc>
          <w:tcPr>
            <w:tcW w:w="6251"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Nonqualified Stock Option Award Agreement pursuant to the 2017 Omnibus Incentive Plan.</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r>
      <w:tr>
        <w:trPr/>
        <w:tc>
          <w:tcPr>
            <w:tcW w:w="748" w:type="dxa"/>
            <w:gridSpan w:val="2"/>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10.12*</w:t>
              </w:r>
            </w:hyperlink>
          </w:p>
        </w:tc>
        <w:tc>
          <w:tcPr>
            <w:tcW w:w="146" w:type="dxa"/>
            <w:tcBorders/>
            <w:vAlign w:val="center"/>
          </w:tcPr>
          <w:p>
            <w:pPr>
              <w:pStyle w:val="TableContents"/>
              <w:bidi w:val="0"/>
              <w:spacing w:before="0" w:after="283"/>
              <w:jc w:val="left"/>
              <w:rPr>
                <w:sz w:val="4"/>
                <w:szCs w:val="4"/>
              </w:rPr>
            </w:pPr>
            <w:r>
              <w:rPr>
                <w:sz w:val="4"/>
                <w:szCs w:val="4"/>
              </w:rPr>
            </w:r>
          </w:p>
        </w:tc>
        <w:tc>
          <w:tcPr>
            <w:tcW w:w="6251"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Restricted Stock Award Agreement pursuant to the 2017 Omnibus Incentive Plan.</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r>
      <w:tr>
        <w:trPr/>
        <w:tc>
          <w:tcPr>
            <w:tcW w:w="748" w:type="dxa"/>
            <w:gridSpan w:val="2"/>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10.13</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Stock Purchase Agreement, dated February 27, 2018, by and among Addus Healthcare, Inc., Michael J. Merrell and Mary E. Merrell, individually, Michael J. Merrell and Mary E. Merrell, as Trustees of the Merrell Revocable Trust UTA dated June 3, 2012, and Michael J. Merrell and Mary E. Merrell, as Trustees of the Ambercare Corporation Employee Stock Ownership Plan Trust.</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10.14</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Amended and Restated Credit Agreement by and among Addus HealthCare, Inc., as borrower, the Company, the other Credit Parties party thereto, the Lenders and L/C Issuers party thereto, and Capital One, National Association, as administrative agent.</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10.15*</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Amended and Restated Employment and Non-Competition Agreement, dated November 5, 2018, by and between Addus HealthCare, Inc. and R. Dirk Allison.</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10.16*</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Second Amended and Restated Employment and Non-Competition Agreement, dated November 5, 2018, by and between Addus HealthCare, Inc. and Brian Poff.</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10.17*</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Second Amended and Restated Employment and Non-Competition Agreement, dated November 5, 2018, by and between Addus HealthCare, Inc. and Darby Anderson.</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10.18*</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Second Amended and Restated Employment and Non-Competition Agreement, dated November 5, 2018, by and between Addus HealthCare, Inc. and W. Bradley Bickham.</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ind w:left="0" w:right="0" w:firstLine="12"/>
              <w:jc w:val="left"/>
              <w:rPr/>
            </w:pPr>
            <w:r>
              <w:rPr/>
              <w:t> </w:t>
            </w:r>
          </w:p>
        </w:tc>
      </w:tr>
      <w:tr>
        <w:trPr/>
        <w:tc>
          <w:tcPr>
            <w:tcW w:w="602" w:type="dxa"/>
            <w:tcBorders/>
            <w:vAlign w:val="center"/>
          </w:tcPr>
          <w:p>
            <w:pPr>
              <w:pStyle w:val="TableContents"/>
              <w:pBdr/>
              <w:bidi w:val="0"/>
              <w:spacing w:before="0" w:after="283"/>
              <w:ind w:left="0" w:right="0" w:hanging="12"/>
              <w:jc w:val="left"/>
              <w:rPr/>
            </w:pPr>
            <w:hyperlink r:id="rId47">
              <w:r>
                <w:rPr>
                  <w:rStyle w:val="InternetLink"/>
                  <w:rFonts w:ascii="Times New Roman" w:hAnsi="Times New Roman"/>
                  <w:color w:val="0000FF"/>
                  <w:sz w:val="20"/>
                  <w:u w:val="single"/>
                </w:rPr>
                <w:t>10.19</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Credit Agreement, dated as of October 31, 2018, by and among Addus HealthCare, Inc., as borrower, the Company, the other Credit Parties party thereto, the Lenders and L/C Issuers party thereto, and Capital One, National Association, as administrative agent.</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11/8/2018</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10.20*</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Employment and Non-Competition Agreement, effective April 29, 2019, by and between Addus HealthCare, Inc. and Sean Gaffney.</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4/8/2019</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10.21*</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Employment and Non-Competition Agreement, effective November 7, 2019, by and between Addus HealthCare, Inc. and David Tucker.</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10.40</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10.22*</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Employment and Non-Competition Agreement, effective November 7, 2019, by and between Addus HealthCare, Inc. and Mike Wattenbarger.</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8/10/2020</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55">
              <w:r>
                <w:rPr>
                  <w:rStyle w:val="InternetLink"/>
                  <w:rFonts w:ascii="Times New Roman" w:hAnsi="Times New Roman"/>
                  <w:color w:val="0000FF"/>
                  <w:sz w:val="20"/>
                  <w:u w:val="single"/>
                </w:rPr>
                <w:t>10.23</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56">
              <w:r>
                <w:rPr>
                  <w:rStyle w:val="InternetLink"/>
                  <w:rFonts w:ascii="Times New Roman" w:hAnsi="Times New Roman"/>
                  <w:color w:val="0000FF"/>
                  <w:sz w:val="20"/>
                  <w:u w:val="single"/>
                </w:rPr>
                <w:t>Equity Purchase Agreement, dated August 25, 2019, by and among Addus Healthcare, Inc., Hospice Partners of America, LLC, New Capital Partners II – HS, Inc., Senior Care Services, LLC, Eastside Partners II, L.P., and New Capital Partners II, LLC.</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S-3ASR</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333-233600</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9/3/2019</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02" w:type="dxa"/>
            <w:tcBorders/>
            <w:vAlign w:val="center"/>
          </w:tcPr>
          <w:p>
            <w:pPr>
              <w:pStyle w:val="TableContents"/>
              <w:bidi w:val="0"/>
              <w:spacing w:before="0" w:after="283"/>
              <w:jc w:val="left"/>
              <w:rPr/>
            </w:pPr>
            <w:hyperlink r:id="rId57">
              <w:r>
                <w:rPr>
                  <w:rStyle w:val="InternetLink"/>
                  <w:rFonts w:ascii="Times New Roman" w:hAnsi="Times New Roman"/>
                  <w:color w:val="0000FF"/>
                  <w:sz w:val="20"/>
                  <w:u w:val="single"/>
                </w:rPr>
                <w:t>10.24</w:t>
              </w:r>
            </w:hyperlink>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First Amendment to Amended and Restated Credit Agreement, dated as of September 12, 2019, by and among Addus HealthCare, Inc., as the Borrower, Addus HomeCare Corporation, other Credit Parties party thereto, Capital One, National Association, as administrative agent and as a Lender, and the other Lenders party thereto.</w:t>
              </w:r>
            </w:hyperlink>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59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9/13/2019</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
        <w:gridCol w:w="146"/>
        <w:gridCol w:w="6531"/>
        <w:gridCol w:w="146"/>
        <w:gridCol w:w="400"/>
        <w:gridCol w:w="146"/>
        <w:gridCol w:w="698"/>
        <w:gridCol w:w="146"/>
        <w:gridCol w:w="604"/>
        <w:gridCol w:w="146"/>
        <w:gridCol w:w="619"/>
      </w:tblGrid>
      <w:tr>
        <w:trPr/>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283"/>
              <w:jc w:val="left"/>
              <w:rPr/>
            </w:pPr>
            <w:hyperlink r:id="rId59">
              <w:r>
                <w:rPr>
                  <w:rStyle w:val="InternetLink"/>
                  <w:rFonts w:ascii="Times New Roman" w:hAnsi="Times New Roman"/>
                  <w:color w:val="0000FF"/>
                  <w:sz w:val="20"/>
                  <w:u w:val="single"/>
                </w:rPr>
                <w:t>10.25</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60">
              <w:r>
                <w:rPr>
                  <w:rStyle w:val="InternetLink"/>
                  <w:rFonts w:ascii="Times New Roman" w:hAnsi="Times New Roman"/>
                  <w:color w:val="0000FF"/>
                  <w:sz w:val="20"/>
                  <w:u w:val="single"/>
                </w:rPr>
                <w:t>Unit Purchase Agreement, dated November 10, 2020, by and among Addus Healthcare, Inc., Queen City Hospice, LLC, Miracle City Hospice, LLC, and QCH Holdings LLC.</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3/1/2021</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10.45</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61">
              <w:r>
                <w:rPr>
                  <w:rStyle w:val="InternetLink"/>
                  <w:rFonts w:ascii="Times New Roman" w:hAnsi="Times New Roman"/>
                  <w:color w:val="0000FF"/>
                  <w:sz w:val="20"/>
                  <w:u w:val="single"/>
                </w:rPr>
                <w:t>10.26</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62">
              <w:r>
                <w:rPr>
                  <w:rStyle w:val="InternetLink"/>
                  <w:rFonts w:ascii="Times New Roman" w:hAnsi="Times New Roman"/>
                  <w:color w:val="0000FF"/>
                  <w:sz w:val="20"/>
                  <w:u w:val="single"/>
                </w:rPr>
                <w:t>Amendment to Unit Purchase Agreement, dated December 3, 2020, by and among Addus Healthcare, Inc., Queen City Hospice, LLC, Miracle City Hospice, LLC, and QCH Holdings LLC.</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3/1/2021</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10.46</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623" w:type="dxa"/>
            <w:tcBorders/>
            <w:vAlign w:val="center"/>
          </w:tcPr>
          <w:p>
            <w:pPr>
              <w:pStyle w:val="TableContents"/>
              <w:bidi w:val="0"/>
              <w:spacing w:before="0" w:after="283"/>
              <w:jc w:val="left"/>
              <w:rPr/>
            </w:pPr>
            <w:hyperlink r:id="rId63">
              <w:r>
                <w:rPr>
                  <w:rStyle w:val="InternetLink"/>
                  <w:rFonts w:ascii="Times New Roman" w:hAnsi="Times New Roman"/>
                  <w:color w:val="0000FF"/>
                  <w:sz w:val="20"/>
                  <w:u w:val="single"/>
                </w:rPr>
                <w:t>10.27*</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64">
              <w:r>
                <w:rPr>
                  <w:rStyle w:val="InternetLink"/>
                  <w:rFonts w:ascii="Times New Roman" w:hAnsi="Times New Roman"/>
                  <w:color w:val="0000FF"/>
                  <w:sz w:val="20"/>
                  <w:u w:val="single"/>
                </w:rPr>
                <w:t>Employment and Non-Competition Agreement, effective June 14, 2021, by and between Addus HealthCare, Inc. and Roberton James Stevenson.</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8/4/2021</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623" w:type="dxa"/>
            <w:tcBorders/>
            <w:vAlign w:val="center"/>
          </w:tcPr>
          <w:p>
            <w:pPr>
              <w:pStyle w:val="TableContents"/>
              <w:bidi w:val="0"/>
              <w:spacing w:before="0" w:after="283"/>
              <w:jc w:val="left"/>
              <w:rPr/>
            </w:pPr>
            <w:hyperlink r:id="rId65">
              <w:r>
                <w:rPr>
                  <w:rStyle w:val="InternetLink"/>
                  <w:rFonts w:ascii="Times New Roman" w:hAnsi="Times New Roman"/>
                  <w:color w:val="0000FF"/>
                  <w:sz w:val="20"/>
                  <w:u w:val="single"/>
                </w:rPr>
                <w:t>10.28**</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Second Amendment to Amended and Restated Credit Agreement, dated as of July 30, 2021,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8/4/2021</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67">
              <w:r>
                <w:rPr>
                  <w:rStyle w:val="InternetLink"/>
                  <w:rFonts w:ascii="Times New Roman" w:hAnsi="Times New Roman"/>
                  <w:color w:val="0000FF"/>
                  <w:sz w:val="20"/>
                  <w:u w:val="single"/>
                </w:rPr>
                <w:t>10.29*</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r:id="rId68">
              <w:r>
                <w:rPr>
                  <w:rStyle w:val="InternetLink"/>
                  <w:rFonts w:ascii="Times New Roman" w:hAnsi="Times New Roman"/>
                  <w:color w:val="0000FF"/>
                  <w:sz w:val="20"/>
                  <w:u w:val="single"/>
                </w:rPr>
                <w:t>2022 Form of Indemnification Agreement.</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2/25/2022</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10.50</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69">
              <w:r>
                <w:rPr>
                  <w:rStyle w:val="InternetLink"/>
                  <w:rFonts w:ascii="Times New Roman" w:hAnsi="Times New Roman"/>
                  <w:color w:val="0000FF"/>
                  <w:sz w:val="20"/>
                  <w:u w:val="single"/>
                </w:rPr>
                <w:t>10.30*</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70">
              <w:r>
                <w:rPr>
                  <w:rStyle w:val="InternetLink"/>
                  <w:rFonts w:ascii="Times New Roman" w:hAnsi="Times New Roman"/>
                  <w:color w:val="0000FF"/>
                  <w:sz w:val="20"/>
                  <w:u w:val="single"/>
                </w:rPr>
                <w:t>Amended and Restated Employment and Non-Competition Agreement, effective March 1, 2022, by and between Addus HealthCare, Inc. and Monica Raines</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5/23/2022</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71">
              <w:r>
                <w:rPr>
                  <w:rStyle w:val="InternetLink"/>
                  <w:rFonts w:ascii="Times New Roman" w:hAnsi="Times New Roman"/>
                  <w:color w:val="0000FF"/>
                  <w:sz w:val="20"/>
                  <w:u w:val="single"/>
                </w:rPr>
                <w:t>10.31*</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72">
              <w:r>
                <w:rPr>
                  <w:rStyle w:val="InternetLink"/>
                  <w:rFonts w:ascii="Times New Roman" w:hAnsi="Times New Roman"/>
                  <w:color w:val="0000FF"/>
                  <w:sz w:val="20"/>
                  <w:u w:val="single"/>
                </w:rPr>
                <w:t>Employment and Non-Competition Agreement, effective April 20, 2022, by and between Addus HealthCare, Inc. and Cliff Blessing.</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8/2/2022</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73">
              <w:r>
                <w:rPr>
                  <w:rStyle w:val="InternetLink"/>
                  <w:rFonts w:ascii="Times New Roman" w:hAnsi="Times New Roman"/>
                  <w:color w:val="0000FF"/>
                  <w:sz w:val="20"/>
                  <w:u w:val="single"/>
                </w:rPr>
                <w:t>10.32</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74">
              <w:r>
                <w:rPr>
                  <w:rStyle w:val="InternetLink"/>
                  <w:rFonts w:ascii="Times New Roman" w:hAnsi="Times New Roman"/>
                  <w:color w:val="0000FF"/>
                  <w:sz w:val="20"/>
                  <w:u w:val="single"/>
                </w:rPr>
                <w:t>Third Amendment to Amended and Restated Credit Agreement, dated as of April 26, 2023, by and among Addus HealthCare, Inc., as the Borrower, Addus HomeCare Corporation, the other Credit Parties party thereto, Capital One, National Association, as administrative agent and as a Lender, and the other Lenders party thereto.</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5/2/2023</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75">
              <w:r>
                <w:rPr>
                  <w:rStyle w:val="InternetLink"/>
                  <w:rFonts w:ascii="Times New Roman" w:hAnsi="Times New Roman"/>
                  <w:color w:val="0000FF"/>
                  <w:sz w:val="20"/>
                  <w:u w:val="single"/>
                </w:rPr>
                <w:t>10.33*</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76">
              <w:r>
                <w:rPr>
                  <w:rStyle w:val="InternetLink"/>
                  <w:rFonts w:ascii="Times New Roman" w:hAnsi="Times New Roman"/>
                  <w:color w:val="0000FF"/>
                  <w:sz w:val="20"/>
                  <w:u w:val="single"/>
                </w:rPr>
                <w:t>Addus HomeCare Corporation Amended and Restated 2017 Omnibus Incentive Plan.</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r:id="rId77">
              <w:r>
                <w:rPr>
                  <w:rStyle w:val="InternetLink"/>
                  <w:rFonts w:ascii="Times New Roman" w:hAnsi="Times New Roman"/>
                  <w:color w:val="0000FF"/>
                  <w:sz w:val="20"/>
                  <w:u w:val="single"/>
                </w:rPr>
                <w:t>10.34**</w:t>
              </w:r>
            </w:hyperlink>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hyperlink r:id="rId78">
              <w:r>
                <w:rPr>
                  <w:rStyle w:val="InternetLink"/>
                  <w:rFonts w:ascii="Times New Roman" w:hAnsi="Times New Roman"/>
                  <w:color w:val="0000FF"/>
                  <w:sz w:val="20"/>
                  <w:u w:val="single"/>
                </w:rPr>
                <w:t>Membership Interests Purchase Agreement, dated June 28, 2023, by and among Addus HealthCare, Inc., HHH Newco Holdings, LLC, American Health Companies, LLC, American Home Care, LLC, Homecare, LLC, Tennessee Valley Home Care, LLC, and Tri-County Home Health and Hospice, LLC.</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001-34504</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6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21_1.htm">
              <w:r>
                <w:rPr>
                  <w:rStyle w:val="InternetLink"/>
                  <w:rFonts w:ascii="Times New Roman" w:hAnsi="Times New Roman"/>
                  <w:color w:val="0000FF"/>
                  <w:sz w:val="20"/>
                  <w:u w:val="single"/>
                </w:rPr>
                <w:t>21.1</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21_1.htm">
              <w:r>
                <w:rPr>
                  <w:rStyle w:val="InternetLink"/>
                  <w:rFonts w:ascii="Times New Roman" w:hAnsi="Times New Roman"/>
                  <w:color w:val="0000FF"/>
                  <w:sz w:val="20"/>
                  <w:u w:val="single"/>
                </w:rPr>
                <w:t>Subsidiaries of Addus HomeCare Corporation.</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23_1.htm">
              <w:r>
                <w:rPr>
                  <w:rStyle w:val="InternetLink"/>
                  <w:rFonts w:ascii="Times New Roman" w:hAnsi="Times New Roman"/>
                  <w:color w:val="0000FF"/>
                  <w:sz w:val="20"/>
                  <w:u w:val="single"/>
                </w:rPr>
                <w:t>23.1</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31_1.htm">
              <w:r>
                <w:rPr>
                  <w:rStyle w:val="InternetLink"/>
                  <w:rFonts w:ascii="Times New Roman" w:hAnsi="Times New Roman"/>
                  <w:color w:val="0000FF"/>
                  <w:sz w:val="20"/>
                  <w:u w:val="single"/>
                </w:rPr>
                <w:t>31.1</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31_1.htm">
              <w:r>
                <w:rPr>
                  <w:rStyle w:val="InternetLink"/>
                  <w:rFonts w:ascii="Times New Roman" w:hAnsi="Times New Roman"/>
                  <w:color w:val="0000FF"/>
                  <w:sz w:val="20"/>
                  <w:u w:val="single"/>
                </w:rPr>
                <w:t>Certification of Chief Executive Officer Pursuant to Rule 13-14(a) of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31_2.htm">
              <w:r>
                <w:rPr>
                  <w:rStyle w:val="InternetLink"/>
                  <w:rFonts w:ascii="Times New Roman" w:hAnsi="Times New Roman"/>
                  <w:color w:val="0000FF"/>
                  <w:sz w:val="20"/>
                  <w:u w:val="single"/>
                </w:rPr>
                <w:t>31.2</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31_2.htm">
              <w:r>
                <w:rPr>
                  <w:rStyle w:val="InternetLink"/>
                  <w:rFonts w:ascii="Times New Roman" w:hAnsi="Times New Roman"/>
                  <w:color w:val="0000FF"/>
                  <w:sz w:val="20"/>
                  <w:u w:val="single"/>
                </w:rPr>
                <w:t>Certification of Chief Financial Officer Pursuant to Rule 13-14(a) of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32_1.htm">
              <w:r>
                <w:rPr>
                  <w:rStyle w:val="InternetLink"/>
                  <w:rFonts w:ascii="Times New Roman" w:hAnsi="Times New Roman"/>
                  <w:color w:val="0000FF"/>
                  <w:sz w:val="20"/>
                  <w:u w:val="single"/>
                </w:rPr>
                <w:t>32.1</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hyperlink w:anchor="adus-ex32_2.htm">
              <w:r>
                <w:rPr>
                  <w:rStyle w:val="InternetLink"/>
                  <w:rFonts w:ascii="Times New Roman" w:hAnsi="Times New Roman"/>
                  <w:color w:val="0000FF"/>
                  <w:sz w:val="20"/>
                  <w:u w:val="single"/>
                </w:rPr>
                <w:t>32.2</w:t>
              </w:r>
            </w:hyperlink>
          </w:p>
        </w:tc>
        <w:tc>
          <w:tcPr>
            <w:tcW w:w="146" w:type="dxa"/>
            <w:tcBorders/>
            <w:vAlign w:val="center"/>
          </w:tcPr>
          <w:p>
            <w:pPr>
              <w:pStyle w:val="TableContents"/>
              <w:bidi w:val="0"/>
              <w:spacing w:before="0" w:after="283"/>
              <w:jc w:val="left"/>
              <w:rPr>
                <w:sz w:val="4"/>
                <w:szCs w:val="4"/>
              </w:rPr>
            </w:pPr>
            <w:r>
              <w:rPr>
                <w:sz w:val="4"/>
                <w:szCs w:val="4"/>
              </w:rPr>
            </w:r>
          </w:p>
        </w:tc>
        <w:tc>
          <w:tcPr>
            <w:tcW w:w="6531" w:type="dxa"/>
            <w:tcBorders/>
            <w:vAlign w:val="center"/>
          </w:tcPr>
          <w:p>
            <w:pPr>
              <w:pStyle w:val="TableContents"/>
              <w:bidi w:val="0"/>
              <w:spacing w:before="0" w:after="283"/>
              <w:jc w:val="left"/>
              <w:rPr/>
            </w:pPr>
            <w:hyperlink w:anchor="adu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9" w:type="dxa"/>
            <w:tcBorders/>
            <w:vAlign w:val="center"/>
          </w:tcPr>
          <w:p>
            <w:pPr>
              <w:pStyle w:val="TableContents"/>
              <w:bidi w:val="0"/>
              <w:spacing w:before="0" w:after="283"/>
              <w:jc w:val="center"/>
              <w:rPr/>
            </w:pPr>
            <w:r>
              <w:rPr/>
              <w:t> </w:t>
            </w:r>
          </w:p>
        </w:tc>
      </w:tr>
      <w:tr>
        <w:trPr/>
        <w:tc>
          <w:tcPr>
            <w:tcW w:w="769" w:type="dxa"/>
            <w:gridSpan w:val="2"/>
            <w:tcBorders/>
            <w:vAlign w:val="center"/>
          </w:tcPr>
          <w:p>
            <w:pPr>
              <w:pStyle w:val="TableContents"/>
              <w:bidi w:val="0"/>
              <w:spacing w:before="0" w:after="283"/>
              <w:jc w:val="left"/>
              <w:rPr/>
            </w:pPr>
            <w:hyperlink w:anchor="adus-ex97_1.htm">
              <w:r>
                <w:rPr>
                  <w:rStyle w:val="InternetLink"/>
                  <w:rFonts w:ascii="Times New Roman" w:hAnsi="Times New Roman"/>
                  <w:color w:val="0000FF"/>
                  <w:sz w:val="20"/>
                  <w:u w:val="single"/>
                </w:rPr>
                <w:t>97.1***</w:t>
              </w:r>
            </w:hyperlink>
          </w:p>
        </w:tc>
        <w:tc>
          <w:tcPr>
            <w:tcW w:w="6531" w:type="dxa"/>
            <w:tcBorders/>
            <w:vAlign w:val="center"/>
          </w:tcPr>
          <w:p>
            <w:pPr>
              <w:pStyle w:val="TableContents"/>
              <w:bidi w:val="0"/>
              <w:spacing w:before="0" w:after="283"/>
              <w:jc w:val="left"/>
              <w:rPr/>
            </w:pPr>
            <w:hyperlink w:anchor="adus-ex97_1.htm">
              <w:r>
                <w:rPr>
                  <w:rStyle w:val="InternetLink"/>
                  <w:rFonts w:ascii="Times New Roman" w:hAnsi="Times New Roman"/>
                  <w:color w:val="0000FF"/>
                  <w:sz w:val="20"/>
                  <w:u w:val="single"/>
                </w:rPr>
                <w:t>Addus Homecare Corporation Compensation Recoupment Policy</w:t>
              </w:r>
            </w:hyperlink>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r>
        <w:trPr/>
        <w:tc>
          <w:tcPr>
            <w:tcW w:w="769" w:type="dxa"/>
            <w:gridSpan w:val="2"/>
            <w:tcBorders/>
            <w:vAlign w:val="center"/>
          </w:tcPr>
          <w:p>
            <w:pPr>
              <w:pStyle w:val="TableContents"/>
              <w:bidi w:val="0"/>
              <w:spacing w:before="0" w:after="283"/>
              <w:jc w:val="left"/>
              <w:rPr/>
            </w:pPr>
            <w:r>
              <w:rPr/>
              <w:t> </w:t>
            </w:r>
          </w:p>
        </w:tc>
        <w:tc>
          <w:tcPr>
            <w:tcW w:w="6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
        <w:gridCol w:w="146"/>
        <w:gridCol w:w="8141"/>
        <w:gridCol w:w="146"/>
        <w:gridCol w:w="146"/>
        <w:gridCol w:w="146"/>
        <w:gridCol w:w="146"/>
        <w:gridCol w:w="146"/>
        <w:gridCol w:w="146"/>
        <w:gridCol w:w="146"/>
        <w:gridCol w:w="192"/>
      </w:tblGrid>
      <w:tr>
        <w:trPr/>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50" w:type="dxa"/>
            <w:gridSpan w:val="2"/>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Calculation Linkbase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Label Linkbase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Presentation Linkbase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Schedules and exhibits have been omitted pursuant to Item 601 of Regulation S-K. The Company hereby undertakes to furnish supplementally a copy of any of the omitted schedules and exhibits upon request by the Securities and Exchange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360" w:after="283"/>
        <w:jc w:val="left"/>
        <w:rPr>
          <w:rFonts w:ascii="Times New Roman" w:hAnsi="Times New Roman"/>
          <w:b/>
          <w:color w:val="000000"/>
          <w:sz w:val="20"/>
        </w:rPr>
      </w:pPr>
      <w:bookmarkStart w:id="33" w:name="item_16_form_10k_summary"/>
      <w:bookmarkEnd w:id="33"/>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103" w:type="dxa"/>
        <w:jc w:val="left"/>
        <w:tblInd w:w="0" w:type="dxa"/>
        <w:tblLayout w:type="fixed"/>
        <w:tblCellMar>
          <w:top w:w="28" w:type="dxa"/>
          <w:left w:w="28" w:type="dxa"/>
          <w:bottom w:w="28" w:type="dxa"/>
          <w:right w:w="28" w:type="dxa"/>
        </w:tblCellMar>
      </w:tblPr>
      <w:tblGrid>
        <w:gridCol w:w="421"/>
        <w:gridCol w:w="146"/>
        <w:gridCol w:w="253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Addus HomeCare Corporation</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R. DIRK ALLISON </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R. Dirk Allison,</w:t>
            </w:r>
          </w:p>
          <w:p>
            <w:pPr>
              <w:pStyle w:val="TableContents"/>
              <w:bidi w:val="0"/>
              <w:jc w:val="center"/>
              <w:rPr>
                <w:rFonts w:ascii="Times New Roman" w:hAnsi="Times New Roman"/>
                <w:sz w:val="20"/>
              </w:rPr>
            </w:pPr>
            <w:r>
              <w:rPr>
                <w:rFonts w:ascii="Times New Roman" w:hAnsi="Times New Roman"/>
                <w:b/>
                <w:color w:val="000000"/>
                <w:sz w:val="20"/>
              </w:rPr>
              <w:t>Chief Executive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of the Board</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4"/>
        <w:gridCol w:w="146"/>
        <w:gridCol w:w="5524"/>
        <w:gridCol w:w="146"/>
        <w:gridCol w:w="1485"/>
      </w:tblGrid>
      <w:tr>
        <w:trPr/>
        <w:tc>
          <w:tcPr>
            <w:tcW w:w="2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2904"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vAlign w:val="center"/>
          </w:tcPr>
          <w:p>
            <w:pPr>
              <w:pStyle w:val="TableContents"/>
              <w:bidi w:val="0"/>
              <w:spacing w:before="0" w:after="283"/>
              <w:jc w:val="center"/>
              <w:rPr/>
            </w:pPr>
            <w:r>
              <w:rPr/>
              <w:t> </w:t>
            </w:r>
          </w:p>
        </w:tc>
        <w:tc>
          <w:tcPr>
            <w:tcW w:w="5524"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90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2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R. DIRK ALLISON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 (Principal Executive Officer)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BRIAN POFF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HEATHER DIXON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Heather Dixon</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4"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MICHAEL EARLEY </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Michael Earley</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MARK L. FIRST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L. First</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left"/>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DARIN J. GORDON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Darin J. Gordon</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ESTEBAN LÓPEZ, M.D.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Esteban López, M.D.</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color w:val="000000"/>
                <w:sz w:val="20"/>
              </w:rPr>
            </w:pPr>
            <w:r>
              <w:rPr>
                <w:rFonts w:ascii="Times New Roman" w:hAnsi="Times New Roman"/>
                <w:color w:val="000000"/>
                <w:sz w:val="20"/>
              </w:rPr>
              <w:t xml:space="preserve">/s/ VERONICA HILL-MILBOURNE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Veronica Hill-Milbourne</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color w:val="000000"/>
                <w:sz w:val="20"/>
              </w:rPr>
            </w:pPr>
            <w:r>
              <w:rPr>
                <w:rFonts w:ascii="Times New Roman" w:hAnsi="Times New Roman"/>
                <w:color w:val="000000"/>
                <w:sz w:val="20"/>
              </w:rPr>
              <w:t xml:space="preserve">/s/ JEAN RUSH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904"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Jean Rush</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bidi w:val="0"/>
              <w:spacing w:before="0" w:after="283"/>
              <w:ind w:left="0" w:right="16" w:hanging="0"/>
              <w:jc w:val="center"/>
              <w:rPr/>
            </w:pPr>
            <w:r>
              <w:rPr/>
              <w:t> </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pPr>
            <w:r>
              <w:rPr/>
              <w:t> </w:t>
            </w:r>
          </w:p>
        </w:tc>
      </w:tr>
      <w:tr>
        <w:trPr/>
        <w:tc>
          <w:tcPr>
            <w:tcW w:w="2904" w:type="dxa"/>
            <w:tcBorders/>
            <w:vAlign w:val="center"/>
          </w:tcPr>
          <w:p>
            <w:pPr>
              <w:pStyle w:val="TableContents"/>
              <w:pBdr>
                <w:bottom w:val="single" w:sz="5" w:space="1" w:color="000000"/>
              </w:pBdr>
              <w:bidi w:val="0"/>
              <w:ind w:left="0" w:right="16" w:hanging="0"/>
              <w:jc w:val="center"/>
              <w:rPr>
                <w:rFonts w:ascii="Times New Roman" w:hAnsi="Times New Roman"/>
                <w:color w:val="000000"/>
                <w:sz w:val="20"/>
              </w:rPr>
            </w:pPr>
            <w:r>
              <w:rPr>
                <w:rFonts w:ascii="Times New Roman" w:hAnsi="Times New Roman"/>
                <w:color w:val="000000"/>
                <w:sz w:val="20"/>
              </w:rPr>
              <w:t xml:space="preserve">/s/ SUSAN T. WEAVER, M.D., FACP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Susan T. Weaver, M.D., FACP</w:t>
            </w:r>
          </w:p>
        </w:tc>
        <w:tc>
          <w:tcPr>
            <w:tcW w:w="146" w:type="dxa"/>
            <w:tcBorders/>
            <w:vAlign w:val="center"/>
          </w:tcPr>
          <w:p>
            <w:pPr>
              <w:pStyle w:val="TableContents"/>
              <w:bidi w:val="0"/>
              <w:spacing w:before="0" w:after="283"/>
              <w:jc w:val="left"/>
              <w:rPr/>
            </w:pPr>
            <w:r>
              <w:rPr/>
              <w:t> </w:t>
            </w:r>
          </w:p>
        </w:tc>
        <w:tc>
          <w:tcPr>
            <w:tcW w:w="55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8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INFORMATION</w:t>
      </w:r>
    </w:p>
    <w:p>
      <w:pPr>
        <w:pStyle w:val="TextBody"/>
        <w:bidi w:val="0"/>
        <w:jc w:val="left"/>
        <w:rPr/>
      </w:pPr>
      <w:r>
        <w:rPr/>
        <w:t> </w:t>
      </w:r>
    </w:p>
    <w:tbl>
      <w:tblPr>
        <w:tblW w:w="5587" w:type="dxa"/>
        <w:jc w:val="left"/>
        <w:tblInd w:w="0" w:type="dxa"/>
        <w:tblLayout w:type="fixed"/>
        <w:tblCellMar>
          <w:top w:w="28" w:type="dxa"/>
          <w:left w:w="28" w:type="dxa"/>
          <w:bottom w:w="28" w:type="dxa"/>
          <w:right w:w="28" w:type="dxa"/>
        </w:tblCellMar>
      </w:tblPr>
      <w:tblGrid>
        <w:gridCol w:w="4877"/>
        <w:gridCol w:w="109"/>
        <w:gridCol w:w="601"/>
      </w:tblGrid>
      <w:tr>
        <w:trPr/>
        <w:tc>
          <w:tcPr>
            <w:tcW w:w="4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283"/>
              <w:ind w:left="0" w:right="16" w:hanging="0"/>
              <w:jc w:val="left"/>
              <w:rPr/>
            </w:pPr>
            <w:r>
              <w:rPr/>
              <w:t> </w:t>
            </w:r>
          </w:p>
        </w:tc>
        <w:tc>
          <w:tcPr>
            <w:tcW w:w="710" w:type="dxa"/>
            <w:gridSpan w:val="2"/>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5"/>
              </w:rPr>
            </w:pPr>
            <w:r>
              <w:rPr>
                <w:rFonts w:ascii="Times New Roman" w:hAnsi="Times New Roman"/>
                <w:b/>
                <w:color w:val="000000"/>
                <w:sz w:val="15"/>
              </w:rPr>
              <w:t>Page</w:t>
            </w:r>
          </w:p>
        </w:tc>
      </w:tr>
      <w:tr>
        <w:trPr/>
        <w:tc>
          <w:tcPr>
            <w:tcW w:w="4877" w:type="dxa"/>
            <w:tcBorders/>
            <w:vAlign w:val="center"/>
          </w:tcPr>
          <w:p>
            <w:pPr>
              <w:pStyle w:val="TableContents"/>
              <w:pBdr/>
              <w:bidi w:val="0"/>
              <w:spacing w:before="0" w:after="283"/>
              <w:ind w:left="0" w:right="16" w:hanging="18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F-2</w:t>
            </w:r>
          </w:p>
        </w:tc>
      </w:tr>
      <w:tr>
        <w:trPr/>
        <w:tc>
          <w:tcPr>
            <w:tcW w:w="4877" w:type="dxa"/>
            <w:tcBorders/>
            <w:vAlign w:val="center"/>
          </w:tcPr>
          <w:p>
            <w:pPr>
              <w:pStyle w:val="TableContents"/>
              <w:pBdr/>
              <w:bidi w:val="0"/>
              <w:spacing w:before="0" w:after="283"/>
              <w:ind w:left="0" w:right="16" w:hanging="180"/>
              <w:jc w:val="left"/>
              <w:rPr/>
            </w:pPr>
            <w:hyperlink w:anchor="consolidated_balance_sheets">
              <w:r>
                <w:rPr>
                  <w:rStyle w:val="InternetLink"/>
                  <w:rFonts w:ascii="Times New Roman" w:hAnsi="Times New Roman"/>
                  <w:color w:val="0000FF"/>
                  <w:sz w:val="20"/>
                  <w:u w:val="single"/>
                </w:rPr>
                <w:t>Consolidated Balance Sheets</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F-5</w:t>
            </w:r>
          </w:p>
        </w:tc>
      </w:tr>
      <w:tr>
        <w:trPr/>
        <w:tc>
          <w:tcPr>
            <w:tcW w:w="4877" w:type="dxa"/>
            <w:tcBorders/>
            <w:vAlign w:val="center"/>
          </w:tcPr>
          <w:p>
            <w:pPr>
              <w:pStyle w:val="TableContents"/>
              <w:pBdr/>
              <w:bidi w:val="0"/>
              <w:spacing w:before="0" w:after="283"/>
              <w:ind w:left="0" w:right="16" w:hanging="180"/>
              <w:jc w:val="left"/>
              <w:rPr/>
            </w:pPr>
            <w:hyperlink w:anchor="consolidated_statements_income">
              <w:r>
                <w:rPr>
                  <w:rStyle w:val="InternetLink"/>
                  <w:rFonts w:ascii="Times New Roman" w:hAnsi="Times New Roman"/>
                  <w:color w:val="0000FF"/>
                  <w:sz w:val="20"/>
                  <w:u w:val="single"/>
                </w:rPr>
                <w:t>Consolidated Statements of Income</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F-6</w:t>
            </w:r>
          </w:p>
        </w:tc>
      </w:tr>
      <w:tr>
        <w:trPr/>
        <w:tc>
          <w:tcPr>
            <w:tcW w:w="4877" w:type="dxa"/>
            <w:tcBorders/>
            <w:vAlign w:val="center"/>
          </w:tcPr>
          <w:p>
            <w:pPr>
              <w:pStyle w:val="TableContents"/>
              <w:pBdr/>
              <w:bidi w:val="0"/>
              <w:spacing w:before="0" w:after="283"/>
              <w:ind w:left="0" w:right="16" w:hanging="180"/>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F-7</w:t>
            </w:r>
          </w:p>
        </w:tc>
      </w:tr>
      <w:tr>
        <w:trPr/>
        <w:tc>
          <w:tcPr>
            <w:tcW w:w="4877" w:type="dxa"/>
            <w:tcBorders/>
            <w:vAlign w:val="center"/>
          </w:tcPr>
          <w:p>
            <w:pPr>
              <w:pStyle w:val="TableContents"/>
              <w:pBdr/>
              <w:bidi w:val="0"/>
              <w:spacing w:before="0" w:after="283"/>
              <w:ind w:left="0" w:right="16" w:hanging="18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F-8</w:t>
            </w:r>
          </w:p>
        </w:tc>
      </w:tr>
      <w:tr>
        <w:trPr/>
        <w:tc>
          <w:tcPr>
            <w:tcW w:w="4877" w:type="dxa"/>
            <w:tcBorders/>
            <w:vAlign w:val="center"/>
          </w:tcPr>
          <w:p>
            <w:pPr>
              <w:pStyle w:val="TableContents"/>
              <w:pBdr/>
              <w:bidi w:val="0"/>
              <w:spacing w:before="0" w:after="283"/>
              <w:ind w:left="0" w:right="16" w:hanging="18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60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schedules for which provision is made in the applicable accounting regulation of the Securities and Exchange Commission are not required under the related instructions or are inapplicable and therefore have been omitted.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4" w:name="report_of_independent_registered"/>
      <w:bookmarkEnd w:id="34"/>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Addus HomeCare Corporation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accompanying consolidated balance sheets of Addus HomeCare Corporation and its subsidiaries (the “Company”) as of December 31, 2023 and 2022, and the related consolidated statements of income,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Management’s Annual Report on Internal Control Over Financial Reporting, management has excluded Coastal Nursecare of Florida, Inc. (“CareStaff”) and American Home Care, LLC, a Tennessee limited liability company (“AHC”), and its subsidiaries, Homecare, LLC, a Tennessee limited liability company (“Homecare”), Tennessee Valley Home Care, LLC (d/b/a Tennessee Quality Care – Home Health), a Tennessee limited liability company (“TQC – Home Health”), and Tri-County Home Health and Hospice, LLC (d/b/a Tennessee Quality Care - Hospice), a Tennessee limited liability company (“TQC – Hospice”, and collectively with AHC, Homecare, and TQC – Home Health “Tennessee Quality Care”), from its assessment of internal control over financial reporting as of December 31, 2023, because they were acquired by the Company in purchase business combinations during 2023. We have also excluded Carestaff and Tennessee Quality Care from our audit of internal control over financial reporting. Carestaff and Tennessee Quality Care are wholly-owned subsidiaries whose total revenues and total operating income excluded from management’s assessment and our audit of internal control over financial reporting represent approximately 0.2% and 1.5% of total revenues, respectively, and approximately 0.4% and 3.3% of total operating income, respectively, of the related consolidated financial statement amounts for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of Accounts Receivable, Net of Allowances for Implicit Price Concessions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described in Note 1 to the consolidated financial statements, net service revenue is recognized at the amount that reflects the consideration the Company expects to receive in exchange for providing services directly to consumers. Amounts collected may be less than amounts billed due to implicit price concessions, resulting from client eligibility issues, insufficient or incomplete documentation, services at levels other than authorized, pricing differences and other reasons unrelated to credit risk.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The evaluation of these historical and other factors involves complex, subjective judgments. Accounts receivable, net of allowances for implicit price concessions (before the allowance for credit losses) were $117.8 million as of December 31, 2023. </w:t>
      </w:r>
    </w:p>
    <w:p>
      <w:pPr>
        <w:pStyle w:val="TextBody"/>
        <w:bidi w:val="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valuation of accounts receivable, net of allowances for implicit price concessions is a critical audit matter are (i) the significant judgment by management when developing the estimate of accounts receivable, net of allowances for implicit price concessions and (ii) a high degree of auditor judgment, subjectivity, and effort in performing procedures and evaluating audit evidence related to the estimate.</w:t>
      </w:r>
    </w:p>
    <w:p>
      <w:pPr>
        <w:pStyle w:val="TextBody"/>
        <w:bidi w:val="0"/>
        <w:jc w:val="left"/>
        <w:rPr>
          <w:rFonts w:ascii="Times New Roman" w:hAnsi="Times New Roman"/>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w:t>
      </w:r>
      <w:r>
        <w:rPr>
          <w:rFonts w:ascii="Times New Roman" w:hAnsi="Times New Roman"/>
          <w:color w:val="FF0000"/>
          <w:sz w:val="20"/>
        </w:rPr>
        <w:t xml:space="preserve"> </w:t>
      </w:r>
      <w:r>
        <w:rPr>
          <w:rFonts w:ascii="Times New Roman" w:hAnsi="Times New Roman"/>
          <w:color w:val="000000"/>
          <w:sz w:val="20"/>
        </w:rPr>
        <w:t>These procedures included testing the effectiveness of controls relating to management’s estimate of accounts receivable, net of implicit price concessions, including controls over the allowance for implicit price concessions. These procedures also</w:t>
      </w:r>
      <w:r>
        <w:rPr>
          <w:rFonts w:ascii="Times New Roman" w:hAnsi="Times New Roman"/>
          <w:color w:val="FF0000"/>
          <w:sz w:val="20"/>
        </w:rPr>
        <w:t xml:space="preserve"> </w:t>
      </w:r>
      <w:r>
        <w:rPr>
          <w:rFonts w:ascii="Times New Roman" w:hAnsi="Times New Roman"/>
          <w:color w:val="000000"/>
          <w:sz w:val="20"/>
        </w:rPr>
        <w:t>included, among others (i) testing management’s process for developing the estimate of accounts receivable, net of allowances for implicit price concessions; (ii) evaluating the relevance and use of historical experience data as an input into management’s estimate; (iii) testing the completeness and accuracy of underlying historical collection data used as an input into management’s estimate; (iv) testing, on a sample basis, the accuracy of revenue transactions and cash collections from the billing and collection data used as an input into the estimate; (v) evaluating the historical accuracy of management’s estimate of the amount expected to be collected by performing a retrospective comparison of actual cash collections to the related accounts receivable; and (vi) performing a comparison of the remaining uncollected accounts receivable balance as of a date subsequent to year end, to expected future cash collections based on the Company's historical collection patterns.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Goodwill Impairment Assessment – Hospice Reporting Unit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in Notes 1 and 5 to the consolidated financial statements, the Company’s goodwill balance was $663.0 million as of December 31, 2023, and the goodwill associated with the Hospice reporting unit was $432.8 million. Management tests goodwill for impairment at the reporting unit level on an annual basis, as of October 1, or whenever potential impairment triggers occur, such as a significant change in business climate or regulatory changes that would indicate that an impairment may have occurred. The goodwill impairment test involves comparing the fair value of a reporting unit with its carrying value, including goodwill. Management estimated the fair value of the Hospice reporting unit using the discounted cash flow and market multiple approaches. These types of models require management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weighted-average cost of capital. The market multiple model estimates fair value based on market multiples of earnings before interest, taxes and depreciation and amortization (EBITDA). Under the discounted cash flow model, the projection uses management’s best estimates of economic and market conditions over the projected period for each reporting unit using significant assumptions such as revenue growth rates, operating margins, and the weighted-average cost of capital.</w:t>
      </w:r>
    </w:p>
    <w:p>
      <w:pPr>
        <w:pStyle w:val="TextBody"/>
        <w:bidi w:val="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goodwill impairment assessment of the Hospice reporting unit is a critical audit matter are (i) the significant judgment by management when developing the fair value estimate of the Hospice reporting unit; (ii) a high degree of auditor judgment, subjectivity, and effort in performing procedures and evaluating management’s significant assumptions related to the revenue growth rates, operating margins, and the weighted-average cost of capital used in the discounted cash flow model, and the market multiples of EBITDA used in the market multiple model; and (iii) the audit effort involved the use of professionals with specialized skill and knowledge.</w:t>
      </w:r>
    </w:p>
    <w:p>
      <w:pPr>
        <w:pStyle w:val="TextBody"/>
        <w:bidi w:val="0"/>
        <w:jc w:val="left"/>
        <w:rPr>
          <w:rFonts w:ascii="Times New Roman" w:hAnsi="Times New Roman"/>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w:t>
      </w:r>
      <w:r>
        <w:rPr>
          <w:rFonts w:ascii="Times New Roman" w:hAnsi="Times New Roman"/>
          <w:color w:val="FF0000"/>
          <w:sz w:val="20"/>
        </w:rPr>
        <w:t xml:space="preserve"> </w:t>
      </w:r>
      <w:r>
        <w:rPr>
          <w:rFonts w:ascii="Times New Roman" w:hAnsi="Times New Roman"/>
          <w:color w:val="000000"/>
          <w:sz w:val="20"/>
        </w:rPr>
        <w:t>These procedures included testing the effectiveness of controls relating to management’s goodwill impairment assessment, including controls over the valuation of the Hospice reporting unit. These procedures also included, among others (i) testing management’s process for developing the fair value estimate of the Hospice reporting unit; (ii) evaluating the appropriateness of the discounted cash flow model and market multiple model used by management; (iii) testing the completeness and accuracy of underlying data used by management in the discounted cash flow model and market multiple model; and (iv) evaluating the reasonableness of the significant assumptions used by management related to the revenue growth rates, operating margins, and the weighted-average cost of capital used in the discounted cash flow model and the market multiples of EBITDA used in the market multiple model. Evaluating management’s assumptions related to the revenue growth rates and operating margins involved evaluating whether the assumptions used by management were reasonable considering (i) the current and past performance of the Hospice reporting unit; (ii) the consistency with external market and industry data; and (iii) whether these assumptions were consistent with evidence obtained in other areas of the audit. Professionals with specialized skill and knowledge were used to assist in the evaluation of the appropriateness of the discounted cash flow model and market multiples model, and the reasonableness of the weighted-average cost of capital and market multiples of EBITDA significant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Dallas, Texas</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5" w:name="consolidated_balance_sheets"/>
      <w:bookmarkEnd w:id="3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2023 and 2022</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left"/>
        <w:rPr/>
      </w:pPr>
      <w:r>
        <w:rPr/>
        <w:t> </w:t>
      </w:r>
    </w:p>
    <w:tbl>
      <w:tblPr>
        <w:tblW w:w="10019" w:type="dxa"/>
        <w:jc w:val="left"/>
        <w:tblInd w:w="0" w:type="dxa"/>
        <w:tblLayout w:type="fixed"/>
        <w:tblCellMar>
          <w:top w:w="28" w:type="dxa"/>
          <w:left w:w="28" w:type="dxa"/>
          <w:bottom w:w="28" w:type="dxa"/>
          <w:right w:w="28" w:type="dxa"/>
        </w:tblCellMar>
      </w:tblPr>
      <w:tblGrid>
        <w:gridCol w:w="7056"/>
        <w:gridCol w:w="146"/>
        <w:gridCol w:w="211"/>
        <w:gridCol w:w="931"/>
        <w:gridCol w:w="146"/>
        <w:gridCol w:w="146"/>
        <w:gridCol w:w="211"/>
        <w:gridCol w:w="781"/>
        <w:gridCol w:w="39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of accumulated depreciation and amortization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net of accumulated amortization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stimulus advances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workers’ compensation insurance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 of debt issuance costs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stock—$.001 par value; 40,000 authorized and 16,227 and 16,128 shares</w:t>
              <w:br/>
              <w:t>   issued and outstanding as of December 31, 2023 and 2022, respectively</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393,208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jc w:val="center"/>
        <w:rPr>
          <w:rFonts w:ascii="Times New Roman" w:hAnsi="Times New Roman"/>
          <w:b/>
          <w:color w:val="000000"/>
          <w:sz w:val="20"/>
        </w:rPr>
      </w:pPr>
      <w:bookmarkStart w:id="36" w:name="consolidated_statements_income"/>
      <w:bookmarkEnd w:id="36"/>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18"/>
        <w:gridCol w:w="146"/>
        <w:gridCol w:w="211"/>
        <w:gridCol w:w="931"/>
        <w:gridCol w:w="166"/>
        <w:gridCol w:w="146"/>
        <w:gridCol w:w="211"/>
        <w:gridCol w:w="781"/>
        <w:gridCol w:w="166"/>
        <w:gridCol w:w="146"/>
        <w:gridCol w:w="211"/>
        <w:gridCol w:w="781"/>
        <w:gridCol w:w="391"/>
      </w:tblGrid>
      <w:tr>
        <w:trPr/>
        <w:tc>
          <w:tcPr>
            <w:tcW w:w="5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864,499</w:t>
            </w:r>
          </w:p>
        </w:tc>
        <w:tc>
          <w:tcPr>
            <w:tcW w:w="391" w:type="dxa"/>
            <w:tcBorders/>
            <w:shd w:fill="CFF0FC" w:val="cle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269,848</w:t>
            </w:r>
          </w:p>
        </w:tc>
        <w:tc>
          <w:tcPr>
            <w:tcW w:w="391" w:type="dxa"/>
            <w:tcBorders/>
            <w:shd w:fill="CFF0FC" w:val="cle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189,418</w:t>
            </w:r>
          </w:p>
        </w:tc>
        <w:tc>
          <w:tcPr>
            <w:tcW w:w="391" w:type="dxa"/>
            <w:tcBorders/>
            <w:shd w:fill="FFFFFF" w:val="cle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391" w:type="dxa"/>
            <w:tcBorders/>
            <w:shd w:fill="CFF0FC" w:val="cle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203,912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net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60,398</w:t>
            </w:r>
          </w:p>
        </w:tc>
        <w:tc>
          <w:tcPr>
            <w:tcW w:w="391" w:type="dxa"/>
            <w:tcBorders/>
            <w:shd w:fill="CFF0FC" w:val="cle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9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9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FFFFFF" w:val="cle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potential common shares</w:t>
              <w:br/>
              <w:t>   outstanding:</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9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391" w:type="dxa"/>
            <w:tcBorders/>
            <w:shd w:fill="FFFFFF" w:val="clear"/>
            <w:vAlign w:val="center"/>
          </w:tcPr>
          <w:p>
            <w:pPr>
              <w:pStyle w:val="TableContents"/>
              <w:bidi w:val="0"/>
              <w:spacing w:before="0" w:after="283"/>
              <w:jc w:val="left"/>
              <w:rPr/>
            </w:pPr>
            <w:r>
              <w:rPr/>
              <w:t> </w:t>
            </w:r>
          </w:p>
        </w:tc>
      </w:tr>
      <w:tr>
        <w:trPr/>
        <w:tc>
          <w:tcPr>
            <w:tcW w:w="59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fis_stockholders_equity"/>
      <w:bookmarkEnd w:id="37"/>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240" w:after="283"/>
        <w:jc w:val="center"/>
        <w:rPr>
          <w:rFonts w:ascii="Times New Roman" w:hAnsi="Times New Roman"/>
          <w:sz w:val="20"/>
        </w:rPr>
      </w:pPr>
      <w:bookmarkStart w:id="38" w:name="consolidated_statements_stockholders_equ"/>
      <w:bookmarkEnd w:id="38"/>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(amounts and shares in thousands)</w:t>
      </w:r>
    </w:p>
    <w:p>
      <w:pPr>
        <w:pStyle w:val="TextBody"/>
        <w:bidi w:val="0"/>
        <w:jc w:val="left"/>
        <w:rPr/>
      </w:pPr>
      <w:r>
        <w:rPr/>
        <w:t> </w:t>
      </w:r>
    </w:p>
    <w:tbl>
      <w:tblPr>
        <w:tblW w:w="9734" w:type="dxa"/>
        <w:jc w:val="left"/>
        <w:tblInd w:w="0" w:type="dxa"/>
        <w:tblLayout w:type="fixed"/>
        <w:tblCellMar>
          <w:top w:w="28" w:type="dxa"/>
          <w:left w:w="28" w:type="dxa"/>
          <w:bottom w:w="28" w:type="dxa"/>
          <w:right w:w="28" w:type="dxa"/>
        </w:tblCellMar>
      </w:tblPr>
      <w:tblGrid>
        <w:gridCol w:w="3616"/>
        <w:gridCol w:w="146"/>
        <w:gridCol w:w="146"/>
        <w:gridCol w:w="676"/>
        <w:gridCol w:w="166"/>
        <w:gridCol w:w="146"/>
        <w:gridCol w:w="261"/>
        <w:gridCol w:w="430"/>
        <w:gridCol w:w="146"/>
        <w:gridCol w:w="146"/>
        <w:gridCol w:w="211"/>
        <w:gridCol w:w="781"/>
        <w:gridCol w:w="146"/>
        <w:gridCol w:w="146"/>
        <w:gridCol w:w="211"/>
        <w:gridCol w:w="781"/>
        <w:gridCol w:w="146"/>
        <w:gridCol w:w="146"/>
        <w:gridCol w:w="233"/>
        <w:gridCol w:w="863"/>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2021</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518,676</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shares of common stock under</w:t>
              <w:br/>
              <w:t>   restricted stock award agreements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shares of common stock under</w:t>
              <w:br/>
              <w:t>   restricted stock award agreements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of common stock under</w:t>
              <w:br/>
              <w:t>   restricted stock award agreements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exercise of stock 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r>
        <w:rPr>
          <w:rFonts w:ascii="Times New Roman" w:hAnsi="Times New Roman"/>
          <w:b/>
          <w:color w:val="000000"/>
          <w:sz w:val="20"/>
        </w:rPr>
        <w:t>AND SUBSIDIARIES</w:t>
      </w:r>
    </w:p>
    <w:p>
      <w:pPr>
        <w:pStyle w:val="TextBody"/>
        <w:bidi w:val="0"/>
        <w:spacing w:before="60" w:after="283"/>
        <w:jc w:val="center"/>
        <w:rPr>
          <w:rFonts w:ascii="Times New Roman" w:hAnsi="Times New Roman"/>
          <w:b/>
          <w:color w:val="000000"/>
          <w:sz w:val="20"/>
        </w:rPr>
      </w:pPr>
      <w:bookmarkStart w:id="39" w:name="consolidated_statements_cash_flows"/>
      <w:bookmarkEnd w:id="39"/>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10158" w:type="dxa"/>
        <w:jc w:val="left"/>
        <w:tblInd w:w="0" w:type="dxa"/>
        <w:tblLayout w:type="fixed"/>
        <w:tblCellMar>
          <w:top w:w="28" w:type="dxa"/>
          <w:left w:w="28" w:type="dxa"/>
          <w:bottom w:w="28" w:type="dxa"/>
          <w:right w:w="28" w:type="dxa"/>
        </w:tblCellMar>
      </w:tblPr>
      <w:tblGrid>
        <w:gridCol w:w="5796"/>
        <w:gridCol w:w="146"/>
        <w:gridCol w:w="196"/>
        <w:gridCol w:w="751"/>
        <w:gridCol w:w="166"/>
        <w:gridCol w:w="146"/>
        <w:gridCol w:w="196"/>
        <w:gridCol w:w="751"/>
        <w:gridCol w:w="166"/>
        <w:gridCol w:w="146"/>
        <w:gridCol w:w="196"/>
        <w:gridCol w:w="691"/>
        <w:gridCol w:w="8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w:t>
            </w:r>
          </w:p>
        </w:tc>
        <w:tc>
          <w:tcPr>
            <w:tcW w:w="811" w:type="dxa"/>
            <w:tcBorders/>
            <w:shd w:fill="FFFFFF" w:val="clear"/>
            <w:vAlign w:val="center"/>
          </w:tcPr>
          <w:p>
            <w:pPr>
              <w:pStyle w:val="TableContents"/>
              <w:bidi w:val="0"/>
              <w:spacing w:before="0" w:after="283"/>
              <w:jc w:val="center"/>
              <w:rPr/>
            </w:pPr>
            <w:r>
              <w:rPr/>
              <w:t> </w:t>
            </w:r>
          </w:p>
        </w:tc>
      </w:tr>
      <w:tr>
        <w:trPr/>
        <w:tc>
          <w:tcPr>
            <w:tcW w:w="5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to net cash provided by </w:t>
              <w:br/>
              <w:t>   operating activities, net of acquisitions: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9,434</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debt issuance costs under the credit facility</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operating lease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termination of operating leases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7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(8,599</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Government stimulus advances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(27,914</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payroll</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7,888</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79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Business acquisition, net of cash acquired</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(98,290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(37,370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on disposal of property and equipment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Borrowings on revolver — credit facility</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on revolver — credit facility</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on term loan — credit facility</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debt issuance costs under the credit facility</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received from exercise of stock options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23,817</w:t>
            </w:r>
          </w:p>
        </w:tc>
        <w:tc>
          <w:tcPr>
            <w:tcW w:w="811" w:type="dxa"/>
            <w:tcBorders/>
            <w:shd w:fill="CFF0FC" w:val="clear"/>
            <w:vAlign w:val="center"/>
          </w:tcPr>
          <w:p>
            <w:pPr>
              <w:pStyle w:val="TableContents"/>
              <w:bidi w:val="0"/>
              <w:spacing w:before="0" w:after="283"/>
              <w:jc w:val="lef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beginning of period</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145,078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at end of period</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168,895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17,820</w:t>
            </w:r>
          </w:p>
        </w:tc>
        <w:tc>
          <w:tcPr>
            <w:tcW w:w="811" w:type="dxa"/>
            <w:tcBorders/>
            <w:shd w:fill="FFFFFF" w:val="clear"/>
            <w:vAlign w:val="center"/>
          </w:tcPr>
          <w:p>
            <w:pPr>
              <w:pStyle w:val="TableContents"/>
              <w:bidi w:val="0"/>
              <w:spacing w:before="0" w:after="283"/>
              <w:jc w:val="left"/>
              <w:rPr/>
            </w:pPr>
            <w:r>
              <w:rPr/>
              <w:t> </w:t>
            </w:r>
          </w:p>
        </w:tc>
      </w:tr>
      <w:tr>
        <w:trPr/>
        <w:tc>
          <w:tcPr>
            <w:tcW w:w="5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non-cash investing and financing activities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Leasehold improvements acquired through tenant allowances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Licensing fees included in Fixed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 benefit related to the amortization of tax goodwill in excess of book basis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8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ADDUS HOMECARE CORPORATION</w:t>
      </w:r>
    </w:p>
    <w:p>
      <w:pPr>
        <w:pStyle w:val="TextBody"/>
        <w:bidi w:val="0"/>
        <w:jc w:val="center"/>
        <w:rPr>
          <w:rFonts w:ascii="Times New Roman" w:hAnsi="Times New Roman"/>
          <w:b/>
          <w:color w:val="000000"/>
          <w:sz w:val="20"/>
        </w:rPr>
      </w:pPr>
      <w:bookmarkStart w:id="40" w:name="fis_notes_to_financial_statement"/>
      <w:bookmarkEnd w:id="40"/>
      <w:r>
        <w:rPr>
          <w:rFonts w:ascii="Times New Roman" w:hAnsi="Times New Roman"/>
          <w:b/>
          <w:color w:val="000000"/>
          <w:sz w:val="20"/>
        </w:rPr>
        <w:t>AND SUBSIDIARIES</w:t>
      </w:r>
    </w:p>
    <w:p>
      <w:pPr>
        <w:pStyle w:val="TextBody"/>
        <w:bidi w:val="0"/>
        <w:spacing w:before="120" w:after="283"/>
        <w:jc w:val="center"/>
        <w:rPr>
          <w:rFonts w:ascii="Times New Roman" w:hAnsi="Times New Roman"/>
          <w:b/>
          <w:color w:val="000000"/>
          <w:sz w:val="20"/>
        </w:rPr>
      </w:pPr>
      <w:bookmarkStart w:id="41" w:name="notes_to_consolidated_financial_statemen"/>
      <w:bookmarkEnd w:id="41"/>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Addus HomeCare Corporation (“Holdings”) and its subsidiaries (together with Holdings, the “Company,” “we,” “us,” or “our”). The Company operates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 clients include federal, state and local governmental agencies, managed care organizations, commercial insurers and private individuals.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the Company participates are complex and subject to interpretation. Net service revenues related to uninsured accounts, or self-pay, is recorded net of implicit price concessions estimated based on historical collection experience to reduce revenue to the estimated amount the Company expects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The Company monitors our net service revenues and collections from these sources and records any necessary adjustment to net service revenues based upon management’s assessment of historical write offs and expected net collections, business and economic conditions, trends in federal, state and private employer healthcare coverage and other collection indicators.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estimate of net service revenues is determined by reducing the standard charge by any contractual adjustments, discounts and implicit price concessions. Subsequent changes to the estimate of net service revenues are generally recorded in the period of the change. Subsequent changes that are determined to be the result of an adverse change in the patient’s ability to pay are recorded as bad debt expense.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Personal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Hospice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net service revenues from providing hospice services to consumers who are terminally ill as well as related services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federal fiscal year 2024, the aggregate cap is $33,494.01. For the years ended December 31, 2023 and 2022, the Company recorded a liability of $0.8 million and $0.9 million, respectively, related to the Medicare aggregate cap limit.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Home Health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30-day periods of care as a unit of service. The HHPPS permits multiple, continuous periods per patient. Medicare payment rates for periods under HHPPS are determined through use of a case-mix classification system, the Patient-Driven Groupings Model (“PDGM”), which assigns patients to resource groups based on a patient’s clinical characteristics.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elects to use the same 30-day periods that Medicare recognizes as standard but accelerates revenue upon discharge to align with a patient’s episode length if less than the expected 30 days, which depicts the transfer of services and related benefits received by the patient over the term of the contract necessary to satisfy the obligations. The Company recognizes revenue based on the number of days elapsed during a period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 and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the Company expects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the Company compares its cash collections to recorded net service revenues and evaluates its historical allowance, including implicit price concessions, based upon the ultimate resolution of the accounts receivable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adjustments to accounts receivable determined to be the result of an adverse change in the payor’s ability to pay are recognized as provision for credit losses. The majority of what historically was classified as provision for credit losses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 uncollectible amount is written off to the allowance account after reasonable collection efforts have been exhausted. As of December 31, 2023 and 2022, the allowance for credit losses balance was $2.3 million and $1.6 million, respectively, which is included in accounts receivable, net of allowances for credit losses on the Company’s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in the allowance for credit losses is as follows (in thousands):</w:t>
      </w:r>
    </w:p>
    <w:p>
      <w:pPr>
        <w:pStyle w:val="TextBody"/>
        <w:bidi w:val="0"/>
        <w:jc w:val="left"/>
        <w:rPr/>
      </w:pPr>
      <w:r>
        <w:rPr/>
        <w:t> </w:t>
      </w:r>
    </w:p>
    <w:tbl>
      <w:tblPr>
        <w:tblW w:w="7845" w:type="dxa"/>
        <w:jc w:val="left"/>
        <w:tblInd w:w="0" w:type="dxa"/>
        <w:tblLayout w:type="fixed"/>
        <w:tblCellMar>
          <w:top w:w="28" w:type="dxa"/>
          <w:left w:w="28" w:type="dxa"/>
          <w:bottom w:w="28" w:type="dxa"/>
          <w:right w:w="28" w:type="dxa"/>
        </w:tblCellMar>
      </w:tblPr>
      <w:tblGrid>
        <w:gridCol w:w="2656"/>
        <w:gridCol w:w="146"/>
        <w:gridCol w:w="270"/>
        <w:gridCol w:w="735"/>
        <w:gridCol w:w="146"/>
        <w:gridCol w:w="146"/>
        <w:gridCol w:w="216"/>
        <w:gridCol w:w="625"/>
        <w:gridCol w:w="146"/>
        <w:gridCol w:w="146"/>
        <w:gridCol w:w="274"/>
        <w:gridCol w:w="791"/>
        <w:gridCol w:w="146"/>
        <w:gridCol w:w="146"/>
        <w:gridCol w:w="287"/>
        <w:gridCol w:w="778"/>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Deductions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9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9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Write-offs, net of recoveries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and depreciated over the estimated useful lives of the related assets by use of the straight-line method. Maintenance and repairs are charged to expense as incurred. The estimated useful lives of the property and equipment are as follows:</w:t>
      </w:r>
    </w:p>
    <w:p>
      <w:pPr>
        <w:pStyle w:val="TextBody"/>
        <w:bidi w:val="0"/>
        <w:jc w:val="left"/>
        <w:rPr/>
      </w:pPr>
      <w:r>
        <w:rPr/>
        <w:t> </w:t>
      </w:r>
    </w:p>
    <w:tbl>
      <w:tblPr>
        <w:tblW w:w="5173" w:type="dxa"/>
        <w:jc w:val="left"/>
        <w:tblInd w:w="0" w:type="dxa"/>
        <w:tblLayout w:type="fixed"/>
        <w:tblCellMar>
          <w:top w:w="28" w:type="dxa"/>
          <w:left w:w="28" w:type="dxa"/>
          <w:bottom w:w="28" w:type="dxa"/>
          <w:right w:w="28" w:type="dxa"/>
        </w:tblCellMar>
      </w:tblPr>
      <w:tblGrid>
        <w:gridCol w:w="2236"/>
        <w:gridCol w:w="146"/>
        <w:gridCol w:w="27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center"/>
              <w:rPr/>
            </w:pPr>
            <w:r>
              <w:rPr/>
              <w:t> </w:t>
            </w:r>
          </w:p>
        </w:tc>
        <w:tc>
          <w:tcPr>
            <w:tcW w:w="2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FFFFFF" w:val="clear"/>
            <w:vAlign w:val="center"/>
          </w:tcPr>
          <w:p>
            <w:pPr>
              <w:pStyle w:val="TableContents"/>
              <w:bidi w:val="0"/>
              <w:spacing w:before="0" w:after="283"/>
              <w:jc w:val="center"/>
              <w:rPr/>
            </w:pPr>
            <w:r>
              <w:rPr/>
              <w:t> </w:t>
            </w:r>
          </w:p>
        </w:tc>
        <w:tc>
          <w:tcPr>
            <w:tcW w:w="2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 years</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equipment</w:t>
            </w:r>
          </w:p>
        </w:tc>
        <w:tc>
          <w:tcPr>
            <w:tcW w:w="146" w:type="dxa"/>
            <w:tcBorders/>
            <w:shd w:fill="CFF0FC" w:val="clear"/>
            <w:vAlign w:val="center"/>
          </w:tcPr>
          <w:p>
            <w:pPr>
              <w:pStyle w:val="TableContents"/>
              <w:bidi w:val="0"/>
              <w:spacing w:before="0" w:after="283"/>
              <w:jc w:val="center"/>
              <w:rPr/>
            </w:pPr>
            <w:r>
              <w:rPr/>
              <w:t> </w:t>
            </w:r>
          </w:p>
        </w:tc>
        <w:tc>
          <w:tcPr>
            <w:tcW w:w="2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vAlign w:val="center"/>
          </w:tcPr>
          <w:p>
            <w:pPr>
              <w:pStyle w:val="TableContents"/>
              <w:bidi w:val="0"/>
              <w:spacing w:before="0" w:after="283"/>
              <w:jc w:val="center"/>
              <w:rPr/>
            </w:pPr>
            <w:r>
              <w:rPr/>
              <w:t> </w:t>
            </w:r>
          </w:p>
        </w:tc>
        <w:tc>
          <w:tcPr>
            <w:tcW w:w="2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 years</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center"/>
              <w:rPr/>
            </w:pPr>
            <w:r>
              <w:rPr/>
              <w:t> </w:t>
            </w:r>
          </w:p>
        </w:tc>
        <w:tc>
          <w:tcPr>
            <w:tcW w:w="2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Lesser of useful life or lease term</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a right-of-use (“ROU”) asset for all leases, including operating leases, with a term greater than twelve months on the balance sheet. We have historically entered into operating leases for local branches, our corporate headquarters and certain equipment. The Company’s current leases have expiration dates through 2031.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Renewal options generally are not considered in determining the lease term, and payments associated with the option years are excluded from lease payments unless we are reasonably certain to exercise the renewal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operating lease liabilities are calculated using the present value of lease payments. If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assets are valued based on the initial operating lease liabilities plus any prepaid rent, reduced by tenant improvement allowances. Operating lease assets are tested for impairment in the same manner as our long-lived assets. For the years ended December 31, 2023 and 2022, the Company recorded $13,000 and $1.2 million, respectively, in impairment charges on operating lease assets, included within general administrative expenses. For the year ended December 31, 2021, the Company recorded no material impairment charges.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and 2022, goodwill was $663.0 million and $582.8 million, respectively, included on the Company’s Consolidated Balance Sheets. The Company’s carrying value of goodwill is the excess of the purchase price over the fair value of the net assets acquired from various acquisitions. In accordance with Accounting Standards Codification (“ASC”) Topic 350, </w:t>
      </w:r>
      <w:r>
        <w:rPr>
          <w:rFonts w:ascii="Times New Roman" w:hAnsi="Times New Roman"/>
          <w:i/>
          <w:color w:val="000000"/>
          <w:sz w:val="20"/>
        </w:rPr>
        <w:t>Goodwill and Other Intangible Assets</w:t>
      </w:r>
      <w:r>
        <w:rPr>
          <w:rFonts w:ascii="Times New Roman" w:hAnsi="Times New Roman"/>
          <w:color w:val="000000"/>
          <w:sz w:val="20"/>
        </w:rPr>
        <w:t xml:space="preserve">,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The Company may also bypass the qualitative assessment and perform a quantitative test. Additionally, it is the Company’s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2023, 2022 and 2021, the Company performed the quantitative analysis to evaluate whether an impairment occurred. Since quoted market prices for our reporting units are not available, the Company relies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operating margins and the weighted-average cost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totality of the information available, the Company concluded that it was more likely than not that the estimated fair values of our reporting units were greater than their carrying values. Consequently, the Company concluded that there were no impairments for the years ended December 31, 2023, 2022 or 2021. The Company bases its fair value estimates on assumptions management believes to be reasonable but which are unpredictable and inherently uncertain. Actual future results may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and 2022, intangibles, net of accumulated amortization, was $92.0 million and $72.2 million, respectively, included on the Company’s Consolidated Balance Sheets. The Company’s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The Company would recognize an impairment loss when the estimated future non-discounted cash flows associated with the intangible asset are less than the carrying value. An impairment charge would then be recorded for the excess of the carrying value over the fair value. The Company estimates the fair value of these intangible assets using the income approach. In accordance with ASC Topic 350, </w:t>
      </w:r>
      <w:r>
        <w:rPr>
          <w:rFonts w:ascii="Times New Roman" w:hAnsi="Times New Roman"/>
          <w:i/>
          <w:color w:val="000000"/>
          <w:sz w:val="20"/>
        </w:rPr>
        <w:t>Goodwill and Other Intangible Assets</w:t>
      </w:r>
      <w:r>
        <w:rPr>
          <w:rFonts w:ascii="Times New Roman" w:hAnsi="Times New Roman"/>
          <w:color w:val="000000"/>
          <w:sz w:val="20"/>
        </w:rPr>
        <w:t xml:space="preserve">,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2023, 2022 or 2021. Amortization of intangible assets is reported in the statement of income caption, “Depreciation and amortization” and not included in the income statement caption cost of service revenues.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amortizes debt issuance costs on a straight-line method over the term of the related debt. This method approximates the effective interest method. In accordance with ASU 2015-03, </w:t>
      </w:r>
      <w:r>
        <w:rPr>
          <w:rFonts w:ascii="Times New Roman" w:hAnsi="Times New Roman"/>
          <w:i/>
          <w:color w:val="000000"/>
          <w:sz w:val="20"/>
        </w:rPr>
        <w:t>Simplifying the Presentation of Debt Issuance Costs</w:t>
      </w:r>
      <w:r>
        <w:rPr>
          <w:rFonts w:ascii="Times New Roman" w:hAnsi="Times New Roman"/>
          <w:color w:val="000000"/>
          <w:sz w:val="20"/>
        </w:rPr>
        <w:t>, the Company has classified the debt issuance costs as a direct deduction from the carrying amount of the related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Workers’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The future claims payments related to the workers’ compensation program are secured by letters of credit. These letters of credit totaled $8.0 million and $8.2 million at December 31, 2023 and 2022, respectively. The Company monitors its claims quarterly and adjusts its reserves as necessary in the current period. These costs are recorded primarily as cost of services on the Consolidated Statements of Income. As of December 31, 2023 and 2022, the Company recorded $12.0 million and $12.9 million, respectively, in accrued workers’ compensation insurance on the Company’s Consolidated Balance Sheets. As of December 31, 2023 and 2022, the Company recorded $0.6 million and $0.7 million, respectively, in workers’ compensation insurance receivables. The workers’ compensation insurance receivable is included in prepaid expenses and other current assets on the Company’s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is reported in the Consolidated Statements of Income when incurred and consists of interest and unused credit line fees on the credit facility.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income taxes under the provisions of ASC Topic 740, </w:t>
      </w:r>
      <w:r>
        <w:rPr>
          <w:rFonts w:ascii="Times New Roman" w:hAnsi="Times New Roman"/>
          <w:i/>
          <w:color w:val="000000"/>
          <w:sz w:val="20"/>
        </w:rPr>
        <w:t>Income Taxes.</w:t>
      </w:r>
      <w:r>
        <w:rPr>
          <w:rFonts w:ascii="Times New Roman" w:hAnsi="Times New Roman"/>
          <w:color w:val="000000"/>
          <w:sz w:val="20"/>
        </w:rPr>
        <w:t xml:space="preserve"> The objective of accounting for income taxes is to recognize the amount of taxes payable or refundable for the current year and deferred tax assets and liabilities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assets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 The Company recognizes interest and penalties accrued related to uncertain tax positions in interest expense and penalties within operating expenses on the Consolidated Statements of Income. Uncertain tax positions are immaterial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currently has one stock incentive plan, the Amended and Restated 2017 Omnibus Incentive Plan (the “A&amp;R 2017 Plan”), under which new grants of stock-based employee compensation are made. The Company accounts for stock-based compensation in accordance with ASC Topic 718, </w:t>
      </w:r>
      <w:r>
        <w:rPr>
          <w:rFonts w:ascii="Times New Roman" w:hAnsi="Times New Roman"/>
          <w:i/>
          <w:color w:val="000000"/>
          <w:sz w:val="20"/>
        </w:rPr>
        <w:t>Stock Compensation</w:t>
      </w:r>
      <w:r>
        <w:rPr>
          <w:rFonts w:ascii="Times New Roman" w:hAnsi="Times New Roman"/>
          <w:color w:val="000000"/>
          <w:sz w:val="20"/>
        </w:rPr>
        <w:t xml:space="preserve">. Compensation expense is recognized on a straight-line basis under the A&amp;R 2017 Plan over the vesting period of the equity awards based on the grant date fair value of the options and restricted stock awards. The Company utilizes the Black-Scholes Option Pricing Model to value the Company’s options. Forfeitures are recognized when they occur. Stock-based compensation expense was $10.3 million, $10.6 million and $9.4 million for the years ended December 31, 2023, 2022 and 2021, respectively, included within general and administrative expenses on the Consolidated Statements of Income.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Diluted Net Income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2023 were approximately 455,000 stock options outstanding, of which approximately 234,000 were dilutive. In addition, there were approximately 201,000 restricted stock awards outstanding, of which approximately 82,000 were dilutive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2022 were approximately 468,000 stock options outstanding, of which approximately 248,000 were dilutive. In addition, there were approximately 210,000 restricted stock awards outstanding, of which approximately 72,000 were dilutive for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Company’s calculation of diluted earnings per share for the year ended December 31, 2021 were approximately 493,000 stock options outstanding, of which approximately 282,000 were dilutive. In addition, there were approximately 159,000 restricted stock awards outstanding, of which approximately 44,000 were dilutive for the year ended December 31, 2021.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Times New Roman" w:hAnsi="Times New Roman"/>
          <w:i/>
          <w:color w:val="000000"/>
          <w:sz w:val="20"/>
        </w:rPr>
        <w:t>Fair Value Measurement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the financial statements for the years ended December 31, 2023 and 2022, the Company conducted an evaluation as to whether there were conditions and events, considered in the aggregate, which raised substantial doubt as to the entity’s ability to continue as a going concern within one year after the date of the issuance, of the financial statements. Based on the evaluation, we believe that cash flows from operations will be sufficient to meet our ongoing liquidity requirements for at least twelve months from the date of issuance.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2021, the Financial Accounting Standards Board (“FASB”) issued Accounting Standard Update ASU 2021-10, </w:t>
      </w:r>
      <w:r>
        <w:rPr>
          <w:rFonts w:ascii="Times New Roman" w:hAnsi="Times New Roman"/>
          <w:i/>
          <w:color w:val="000000"/>
          <w:sz w:val="20"/>
        </w:rPr>
        <w:t>Government Assistance (Topic 832): Disclosures by Business Entities about Government Assistance</w:t>
      </w:r>
      <w:r>
        <w:rPr>
          <w:rFonts w:ascii="Times New Roman" w:hAnsi="Times New Roman"/>
          <w:color w:val="000000"/>
          <w:sz w:val="20"/>
        </w:rPr>
        <w:t>. ASU 2021-10 requires entities to disclose certain information about the nature of certain governmental assistance received, including the nature of the transaction and the related accounting policy, the financial statement line items impacted by the assistance, as well as the significant terms and conditions of the transactions. The ASU was adopted as of January 1, 2022 and did not have a material impact on the Company’s results of operations or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 prospectively on January 1, 2023. The additional disclosures required did not have a material impact on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the London Inter-Bank Offered Rate (“LIBOR”) or another reference rate expected to be discontinued. The ASU provides companies with optional guidance to ease the potential accounting burden associated with transitioning away from reference rates that are expected to be discontinued. Therefore, it was in effect for a limited time through December 31, 2022. The ASU could be adopted no later than December 1, 2022 with early adoption permitted. As discussed further in Note 8 and pursuant to the Third Amendment to Amended and Restated Credit Agreement dated as of April 26, 2023, the Company amended its credit facility to replace LIBOR with the secured overnight financing rate as administered by the Federal Reserve Bank of New York (“SOFR”) as the benchmark reference rate for loans under its credit facility. The transition to SOFR did not and is not expected to have a material impact on the Company’s results of operations or liquidity.</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FASB issued ASU 2023-07, Improvements to Reportable Segment Disclosures,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Annual disclosures are required for fiscal years beginning after December 15, 2023 and interim disclosures are required for periods within fiscal years beginning after December 15, 2024. Retrospective application is required, and early adoption is permitted. These requirements will result in expanded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Improvement to Income Tax Disclosures,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an impact on the Company's financial statements and will expand income tax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reported on the Company’s Consolidated Balance Sheets for operating leases were as follows:</w:t>
      </w:r>
    </w:p>
    <w:p>
      <w:pPr>
        <w:pStyle w:val="TextBody"/>
        <w:bidi w:val="0"/>
        <w:jc w:val="left"/>
        <w:rPr/>
      </w:pPr>
      <w:r>
        <w:rPr/>
        <w:t> </w:t>
      </w:r>
    </w:p>
    <w:tbl>
      <w:tblPr>
        <w:tblW w:w="7264" w:type="dxa"/>
        <w:jc w:val="left"/>
        <w:tblInd w:w="0" w:type="dxa"/>
        <w:tblLayout w:type="fixed"/>
        <w:tblCellMar>
          <w:top w:w="28" w:type="dxa"/>
          <w:left w:w="28" w:type="dxa"/>
          <w:bottom w:w="28" w:type="dxa"/>
          <w:right w:w="28" w:type="dxa"/>
        </w:tblCellMar>
      </w:tblPr>
      <w:tblGrid>
        <w:gridCol w:w="4861"/>
        <w:gridCol w:w="146"/>
        <w:gridCol w:w="211"/>
        <w:gridCol w:w="676"/>
        <w:gridCol w:w="146"/>
        <w:gridCol w:w="146"/>
        <w:gridCol w:w="211"/>
        <w:gridCol w:w="67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 (in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w:t>
            </w:r>
          </w:p>
        </w:tc>
        <w:tc>
          <w:tcPr>
            <w:tcW w:w="191" w:type="dxa"/>
            <w:tcBorders/>
            <w:shd w:fill="FFFFFF" w:val="cle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lease costs were reported in general and administrative expenses in the Company’s Consolidated Statements of Income as follows:</w:t>
      </w:r>
    </w:p>
    <w:p>
      <w:pPr>
        <w:pStyle w:val="TextBody"/>
        <w:bidi w:val="0"/>
        <w:jc w:val="left"/>
        <w:rPr/>
      </w:pPr>
      <w:r>
        <w:rPr/>
        <w:t> </w:t>
      </w:r>
    </w:p>
    <w:tbl>
      <w:tblPr>
        <w:tblW w:w="5743" w:type="dxa"/>
        <w:jc w:val="left"/>
        <w:tblInd w:w="0" w:type="dxa"/>
        <w:tblLayout w:type="fixed"/>
        <w:tblCellMar>
          <w:top w:w="28" w:type="dxa"/>
          <w:left w:w="28" w:type="dxa"/>
          <w:bottom w:w="28" w:type="dxa"/>
          <w:right w:w="28" w:type="dxa"/>
        </w:tblCellMar>
      </w:tblPr>
      <w:tblGrid>
        <w:gridCol w:w="2021"/>
        <w:gridCol w:w="146"/>
        <w:gridCol w:w="211"/>
        <w:gridCol w:w="676"/>
        <w:gridCol w:w="166"/>
        <w:gridCol w:w="146"/>
        <w:gridCol w:w="211"/>
        <w:gridCol w:w="676"/>
        <w:gridCol w:w="166"/>
        <w:gridCol w:w="146"/>
        <w:gridCol w:w="211"/>
        <w:gridCol w:w="676"/>
        <w:gridCol w:w="291"/>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91" w:type="dxa"/>
            <w:tcBorders/>
            <w:shd w:fill="FFFFFF" w:val="clear"/>
            <w:vAlign w:val="center"/>
          </w:tcPr>
          <w:p>
            <w:pPr>
              <w:pStyle w:val="TableContents"/>
              <w:bidi w:val="0"/>
              <w:spacing w:before="0" w:after="283"/>
              <w:jc w:val="center"/>
              <w:rPr/>
            </w:pPr>
            <w:r>
              <w:rPr/>
              <w:t> </w:t>
            </w:r>
          </w:p>
        </w:tc>
      </w:tr>
      <w:tr>
        <w:trPr/>
        <w:tc>
          <w:tcPr>
            <w:tcW w:w="2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291" w:type="dxa"/>
            <w:tcBorders/>
            <w:shd w:fill="CFF0FC" w:val="clear"/>
            <w:vAlign w:val="center"/>
          </w:tcPr>
          <w:p>
            <w:pPr>
              <w:pStyle w:val="TableContents"/>
              <w:bidi w:val="0"/>
              <w:spacing w:before="0" w:after="283"/>
              <w:jc w:val="left"/>
              <w:rPr/>
            </w:pPr>
            <w:r>
              <w:rPr/>
              <w:t> </w:t>
            </w:r>
          </w:p>
        </w:tc>
      </w:tr>
      <w:tr>
        <w:trPr/>
        <w:tc>
          <w:tcPr>
            <w:tcW w:w="2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sublease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Term and Discount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Weighted average remaining lease terms and discount rates were as follows:</w:t>
      </w:r>
    </w:p>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3316"/>
        <w:gridCol w:w="146"/>
        <w:gridCol w:w="146"/>
        <w:gridCol w:w="466"/>
        <w:gridCol w:w="271"/>
        <w:gridCol w:w="146"/>
        <w:gridCol w:w="146"/>
        <w:gridCol w:w="466"/>
        <w:gridCol w:w="271"/>
        <w:gridCol w:w="146"/>
        <w:gridCol w:w="146"/>
        <w:gridCol w:w="466"/>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16"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Maturity of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operating lease payments as of December 31, 2023 were as follows:</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3766"/>
        <w:gridCol w:w="146"/>
        <w:gridCol w:w="414"/>
        <w:gridCol w:w="1446"/>
        <w:gridCol w:w="2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12-month period ended December 31,</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7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rental commitments</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Supplemental Cash Flow Information</w:t>
      </w:r>
    </w:p>
    <w:p>
      <w:pPr>
        <w:pStyle w:val="TextBody"/>
        <w:bidi w:val="0"/>
        <w:jc w:val="left"/>
        <w:rPr/>
      </w:pPr>
      <w:r>
        <w:rPr/>
        <w:t> </w:t>
      </w:r>
    </w:p>
    <w:tbl>
      <w:tblPr>
        <w:tblW w:w="9648" w:type="dxa"/>
        <w:jc w:val="left"/>
        <w:tblInd w:w="0" w:type="dxa"/>
        <w:tblLayout w:type="fixed"/>
        <w:tblCellMar>
          <w:top w:w="28" w:type="dxa"/>
          <w:left w:w="28" w:type="dxa"/>
          <w:bottom w:w="28" w:type="dxa"/>
          <w:right w:w="28" w:type="dxa"/>
        </w:tblCellMar>
      </w:tblPr>
      <w:tblGrid>
        <w:gridCol w:w="5866"/>
        <w:gridCol w:w="146"/>
        <w:gridCol w:w="211"/>
        <w:gridCol w:w="676"/>
        <w:gridCol w:w="146"/>
        <w:gridCol w:w="146"/>
        <w:gridCol w:w="211"/>
        <w:gridCol w:w="676"/>
        <w:gridCol w:w="146"/>
        <w:gridCol w:w="146"/>
        <w:gridCol w:w="211"/>
        <w:gridCol w:w="676"/>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sublet a portion of its corporate headquarters space in Frisco, Texas in November 2022 to a third party under a two-year sublease term for a monthly base rent of $0.1 million. </w:t>
      </w:r>
    </w:p>
    <w:p>
      <w:pPr>
        <w:pStyle w:val="TextBody"/>
        <w:bidi w:val="0"/>
        <w:spacing w:before="360" w:after="283"/>
        <w:jc w:val="left"/>
        <w:rPr>
          <w:rFonts w:ascii="Times New Roman" w:hAnsi="Times New Roman"/>
          <w:sz w:val="20"/>
        </w:rPr>
      </w:pPr>
      <w:bookmarkStart w:id="42" w:name="n5_acquisitions"/>
      <w:bookmarkEnd w:id="42"/>
      <w:r>
        <w:rPr>
          <w:rFonts w:ascii="Times New Roman" w:hAnsi="Times New Roman"/>
          <w:b/>
          <w:color w:val="000000"/>
          <w:sz w:val="20"/>
        </w:rPr>
        <w:t>3.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acquisitions have been accounted for in accordance with ASC Topic 805, </w:t>
      </w:r>
      <w:r>
        <w:rPr>
          <w:rFonts w:ascii="Times New Roman" w:hAnsi="Times New Roman"/>
          <w:i/>
          <w:color w:val="000000"/>
          <w:sz w:val="20"/>
        </w:rPr>
        <w:t>Business Combinations</w:t>
      </w:r>
      <w:r>
        <w:rPr>
          <w:rFonts w:ascii="Times New Roman" w:hAnsi="Times New Roman"/>
          <w:color w:val="000000"/>
          <w:sz w:val="20"/>
        </w:rPr>
        <w:t xml:space="preserve">, and the resulting goodwill and other intangible assets were accounted for under ASC Topic 350, </w:t>
      </w:r>
      <w:r>
        <w:rPr>
          <w:rFonts w:ascii="Times New Roman" w:hAnsi="Times New Roman"/>
          <w:i/>
          <w:color w:val="000000"/>
          <w:sz w:val="20"/>
        </w:rPr>
        <w:t>Goodwill and Other Intangible Assets</w:t>
      </w:r>
      <w:r>
        <w:rPr>
          <w:rFonts w:ascii="Times New Roman" w:hAnsi="Times New Roman"/>
          <w:color w:val="000000"/>
          <w:sz w:val="20"/>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Consolidated Statements of Income from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Management’s assessment of qualitative factors affecting goodwill for each acquisition includes estimates of market share at the date of purchase, ability to grow in the market, synergy with existing Company operations and the payor profile in the markets.</w:t>
      </w:r>
    </w:p>
    <w:p>
      <w:pPr>
        <w:pStyle w:val="TextBody"/>
        <w:bidi w:val="0"/>
        <w:spacing w:before="360" w:after="283"/>
        <w:jc w:val="left"/>
        <w:rPr>
          <w:rFonts w:ascii="Times New Roman" w:hAnsi="Times New Roman"/>
          <w:sz w:val="20"/>
        </w:rPr>
      </w:pPr>
      <w:r>
        <w:rPr>
          <w:rFonts w:ascii="Times New Roman" w:hAnsi="Times New Roman"/>
          <w:b/>
          <w:i/>
          <w:color w:val="2E2E2E"/>
          <w:sz w:val="20"/>
        </w:rPr>
        <w:t>Tennessee Quality Care</w:t>
      </w:r>
      <w:r>
        <w:rPr>
          <w:rFonts w:ascii="Times New Roman" w:hAnsi="Times New Roman"/>
          <w:color w:val="2E2E2E"/>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 2023, the Company completed the acquisition of Tennessee Quality Care. The purchase price was approximately $111.2 million, including the amount of acquired excess cash held by Tennessee Quality Care at the closing of the acquisition (approximately $2.4 million), and is subject to the completion of working capital and related adjustments. The Tennessee Quality Care acquisition was funded with a combination of a $110.0 million draw on the Company’s revolving credit facility and available cash. With the purchase of Tennessee Quality Care, the Company expanded its services within its hospice and home health segments to Tennessee. The related acquisition and integration costs were $2.1 million and $1.0 million, respectively, for the year ended December 31, 2023. These costs are included in general and administrative expenses on the Consolidated Statements of Income and were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management’s valuations, which are preliminary and subject to completion of working capital adjustments, the fair values of the assets and liabilities acquired are as follows:</w:t>
      </w:r>
    </w:p>
    <w:p>
      <w:pPr>
        <w:pStyle w:val="TextBody"/>
        <w:bidi w:val="0"/>
        <w:jc w:val="left"/>
        <w:rPr/>
      </w:pPr>
      <w:r>
        <w:rPr/>
        <w:t> </w:t>
      </w:r>
    </w:p>
    <w:tbl>
      <w:tblPr>
        <w:tblW w:w="5293" w:type="dxa"/>
        <w:jc w:val="left"/>
        <w:tblInd w:w="0" w:type="dxa"/>
        <w:tblLayout w:type="fixed"/>
        <w:tblCellMar>
          <w:top w:w="28" w:type="dxa"/>
          <w:left w:w="28" w:type="dxa"/>
          <w:bottom w:w="28" w:type="dxa"/>
          <w:right w:w="28" w:type="dxa"/>
        </w:tblCellMar>
      </w:tblPr>
      <w:tblGrid>
        <w:gridCol w:w="3076"/>
        <w:gridCol w:w="146"/>
        <w:gridCol w:w="395"/>
        <w:gridCol w:w="1465"/>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79,346</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left"/>
              <w:rPr/>
            </w:pPr>
            <w:r>
              <w:rPr/>
              <w:t> </w:t>
            </w:r>
          </w:p>
        </w:tc>
        <w:tc>
          <w:tcPr>
            <w:tcW w:w="14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vAlign w:val="center"/>
          </w:tcPr>
          <w:p>
            <w:pPr>
              <w:pStyle w:val="TableContents"/>
              <w:bidi w:val="0"/>
              <w:spacing w:before="0" w:after="283"/>
              <w:jc w:val="center"/>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vAlign w:val="center"/>
          </w:tcPr>
          <w:p>
            <w:pPr>
              <w:pStyle w:val="TableContents"/>
              <w:bidi w:val="0"/>
              <w:spacing w:before="0" w:after="283"/>
              <w:jc w:val="center"/>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Identifiable intangible assets acquired included $7.5 million in a trade name and $19.2 million of indefinite-lived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Tennessee Quality Care acquisition accounted for $16.3 million of net service revenues and $3.0 million of operating income for the year ended December 31, 2023.</w:t>
      </w:r>
    </w:p>
    <w:p>
      <w:pPr>
        <w:pStyle w:val="TextBody"/>
        <w:bidi w:val="0"/>
        <w:spacing w:before="360" w:after="283"/>
        <w:jc w:val="left"/>
        <w:rPr>
          <w:rFonts w:ascii="Times New Roman" w:hAnsi="Times New Roman"/>
          <w:sz w:val="20"/>
        </w:rPr>
      </w:pPr>
      <w:r>
        <w:rPr>
          <w:rFonts w:ascii="Times New Roman" w:hAnsi="Times New Roman"/>
          <w:b/>
          <w:i/>
          <w:color w:val="2E2E2E"/>
          <w:sz w:val="20"/>
        </w:rPr>
        <w:t>JourneyCare</w:t>
      </w:r>
      <w:r>
        <w:rPr>
          <w:rFonts w:ascii="Times New Roman" w:hAnsi="Times New Roman"/>
          <w:color w:val="2E2E2E"/>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 2022, the Company completed the acquisition of the hospice and palliative operations of JourneyCare. The purchase price was approximately $86.6 million, including the amount of acquired excess cash held by JourneyCare at the closing of the acquisition (approximately $0.4 million) plus the finalization of net working capital payable to seller of $1.6 million. The JourneyCare acquisition was funded with a combination of a $35.0 million draw on the Company’s revolving credit facility and available cash. With the JourneyCare acquisition, the Company expanded its hospice services to patients in the state of Illinois. The related acquisition and integration costs were $0.5 million and $4.3 million, respectively, for the year ended December 31, 2022. These costs are included in general and administrative expenses on the Consolidated Statements of Income and were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management’s valuations, which are preliminary and subject to completion of working capital adjustments, the fair values of the assets and liabilities acquired are as follows:</w:t>
      </w:r>
    </w:p>
    <w:p>
      <w:pPr>
        <w:pStyle w:val="TextBody"/>
        <w:bidi w:val="0"/>
        <w:jc w:val="left"/>
        <w:rPr/>
      </w:pPr>
      <w:r>
        <w:rPr/>
        <w:t> </w:t>
      </w:r>
    </w:p>
    <w:tbl>
      <w:tblPr>
        <w:tblW w:w="5293" w:type="dxa"/>
        <w:jc w:val="left"/>
        <w:tblInd w:w="0" w:type="dxa"/>
        <w:tblLayout w:type="fixed"/>
        <w:tblCellMar>
          <w:top w:w="28" w:type="dxa"/>
          <w:left w:w="28" w:type="dxa"/>
          <w:bottom w:w="28" w:type="dxa"/>
          <w:right w:w="28" w:type="dxa"/>
        </w:tblCellMar>
      </w:tblPr>
      <w:tblGrid>
        <w:gridCol w:w="3076"/>
        <w:gridCol w:w="146"/>
        <w:gridCol w:w="442"/>
        <w:gridCol w:w="1418"/>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center"/>
              <w:rPr/>
            </w:pPr>
            <w:r>
              <w:rPr/>
              <w:t> </w:t>
            </w:r>
          </w:p>
        </w:tc>
        <w:tc>
          <w:tcPr>
            <w:tcW w:w="4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69,446</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vAlign w:val="center"/>
          </w:tcPr>
          <w:p>
            <w:pPr>
              <w:pStyle w:val="TableContents"/>
              <w:bidi w:val="0"/>
              <w:spacing w:before="0" w:after="283"/>
              <w:jc w:val="center"/>
              <w:rPr/>
            </w:pPr>
            <w:r>
              <w:rPr/>
              <w:t> </w:t>
            </w:r>
          </w:p>
        </w:tc>
        <w:tc>
          <w:tcPr>
            <w:tcW w:w="44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13,792</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442"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44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center"/>
              <w:rPr/>
            </w:pPr>
            <w:r>
              <w:rPr/>
              <w:t> </w:t>
            </w:r>
          </w:p>
        </w:tc>
        <w:tc>
          <w:tcPr>
            <w:tcW w:w="442"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vAlign w:val="center"/>
          </w:tcPr>
          <w:p>
            <w:pPr>
              <w:pStyle w:val="TableContents"/>
              <w:bidi w:val="0"/>
              <w:spacing w:before="0" w:after="283"/>
              <w:jc w:val="center"/>
              <w:rPr/>
            </w:pPr>
            <w:r>
              <w:rPr/>
              <w:t> </w:t>
            </w:r>
          </w:p>
        </w:tc>
        <w:tc>
          <w:tcPr>
            <w:tcW w:w="44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center"/>
              <w:rPr/>
            </w:pPr>
            <w:r>
              <w:rPr/>
              <w:t> </w:t>
            </w:r>
          </w:p>
        </w:tc>
        <w:tc>
          <w:tcPr>
            <w:tcW w:w="442"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center"/>
              <w:rPr/>
            </w:pPr>
            <w:r>
              <w:rPr/>
              <w:t> </w:t>
            </w:r>
          </w:p>
        </w:tc>
        <w:tc>
          <w:tcPr>
            <w:tcW w:w="44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vAlign w:val="center"/>
          </w:tcPr>
          <w:p>
            <w:pPr>
              <w:pStyle w:val="TableContents"/>
              <w:bidi w:val="0"/>
              <w:spacing w:before="0" w:after="283"/>
              <w:jc w:val="center"/>
              <w:rPr/>
            </w:pPr>
            <w:r>
              <w:rPr/>
              <w:t> </w:t>
            </w:r>
          </w:p>
        </w:tc>
        <w:tc>
          <w:tcPr>
            <w:tcW w:w="442"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vAlign w:val="center"/>
          </w:tcPr>
          <w:p>
            <w:pPr>
              <w:pStyle w:val="TableContents"/>
              <w:bidi w:val="0"/>
              <w:spacing w:before="0" w:after="283"/>
              <w:jc w:val="center"/>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vAlign w:val="center"/>
          </w:tcPr>
          <w:p>
            <w:pPr>
              <w:pStyle w:val="TableContents"/>
              <w:bidi w:val="0"/>
              <w:spacing w:before="0" w:after="283"/>
              <w:jc w:val="center"/>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Identifiable intangible assets acquired included $9.0 million in a trade name and $4.8 million of indefinite-lived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JourneyCare accounted for $47.2 million of net service revenues and $9.1 million of operating income for the year ended December 31, 2022.</w:t>
      </w:r>
    </w:p>
    <w:p>
      <w:pPr>
        <w:pStyle w:val="TextBody"/>
        <w:bidi w:val="0"/>
        <w:spacing w:before="360" w:after="283"/>
        <w:jc w:val="left"/>
        <w:rPr>
          <w:rFonts w:ascii="Times New Roman" w:hAnsi="Times New Roman"/>
          <w:b/>
          <w:i/>
          <w:color w:val="2E2E2E"/>
          <w:sz w:val="20"/>
        </w:rPr>
      </w:pPr>
      <w:r>
        <w:rPr>
          <w:rFonts w:ascii="Times New Roman" w:hAnsi="Times New Roman"/>
          <w:b/>
          <w:i/>
          <w:color w:val="2E2E2E"/>
          <w:sz w:val="20"/>
        </w:rPr>
        <w:t>Armada Skilled Homecare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2021, we completed the acquisition of Armada Skilled Homecare of New Mexico LLC, Armada Hospice of New Mexico LLC and Armada Hospice of Santa Fe LLC (collectively, “Armada”) for approximately $29.7 million, including the amount of acquired excess cash held by Armada at the closing of the acquisition (approximately $0.7 million). The purchase of Armada was funded with the Company’s revolving credit facility. With the purchase of Armada, the Company expanded its home health and hospice services in the state of New Mexico. The related acquisition and integration costs were $0.4 million and $0.5 million, respectively, for the year ended December 31, 2021. These costs are included in general and administrative expenses on the Consolidated Statements of Income and were expensed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management’s final valuations, the fair values of the assets and liabilities acquired are as follows:</w:t>
      </w:r>
    </w:p>
    <w:p>
      <w:pPr>
        <w:pStyle w:val="TextBody"/>
        <w:bidi w:val="0"/>
        <w:jc w:val="left"/>
        <w:rPr/>
      </w:pPr>
      <w:r>
        <w:rPr/>
        <w:t> </w:t>
      </w:r>
    </w:p>
    <w:tbl>
      <w:tblPr>
        <w:tblW w:w="3808" w:type="dxa"/>
        <w:jc w:val="left"/>
        <w:tblInd w:w="0" w:type="dxa"/>
        <w:tblLayout w:type="fixed"/>
        <w:tblCellMar>
          <w:top w:w="28" w:type="dxa"/>
          <w:left w:w="28" w:type="dxa"/>
          <w:bottom w:w="28" w:type="dxa"/>
          <w:right w:w="28" w:type="dxa"/>
        </w:tblCellMar>
      </w:tblPr>
      <w:tblGrid>
        <w:gridCol w:w="2461"/>
        <w:gridCol w:w="146"/>
        <w:gridCol w:w="235"/>
        <w:gridCol w:w="755"/>
        <w:gridCol w:w="21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(Amounts in</w:t>
              <w:br/>
              <w:t>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w:t>
            </w:r>
          </w:p>
        </w:tc>
        <w:tc>
          <w:tcPr>
            <w:tcW w:w="21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21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1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Identifiable intangible assets acquired included $0.6 million of non-competition agreements with estimated useful lives of five years and $0.4 million of indefinite-lived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2023, we completed the acquisition of CareStaff for approximately $1.0 million, with funding provided by available cash. With the purchase of CareStaff, the Company expanded its personal care services segment in Florida and recorded goodwill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2022, we completed the acquisition of Apple Home for approximately $12.7 million, with funding provided by drawing on the Company’s revolving credit facility. The additional contingent consideration of up to approximately $2 million was settled without further payment. With the purchase of Apple Home, the Company expanded clinical services for its home health segment in Illinois and recorded goodwill of $8.9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2021, we completed the acquisition of Summit Home Health, LLC (“Summit”) for approximately $8.1 million, with funding provided by available cash. With the purchase of Summit, we added clinical services to our home health segment in Illinois and recorded goodwill of $6.5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the following table contains unaudited pro forma Consolidated Income Statement information of the Company as if the acquisition of Tennessee Quality Care closed on January 1, 2022. For the year ended December 31, 2022, the following table contains unaudited pro forma Consolidated Income Statement information of the Company as if the acquisition of JourneyCare closed on January 1, 2021. For the year ended December 31, 2021, the following table contains unaudited pro forma Consolidated Income Statement information of the Company as if the acquisition of Armada closed on January 1, 2020. </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3841"/>
        <w:gridCol w:w="146"/>
        <w:gridCol w:w="211"/>
        <w:gridCol w:w="931"/>
        <w:gridCol w:w="146"/>
        <w:gridCol w:w="146"/>
        <w:gridCol w:w="211"/>
        <w:gridCol w:w="781"/>
        <w:gridCol w:w="146"/>
        <w:gridCol w:w="146"/>
        <w:gridCol w:w="211"/>
        <w:gridCol w:w="78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br/>
              <w:t>(Amounts in Thousands, 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936,601</w:t>
            </w:r>
          </w:p>
        </w:tc>
        <w:tc>
          <w:tcPr>
            <w:tcW w:w="3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continuing operations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69,081</w:t>
            </w:r>
          </w:p>
        </w:tc>
        <w:tc>
          <w:tcPr>
            <w:tcW w:w="3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47,622</w:t>
            </w:r>
          </w:p>
        </w:tc>
        <w:tc>
          <w:tcPr>
            <w:tcW w:w="3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income per share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income per share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disclosures in the table above include adjustments for amortization of intangible assets, tax expense and acquisition costs to reflect results that are more representative of the combined results of the transactions.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48,492</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Computer software includes $1.6 million of internally developed software for both years ended December 31, 2023 and 2022. Depreciation and amortization expense totaled $6.9 million, $6.8 million and $5.9 million for the years ended December 31, 2023, 2022 and 2021,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goodwill by segment and related adjustments is provided below:</w:t>
      </w:r>
    </w:p>
    <w:p>
      <w:pPr>
        <w:pStyle w:val="TextBody"/>
        <w:bidi w:val="0"/>
        <w:jc w:val="left"/>
        <w:rPr/>
      </w:pPr>
      <w:r>
        <w:rPr/>
        <w:t> </w:t>
      </w:r>
    </w:p>
    <w:tbl>
      <w:tblPr>
        <w:tblW w:w="9253" w:type="dxa"/>
        <w:jc w:val="left"/>
        <w:tblInd w:w="0" w:type="dxa"/>
        <w:tblLayout w:type="fixed"/>
        <w:tblCellMar>
          <w:top w:w="28" w:type="dxa"/>
          <w:left w:w="28" w:type="dxa"/>
          <w:bottom w:w="28" w:type="dxa"/>
          <w:right w:w="28" w:type="dxa"/>
        </w:tblCellMar>
      </w:tblPr>
      <w:tblGrid>
        <w:gridCol w:w="3796"/>
        <w:gridCol w:w="146"/>
        <w:gridCol w:w="211"/>
        <w:gridCol w:w="781"/>
        <w:gridCol w:w="166"/>
        <w:gridCol w:w="146"/>
        <w:gridCol w:w="242"/>
        <w:gridCol w:w="898"/>
        <w:gridCol w:w="166"/>
        <w:gridCol w:w="146"/>
        <w:gridCol w:w="257"/>
        <w:gridCol w:w="823"/>
        <w:gridCol w:w="146"/>
        <w:gridCol w:w="146"/>
        <w:gridCol w:w="211"/>
        <w:gridCol w:w="78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2021</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504,392</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acquisitions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78,356</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previously recorded goodwill</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582,837</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acquisitions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79,946</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previously recorded goodwill</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2023, the Company recognized goodwill in the hospice and home health segments of $35.0 million and $44.3 million, respectively, related to the acquisition of Tennessee Quality Care and $0.6 million related to the acquisition of CareStaff in the personal care services segment. In connection with the acquisition of JourneyCare in 2022, the Company recognized goodwill in its hospice segment of $69.4 million and $8.9 million with the acquisition of Apple Home in 2022 in our home health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adjustments to previously recorded goodwill are generally related to accounts receivable and accrued expenses based on the final valuations. See Note 3 to the Notes to Consolidated Financial Statements for additional information regarding the acquisitions made by the Company in 2022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and certain state licenses are not amortized pursuant to ASC Topic 350.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and fair value of long term debt, estimates of future revenue and expense growth, estimated market multiples, expected capital expenditures, income tax rates and cost of invested capital. Significant assumptions used in the analysis included a 10.0% discount rate and long-term revenue growth rates that ranged from 3.5% to 5.8%. The Company did not record any impairment charges for the years ended December 31, 2023, 2022 or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 and accumulated amortization of each identifiable intangible asset category consisted of the following at December 31, 2023 and 2022:</w:t>
      </w:r>
    </w:p>
    <w:p>
      <w:pPr>
        <w:pStyle w:val="TextBody"/>
        <w:bidi w:val="0"/>
        <w:jc w:val="left"/>
        <w:rPr/>
      </w:pPr>
      <w:r>
        <w:rPr/>
        <w:t> </w:t>
      </w:r>
    </w:p>
    <w:tbl>
      <w:tblPr>
        <w:tblW w:w="10260" w:type="dxa"/>
        <w:jc w:val="left"/>
        <w:tblInd w:w="0" w:type="dxa"/>
        <w:tblLayout w:type="fixed"/>
        <w:tblCellMar>
          <w:top w:w="28" w:type="dxa"/>
          <w:left w:w="28" w:type="dxa"/>
          <w:bottom w:w="28" w:type="dxa"/>
          <w:right w:w="28" w:type="dxa"/>
        </w:tblCellMar>
      </w:tblPr>
      <w:tblGrid>
        <w:gridCol w:w="1516"/>
        <w:gridCol w:w="146"/>
        <w:gridCol w:w="901"/>
        <w:gridCol w:w="146"/>
        <w:gridCol w:w="211"/>
        <w:gridCol w:w="781"/>
        <w:gridCol w:w="146"/>
        <w:gridCol w:w="146"/>
        <w:gridCol w:w="234"/>
        <w:gridCol w:w="817"/>
        <w:gridCol w:w="166"/>
        <w:gridCol w:w="146"/>
        <w:gridCol w:w="211"/>
        <w:gridCol w:w="676"/>
        <w:gridCol w:w="146"/>
        <w:gridCol w:w="146"/>
        <w:gridCol w:w="211"/>
        <w:gridCol w:w="781"/>
        <w:gridCol w:w="146"/>
        <w:gridCol w:w="146"/>
        <w:gridCol w:w="234"/>
        <w:gridCol w:w="817"/>
        <w:gridCol w:w="166"/>
        <w:gridCol w:w="146"/>
        <w:gridCol w:w="211"/>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3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shd w:fill="FFFFFF" w:val="cle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and referral relationships</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30,988</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6-10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2023, the Company acquired indefinite-lived state licenses and a trade name of $7.6 million and $2.1 million, respectively, in its hospice segment related to the acquisition of Tennessee Quality Care. The Company also acquired indefinite-lived state licenses and trade name of $11.6 million and $5.4 million, respectively, in its home health segment in connection with the Tennessee Quality Care acquisition.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2022, the Company acquired indefinite-lived state licenses and trade names of $4.8 million and $9.0 million, respectively, related to the acquisition of JourneyCare. During the year ended December 31, 2022, the Company acquired indefinite lived state licenses and trade names of $1.2 million and $0.1 million, respectively, related to the acquisition of Apple Home.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related to the identifiable intangible assets amounted to $7.1 million, $7.2 million and $8.5 million for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remaining useful life of identifiable intangible assets as of December 31, 2023 is 10.23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future intangible amortization expense is as follows:</w:t>
      </w:r>
    </w:p>
    <w:p>
      <w:pPr>
        <w:pStyle w:val="TextBody"/>
        <w:bidi w:val="0"/>
        <w:jc w:val="left"/>
        <w:rPr/>
      </w:pPr>
      <w:r>
        <w:rPr/>
        <w:t> </w:t>
      </w:r>
    </w:p>
    <w:tbl>
      <w:tblPr>
        <w:tblW w:w="5183" w:type="dxa"/>
        <w:jc w:val="left"/>
        <w:tblInd w:w="0" w:type="dxa"/>
        <w:tblLayout w:type="fixed"/>
        <w:tblCellMar>
          <w:top w:w="28" w:type="dxa"/>
          <w:left w:w="28" w:type="dxa"/>
          <w:bottom w:w="28" w:type="dxa"/>
          <w:right w:w="28" w:type="dxa"/>
        </w:tblCellMar>
      </w:tblPr>
      <w:tblGrid>
        <w:gridCol w:w="3916"/>
        <w:gridCol w:w="146"/>
        <w:gridCol w:w="221"/>
        <w:gridCol w:w="709"/>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(Amount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subject to amortization</w:t>
            </w:r>
          </w:p>
        </w:tc>
        <w:tc>
          <w:tcPr>
            <w:tcW w:w="146" w:type="dxa"/>
            <w:tcBorders/>
            <w:shd w:fill="CFF0FC" w:val="clear"/>
            <w:vAlign w:val="center"/>
          </w:tcPr>
          <w:p>
            <w:pPr>
              <w:pStyle w:val="TableContents"/>
              <w:bidi w:val="0"/>
              <w:spacing w:before="0" w:after="283"/>
              <w:jc w:val="center"/>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Details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left"/>
        <w:rPr/>
      </w:pPr>
      <w:r>
        <w:rPr/>
        <w:t> </w:t>
      </w:r>
    </w:p>
    <w:tbl>
      <w:tblPr>
        <w:tblW w:w="6934" w:type="dxa"/>
        <w:jc w:val="left"/>
        <w:tblInd w:w="0" w:type="dxa"/>
        <w:tblLayout w:type="fixed"/>
        <w:tblCellMar>
          <w:top w:w="28" w:type="dxa"/>
          <w:left w:w="28" w:type="dxa"/>
          <w:bottom w:w="28" w:type="dxa"/>
          <w:right w:w="28" w:type="dxa"/>
        </w:tblCellMar>
      </w:tblPr>
      <w:tblGrid>
        <w:gridCol w:w="4531"/>
        <w:gridCol w:w="146"/>
        <w:gridCol w:w="211"/>
        <w:gridCol w:w="676"/>
        <w:gridCol w:w="146"/>
        <w:gridCol w:w="146"/>
        <w:gridCol w:w="211"/>
        <w:gridCol w:w="676"/>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payroll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91"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workers’ compensation and liability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191"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licensing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91"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Workers’ compensation insurance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1"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expenses consisted of the following:</w:t>
      </w:r>
    </w:p>
    <w:p>
      <w:pPr>
        <w:pStyle w:val="TextBody"/>
        <w:bidi w:val="0"/>
        <w:jc w:val="left"/>
        <w:rPr/>
      </w:pPr>
      <w:r>
        <w:rPr/>
        <w:t> </w:t>
      </w:r>
    </w:p>
    <w:tbl>
      <w:tblPr>
        <w:tblW w:w="5104"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11"/>
        <w:gridCol w:w="67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health benefits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Payor advances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taxes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consisted of the following:</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3346"/>
        <w:gridCol w:w="146"/>
        <w:gridCol w:w="211"/>
        <w:gridCol w:w="781"/>
        <w:gridCol w:w="166"/>
        <w:gridCol w:w="146"/>
        <w:gridCol w:w="211"/>
        <w:gridCol w:w="78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loan under the credit facility</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134,853</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under the credit facility</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131,772</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maturities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Annual Report on Form 10-K,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26, 2023, the Company entered into the Third Amendment to replace LIBOR with SOFR as the benchmark reference rate for loans under its credit facility. The Third Amendment did not amend any other terms of the Credit Agreement. The transition to SOFR did not and is not expected to have a material impact on the Company’s results of operations or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pays a fee ranging from 0.20% to 0.35% based on the applicable senior net leverage ratio times the unused portion of the revolving loan portion of the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December 31, 2023, the Company was in compliance with all financial covenants under the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twelve months ended December 31, 2023, the Company drew approximately $110.0 million under its credit facility to fund, in part, the Tennessee Quality Care acquisition. At December 31, 2023, the Company had a total of $126.4 million of revolving loans, with an interest rate of 7.21%, outstanding on its credit facility. After giving effect to the amount drawn on its credit facility, approximately $8.0 million of outstanding letters of credit and borrowing limits based on an advance multiple of Adjusted EBITDA (as defined in the Credit Agreement), the Company had $470.0 million of capacity and $335.6 million available for borrowing under its credit facility.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twelve months ended December 31, 2022, the Company drew approximately $47.0 million under its credit facility to fund in part, the JourneyCare and Apple Home acquisitions. At December 31, 2022, the Company had a total of $134.9 million of revolving loans, with an interest rate of 6.13%, outstanding on its credit facility. After giving effect to the amount drawn on its credit facility, approximately $8.2 million of outstanding letters of credit and borrowing limits based on an advance multiple of Adjusted EBITDA (as defined in the Credit Agreement), the Company had $380.2 million of capacity and $237.2 million available for borrowing under its credit facility.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and deferred federal and state income tax provision from continuing operations, are comprised of the following:</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2281"/>
        <w:gridCol w:w="146"/>
        <w:gridCol w:w="211"/>
        <w:gridCol w:w="676"/>
        <w:gridCol w:w="146"/>
        <w:gridCol w:w="146"/>
        <w:gridCol w:w="211"/>
        <w:gridCol w:w="676"/>
        <w:gridCol w:w="146"/>
        <w:gridCol w:w="146"/>
        <w:gridCol w:w="211"/>
        <w:gridCol w:w="676"/>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3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3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tax effects of certain temporary differences between the Company’s book and tax bases of assets and liabilities give rise to significant portions of the deferred income tax assets (liabilities) at December 31, 2023 and 2022. The deferred tax assets (liabilities) consisted of the following:</w:t>
      </w:r>
    </w:p>
    <w:p>
      <w:pPr>
        <w:pStyle w:val="TextBody"/>
        <w:bidi w:val="0"/>
        <w:jc w:val="left"/>
        <w:rPr/>
      </w:pPr>
      <w:r>
        <w:rPr/>
        <w:t> </w:t>
      </w:r>
    </w:p>
    <w:tbl>
      <w:tblPr>
        <w:tblW w:w="6911" w:type="dxa"/>
        <w:jc w:val="left"/>
        <w:tblInd w:w="0" w:type="dxa"/>
        <w:tblLayout w:type="fixed"/>
        <w:tblCellMar>
          <w:top w:w="28" w:type="dxa"/>
          <w:left w:w="28" w:type="dxa"/>
          <w:bottom w:w="28" w:type="dxa"/>
          <w:right w:w="28" w:type="dxa"/>
        </w:tblCellMar>
      </w:tblPr>
      <w:tblGrid>
        <w:gridCol w:w="3516"/>
        <w:gridCol w:w="146"/>
        <w:gridCol w:w="252"/>
        <w:gridCol w:w="881"/>
        <w:gridCol w:w="198"/>
        <w:gridCol w:w="174"/>
        <w:gridCol w:w="252"/>
        <w:gridCol w:w="881"/>
        <w:gridCol w:w="61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611" w:type="dxa"/>
            <w:tcBorders/>
            <w:shd w:fill="FFFFFF" w:val="clear"/>
            <w:vAlign w:val="center"/>
          </w:tcPr>
          <w:p>
            <w:pPr>
              <w:pStyle w:val="TableContents"/>
              <w:bidi w:val="0"/>
              <w:spacing w:before="0" w:after="283"/>
              <w:jc w:val="center"/>
              <w:rPr/>
            </w:pPr>
            <w:r>
              <w:rPr/>
              <w:t> </w:t>
            </w:r>
          </w:p>
        </w:tc>
      </w:tr>
      <w:tr>
        <w:trPr/>
        <w:tc>
          <w:tcPr>
            <w:tcW w:w="3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center"/>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center"/>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allowances</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workers’ compensation</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deferred tax assets</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49,912</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42,962</w:t>
            </w:r>
          </w:p>
        </w:tc>
        <w:tc>
          <w:tcPr>
            <w:tcW w:w="611" w:type="dxa"/>
            <w:tcBorders/>
            <w:shd w:fill="FFFFFF" w:val="clear"/>
            <w:vAlign w:val="center"/>
          </w:tcPr>
          <w:p>
            <w:pPr>
              <w:pStyle w:val="TableContents"/>
              <w:bidi w:val="0"/>
              <w:spacing w:before="0" w:after="283"/>
              <w:jc w:val="left"/>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center"/>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center"/>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(42,980</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center"/>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Insurance premiums</w:t>
            </w:r>
          </w:p>
        </w:tc>
        <w:tc>
          <w:tcPr>
            <w:tcW w:w="146"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deferred tax liabilities</w:t>
            </w:r>
          </w:p>
        </w:tc>
        <w:tc>
          <w:tcPr>
            <w:tcW w:w="146" w:type="dxa"/>
            <w:tcBorders/>
            <w:shd w:fill="CFF0FC" w:val="clear"/>
            <w:vAlign w:val="center"/>
          </w:tcPr>
          <w:p>
            <w:pPr>
              <w:pStyle w:val="TableContents"/>
              <w:bidi w:val="0"/>
              <w:spacing w:before="0" w:after="283"/>
              <w:jc w:val="center"/>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(58,441</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center"/>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deferred tax (liabilities) assets</w:t>
            </w:r>
          </w:p>
        </w:tc>
        <w:tc>
          <w:tcPr>
            <w:tcW w:w="146" w:type="dxa"/>
            <w:tcBorders/>
            <w:shd w:fill="FFFFFF" w:val="cle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all available evidence in making this assessment.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for continuing operations of the statutory federal tax rate of 21.0% to the effective income tax rate is summarized as follows:</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4111"/>
        <w:gridCol w:w="146"/>
        <w:gridCol w:w="146"/>
        <w:gridCol w:w="466"/>
        <w:gridCol w:w="166"/>
        <w:gridCol w:w="271"/>
        <w:gridCol w:w="146"/>
        <w:gridCol w:w="146"/>
        <w:gridCol w:w="466"/>
        <w:gridCol w:w="166"/>
        <w:gridCol w:w="271"/>
        <w:gridCol w:w="146"/>
        <w:gridCol w:w="146"/>
        <w:gridCol w:w="466"/>
        <w:gridCol w:w="1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0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at statutory rate</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taxes, net of federal benefit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162(m) disallowance for executive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penalties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Excess tax benefit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Jobs tax credits, net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permanent items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Federal/state return to provision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effective income tax rate was 23.1%, 23.5% and 25.2% for the years ended December 31, 2023, 2022 and 2021, respectively. The difference between our federal statutory and effective income tax rates was principally due to the inclusion of state taxes and non-deductible compensation, partially offset by an excess tax benefit and the use of federal employment tax credits. The excess tax expense/benefit is a discrete item, related to the vesting of equity shares, which requires the Company to recognize the expense or benefit fully in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taxation in the jurisdictions in which it operates. The Company continues to remain subject to examination by U.S. federal authorities for the years 2020 through 2022 and for various state authorities for the years 2018 through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 Options and 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approved the A&amp;R 2017 Plan as of April 13, 2023 and our shareholders approved it as of June 14, 2023. The A&amp;R 2017 Plan amended and restated our 2017 Omnibus Incentive Plan (the “2017 Plan”), which in turn was intended to replace our 2009 Stock Incentive Plan (the “2009 Plan”). All awards are now granted from the A&amp;R 2017 Plan. Outstanding awards under the 2009 Plan will continue to be governed by the 2009 Plan and the agreements under which they were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A&amp;R 2017 Plan allows us to grant performance-based incentive awards and equity-based awards (each, an “Award”) to eligible employees, directors and consultants in the form of Stock Options, Stock Appreciation Rights (“SARs”), Restricted Stock Restricted Stock Units, Performance Awards and Other Stock Unit Awards. The Board believes that the A&amp;R 2017 Plan is necessary to continue the Company’s effectiveness in attracting, motivating and retaining employees, directors and consultants with appropriate experience and to increase the grantees’ alignment of interest with the Company’s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A&amp;R 2017 Plan, Awards may be made in shares of our common stock. Subject to adjustment as provided by the terms of the A&amp;R 2017 Plan, the maximum aggregate number of shares of common stock with respect to which awards may be granted under the A&amp;R 2017 Plan is 864,215, comprised of 274,215 shares (the number of shares that were available for issuance under the 2017 Plan as of April 13, 2023) and 590,000 shares (the number of shares newly authorized by the Company’s shareholders upon their approval of the A&amp;R 2017 Plan).. The aggregate awards granted during any calendar year to any single Participant cannot exceed 500,000 shares subject to stock options or SARs. These individual annual limitations are cumulative in that any shares of common stock or cash for which Awards are permitted to be granted to a Participant during a fiscal year are not covered by an Award in that fiscal year (such shortfall, the “Shortfall Amount”), the number of shares of common stock (or amount of cash, as the case may be) will automatically increase in the subsequent fiscal years during the term of the A&amp;R 2017 Plan until the earlier of the time when the Shortfall Amount has been granted to the Participant, or the end of the third fiscal year following the year to which such Shortfall Amount relates. At December 31, 2023, there were 854,003 shares of common stock available for future grant under the A&amp;R 2017 Plan.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Awards made under the 2017 Plan (and the 2009 Plan) that are forfeited, canceled, settled in cash or otherwise terminated without a distribution of shares to a Participant will be deemed available for Awards under the A&amp;R 2017 Plan; provided, that the A&amp;R 2017 Plan explicitly prohibits shares withheld for payment of taxes for awards, the exercise price for appreciation awards, shares acquired with the proceeds of appreciation awards, and shares from stock settled SARs from being added back to the share reserve. Stock options are awarded with an exercise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are awarded with an exercise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stock options outstanding on December 31, 2023 range from $19.71 to $92.00. Restricted stock awards are full-value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stock option activity for the year ended December 31, 2023 follows:</w:t>
      </w:r>
    </w:p>
    <w:p>
      <w:pPr>
        <w:pStyle w:val="TextBody"/>
        <w:bidi w:val="0"/>
        <w:jc w:val="left"/>
        <w:rPr/>
      </w:pPr>
      <w:r>
        <w:rPr/>
        <w:t> </w:t>
      </w:r>
    </w:p>
    <w:tbl>
      <w:tblPr>
        <w:tblW w:w="10182" w:type="dxa"/>
        <w:jc w:val="left"/>
        <w:tblInd w:w="0" w:type="dxa"/>
        <w:tblLayout w:type="fixed"/>
        <w:tblCellMar>
          <w:top w:w="28" w:type="dxa"/>
          <w:left w:w="28" w:type="dxa"/>
          <w:bottom w:w="28" w:type="dxa"/>
          <w:right w:w="28" w:type="dxa"/>
        </w:tblCellMar>
      </w:tblPr>
      <w:tblGrid>
        <w:gridCol w:w="2836"/>
        <w:gridCol w:w="146"/>
        <w:gridCol w:w="254"/>
        <w:gridCol w:w="736"/>
        <w:gridCol w:w="166"/>
        <w:gridCol w:w="146"/>
        <w:gridCol w:w="302"/>
        <w:gridCol w:w="823"/>
        <w:gridCol w:w="146"/>
        <w:gridCol w:w="146"/>
        <w:gridCol w:w="1234"/>
        <w:gridCol w:w="305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(Amounts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Terms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CFF0FC" w:val="clear"/>
            <w:vAlign w:val="center"/>
          </w:tcPr>
          <w:p>
            <w:pPr>
              <w:pStyle w:val="TableContents"/>
              <w:bidi w:val="0"/>
              <w:spacing w:before="0" w:after="283"/>
              <w:jc w:val="righ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shd w:fill="CFF0FC" w:val="cle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vAlign w:val="center"/>
          </w:tcPr>
          <w:p>
            <w:pPr>
              <w:pStyle w:val="TableContents"/>
              <w:bidi w:val="0"/>
              <w:spacing w:before="0" w:after="283"/>
              <w:jc w:val="righ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3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estimated fair value of employee stock options granted was calculated using the Black-Scholes Option Pricing Model in 2022 and 2021. The Company did not grant any stock options in 2023. The related assumptions follow:</w:t>
      </w:r>
    </w:p>
    <w:p>
      <w:pPr>
        <w:pStyle w:val="TextBody"/>
        <w:bidi w:val="0"/>
        <w:jc w:val="left"/>
        <w:rPr/>
      </w:pPr>
      <w:r>
        <w:rPr/>
        <w:t> </w:t>
      </w:r>
    </w:p>
    <w:tbl>
      <w:tblPr>
        <w:tblW w:w="6069" w:type="dxa"/>
        <w:jc w:val="left"/>
        <w:tblInd w:w="0" w:type="dxa"/>
        <w:tblLayout w:type="fixed"/>
        <w:tblCellMar>
          <w:top w:w="28" w:type="dxa"/>
          <w:left w:w="28" w:type="dxa"/>
          <w:bottom w:w="28" w:type="dxa"/>
          <w:right w:w="28" w:type="dxa"/>
        </w:tblCellMar>
      </w:tblPr>
      <w:tblGrid>
        <w:gridCol w:w="2401"/>
        <w:gridCol w:w="146"/>
        <w:gridCol w:w="233"/>
        <w:gridCol w:w="383"/>
        <w:gridCol w:w="146"/>
        <w:gridCol w:w="146"/>
        <w:gridCol w:w="352"/>
        <w:gridCol w:w="953"/>
        <w:gridCol w:w="146"/>
        <w:gridCol w:w="146"/>
        <w:gridCol w:w="222"/>
        <w:gridCol w:w="604"/>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shd w:fill="FFFFFF" w:val="cle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discount rate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 - 2.86%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91" w:type="dxa"/>
            <w:tcBorders/>
            <w:shd w:fill="FFFFFF" w:val="cle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 years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years</w:t>
            </w:r>
          </w:p>
        </w:tc>
        <w:tc>
          <w:tcPr>
            <w:tcW w:w="191" w:type="dxa"/>
            <w:tcBorders/>
            <w:shd w:fill="CFF0FC" w:val="cle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91" w:type="dxa"/>
            <w:tcBorders/>
            <w:shd w:fill="CFF0FC"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compensation expense totaled $0.9 million, $1.2 million and $1.4 million for the years ended December 31, 2023, 2022 and 2021, respectively. As of December 31, 2023, there was $1.0 million of total unrecognized compensation cost that is expected to be recognized over a weighted average period of 2.0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intrinsic value of exercisable and outstanding stock options was $21.0 million and $21.2 million, respectively,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were 415,000 and 40,000 shares of stock options vested and unvested,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intrinsic value of stock options exercised during the years ended December 31, 2023, 2022 and 2021 was $0.8 million, $3.5 million and $1.8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unvested restricted stock awards activity and weighted average grant date fair value for the year ended December 31, 2023 follows:</w:t>
      </w:r>
    </w:p>
    <w:p>
      <w:pPr>
        <w:pStyle w:val="TextBody"/>
        <w:bidi w:val="0"/>
        <w:jc w:val="left"/>
        <w:rPr/>
      </w:pPr>
      <w:r>
        <w:rPr/>
        <w:t> </w:t>
      </w:r>
    </w:p>
    <w:tbl>
      <w:tblPr>
        <w:tblW w:w="7055" w:type="dxa"/>
        <w:jc w:val="left"/>
        <w:tblInd w:w="0" w:type="dxa"/>
        <w:tblLayout w:type="fixed"/>
        <w:tblCellMar>
          <w:top w:w="28" w:type="dxa"/>
          <w:left w:w="28" w:type="dxa"/>
          <w:bottom w:w="28" w:type="dxa"/>
          <w:right w:w="28" w:type="dxa"/>
        </w:tblCellMar>
      </w:tblPr>
      <w:tblGrid>
        <w:gridCol w:w="4471"/>
        <w:gridCol w:w="146"/>
        <w:gridCol w:w="254"/>
        <w:gridCol w:w="736"/>
        <w:gridCol w:w="166"/>
        <w:gridCol w:w="146"/>
        <w:gridCol w:w="225"/>
        <w:gridCol w:w="720"/>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Awards</w:t>
              <w:br/>
              <w:t>(Amounts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beginning of period</w:t>
            </w:r>
          </w:p>
        </w:tc>
        <w:tc>
          <w:tcPr>
            <w:tcW w:w="146" w:type="dxa"/>
            <w:tcBorders/>
            <w:shd w:fill="CFF0FC" w:val="clear"/>
            <w:vAlign w:val="center"/>
          </w:tcPr>
          <w:p>
            <w:pPr>
              <w:pStyle w:val="TableContents"/>
              <w:bidi w:val="0"/>
              <w:spacing w:before="0" w:after="283"/>
              <w:jc w:val="center"/>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9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vAlign w:val="center"/>
          </w:tcPr>
          <w:p>
            <w:pPr>
              <w:pStyle w:val="TableContents"/>
              <w:bidi w:val="0"/>
              <w:spacing w:before="0" w:after="283"/>
              <w:jc w:val="center"/>
              <w:rPr/>
            </w:pPr>
            <w:r>
              <w:rPr/>
              <w:t> </w:t>
            </w:r>
          </w:p>
        </w:tc>
        <w:tc>
          <w:tcPr>
            <w:tcW w:w="2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191"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254"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91"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91"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 end of period</w:t>
            </w:r>
          </w:p>
        </w:tc>
        <w:tc>
          <w:tcPr>
            <w:tcW w:w="146" w:type="dxa"/>
            <w:tcBorders/>
            <w:shd w:fill="CFF0FC" w:val="cle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restricted stock awards that vested during the year ended December 31, 2023 was $9.9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award compensation expense totaled $9.4 million, $9.4 million and $8.0 million for the years ended December 31, 2023, 2022 and 2021, respectively. As of December 31, 2023, there was $10.4 million of total unrecognized compensation cost that is expected to be recognized over a weighted average period of 1.4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contributions totaling $0.6 million, $0.4 million and $0.4 million for the years ended December 31, 2023, 2022 and 2021,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legal and/or administrative proceedings incidental to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the opinion of management that the outcome of pending legal and/or administrative proceedings will not have a material effect on the Company’s Consolidated Balance Sheets and Consolidated Statements of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owns financial instruments that potentially subject the Company to significant concentrations of credit risk, including cash. The Company maintains cash with financial institutions which, at times, may exceed federally insured limits. The Company believes it is not exposed to any significant credit risk on cash.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tables below set forth information about the Company’s reportable segments for the years ended December 31, 2023, 2022 and 2021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pStyle w:val="TextBody"/>
        <w:bidi w:val="0"/>
        <w:jc w:val="left"/>
        <w:rPr/>
      </w:pPr>
      <w:r>
        <w:rPr/>
        <w:t> </w:t>
      </w:r>
    </w:p>
    <w:tbl>
      <w:tblPr>
        <w:tblW w:w="8658" w:type="dxa"/>
        <w:jc w:val="left"/>
        <w:tblInd w:w="0" w:type="dxa"/>
        <w:tblLayout w:type="fixed"/>
        <w:tblCellMar>
          <w:top w:w="28" w:type="dxa"/>
          <w:left w:w="28" w:type="dxa"/>
          <w:bottom w:w="28" w:type="dxa"/>
          <w:right w:w="28" w:type="dxa"/>
        </w:tblCellMar>
      </w:tblPr>
      <w:tblGrid>
        <w:gridCol w:w="3091"/>
        <w:gridCol w:w="146"/>
        <w:gridCol w:w="242"/>
        <w:gridCol w:w="898"/>
        <w:gridCol w:w="146"/>
        <w:gridCol w:w="146"/>
        <w:gridCol w:w="211"/>
        <w:gridCol w:w="781"/>
        <w:gridCol w:w="146"/>
        <w:gridCol w:w="146"/>
        <w:gridCol w:w="257"/>
        <w:gridCol w:w="823"/>
        <w:gridCol w:w="146"/>
        <w:gridCol w:w="146"/>
        <w:gridCol w:w="211"/>
        <w:gridCol w:w="9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1,058,651</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951,120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299,739</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service revenues</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864,499</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269,848</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13" w:type="dxa"/>
        <w:jc w:val="left"/>
        <w:tblInd w:w="0" w:type="dxa"/>
        <w:tblLayout w:type="fixed"/>
        <w:tblCellMar>
          <w:top w:w="28" w:type="dxa"/>
          <w:left w:w="28" w:type="dxa"/>
          <w:bottom w:w="28" w:type="dxa"/>
          <w:right w:w="28" w:type="dxa"/>
        </w:tblCellMar>
      </w:tblPr>
      <w:tblGrid>
        <w:gridCol w:w="3556"/>
        <w:gridCol w:w="146"/>
        <w:gridCol w:w="211"/>
        <w:gridCol w:w="781"/>
        <w:gridCol w:w="166"/>
        <w:gridCol w:w="146"/>
        <w:gridCol w:w="211"/>
        <w:gridCol w:w="781"/>
        <w:gridCol w:w="166"/>
        <w:gridCol w:w="146"/>
        <w:gridCol w:w="211"/>
        <w:gridCol w:w="781"/>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reconciliation:</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operating income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167,938</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not allocated at segment level:</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87,508</w:t>
            </w:r>
          </w:p>
        </w:tc>
        <w:tc>
          <w:tcPr>
            <w:tcW w:w="2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2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Significant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2023, 2022 and 2021, the Company’s revenue by payor type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2"/>
        <w:gridCol w:w="146"/>
        <w:gridCol w:w="222"/>
        <w:gridCol w:w="823"/>
        <w:gridCol w:w="146"/>
        <w:gridCol w:w="146"/>
        <w:gridCol w:w="159"/>
        <w:gridCol w:w="622"/>
        <w:gridCol w:w="146"/>
        <w:gridCol w:w="271"/>
        <w:gridCol w:w="146"/>
        <w:gridCol w:w="222"/>
        <w:gridCol w:w="823"/>
        <w:gridCol w:w="146"/>
        <w:gridCol w:w="146"/>
        <w:gridCol w:w="159"/>
        <w:gridCol w:w="622"/>
        <w:gridCol w:w="146"/>
        <w:gridCol w:w="271"/>
        <w:gridCol w:w="146"/>
        <w:gridCol w:w="222"/>
        <w:gridCol w:w="823"/>
        <w:gridCol w:w="146"/>
        <w:gridCol w:w="146"/>
        <w:gridCol w:w="159"/>
        <w:gridCol w:w="622"/>
        <w:gridCol w:w="146"/>
        <w:gridCol w:w="321"/>
      </w:tblGrid>
      <w:tr>
        <w:trPr/>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80"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80"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local and other governmental programs</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pay</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1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21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21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personal care segment net service revenues</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3"/>
        <w:gridCol w:w="146"/>
        <w:gridCol w:w="221"/>
        <w:gridCol w:w="817"/>
        <w:gridCol w:w="146"/>
        <w:gridCol w:w="146"/>
        <w:gridCol w:w="177"/>
        <w:gridCol w:w="694"/>
        <w:gridCol w:w="146"/>
        <w:gridCol w:w="271"/>
        <w:gridCol w:w="146"/>
        <w:gridCol w:w="221"/>
        <w:gridCol w:w="817"/>
        <w:gridCol w:w="146"/>
        <w:gridCol w:w="146"/>
        <w:gridCol w:w="177"/>
        <w:gridCol w:w="694"/>
        <w:gridCol w:w="146"/>
        <w:gridCol w:w="271"/>
        <w:gridCol w:w="146"/>
        <w:gridCol w:w="221"/>
        <w:gridCol w:w="817"/>
        <w:gridCol w:w="146"/>
        <w:gridCol w:w="146"/>
        <w:gridCol w:w="177"/>
        <w:gridCol w:w="694"/>
        <w:gridCol w:w="146"/>
        <w:gridCol w:w="321"/>
      </w:tblGrid>
      <w:tr>
        <w:trPr/>
        <w:tc>
          <w:tcPr>
            <w:tcW w:w="1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8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29"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center"/>
              <w:rPr/>
            </w:pPr>
            <w:r>
              <w:rPr/>
              <w:t> </w:t>
            </w:r>
          </w:p>
        </w:tc>
      </w:tr>
      <w:tr>
        <w:trPr/>
        <w:tc>
          <w:tcPr>
            <w:tcW w:w="18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29"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center"/>
              <w:rPr/>
            </w:pPr>
            <w:r>
              <w:rPr/>
              <w:t> </w:t>
            </w:r>
          </w:p>
        </w:tc>
      </w:tr>
      <w:tr>
        <w:trPr/>
        <w:tc>
          <w:tcPr>
            <w:tcW w:w="18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center"/>
              <w:rPr/>
            </w:pPr>
            <w:r>
              <w:rPr/>
              <w:t> </w:t>
            </w:r>
          </w:p>
        </w:tc>
      </w:tr>
      <w:tr>
        <w:trPr/>
        <w:tc>
          <w:tcPr>
            <w:tcW w:w="18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center"/>
              <w:rPr/>
            </w:pPr>
            <w:r>
              <w:rPr/>
              <w:t> </w:t>
            </w:r>
          </w:p>
        </w:tc>
      </w:tr>
      <w:tr>
        <w:trPr/>
        <w:tc>
          <w:tcPr>
            <w:tcW w:w="18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18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8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hospice segment net service revenues</w:t>
            </w:r>
          </w:p>
        </w:tc>
        <w:tc>
          <w:tcPr>
            <w:tcW w:w="146" w:type="dxa"/>
            <w:tcBorders/>
            <w:shd w:fill="CFF0FC" w:val="clear"/>
            <w:vAlign w:val="center"/>
          </w:tcPr>
          <w:p>
            <w:pPr>
              <w:pStyle w:val="TableContents"/>
              <w:bidi w:val="0"/>
              <w:spacing w:before="0" w:after="283"/>
              <w:jc w:val="center"/>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1"/>
        <w:gridCol w:w="146"/>
        <w:gridCol w:w="230"/>
        <w:gridCol w:w="739"/>
        <w:gridCol w:w="146"/>
        <w:gridCol w:w="146"/>
        <w:gridCol w:w="179"/>
        <w:gridCol w:w="702"/>
        <w:gridCol w:w="146"/>
        <w:gridCol w:w="271"/>
        <w:gridCol w:w="146"/>
        <w:gridCol w:w="230"/>
        <w:gridCol w:w="739"/>
        <w:gridCol w:w="146"/>
        <w:gridCol w:w="146"/>
        <w:gridCol w:w="179"/>
        <w:gridCol w:w="702"/>
        <w:gridCol w:w="146"/>
        <w:gridCol w:w="271"/>
        <w:gridCol w:w="146"/>
        <w:gridCol w:w="230"/>
        <w:gridCol w:w="739"/>
        <w:gridCol w:w="146"/>
        <w:gridCol w:w="146"/>
        <w:gridCol w:w="179"/>
        <w:gridCol w:w="702"/>
        <w:gridCol w:w="146"/>
        <w:gridCol w:w="320"/>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vAlign w:val="center"/>
          </w:tcPr>
          <w:p>
            <w:pPr>
              <w:pStyle w:val="TableContents"/>
              <w:bidi w:val="0"/>
              <w:spacing w:before="0" w:after="283"/>
              <w:jc w:val="center"/>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vAlign w:val="center"/>
          </w:tcPr>
          <w:p>
            <w:pPr>
              <w:pStyle w:val="TableContents"/>
              <w:bidi w:val="0"/>
              <w:spacing w:before="0" w:after="283"/>
              <w:jc w:val="center"/>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organizations</w:t>
            </w:r>
          </w:p>
        </w:tc>
        <w:tc>
          <w:tcPr>
            <w:tcW w:w="146"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home health segment net service revenues</w:t>
            </w:r>
          </w:p>
        </w:tc>
        <w:tc>
          <w:tcPr>
            <w:tcW w:w="146" w:type="dxa"/>
            <w:tcBorders/>
            <w:shd w:fill="FFFFFF" w:val="cle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derives a significant amount of its revenue from its operations in Illinois, New Mexico and New York. The percentages of segment revenue for each of these significant states for 2023, 2022 and 2021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2"/>
        <w:gridCol w:w="146"/>
        <w:gridCol w:w="225"/>
        <w:gridCol w:w="834"/>
        <w:gridCol w:w="146"/>
        <w:gridCol w:w="146"/>
        <w:gridCol w:w="159"/>
        <w:gridCol w:w="622"/>
        <w:gridCol w:w="146"/>
        <w:gridCol w:w="271"/>
        <w:gridCol w:w="146"/>
        <w:gridCol w:w="225"/>
        <w:gridCol w:w="834"/>
        <w:gridCol w:w="146"/>
        <w:gridCol w:w="146"/>
        <w:gridCol w:w="159"/>
        <w:gridCol w:w="622"/>
        <w:gridCol w:w="146"/>
        <w:gridCol w:w="271"/>
        <w:gridCol w:w="146"/>
        <w:gridCol w:w="225"/>
        <w:gridCol w:w="834"/>
        <w:gridCol w:w="146"/>
        <w:gridCol w:w="146"/>
        <w:gridCol w:w="159"/>
        <w:gridCol w:w="622"/>
        <w:gridCol w:w="146"/>
        <w:gridCol w:w="319"/>
      </w:tblGrid>
      <w:tr>
        <w:trPr/>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Net</w:t>
              <w:br/>
              <w:t>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r>
      <w:tr>
        <w:trPr/>
        <w:tc>
          <w:tcPr>
            <w:tcW w:w="2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2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5"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2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2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personal care segment net service revenues</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223"/>
        <w:gridCol w:w="827"/>
        <w:gridCol w:w="146"/>
        <w:gridCol w:w="146"/>
        <w:gridCol w:w="182"/>
        <w:gridCol w:w="712"/>
        <w:gridCol w:w="146"/>
        <w:gridCol w:w="271"/>
        <w:gridCol w:w="146"/>
        <w:gridCol w:w="223"/>
        <w:gridCol w:w="827"/>
        <w:gridCol w:w="146"/>
        <w:gridCol w:w="146"/>
        <w:gridCol w:w="182"/>
        <w:gridCol w:w="712"/>
        <w:gridCol w:w="146"/>
        <w:gridCol w:w="271"/>
        <w:gridCol w:w="146"/>
        <w:gridCol w:w="223"/>
        <w:gridCol w:w="827"/>
        <w:gridCol w:w="146"/>
        <w:gridCol w:w="146"/>
        <w:gridCol w:w="182"/>
        <w:gridCol w:w="712"/>
        <w:gridCol w:w="146"/>
        <w:gridCol w:w="319"/>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3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Hospice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3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states</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7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hospice segment net service revenues</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acquisition of JourneyCare in 2022, the Company expanded its hospice services to patients in the state of Illinois.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8"/>
        <w:gridCol w:w="146"/>
        <w:gridCol w:w="233"/>
        <w:gridCol w:w="747"/>
        <w:gridCol w:w="146"/>
        <w:gridCol w:w="146"/>
        <w:gridCol w:w="182"/>
        <w:gridCol w:w="712"/>
        <w:gridCol w:w="146"/>
        <w:gridCol w:w="271"/>
        <w:gridCol w:w="146"/>
        <w:gridCol w:w="233"/>
        <w:gridCol w:w="747"/>
        <w:gridCol w:w="146"/>
        <w:gridCol w:w="146"/>
        <w:gridCol w:w="182"/>
        <w:gridCol w:w="712"/>
        <w:gridCol w:w="146"/>
        <w:gridCol w:w="271"/>
        <w:gridCol w:w="146"/>
        <w:gridCol w:w="233"/>
        <w:gridCol w:w="747"/>
        <w:gridCol w:w="146"/>
        <w:gridCol w:w="146"/>
        <w:gridCol w:w="182"/>
        <w:gridCol w:w="712"/>
        <w:gridCol w:w="146"/>
        <w:gridCol w:w="321"/>
      </w:tblGrid>
      <w:tr>
        <w:trPr/>
        <w:tc>
          <w:tcPr>
            <w:tcW w:w="1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Health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9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9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9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Segment</w:t>
              <w:br/>
              <w:t>Net Service</w:t>
              <w:b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9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r>
        <w:trPr/>
        <w:tc>
          <w:tcPr>
            <w:tcW w:w="19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r>
      <w:tr>
        <w:trPr/>
        <w:tc>
          <w:tcPr>
            <w:tcW w:w="19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home health segment net service revenues</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acquisition of Tennessee Quality Care in 2023, the Company expanded its home health services to patients in the state of Tennessee.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substantial portion of the Company’s revenue and accounts receivable is derived from services performed for state and local governmental agencies. We derive a significant amount of our net service revenues in Illinois, which represented 44.5%, 43.8% and 38.2% of our net service revenues for the years ended December 31, 2023, 2022 and 2021, respectively. The Illinois Department on Aging, the largest payor program for the Company’s Illinois personal care operations, accounted for 20.9%, 20.7% and 21.4% of the Company’s net service revenues for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related receivables due from the Illinois Department on Aging represented 25.8% and 18.0% of the Company’s net accounts receivable at December 31, 2023 and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2019, New York initiated a new RFO process to competitively procure CDPAP fiscal intermediaries. The Company was not selected in the initial RFO process. We submitted a formal protest in response to the selection process, which was filed and accepted in March 2021. The New York fiscal year 2023 state budget, passed in April 2022, amended the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submitted an attestation and supporting information to the New York State Department of Health no later than November 29, 2022. The Company submitted an attestation on November 22, 2022, which allowed the Company to continue its CDPAP fiscal intermediary operations. However, the Company decided at that time to suspend materially all of its new fee-for-service patient admissions in the CDPAP through County Social Service Departments. On June 6, 2023, the New York State Department of Health notified the Company that it had received a contract award. Under this contract, the Company is providing services to all current payors and has resumed new fee-for-service patient admissions through County Social Service Departments in the CDPAP. The CDPAP continues to be targeted for changes by New York governmental authorities, however. For example, the governor’s most recent update on the state budget contained proposals that could adversely affect the Company’s ability to participate in the CDPAP.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approximately $40.7 million from the program for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Government Actions to Mitigate COVID-19’s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acute phase of the COVID-19 pandemic has faded, but the future course of COVID-19 remains uncertain. We will continue to closely monitor the impact of COVID-19 on all aspects of our business, including the impacts to our employees, patients and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recognition of the significant threat to the liquidity of financial markets posed by the COVID-19 pandemic, the Federal Reserve and Congress took dramatic actions to provide liquidity to businesses and the banking system in the United States, including relief for healthcare providers in the CARES Act, which was expanded by the Paycheck Protection Program and Health Care Enhancement (“PPPHCE”) Act, and the Consolidated Appropriations Act (“CAA”), as well as the ARPA.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ARPA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ARPA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received state funding provided by the ARPA in an aggregate amount of $3.7 million and $23.4 million for the years ended December 31, 2023 and 2022, respectively. The Company recorded revenue of $0.3 million and $1.9 million and related cost of service revenues of $0.1 million and $1.5 million for certain states that met the revenue recognition criteria for the years ended December 31, 2023 and 2022, respectively. The Company deferred the remaining $3.4 million and $21.5 million for the years ended December 31, 2023 and 2022, respectively, which was received from states with specific spending plans and reporting requirements. The Company utilized $10.5 million and $8.6 million of these funds during the years ended December 31, 2023 and 2022, respectively, primarily for caregivers and adding support to recruiting and retention efforts. The deferred portion of ARPA funding was $5.8 million and $12.9 million as of December 31, 2023 and 2022, respectively, which is included within Government stimulus advances on the Company’s Consolidated Balance Sheets.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Provider Relief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CARES Act authorized funding to be distributed through the Provider Relief Fund to eligible providers, including public entities and Medicare- and/or Medicaid-enrolled providers. In November 2020, the Company received grants in an aggregate principal amount of $13.7 million from the Provider Relief Fund. The Company utilized $12.3 million remaining of these funds during the year ended December 31, 2021 for healthcare related expenses, including retention payments, attributable to COVID-19 that were unreimbursed by other sources. The Company documented the use of such funds in 2021 in reports to the U.S. Department of Health and Human Services (“HHS”), as required, and submitted the reports to HHS prior to the deadline of March 31, 2022. During the year ended December 31, 2023, we submitted an unmodified audit report to HHS for 2022 in accordance with Generally Accepted Government Auditing Standards, as required for commercial organizations that received and expended total awards of $750,000 or more.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Medicare sequester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April 2032.</w:t>
      </w:r>
    </w:p>
    <w:p>
      <w:pPr>
        <w:pStyle w:val="TextBody"/>
        <w:bidi w:val="0"/>
        <w:jc w:val="left"/>
        <w:rPr>
          <w:rFonts w:ascii="Times New Roman" w:hAnsi="Times New Roman"/>
          <w:color w:val="000000"/>
          <w:sz w:val="20"/>
        </w:rPr>
      </w:pPr>
      <w:r>
        <w:rPr>
          <w:rFonts w:ascii="Times New Roman" w:hAnsi="Times New Roman"/>
          <w:color w:val="000000"/>
          <w:sz w:val="20"/>
        </w:rPr>
        <w:t xml:space="preserve">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hospice segment, Medicare sequester relief resulted in an increase in net service revenues of $0.0 million and $1.4 million for the years ended December 31, 2023 and 2022, respectively. In the home health segment, Medicare sequester relief resulted in an increase in net service revenues of $0.0 million and $0.3 million for the years ended December 31, 2023 and 2022,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Payroll tax deferral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CARES Act also provides for certain federal income and other tax changes, including the deferral of the employer portion of Social Security payroll taxes through December 31, 2021.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$4.1 million and $3.0 million as of December 31, 2022 and 2021 respectively.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43" w:name="adus-ex21_1.htm"/>
      <w:bookmarkStart w:id="44" w:name="ksadusex21_1"/>
      <w:bookmarkEnd w:id="43"/>
      <w:bookmarkEnd w:id="44"/>
      <w:r>
        <w:rPr>
          <w:rFonts w:ascii="Times New Roman" w:hAnsi="Times New Roman"/>
          <w:b/>
          <w:color w:val="000000"/>
          <w:sz w:val="18"/>
        </w:rPr>
        <w:t>Exhibit 21.1</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SUBSIDIARIES OF THE REGISTRANT</w:t>
      </w:r>
    </w:p>
    <w:tbl>
      <w:tblPr>
        <w:tblW w:w="10205" w:type="dxa"/>
        <w:jc w:val="left"/>
        <w:tblInd w:w="0" w:type="dxa"/>
        <w:tblLayout w:type="fixed"/>
        <w:tblCellMar>
          <w:top w:w="28" w:type="dxa"/>
          <w:left w:w="28" w:type="dxa"/>
          <w:bottom w:w="28" w:type="dxa"/>
          <w:right w:w="28" w:type="dxa"/>
        </w:tblCellMar>
      </w:tblPr>
      <w:tblGrid>
        <w:gridCol w:w="2784"/>
        <w:gridCol w:w="146"/>
        <w:gridCol w:w="1186"/>
        <w:gridCol w:w="146"/>
        <w:gridCol w:w="5943"/>
      </w:tblGrid>
      <w:tr>
        <w:trPr/>
        <w:tc>
          <w:tcPr>
            <w:tcW w:w="2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278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Doing Business As Name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 Plus Health Care,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Montana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A-Plus HealthCare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Arcadia Home Care &amp; Staffing</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(Delaware), Inc.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Delaware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(Idaho), Inc.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HealthCare (South Carolina), Inc.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 Arcadia Home Care &amp; Staffing</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Home Office,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Hospice of Illinois,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 Barrington; JourneyCare - Deerfield; JourneyCare - Crystal Lake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Addus Nurse Care, Inc.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Lifestyle Options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Alamo Area Home Hospice, LP</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Hospice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Alliance Home Health Care,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 Ambercare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Corporation</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Home Health Care Corporation</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 Ambercare Personal Care Services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Ambercare Hospice,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Apple Home Healthcare, LTD</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Home Health - Chicago</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Hospice of New Mexico,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Armada Hospice of New Mexico, LLC</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Hospice of Santa Fe,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Armada Hospice of Santa Fe, LLC</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Skilled Home Care of New Mexico,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Home Health</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Coastal Nursecare of Florida,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Florida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County Homemakers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Pennsylvania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Cura Partners, LLC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America,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Hospice Partners of America</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America Holding,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Hospice of Conroe; Alamo Hospice of Waco; Hospice of Virginia</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Hospice Partners of Texas,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Hospice Partners of Texas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House Calls of New Mexico,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Mexico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House Calls of New Mexico</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HPA Idaho,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Idaho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Harrison’s Hope; Harrison’s Hope Twin Falls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HPA Medical Management,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Alamo Supportive Care; Serenity Supportive Care; JourneyCare Palliative Care, Hospice of Virginia Supportive 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H&amp;PC of America,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H&amp;PC of America</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Miracle City Hospice,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Miracle City Hospice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Capital Partners II-HS,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Capital Partners II-HS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Service, Inc.</w:t>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Colorado</w:t>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Ambercare Personal Care Services</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PHC Acquisition Corporation</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California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PRAC Holdings,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Priority Home Health Care,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Ohio</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Reliable Nursing Service,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California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Arcadia Home Care &amp; Staffing</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Queen City Hospice,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Queen City Hospice; Day City Hospice; Capital City Hospice, Queen City Hospice East</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Serenity Palliative Care and Hospice,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Serenity Hospice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SLHC,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Arizona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Sunlife Home 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South Shore Home Health Service, Inc.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Addus HomeCare</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Summit Home Health,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Illinois</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JourneyCare Home Health</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Tennessee Valley Home Care,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 Quality Care-Home Health</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TR&amp;B,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Texas</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TR&amp;B</w:t>
            </w:r>
          </w:p>
        </w:tc>
      </w:tr>
      <w:tr>
        <w:trPr/>
        <w:tc>
          <w:tcPr>
            <w:tcW w:w="278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Tri County Home Health and Hospice, LLC</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Tennessee Quality Care-Hospice</w:t>
            </w:r>
          </w:p>
        </w:tc>
      </w:tr>
      <w:tr>
        <w:trPr/>
        <w:tc>
          <w:tcPr>
            <w:tcW w:w="27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Pursuant to Item 601(b)(21)(ii) of Regulation S-K, certain subsidiaries have been omitted because, when considered in the aggregate, they do not constitute a significant subsidiary.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adus-ex23_1.htm"/>
      <w:bookmarkStart w:id="46" w:name="ksadusex23_1"/>
      <w:bookmarkEnd w:id="45"/>
      <w:bookmarkEnd w:id="46"/>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333-267253) and on Form S-8 (Nos. 333-272871, 333-219946, 333-190433, and 333-164413) of Addus HomeCare Corporation of our report dated February 27, 2024 relating to the financial statements and the effectiveness of internal control over financial reporting, which appears in this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Dallas, Texas</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27, 2024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adus-ex31_1.htm"/>
      <w:bookmarkStart w:id="48" w:name="ksadusex31_1"/>
      <w:bookmarkEnd w:id="47"/>
      <w:bookmarkEnd w:id="4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Dirk Allison, Chief Executive Officer and Chairman of the Board of Addus HomeCare Corporation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Addus HomeCare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pPr>
            <w:r>
              <w:rPr/>
              <w:t> </w:t>
            </w:r>
          </w:p>
        </w:tc>
      </w:tr>
      <w:tr>
        <w:trPr/>
        <w:tc>
          <w:tcPr>
            <w:tcW w:w="4516" w:type="dxa"/>
            <w:tcBorders/>
            <w:vAlign w:val="center"/>
          </w:tcPr>
          <w:p>
            <w:pPr>
              <w:pStyle w:val="TableContents"/>
              <w:pBdr>
                <w:bottom w:val="single" w:sz="6" w:space="1" w:color="000000"/>
              </w:pBdr>
              <w:bidi w:val="0"/>
              <w:spacing w:before="0" w:after="283"/>
              <w:jc w:val="center"/>
              <w:rPr/>
            </w:pPr>
            <w:r>
              <w:rPr>
                <w:color w:val="000000"/>
              </w:rPr>
              <w:t>       </w:t>
            </w:r>
            <w:r>
              <w:rPr>
                <w:rFonts w:ascii="Times New Roman" w:hAnsi="Times New Roman"/>
                <w:color w:val="000000"/>
                <w:sz w:val="20"/>
              </w:rPr>
              <w:t xml:space="preserve">/s/ R. Dirk Allison </w:t>
            </w:r>
          </w:p>
        </w:tc>
      </w:tr>
      <w:tr>
        <w:trPr/>
        <w:tc>
          <w:tcPr>
            <w:tcW w:w="45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r>
      <w:tr>
        <w:trPr/>
        <w:tc>
          <w:tcPr>
            <w:tcW w:w="45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Chairman of the Board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adus-ex31_2.htm"/>
      <w:bookmarkStart w:id="50" w:name="ksadusex31_2"/>
      <w:bookmarkEnd w:id="49"/>
      <w:bookmarkEnd w:id="5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Poff, Chief Financial Officer of Addus HomeCare Corporation,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Addus HomeCare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27, 2024</w:t>
      </w:r>
    </w:p>
    <w:p>
      <w:pPr>
        <w:pStyle w:val="TextBody"/>
        <w:bidi w:val="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0"/>
              </w:rPr>
              <w:t>/s/ Brian Poff</w:t>
            </w:r>
          </w:p>
        </w:tc>
      </w:tr>
      <w:tr>
        <w:trPr/>
        <w:tc>
          <w:tcPr>
            <w:tcW w:w="29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r>
      <w:tr>
        <w:trPr/>
        <w:tc>
          <w:tcPr>
            <w:tcW w:w="29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adus-ex32_1.htm"/>
      <w:bookmarkStart w:id="52" w:name="ksadusex32_1"/>
      <w:bookmarkEnd w:id="51"/>
      <w:bookmarkEnd w:id="5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fiscal year ended December 31, 2023 of Addus HomeCare Corporation (the “Company”) as filed with the Securities and Exchange Commission on the date hereof (the “Report”), I, R. Dirk Allison, Chief Executive Officer and Chairman of the Board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2086"/>
        <w:gridCol w:w="436"/>
        <w:gridCol w:w="146"/>
        <w:gridCol w:w="4501"/>
      </w:tblGrid>
      <w:tr>
        <w:trPr/>
        <w:tc>
          <w:tcPr>
            <w:tcW w:w="20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2024</w:t>
            </w:r>
          </w:p>
        </w:tc>
        <w:tc>
          <w:tcPr>
            <w:tcW w:w="4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5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/s/ R. Dirk Allison </w:t>
            </w:r>
          </w:p>
        </w:tc>
      </w:tr>
      <w:tr>
        <w:trPr/>
        <w:tc>
          <w:tcPr>
            <w:tcW w:w="208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Dirk Allison</w:t>
            </w:r>
          </w:p>
        </w:tc>
      </w:tr>
      <w:tr>
        <w:trPr/>
        <w:tc>
          <w:tcPr>
            <w:tcW w:w="208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Chairman of the Board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adus-ex32_2.htm"/>
      <w:bookmarkStart w:id="54" w:name="ksadusex32_2"/>
      <w:bookmarkEnd w:id="53"/>
      <w:bookmarkEnd w:id="54"/>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fiscal year ended December 31, 2023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49" w:type="dxa"/>
        <w:jc w:val="left"/>
        <w:tblInd w:w="0" w:type="dxa"/>
        <w:tblLayout w:type="fixed"/>
        <w:tblCellMar>
          <w:top w:w="28" w:type="dxa"/>
          <w:left w:w="28" w:type="dxa"/>
          <w:bottom w:w="28" w:type="dxa"/>
          <w:right w:w="28" w:type="dxa"/>
        </w:tblCellMar>
      </w:tblPr>
      <w:tblGrid>
        <w:gridCol w:w="2086"/>
        <w:gridCol w:w="436"/>
        <w:gridCol w:w="146"/>
        <w:gridCol w:w="2881"/>
      </w:tblGrid>
      <w:tr>
        <w:trPr/>
        <w:tc>
          <w:tcPr>
            <w:tcW w:w="20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2024</w:t>
            </w:r>
          </w:p>
        </w:tc>
        <w:tc>
          <w:tcPr>
            <w:tcW w:w="4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8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 Brian Poff </w:t>
            </w:r>
          </w:p>
        </w:tc>
      </w:tr>
      <w:tr>
        <w:trPr/>
        <w:tc>
          <w:tcPr>
            <w:tcW w:w="208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Poff</w:t>
            </w:r>
          </w:p>
        </w:tc>
      </w:tr>
      <w:tr>
        <w:trPr/>
        <w:tc>
          <w:tcPr>
            <w:tcW w:w="208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adus-ex97_1.htm"/>
      <w:bookmarkStart w:id="56" w:name="ksadusex97_1"/>
      <w:bookmarkEnd w:id="55"/>
      <w:bookmarkEnd w:id="5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center"/>
        <w:rPr>
          <w:rFonts w:ascii="Times New Roman" w:hAnsi="Times New Roman"/>
          <w:b/>
          <w:color w:val="000000"/>
          <w:sz w:val="22"/>
        </w:rPr>
      </w:pPr>
      <w:r>
        <w:rPr>
          <w:rFonts w:ascii="Times New Roman" w:hAnsi="Times New Roman"/>
          <w:b/>
          <w:color w:val="000000"/>
          <w:sz w:val="22"/>
        </w:rPr>
        <w:t>ADDUS HOMECARE CORPORATION</w:t>
      </w:r>
    </w:p>
    <w:p>
      <w:pPr>
        <w:pStyle w:val="TextBody"/>
        <w:bidi w:val="0"/>
        <w:jc w:val="center"/>
        <w:rPr>
          <w:rFonts w:ascii="Times New Roman" w:hAnsi="Times New Roman"/>
          <w:b/>
          <w:color w:val="000000"/>
          <w:sz w:val="22"/>
        </w:rPr>
      </w:pPr>
      <w:r>
        <w:rPr>
          <w:rFonts w:ascii="Times New Roman" w:hAnsi="Times New Roman"/>
          <w:b/>
          <w:color w:val="000000"/>
          <w:sz w:val="22"/>
        </w:rPr>
        <w:t>Compensation Recoupment Policy</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Purpose.</w:t>
      </w:r>
      <w:r>
        <w:rPr>
          <w:color w:val="000000"/>
        </w:rPr>
        <w:t xml:space="preserve"> </w:t>
      </w:r>
      <w:r>
        <w:rPr>
          <w:rFonts w:ascii="Times New Roman" w:hAnsi="Times New Roman"/>
          <w:color w:val="000000"/>
          <w:sz w:val="22"/>
        </w:rPr>
        <w:t>The purpose of this Compensation Recoupment Policy of the Company (as amended from time to time, the “</w:t>
      </w:r>
      <w:r>
        <w:rPr>
          <w:rFonts w:ascii="Times New Roman" w:hAnsi="Times New Roman"/>
          <w:color w:val="000000"/>
          <w:sz w:val="22"/>
          <w:u w:val="single"/>
        </w:rPr>
        <w:t>Policy</w:t>
      </w:r>
      <w:r>
        <w:rPr>
          <w:color w:val="000000"/>
        </w:rPr>
        <w:t>”</w:t>
      </w:r>
      <w:r>
        <w:rPr>
          <w:rFonts w:ascii="Times New Roman" w:hAnsi="Times New Roman"/>
          <w:color w:val="000000"/>
          <w:sz w:val="22"/>
        </w:rPr>
        <w:t>), dated as of November 24, 2023 (the “</w:t>
      </w:r>
      <w:r>
        <w:rPr>
          <w:rFonts w:ascii="Times New Roman" w:hAnsi="Times New Roman"/>
          <w:color w:val="000000"/>
          <w:sz w:val="22"/>
          <w:u w:val="single"/>
        </w:rPr>
        <w:t>Adoption Date</w:t>
      </w:r>
      <w:r>
        <w:rPr>
          <w:color w:val="000000"/>
        </w:rPr>
        <w:t>”</w:t>
      </w:r>
      <w:r>
        <w:rPr>
          <w:rFonts w:ascii="Times New Roman" w:hAnsi="Times New Roman"/>
          <w:color w:val="000000"/>
          <w:sz w:val="22"/>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Nasdaq Listing Rule 5608) (such legal requirements, and rules and requirements of Nasdaq, collectively, the “</w:t>
      </w:r>
      <w:r>
        <w:rPr>
          <w:rFonts w:ascii="Times New Roman" w:hAnsi="Times New Roman"/>
          <w:color w:val="000000"/>
          <w:sz w:val="22"/>
          <w:u w:val="single"/>
        </w:rPr>
        <w:t>SEC/Nasdaq Clawback Rules</w:t>
      </w:r>
      <w:r>
        <w:rPr>
          <w:color w:val="000000"/>
        </w:rPr>
        <w:t>”</w:t>
      </w:r>
      <w:r>
        <w:rPr>
          <w:rFonts w:ascii="Times New Roman" w:hAnsi="Times New Roman"/>
          <w:color w:val="000000"/>
          <w:sz w:val="22"/>
        </w:rPr>
        <w:t xml:space="preserve">). Each Executive Officer shall be required to sign and return to the Company an acknowledgment to this Policy in the form 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 xml:space="preserve">pursuant to which such Executive Officer will agree to be bound by the terms and comply with this Policy.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Administration.</w:t>
      </w:r>
      <w:r>
        <w:rPr>
          <w:color w:val="000000"/>
        </w:rPr>
        <w:t xml:space="preserve"> </w:t>
      </w:r>
      <w:r>
        <w:rPr>
          <w:rFonts w:ascii="Times New Roman" w:hAnsi="Times New Roman"/>
          <w:color w:val="000000"/>
          <w:sz w:val="22"/>
        </w:rPr>
        <w:t>This Policy shall be administered by the Committee. The Committee is authorized to interpret and construe this Policy and to make all determinations necessary, appropriate, or advisable for the administration of this Policy, and any such determinations made by the Committee shall be in the Committee’s sole discretion, and shall be final and binding on all affected individuals. Subject to applicable legal requirements and the rules and requirements of Nasdaq, the Committee may delegate any or all of its powers and duties under the Policy to authorized officers of the Company, subject to such limitations on such delegated powers and duties as the Committee may impose, if any. Except as otherwise required by applicable legal requirements or the rules and requirements of the Nasdaq, any determinations of the Committee hereunder need not be uniform with respect to one or more Executive Officers (whether current or former).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Definitions.</w:t>
      </w:r>
      <w:r>
        <w:rPr>
          <w:color w:val="000000"/>
        </w:rPr>
        <w:t xml:space="preserve"> </w:t>
      </w:r>
      <w:r>
        <w:rPr>
          <w:rFonts w:ascii="Times New Roman" w:hAnsi="Times New Roman"/>
          <w:color w:val="000000"/>
          <w:sz w:val="22"/>
        </w:rPr>
        <w:t xml:space="preserve">For purposes of this Policy, the following capitalized terms shall have the meanings set forth below: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color w:val="000000"/>
          <w:sz w:val="22"/>
          <w:u w:val="single"/>
        </w:rPr>
        <w:t>Accounting Restatement</w:t>
      </w:r>
      <w:r>
        <w:rPr>
          <w:color w:val="000000"/>
        </w:rPr>
        <w:t xml:space="preserve">” </w:t>
      </w:r>
      <w:r>
        <w:rPr>
          <w:rFonts w:ascii="Times New Roman" w:hAnsi="Times New Roman"/>
          <w:color w:val="000000"/>
          <w:sz w:val="22"/>
        </w:rPr>
        <w:t>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 For the avoidance of doubt, a restatement resulting solely from the retrospective application of a change in generally accepted accounting principles is not an Accounting Restatement.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color w:val="000000"/>
          <w:sz w:val="22"/>
          <w:u w:val="single"/>
        </w:rPr>
        <w:t>Board</w:t>
      </w:r>
      <w:r>
        <w:rPr>
          <w:color w:val="000000"/>
        </w:rPr>
        <w:t xml:space="preserve">” </w:t>
      </w:r>
      <w:r>
        <w:rPr>
          <w:rFonts w:ascii="Times New Roman" w:hAnsi="Times New Roman"/>
          <w:color w:val="000000"/>
          <w:sz w:val="22"/>
        </w:rPr>
        <w:t xml:space="preserve">shall mean the Board of Directors of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color w:val="000000"/>
          <w:sz w:val="22"/>
          <w:u w:val="single"/>
        </w:rPr>
        <w:t>Clawback Eligible Incentive Compensation</w:t>
      </w:r>
      <w:r>
        <w:rPr>
          <w:color w:val="000000"/>
        </w:rPr>
        <w:t xml:space="preserve">” </w:t>
      </w:r>
      <w:r>
        <w:rPr>
          <w:rFonts w:ascii="Times New Roman" w:hAnsi="Times New Roman"/>
          <w:color w:val="000000"/>
          <w:sz w:val="22"/>
        </w:rPr>
        <w:t xml:space="preserve">shall mean all Incentive-Based Compensation Received by any current or former Executive Officer on or after the Nasdaq Effective Date, provided that: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Incentive-Based Compensation is Received after such individual began serving as an Executive Officer;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such individual served as an Executive Officer at any time during the performance period for such Incentive-Based Compensation;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Incentive-Based Compensation is Received while the Company has a class of securities listed on Nasdaq;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Incentive-Based Compensation is Received during the applicable Clawback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color w:val="000000"/>
          <w:sz w:val="22"/>
          <w:u w:val="single"/>
        </w:rPr>
        <w:t>Clawback Period</w:t>
      </w:r>
      <w:r>
        <w:rPr>
          <w:color w:val="000000"/>
        </w:rPr>
        <w:t xml:space="preserve">” </w:t>
      </w:r>
      <w:r>
        <w:rPr>
          <w:rFonts w:ascii="Times New Roman" w:hAnsi="Times New Roman"/>
          <w:color w:val="000000"/>
          <w:sz w:val="22"/>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color w:val="000000"/>
          <w:sz w:val="22"/>
          <w:u w:val="single"/>
        </w:rPr>
        <w:t>Committee</w:t>
      </w:r>
      <w:r>
        <w:rPr>
          <w:color w:val="000000"/>
        </w:rPr>
        <w:t xml:space="preserve">” </w:t>
      </w:r>
      <w:r>
        <w:rPr>
          <w:rFonts w:ascii="Times New Roman" w:hAnsi="Times New Roman"/>
          <w:color w:val="000000"/>
          <w:sz w:val="22"/>
        </w:rPr>
        <w:t xml:space="preserve">shall mean the Compensation Committee of the Board.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color w:val="000000"/>
          <w:sz w:val="22"/>
          <w:u w:val="single"/>
        </w:rPr>
        <w:t>Common Stock</w:t>
      </w:r>
      <w:r>
        <w:rPr>
          <w:color w:val="000000"/>
        </w:rPr>
        <w:t xml:space="preserve">” </w:t>
      </w:r>
      <w:r>
        <w:rPr>
          <w:rFonts w:ascii="Times New Roman" w:hAnsi="Times New Roman"/>
          <w:color w:val="000000"/>
          <w:sz w:val="22"/>
        </w:rPr>
        <w:t>shall mean the common stock, par value $0.001 per share,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color w:val="000000"/>
          <w:sz w:val="22"/>
          <w:u w:val="single"/>
        </w:rPr>
        <w:t>Company</w:t>
      </w:r>
      <w:r>
        <w:rPr>
          <w:color w:val="000000"/>
        </w:rPr>
        <w:t xml:space="preserve">” </w:t>
      </w:r>
      <w:r>
        <w:rPr>
          <w:rFonts w:ascii="Times New Roman" w:hAnsi="Times New Roman"/>
          <w:color w:val="000000"/>
          <w:sz w:val="22"/>
        </w:rPr>
        <w:t xml:space="preserve">shall mean Addus Homecare Corporation, a Delaware corporation.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color w:val="000000"/>
        </w:rPr>
        <w:t>“</w:t>
      </w:r>
      <w:r>
        <w:rPr>
          <w:rFonts w:ascii="Times New Roman" w:hAnsi="Times New Roman"/>
          <w:color w:val="000000"/>
          <w:sz w:val="22"/>
          <w:u w:val="single"/>
        </w:rPr>
        <w:t>Company Group</w:t>
      </w:r>
      <w:r>
        <w:rPr>
          <w:color w:val="000000"/>
        </w:rPr>
        <w:t xml:space="preserve">” </w:t>
      </w:r>
      <w:r>
        <w:rPr>
          <w:rFonts w:ascii="Times New Roman" w:hAnsi="Times New Roman"/>
          <w:color w:val="000000"/>
          <w:sz w:val="22"/>
        </w:rPr>
        <w:t xml:space="preserve">shall mean the Company, together with each of its direct and indirect subsidiaries.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color w:val="000000"/>
          <w:sz w:val="22"/>
          <w:u w:val="single"/>
        </w:rPr>
        <w:t>Erroneously Awarded Compensation</w:t>
      </w:r>
      <w:r>
        <w:rPr>
          <w:color w:val="000000"/>
        </w:rPr>
        <w:t xml:space="preserve">” </w:t>
      </w:r>
      <w:r>
        <w:rPr>
          <w:rFonts w:ascii="Times New Roman" w:hAnsi="Times New Roman"/>
          <w:color w:val="000000"/>
          <w:sz w:val="22"/>
        </w:rPr>
        <w:t>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computed without regard to any taxes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color w:val="000000"/>
          <w:sz w:val="22"/>
          <w:u w:val="single"/>
        </w:rPr>
        <w:t>Exchange Act</w:t>
      </w:r>
      <w:r>
        <w:rPr>
          <w:color w:val="000000"/>
        </w:rPr>
        <w:t xml:space="preserve">” </w:t>
      </w:r>
      <w:r>
        <w:rPr>
          <w:rFonts w:ascii="Times New Roman" w:hAnsi="Times New Roman"/>
          <w:color w:val="000000"/>
          <w:sz w:val="22"/>
        </w:rPr>
        <w:t>means the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color w:val="000000"/>
        </w:rPr>
        <w:t>“</w:t>
      </w:r>
      <w:r>
        <w:rPr>
          <w:rFonts w:ascii="Times New Roman" w:hAnsi="Times New Roman"/>
          <w:color w:val="000000"/>
          <w:sz w:val="22"/>
          <w:u w:val="single"/>
        </w:rPr>
        <w:t>Executive Officer</w:t>
      </w:r>
      <w:r>
        <w:rPr>
          <w:color w:val="000000"/>
        </w:rPr>
        <w:t xml:space="preserve">” </w:t>
      </w:r>
      <w:r>
        <w:rPr>
          <w:rFonts w:ascii="Times New Roman" w:hAnsi="Times New Roman"/>
          <w:color w:val="000000"/>
          <w:sz w:val="22"/>
        </w:rPr>
        <w:t>shall mean any officer as defined in Rule 10D-1(d) (or any successor provision thereof) under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color w:val="000000"/>
        </w:rPr>
        <w:t>“</w:t>
      </w:r>
      <w:r>
        <w:rPr>
          <w:rFonts w:ascii="Times New Roman" w:hAnsi="Times New Roman"/>
          <w:color w:val="000000"/>
          <w:sz w:val="22"/>
          <w:u w:val="single"/>
        </w:rPr>
        <w:t>Financial Reporting Measures</w:t>
      </w:r>
      <w:r>
        <w:rPr>
          <w:color w:val="000000"/>
        </w:rPr>
        <w:t xml:space="preserve">” </w:t>
      </w:r>
      <w:r>
        <w:rPr>
          <w:rFonts w:ascii="Times New Roman" w:hAnsi="Times New Roman"/>
          <w:color w:val="000000"/>
          <w:sz w:val="22"/>
        </w:rPr>
        <w:t>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color w:val="000000"/>
          <w:sz w:val="22"/>
          <w:u w:val="single"/>
        </w:rPr>
        <w:t>Incentive-Based Compensation</w:t>
      </w:r>
      <w:r>
        <w:rPr>
          <w:color w:val="000000"/>
        </w:rPr>
        <w:t xml:space="preserve">” </w:t>
      </w:r>
      <w:r>
        <w:rPr>
          <w:rFonts w:ascii="Times New Roman" w:hAnsi="Times New Roman"/>
          <w:color w:val="000000"/>
          <w:sz w:val="22"/>
        </w:rPr>
        <w:t>shall mean any compensation that is granted, earned or vested based wholly or in part upon the attainment of a Financial Reporting Measure.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color w:val="000000"/>
        </w:rPr>
        <w:t>“</w:t>
      </w:r>
      <w:r>
        <w:rPr>
          <w:rFonts w:ascii="Times New Roman" w:hAnsi="Times New Roman"/>
          <w:color w:val="000000"/>
          <w:sz w:val="22"/>
          <w:u w:val="single"/>
        </w:rPr>
        <w:t>Nasdaq</w:t>
      </w:r>
      <w:r>
        <w:rPr>
          <w:color w:val="000000"/>
        </w:rPr>
        <w:t xml:space="preserve">” </w:t>
      </w:r>
      <w:r>
        <w:rPr>
          <w:rFonts w:ascii="Times New Roman" w:hAnsi="Times New Roman"/>
          <w:color w:val="000000"/>
          <w:sz w:val="22"/>
        </w:rPr>
        <w:t>shall mean the Nasdaq Stock Market.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color w:val="000000"/>
        </w:rPr>
        <w:t>“</w:t>
      </w:r>
      <w:r>
        <w:rPr>
          <w:rFonts w:ascii="Times New Roman" w:hAnsi="Times New Roman"/>
          <w:color w:val="000000"/>
          <w:sz w:val="22"/>
          <w:u w:val="single"/>
        </w:rPr>
        <w:t>Nasdaq Effective Date</w:t>
      </w:r>
      <w:r>
        <w:rPr>
          <w:color w:val="000000"/>
        </w:rPr>
        <w:t xml:space="preserve">” </w:t>
      </w:r>
      <w:r>
        <w:rPr>
          <w:rFonts w:ascii="Times New Roman" w:hAnsi="Times New Roman"/>
          <w:color w:val="000000"/>
          <w:sz w:val="22"/>
        </w:rPr>
        <w:t>shall mean October 2, 2023.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color w:val="000000"/>
        </w:rPr>
        <w:t>“</w:t>
      </w:r>
      <w:r>
        <w:rPr>
          <w:rFonts w:ascii="Times New Roman" w:hAnsi="Times New Roman"/>
          <w:color w:val="000000"/>
          <w:sz w:val="22"/>
          <w:u w:val="single"/>
        </w:rPr>
        <w:t>Received</w:t>
      </w:r>
      <w:r>
        <w:rPr>
          <w:color w:val="000000"/>
        </w:rPr>
        <w:t xml:space="preserve">” </w:t>
      </w:r>
      <w:r>
        <w:rPr>
          <w:rFonts w:ascii="Times New Roman" w:hAnsi="Times New Roman"/>
          <w:color w:val="000000"/>
          <w:sz w:val="22"/>
        </w:rPr>
        <w:t xml:space="preserve">shall mean when Incentive-Based Compensation is received, and Incentive-Based Compensation shall be deemed received in the Company’s fiscal period during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which the Financial Reporting Measure specified in the Incentive-Based Compensation award is attained, even if payment or grant of the Incentive-Based Compensation occurs after the end of that period.</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color w:val="000000"/>
        </w:rPr>
        <w:t>“</w:t>
      </w:r>
      <w:r>
        <w:rPr>
          <w:rFonts w:ascii="Times New Roman" w:hAnsi="Times New Roman"/>
          <w:color w:val="000000"/>
          <w:sz w:val="22"/>
          <w:u w:val="single"/>
        </w:rPr>
        <w:t>Restatement Date</w:t>
      </w:r>
      <w:r>
        <w:rPr>
          <w:color w:val="000000"/>
        </w:rPr>
        <w:t xml:space="preserve">” </w:t>
      </w:r>
      <w:r>
        <w:rPr>
          <w:rFonts w:ascii="Times New Roman" w:hAnsi="Times New Roman"/>
          <w:color w:val="000000"/>
          <w:sz w:val="22"/>
        </w:rPr>
        <w:t>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color w:val="000000"/>
        </w:rPr>
        <w:t>“</w:t>
      </w:r>
      <w:r>
        <w:rPr>
          <w:rFonts w:ascii="Times New Roman" w:hAnsi="Times New Roman"/>
          <w:color w:val="000000"/>
          <w:sz w:val="22"/>
          <w:u w:val="single"/>
        </w:rPr>
        <w:t>SEC</w:t>
      </w:r>
      <w:r>
        <w:rPr>
          <w:color w:val="000000"/>
        </w:rPr>
        <w:t xml:space="preserve">” </w:t>
      </w:r>
      <w:r>
        <w:rPr>
          <w:rFonts w:ascii="Times New Roman" w:hAnsi="Times New Roman"/>
          <w:color w:val="000000"/>
          <w:sz w:val="22"/>
        </w:rPr>
        <w:t xml:space="preserve">shall mean the U.S. Securities and Exchange Commission.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Recoupment of Erroneously Awarded Compensation.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If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hAnsi="Times New Roman"/>
          <w:color w:val="000000"/>
          <w:sz w:val="22"/>
          <w:u w:val="single"/>
        </w:rPr>
        <w:t>Applicable Executives</w:t>
      </w:r>
      <w:r>
        <w:rPr>
          <w:color w:val="000000"/>
        </w:rPr>
        <w:t>”</w:t>
      </w:r>
      <w:r>
        <w:rPr>
          <w:rFonts w:ascii="Times New Roman" w:hAnsi="Times New Roman"/>
          <w:color w:val="000000"/>
          <w:sz w:val="22"/>
        </w:rPr>
        <w:t>) in connection with such Accounting Restatement, and (ii) the Company will reasonably promptly require the recoupment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 In such event, any such Applicable Executive shall enter into any recoupment or similar agreement as may be reasonably requested by the Committee in connection with the Company’s recoupment of Erroneously Awarded Compensation from such Applicable Executive pursuant to the terms of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Committee shall determine, in its sole discretion, the method(s) for recouping any Erroneously Awarded Compensation from any Applicable Executive, which may include one or more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requiring one or more cash payments to the Company Group from such Applicable Executive, including, but not limited to, the repayment of cash Incentive-Based Compensation previously paid by the Company Group to such Applicable Executive;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seeking recovery of any gain realized on the vesting, exercise, settlement, sale, transfer or other disposition of any equity-based awards previously made by the Company to such Applicable Executive and/or otherwise requiring the delivery to the Company of shares of Common Stock held by such Applicable Executive;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withholding, reducing or eliminating future cash compensation (including cash incentive payments), future equity awards and/or other benefits or amounts otherwise to be paid or awarded by the Company Group to such Applicable Executive;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offsetting amounts against compensation or other amounts otherwise payable by the Company Group to such Applicable Executive;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cancelling, adjusting or offsetting against some or all outstanding vested or unvested equity awards of the Company held by such Applicable Executive; and/or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taking any other remedial and recovery actions with respect to such Applicable Executive permitted by applicable legal requirements and the rules and regulations of Nasdaq, as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anything herein to the contrary, the Company shall not be required to recover Erroneously Awarded Compensation from any Applicable Executive pursuant to the terms of this Policy if (1) the Committee determines that such recovery would be impracticable, and (2) any of the following conditions is met: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recovery would violate home country law where that law was adopted before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No Indemnification.</w:t>
      </w:r>
      <w:r>
        <w:rPr>
          <w:color w:val="000000"/>
        </w:rPr>
        <w:t xml:space="preserve"> </w:t>
      </w:r>
      <w:r>
        <w:rPr>
          <w:rFonts w:ascii="Times New Roman" w:hAnsi="Times New Roman"/>
          <w:color w:val="000000"/>
          <w:sz w:val="22"/>
        </w:rPr>
        <w:t xml:space="preserve">The Company Group shall not (x) indemnify any current or former Executive Officer against (i) the loss of any 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Supersedure.</w:t>
      </w:r>
      <w:r>
        <w:rPr>
          <w:color w:val="000000"/>
        </w:rPr>
        <w:t xml:space="preserve"> </w:t>
      </w:r>
      <w:r>
        <w:rPr>
          <w:rFonts w:ascii="Times New Roman" w:hAnsi="Times New Roman"/>
          <w:color w:val="000000"/>
          <w:sz w:val="22"/>
        </w:rPr>
        <w:t xml:space="preserve">This Policy will supersede any provisions in (x) any agreement, plan or other arrangement applicable to any member of the Company Group, and (y) any organizational documents of any entity that is part of Company Group that, in any such case, (a) exempt any Incentive-Based Compensation from the application of this Policy, (b) waive or otherwise prohibit or restrict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above.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Amendment; Termination; Interpretation.</w:t>
      </w:r>
      <w:r>
        <w:rPr>
          <w:color w:val="000000"/>
        </w:rPr>
        <w:t xml:space="preserve"> </w:t>
      </w:r>
      <w:r>
        <w:rPr>
          <w:rFonts w:ascii="Times New Roman" w:hAnsi="Times New Roman"/>
          <w:color w:val="000000"/>
          <w:sz w:val="22"/>
        </w:rPr>
        <w:t>The Board may amend or terminate this Policy at any time, subject to compliance with all applicable legal requirements and the rules and requirements of Nasdaq. It is intended that this Policy be interpreted in a manner that is consistent with the SEC/Nasdaq Clawback Rules.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Other Recoupment Rights; No Additional Payments.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(subject to </w:t>
      </w:r>
      <w:r>
        <w:rPr>
          <w:rFonts w:ascii="Times New Roman" w:hAnsi="Times New Roman"/>
          <w:color w:val="000000"/>
          <w:sz w:val="22"/>
          <w:u w:val="single"/>
        </w:rPr>
        <w:t>Section 8(b)</w:t>
      </w:r>
      <w:r>
        <w:rPr>
          <w:color w:val="000000"/>
        </w:rPr>
        <w:t xml:space="preserve"> </w:t>
      </w:r>
      <w:r>
        <w:rPr>
          <w:rFonts w:ascii="Times New Roman" w:hAnsi="Times New Roman"/>
          <w:color w:val="000000"/>
          <w:sz w:val="22"/>
        </w:rPr>
        <w:t>of this Policy below), and (iii) any other legal rights or remedies available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Notwithstanding anything herein to the contrary, to the extent that the Committee determines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hAnsi="Times New Roman"/>
          <w:color w:val="000000"/>
          <w:sz w:val="22"/>
          <w:u w:val="single"/>
        </w:rPr>
        <w:t>Applicable SOX Recoupment Amount</w:t>
      </w:r>
      <w:r>
        <w:rPr>
          <w:color w:val="000000"/>
        </w:rPr>
        <w:t>”</w:t>
      </w:r>
      <w:r>
        <w:rPr>
          <w:rFonts w:ascii="Times New Roman" w:hAnsi="Times New Roman"/>
          <w:color w:val="000000"/>
          <w:sz w:val="22"/>
        </w:rPr>
        <w:t>), in order to prevent duplicative recovery, the amount of any Erroneously Awarded Compensation to be recovered from any such Applicable Executive shall be reduced by the Applicable SOX Recoupment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so determined by the Committee, the Company shall be entitled to recover from any Applicable Executive all fees and expenses incurred by the Company Group in connection with enforcing its rights under this Policy against any Applicable Executive.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Successors.</w:t>
      </w:r>
      <w:r>
        <w:rPr>
          <w:color w:val="000000"/>
        </w:rPr>
        <w:t xml:space="preserve"> </w:t>
      </w:r>
      <w:r>
        <w:rPr>
          <w:rFonts w:ascii="Times New Roman" w:hAnsi="Times New Roman"/>
          <w:color w:val="000000"/>
          <w:sz w:val="22"/>
        </w:rPr>
        <w:t xml:space="preserve">This Policy shall be binding and enforceable against all current and former Executive Officers and their beneficiaries, heirs, executors, administrators or other legal representatives.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sz w:val="20"/>
        </w:rPr>
      </w:pPr>
      <w:r>
        <w:rPr>
          <w:rFonts w:ascii="Times New Roman" w:hAnsi="Times New Roman"/>
          <w:b/>
          <w:color w:val="000000"/>
          <w:sz w:val="22"/>
          <w:u w:val="single"/>
        </w:rPr>
        <w:t>Form of Acknowledgment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By signing below, the undersigned acknowledges and confirms that the undersigned has received and reviewed a copy of the Addus Homecare Corporation Compensation Recoupment Policy (the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 Capitalized terms used but not otherwise defined in this acknowledgment shall have the meanings ascribed to such terms in the Policy.</w:t>
      </w:r>
      <w:r>
        <w:rPr>
          <w:rFonts w:ascii="Times New Roman" w:hAnsi="Times New Roman"/>
          <w:color w:val="000000"/>
          <w:sz w:val="20"/>
        </w:rPr>
        <w:t xml:space="preserve"> </w:t>
      </w:r>
    </w:p>
    <w:p>
      <w:pPr>
        <w:pStyle w:val="TextBody"/>
        <w:bidi w:val="0"/>
        <w:spacing w:before="0" w:after="480"/>
        <w:jc w:val="both"/>
        <w:rPr>
          <w:rFonts w:ascii="Times New Roman" w:hAnsi="Times New Roman"/>
          <w:sz w:val="20"/>
        </w:rPr>
      </w:pPr>
      <w:r>
        <w:rPr>
          <w:rFonts w:ascii="Times New Roman" w:hAnsi="Times New Roman"/>
          <w:color w:val="000000"/>
          <w:sz w:val="22"/>
        </w:rPr>
        <w:t>By signing this acknowledgment,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to the extent required by the Policy.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Signature</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Date</w:t>
      </w:r>
    </w:p>
    <w:p>
      <w:pPr>
        <w:pStyle w:val="TextBody"/>
        <w:bidi w:val="0"/>
        <w:spacing w:before="4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8/000119312509238641/dex31.htm" TargetMode="External"/><Relationship Id="rId3" Type="http://schemas.openxmlformats.org/officeDocument/2006/relationships/hyperlink" Target="https://www.sec.gov/Archives/edgar/data/1468328/000119312509238641/dex31.htm" TargetMode="External"/><Relationship Id="rId4" Type="http://schemas.openxmlformats.org/officeDocument/2006/relationships/hyperlink" Target="https://www.sec.gov/Archives/edgar/data/1468328/000119312513211165/d535575dex32.htm" TargetMode="External"/><Relationship Id="rId5" Type="http://schemas.openxmlformats.org/officeDocument/2006/relationships/hyperlink" Target="https://www.sec.gov/Archives/edgar/data/1468328/000119312513211165/d535575dex32.htm" TargetMode="External"/><Relationship Id="rId6" Type="http://schemas.openxmlformats.org/officeDocument/2006/relationships/hyperlink" Target="https://www.sec.gov/Archives/edgar/data/1468328/000119312513211165/d535575dex32.htm" TargetMode="External"/><Relationship Id="rId7" Type="http://schemas.openxmlformats.org/officeDocument/2006/relationships/hyperlink" Target="https://www.sec.gov/Archives/edgar/data/1468328/000119312509202215/dex41.htm" TargetMode="External"/><Relationship Id="rId8" Type="http://schemas.openxmlformats.org/officeDocument/2006/relationships/hyperlink" Target="https://www.sec.gov/Archives/edgar/data/1468328/000119312509202215/dex41.htm" TargetMode="External"/><Relationship Id="rId9" Type="http://schemas.openxmlformats.org/officeDocument/2006/relationships/hyperlink" Target="https://www.sec.gov/Archives/edgar/data/1468328/000156459020038909/adus-ex42_1098.htm" TargetMode="External"/><Relationship Id="rId10" Type="http://schemas.openxmlformats.org/officeDocument/2006/relationships/hyperlink" Target="https://www.sec.gov/Archives/edgar/data/1468328/000156459020038909/adus-ex42_1098.htm" TargetMode="External"/><Relationship Id="rId11" Type="http://schemas.openxmlformats.org/officeDocument/2006/relationships/hyperlink" Target="https://www.sec.gov/Archives/edgar/data/1468328/000119312509150710/dex1012.htm" TargetMode="External"/><Relationship Id="rId12" Type="http://schemas.openxmlformats.org/officeDocument/2006/relationships/hyperlink" Target="https://www.sec.gov/Archives/edgar/data/1468328/000119312509150710/dex1012.htm" TargetMode="External"/><Relationship Id="rId13" Type="http://schemas.openxmlformats.org/officeDocument/2006/relationships/hyperlink" Target="https://www.sec.gov/Archives/edgar/data/1468328/000119312509150710/dex1013.htm" TargetMode="External"/><Relationship Id="rId14" Type="http://schemas.openxmlformats.org/officeDocument/2006/relationships/hyperlink" Target="https://www.sec.gov/Archives/edgar/data/1468328/000119312509150710/dex1013.htm" TargetMode="External"/><Relationship Id="rId15" Type="http://schemas.openxmlformats.org/officeDocument/2006/relationships/hyperlink" Target="https://www.sec.gov/Archives/edgar/data/1468328/000119312509150710/dex1014.htm" TargetMode="External"/><Relationship Id="rId16" Type="http://schemas.openxmlformats.org/officeDocument/2006/relationships/hyperlink" Target="https://www.sec.gov/Archives/edgar/data/1468328/000119312509150710/dex1014.htm" TargetMode="External"/><Relationship Id="rId17" Type="http://schemas.openxmlformats.org/officeDocument/2006/relationships/hyperlink" Target="https://www.sec.gov/Archives/edgar/data/1468328/000119312509150710/dex1016.htm" TargetMode="External"/><Relationship Id="rId18" Type="http://schemas.openxmlformats.org/officeDocument/2006/relationships/hyperlink" Target="https://www.sec.gov/Archives/edgar/data/1468328/000119312509150710/dex1016.htm" TargetMode="External"/><Relationship Id="rId19" Type="http://schemas.openxmlformats.org/officeDocument/2006/relationships/hyperlink" Target="https://www.sec.gov/Archives/edgar/data/1468328/000119312509194976/dex1020.htm" TargetMode="External"/><Relationship Id="rId20" Type="http://schemas.openxmlformats.org/officeDocument/2006/relationships/hyperlink" Target="https://www.sec.gov/Archives/edgar/data/1468328/000119312509194976/dex1020.htm" TargetMode="External"/><Relationship Id="rId21" Type="http://schemas.openxmlformats.org/officeDocument/2006/relationships/hyperlink" Target="https://www.sec.gov/Archives/edgar/data/1468328/000119312509194976/dex1020a.htm" TargetMode="External"/><Relationship Id="rId22" Type="http://schemas.openxmlformats.org/officeDocument/2006/relationships/hyperlink" Target="https://www.sec.gov/Archives/edgar/data/1468328/000119312509194976/dex1020a.htm" TargetMode="External"/><Relationship Id="rId23" Type="http://schemas.openxmlformats.org/officeDocument/2006/relationships/hyperlink" Target="https://www.sec.gov/Archives/edgar/data/1468328/000119312509194976/dex1020b.htm" TargetMode="External"/><Relationship Id="rId24" Type="http://schemas.openxmlformats.org/officeDocument/2006/relationships/hyperlink" Target="https://www.sec.gov/Archives/edgar/data/1468328/000119312509194976/dex1020b.htm" TargetMode="External"/><Relationship Id="rId25" Type="http://schemas.openxmlformats.org/officeDocument/2006/relationships/hyperlink" Target="https://www.sec.gov/Archives/edgar/data/1468328/000119312515179407/d915192dex101.htm" TargetMode="External"/><Relationship Id="rId26" Type="http://schemas.openxmlformats.org/officeDocument/2006/relationships/hyperlink" Target="https://www.sec.gov/Archives/edgar/data/1468328/000119312515179407/d915192dex101.htm" TargetMode="External"/><Relationship Id="rId27" Type="http://schemas.openxmlformats.org/officeDocument/2006/relationships/hyperlink" Target="https://www.sec.gov/Archives/edgar/data/1468328/000119312517164021/d382362dex103.htm" TargetMode="External"/><Relationship Id="rId28" Type="http://schemas.openxmlformats.org/officeDocument/2006/relationships/hyperlink" Target="https://www.sec.gov/Archives/edgar/data/1468328/000119312517164021/d382362dex103.htm" TargetMode="External"/><Relationship Id="rId29" Type="http://schemas.openxmlformats.org/officeDocument/2006/relationships/hyperlink" Target="https://www.sec.gov/Archives/edgar/data/1468328/000119312517205993/d397204dex101.htm" TargetMode="External"/><Relationship Id="rId30" Type="http://schemas.openxmlformats.org/officeDocument/2006/relationships/hyperlink" Target="https://www.sec.gov/Archives/edgar/data/1468328/000119312517205993/d397204dex101.htm" TargetMode="External"/><Relationship Id="rId31" Type="http://schemas.openxmlformats.org/officeDocument/2006/relationships/hyperlink" Target="https://www.sec.gov/Archives/edgar/data/1468328/000119312518082191/d453307dex1028.htm" TargetMode="External"/><Relationship Id="rId32" Type="http://schemas.openxmlformats.org/officeDocument/2006/relationships/hyperlink" Target="https://www.sec.gov/Archives/edgar/data/1468328/000119312518082191/d453307dex1028.htm" TargetMode="External"/><Relationship Id="rId33" Type="http://schemas.openxmlformats.org/officeDocument/2006/relationships/hyperlink" Target="https://www.sec.gov/Archives/edgar/data/1468328/000119312518082191/d453307dex1029.htm" TargetMode="External"/><Relationship Id="rId34" Type="http://schemas.openxmlformats.org/officeDocument/2006/relationships/hyperlink" Target="https://www.sec.gov/Archives/edgar/data/1468328/000119312518082191/d453307dex1029.htm" TargetMode="External"/><Relationship Id="rId35" Type="http://schemas.openxmlformats.org/officeDocument/2006/relationships/hyperlink" Target="https://www.sec.gov/Archives/edgar/data/1468328/000119312518070710/d536417dex101.htm" TargetMode="External"/><Relationship Id="rId36" Type="http://schemas.openxmlformats.org/officeDocument/2006/relationships/hyperlink" Target="https://www.sec.gov/Archives/edgar/data/1468328/000119312518070710/d536417dex101.htm" TargetMode="External"/><Relationship Id="rId37" Type="http://schemas.openxmlformats.org/officeDocument/2006/relationships/hyperlink" Target="https://www.sec.gov/Archives/edgar/data/1468328/000119312518322326/d581512dex102.htm" TargetMode="External"/><Relationship Id="rId38" Type="http://schemas.openxmlformats.org/officeDocument/2006/relationships/hyperlink" Target="https://www.sec.gov/Archives/edgar/data/1468328/000119312518322326/d581512dex102.htm" TargetMode="External"/><Relationship Id="rId39" Type="http://schemas.openxmlformats.org/officeDocument/2006/relationships/hyperlink" Target="https://www.sec.gov/Archives/edgar/data/1468328/000119312518322326/d581512dex103.htm" TargetMode="External"/><Relationship Id="rId40" Type="http://schemas.openxmlformats.org/officeDocument/2006/relationships/hyperlink" Target="https://www.sec.gov/Archives/edgar/data/1468328/000119312518322326/d581512dex103.htm" TargetMode="External"/><Relationship Id="rId41" Type="http://schemas.openxmlformats.org/officeDocument/2006/relationships/hyperlink" Target="https://www.sec.gov/Archives/edgar/data/1468328/000119312518322326/d581512dex104.htm" TargetMode="External"/><Relationship Id="rId42" Type="http://schemas.openxmlformats.org/officeDocument/2006/relationships/hyperlink" Target="https://www.sec.gov/Archives/edgar/data/1468328/000119312518322326/d581512dex104.htm" TargetMode="External"/><Relationship Id="rId43" Type="http://schemas.openxmlformats.org/officeDocument/2006/relationships/hyperlink" Target="https://www.sec.gov/Archives/edgar/data/1468328/000119312518322326/d581512dex106.htm" TargetMode="External"/><Relationship Id="rId44" Type="http://schemas.openxmlformats.org/officeDocument/2006/relationships/hyperlink" Target="https://www.sec.gov/Archives/edgar/data/1468328/000119312518322326/d581512dex106.htm" TargetMode="External"/><Relationship Id="rId45" Type="http://schemas.openxmlformats.org/officeDocument/2006/relationships/hyperlink" Target="https://www.sec.gov/Archives/edgar/data/1468328/000119312518322326/d581512dex107.htm" TargetMode="External"/><Relationship Id="rId46" Type="http://schemas.openxmlformats.org/officeDocument/2006/relationships/hyperlink" Target="https://www.sec.gov/Archives/edgar/data/1468328/000119312518322326/d581512dex107.htm" TargetMode="External"/><Relationship Id="rId47" Type="http://schemas.openxmlformats.org/officeDocument/2006/relationships/hyperlink" Target="https://www.sec.gov/Archives/edgar/data/1468328/000119312518322326/d581512dex102.htm" TargetMode="External"/><Relationship Id="rId48" Type="http://schemas.openxmlformats.org/officeDocument/2006/relationships/hyperlink" Target="https://www.sec.gov/Archives/edgar/data/1468328/000119312518322326/d581512dex102.htm" TargetMode="External"/><Relationship Id="rId49" Type="http://schemas.openxmlformats.org/officeDocument/2006/relationships/hyperlink" Target="https://www.sec.gov/Archives/edgar/data/1468328/000119312519100844/d732350dex992.htm" TargetMode="External"/><Relationship Id="rId50" Type="http://schemas.openxmlformats.org/officeDocument/2006/relationships/hyperlink" Target="https://www.sec.gov/Archives/edgar/data/1468328/000119312519100844/d732350dex992.htm" TargetMode="External"/><Relationship Id="rId51" Type="http://schemas.openxmlformats.org/officeDocument/2006/relationships/hyperlink" Target="https://www.sec.gov/Archives/edgar/data/1468328/000156459020038909/adus-ex1040_765.htm" TargetMode="External"/><Relationship Id="rId52" Type="http://schemas.openxmlformats.org/officeDocument/2006/relationships/hyperlink" Target="https://www.sec.gov/Archives/edgar/data/1468328/000156459020038909/adus-ex1040_765.htm" TargetMode="External"/><Relationship Id="rId53" Type="http://schemas.openxmlformats.org/officeDocument/2006/relationships/hyperlink" Target="https://www.sec.gov/Archives/edgar/data/1468328/000156459020038909/adus-ex1041_766.htm" TargetMode="External"/><Relationship Id="rId54" Type="http://schemas.openxmlformats.org/officeDocument/2006/relationships/hyperlink" Target="https://www.sec.gov/Archives/edgar/data/1468328/000156459020038909/adus-ex1041_766.htm" TargetMode="External"/><Relationship Id="rId55" Type="http://schemas.openxmlformats.org/officeDocument/2006/relationships/hyperlink" Target="https://www.sec.gov/Archives/edgar/data/1468328/000119312519236513/d24972dex21.htm" TargetMode="External"/><Relationship Id="rId56" Type="http://schemas.openxmlformats.org/officeDocument/2006/relationships/hyperlink" Target="https://www.sec.gov/Archives/edgar/data/1468328/000119312519236513/d24972dex21.htm" TargetMode="External"/><Relationship Id="rId57" Type="http://schemas.openxmlformats.org/officeDocument/2006/relationships/hyperlink" Target="https://www.sec.gov/Archives/edgar/data/1468328/000119312519244941/d801620dex101.htm" TargetMode="External"/><Relationship Id="rId58" Type="http://schemas.openxmlformats.org/officeDocument/2006/relationships/hyperlink" Target="https://www.sec.gov/Archives/edgar/data/1468328/000119312519244941/d801620dex101.htm" TargetMode="External"/><Relationship Id="rId59" Type="http://schemas.openxmlformats.org/officeDocument/2006/relationships/hyperlink" Target="https://www.sec.gov/Archives/edgar/data/1468328/000156459021009604/adus-ex1045_245.htm" TargetMode="External"/><Relationship Id="rId60" Type="http://schemas.openxmlformats.org/officeDocument/2006/relationships/hyperlink" Target="https://www.sec.gov/Archives/edgar/data/1468328/000156459021009604/adus-ex1045_245.htm" TargetMode="External"/><Relationship Id="rId61" Type="http://schemas.openxmlformats.org/officeDocument/2006/relationships/hyperlink" Target="https://www.sec.gov/Archives/edgar/data/1468328/000156459021009604/adus-ex1046_341.htm" TargetMode="External"/><Relationship Id="rId62" Type="http://schemas.openxmlformats.org/officeDocument/2006/relationships/hyperlink" Target="https://www.sec.gov/Archives/edgar/data/1468328/000156459021009604/adus-ex1046_341.htm" TargetMode="External"/><Relationship Id="rId63" Type="http://schemas.openxmlformats.org/officeDocument/2006/relationships/hyperlink" Target="https://www.sec.gov/Archives/edgar/data/1468328/000156459021040783/adus-ex102_269.htm" TargetMode="External"/><Relationship Id="rId64" Type="http://schemas.openxmlformats.org/officeDocument/2006/relationships/hyperlink" Target="https://www.sec.gov/Archives/edgar/data/1468328/000156459021040783/adus-ex102_269.htm" TargetMode="External"/><Relationship Id="rId65" Type="http://schemas.openxmlformats.org/officeDocument/2006/relationships/hyperlink" Target="https://www.sec.gov/Archives/edgar/data/1468328/000119312521236284/d213498dex101.htm" TargetMode="External"/><Relationship Id="rId66" Type="http://schemas.openxmlformats.org/officeDocument/2006/relationships/hyperlink" Target="https://www.sec.gov/Archives/edgar/data/1468328/000119312521236284/d213498dex101.htm" TargetMode="External"/><Relationship Id="rId67" Type="http://schemas.openxmlformats.org/officeDocument/2006/relationships/hyperlink" Target="https://www.sec.gov/Archives/edgar/data/1468328/000156459022007171/adus-ex1050_550.htm" TargetMode="External"/><Relationship Id="rId68" Type="http://schemas.openxmlformats.org/officeDocument/2006/relationships/hyperlink" Target="https://www.sec.gov/Archives/edgar/data/1468328/000156459022007171/adus-ex1050_550.htm" TargetMode="External"/><Relationship Id="rId69" Type="http://schemas.openxmlformats.org/officeDocument/2006/relationships/hyperlink" Target="https://www.sec.gov/Archives/edgar/data/1468328/000156459022017417/adus-ex101_138.htm" TargetMode="External"/><Relationship Id="rId70" Type="http://schemas.openxmlformats.org/officeDocument/2006/relationships/hyperlink" Target="https://www.sec.gov/Archives/edgar/data/1468328/000156459022017417/adus-ex101_138.htm" TargetMode="External"/><Relationship Id="rId71" Type="http://schemas.openxmlformats.org/officeDocument/2006/relationships/hyperlink" Target="https://www.sec.gov/Archives/edgar/data/1468328/000156459022027470/adus-ex101_6.htm" TargetMode="External"/><Relationship Id="rId72" Type="http://schemas.openxmlformats.org/officeDocument/2006/relationships/hyperlink" Target="https://www.sec.gov/Archives/edgar/data/1468328/000156459022027470/adus-ex101_6.htm" TargetMode="External"/><Relationship Id="rId73" Type="http://schemas.openxmlformats.org/officeDocument/2006/relationships/hyperlink" Target="https://www.sec.gov/Archives/edgar/data/1468328/000095017023016717/adus-ex10_1.htm" TargetMode="External"/><Relationship Id="rId74" Type="http://schemas.openxmlformats.org/officeDocument/2006/relationships/hyperlink" Target="https://www.sec.gov/Archives/edgar/data/1468328/000095017023016717/adus-ex10_1.htm" TargetMode="External"/><Relationship Id="rId75" Type="http://schemas.openxmlformats.org/officeDocument/2006/relationships/hyperlink" Target="https://www.sec.gov/Archives/edgar/data/1468328/000119312523167873/d523424dex101.htm" TargetMode="External"/><Relationship Id="rId76" Type="http://schemas.openxmlformats.org/officeDocument/2006/relationships/hyperlink" Target="https://www.sec.gov/Archives/edgar/data/1468328/000119312523167873/d523424dex101.htm" TargetMode="External"/><Relationship Id="rId77" Type="http://schemas.openxmlformats.org/officeDocument/2006/relationships/hyperlink" Target="https://www.sec.gov/Archives/edgar/data/1468328/000095017023036509/adus-ex10_2.htm" TargetMode="External"/><Relationship Id="rId78" Type="http://schemas.openxmlformats.org/officeDocument/2006/relationships/hyperlink" Target="https://www.sec.gov/Archives/edgar/data/1468328/000095017023036509/adus-ex10_2.htm" TargetMode="External"/><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62296</Words>
  <Characters>351212</Characters>
  <CharactersWithSpaces>416178</CharactersWithSpaces>
  <Paragraphs>11479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