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55880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75565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June 30,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-294640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8"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Borders>
              <w:top w:val="single" w:sz="8" w:color="auto"/>
            </w:tcBorders>
          </w:tcPr>
          <w:p>
            <w:pPr>
              <w:spacing w:after="0"/>
              <w:rPr>
                <w:sz w:val="19"/>
                <w:szCs w:val="19"/>
                <w:color w:val="auto"/>
              </w:rPr>
            </w:pP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2080" w:type="dxa"/>
            <w:vAlign w:val="bottom"/>
          </w:tcPr>
          <w:p>
            <w:pPr>
              <w:spacing w:after="0"/>
              <w:rPr>
                <w:sz w:val="18"/>
                <w:szCs w:val="18"/>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080" w:type="dxa"/>
            <w:vAlign w:val="bottom"/>
          </w:tcPr>
          <w:p>
            <w:pPr>
              <w:spacing w:after="0"/>
              <w:rPr>
                <w:sz w:val="20"/>
                <w:szCs w:val="20"/>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Identification No.)</w:t>
            </w:r>
          </w:p>
        </w:tc>
      </w:tr>
      <w:tr>
        <w:trPr>
          <w:trHeight w:val="387"/>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6303 Cowboys Way, Suite 600</w:t>
            </w:r>
          </w:p>
        </w:tc>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Frisco, TX</w:t>
            </w:r>
          </w:p>
        </w:tc>
        <w:tc>
          <w:tcPr>
            <w:tcW w:w="4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80" w:type="dxa"/>
            <w:vAlign w:val="bottom"/>
          </w:tcPr>
          <w:p>
            <w:pPr>
              <w:spacing w:after="0"/>
              <w:rPr>
                <w:sz w:val="20"/>
                <w:szCs w:val="20"/>
                <w:color w:val="auto"/>
              </w:rPr>
            </w:pP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(Zip Code)</w:t>
            </w:r>
          </w:p>
        </w:tc>
      </w:tr>
    </w:tbl>
    <w:p>
      <w:pPr>
        <w:ind w:left="5060"/>
        <w:spacing w:after="0"/>
        <w:rPr>
          <w:sz w:val="20"/>
          <w:szCs w:val="20"/>
          <w:color w:val="auto"/>
        </w:rPr>
      </w:pPr>
      <w:r>
        <w:rPr>
          <w:rFonts w:ascii="Arial" w:cs="Arial" w:eastAsia="Arial" w:hAnsi="Arial"/>
          <w:sz w:val="18"/>
          <w:szCs w:val="18"/>
          <w:b w:val="1"/>
          <w:bCs w:val="1"/>
          <w:color w:val="auto"/>
        </w:rPr>
        <w:t>(469) 535-8200</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34" w:lineRule="exact"/>
        <w:rPr>
          <w:sz w:val="24"/>
          <w:szCs w:val="24"/>
          <w:color w:val="auto"/>
        </w:rPr>
      </w:pPr>
    </w:p>
    <w:p>
      <w:pPr>
        <w:ind w:right="6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7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95" w:lineRule="exact"/>
        <w:rPr>
          <w:sz w:val="24"/>
          <w:szCs w:val="24"/>
          <w:color w:val="auto"/>
        </w:rPr>
      </w:pPr>
    </w:p>
    <w:p>
      <w:pPr>
        <w:jc w:val="both"/>
        <w:ind w:right="40" w:firstLine="47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80" w:right="134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25, 2022, Addus HomeCare Corporation had 16,080,337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r>
      <w:tr>
        <w:trPr>
          <w:trHeight w:val="68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ADDUS HOMECARE CORPORATION</w:t>
            </w:r>
          </w:p>
        </w:tc>
        <w:tc>
          <w:tcPr>
            <w:tcW w:w="9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52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99"/>
              </w:rPr>
              <w:t>FORM 10-Q</w:t>
            </w:r>
          </w:p>
        </w:tc>
        <w:tc>
          <w:tcPr>
            <w:tcW w:w="9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52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10180" w:type="dxa"/>
            <w:vAlign w:val="bottom"/>
            <w:gridSpan w:val="21"/>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2022 and December 31, 2021</w:t>
              </w:r>
            </w:hyperlink>
          </w:p>
        </w:tc>
        <w:tc>
          <w:tcPr>
            <w:tcW w:w="33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and Six Months Ended June 30, 2022 and 2021</w:t>
              </w:r>
            </w:hyperlink>
          </w:p>
        </w:tc>
        <w:tc>
          <w:tcPr>
            <w:tcW w:w="16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Stockholders’ Equity For the Three and Six Months Ended June 30, 2022 and 2021</w:t>
              </w:r>
            </w:hyperlink>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2022 and 2021</w:t>
              </w:r>
            </w:hyperlink>
          </w:p>
        </w:tc>
        <w:tc>
          <w:tcPr>
            <w:tcW w:w="21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5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4. Controls and Procedures</w:t>
              </w:r>
            </w:hyperlink>
          </w:p>
        </w:tc>
        <w:tc>
          <w:tcPr>
            <w:tcW w:w="75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60" w:type="dxa"/>
            <w:vAlign w:val="bottom"/>
          </w:tcPr>
          <w:p>
            <w:pPr>
              <w:spacing w:after="0"/>
              <w:rPr>
                <w:sz w:val="24"/>
                <w:szCs w:val="24"/>
                <w:color w:val="auto"/>
              </w:rPr>
            </w:pPr>
          </w:p>
        </w:tc>
        <w:tc>
          <w:tcPr>
            <w:tcW w:w="2580" w:type="dxa"/>
            <w:vAlign w:val="bottom"/>
            <w:tcBorders>
              <w:bottom w:val="single" w:sz="8" w:color="0000EE"/>
            </w:tcBorders>
            <w:gridSpan w:val="8"/>
          </w:tcPr>
          <w:p>
            <w:pPr>
              <w:ind w:left="20"/>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 OTHER INFORMATION</w:t>
              </w:r>
            </w:hyperlink>
          </w:p>
        </w:tc>
        <w:tc>
          <w:tcPr>
            <w:tcW w:w="760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796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7"/>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 Defaults Upon Senior Securities</w:t>
              </w:r>
            </w:hyperlink>
          </w:p>
        </w:tc>
        <w:tc>
          <w:tcPr>
            <w:tcW w:w="69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 Mine Safety Disclosures</w:t>
              </w:r>
            </w:hyperlink>
          </w:p>
        </w:tc>
        <w:tc>
          <w:tcPr>
            <w:tcW w:w="75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798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676"/>
        </w:trPr>
        <w:tc>
          <w:tcPr>
            <w:tcW w:w="500" w:type="dxa"/>
            <w:vAlign w:val="bottom"/>
            <w:gridSpan w:val="2"/>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320" w:type="dxa"/>
            <w:vAlign w:val="bottom"/>
            <w:gridSpan w:val="12"/>
          </w:tcPr>
          <w:p>
            <w:pPr>
              <w:jc w:val="center"/>
              <w:ind w:left="2559"/>
              <w:spacing w:after="0"/>
              <w:rPr>
                <w:sz w:val="20"/>
                <w:szCs w:val="20"/>
                <w:color w:val="auto"/>
              </w:rPr>
            </w:pPr>
            <w:r>
              <w:rPr>
                <w:rFonts w:ascii="Arial" w:cs="Arial" w:eastAsia="Arial" w:hAnsi="Arial"/>
                <w:sz w:val="16"/>
                <w:szCs w:val="16"/>
                <w:color w:val="auto"/>
                <w:w w:val="89"/>
              </w:rPr>
              <w:t>2</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1"/>
        </w:trPr>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120,917</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Accounts receivable, net of allowances for credit losses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256,372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574,752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74,464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assets, net</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41,207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690,423</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964,528</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21,346</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stimulus advances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128,004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Long-term liabilities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 of debt issuance costs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38,343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236,747</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364,751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16,081 and 15,940 shares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June 30, 2022 and December 31, 2021, respectively</w:t>
            </w: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385,750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214,011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599,777</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964,528</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the Three Months</w:t>
            </w:r>
          </w:p>
        </w:tc>
        <w:tc>
          <w:tcPr>
            <w:tcW w:w="240" w:type="dxa"/>
            <w:vAlign w:val="bottom"/>
          </w:tcPr>
          <w:p>
            <w:pPr>
              <w:spacing w:after="0"/>
              <w:rPr>
                <w:sz w:val="17"/>
                <w:szCs w:val="17"/>
                <w:color w:val="auto"/>
              </w:rPr>
            </w:pPr>
          </w:p>
        </w:tc>
        <w:tc>
          <w:tcPr>
            <w:tcW w:w="240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Ended June 30,</w:t>
            </w: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115,377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2022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383,001</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202,761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585,778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2022</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380,037</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2021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000" w:type="dxa"/>
            <w:vAlign w:val="bottom"/>
          </w:tcPr>
          <w:p>
            <w:pPr>
              <w:jc w:val="right"/>
              <w:ind w:right="173"/>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15,903</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371,835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158,059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529,910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000" w:type="dxa"/>
            <w:vAlign w:val="bottom"/>
          </w:tcPr>
          <w:p>
            <w:pPr>
              <w:jc w:val="right"/>
              <w:ind w:right="173"/>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For the Six Months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Ended 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19,720</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of operating lease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Government stimulus advances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(23,993)</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(5,756)</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(8,088)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62,502</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(84,490)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(86,028)</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revolver loan — credit facility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(60,000)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borrowings on revolver — credit facility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(24,452)</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(47,978)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168,895</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120,917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consideration payable included in accrued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476"/>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476"/>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2021 has been derived from the Company’s audited financial statements for the year ended December 31, 2021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2021 included in our Annual Report on Form 10-K, which includes information and disclosures not included herein.</w:t>
      </w:r>
    </w:p>
    <w:p>
      <w:pPr>
        <w:spacing w:after="0" w:line="195" w:lineRule="exact"/>
        <w:rPr>
          <w:sz w:val="20"/>
          <w:szCs w:val="20"/>
          <w:color w:val="auto"/>
        </w:rPr>
      </w:pPr>
    </w:p>
    <w:p>
      <w:pPr>
        <w:jc w:val="both"/>
        <w:ind w:right="120" w:firstLine="476"/>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Weighted Average Shares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computation of basic and diluted common shares: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4"/>
              </w:rPr>
              <w:t>For the Three Months Ended June 30,</w:t>
            </w:r>
          </w:p>
        </w:tc>
        <w:tc>
          <w:tcPr>
            <w:tcW w:w="26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4"/>
              </w:rPr>
              <w:t>For the Six Months Ended June 30,</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(Amounts in thousands)</w:t>
            </w:r>
          </w:p>
        </w:tc>
        <w:tc>
          <w:tcPr>
            <w:tcW w:w="2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0"/>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5"/>
              </w:rPr>
              <w:t>Weighted average number of shares outstanding for basic per share</w:t>
            </w: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calculation</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15,854</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15,738</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Effect of dilutive potential shares:</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Adjusted weighted average shares outstanding for diluted per share</w:t>
            </w:r>
          </w:p>
        </w:tc>
        <w:tc>
          <w:tcPr>
            <w:tcW w:w="6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calculation</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Anti-dilutive shares:</w:t>
            </w:r>
          </w:p>
        </w:tc>
        <w:tc>
          <w:tcPr>
            <w:tcW w:w="6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20" w:type="dxa"/>
            <w:vAlign w:val="bottom"/>
          </w:tcPr>
          <w:p>
            <w:pPr>
              <w:spacing w:after="0"/>
              <w:rPr>
                <w:sz w:val="24"/>
                <w:szCs w:val="24"/>
                <w:color w:val="auto"/>
              </w:rPr>
            </w:pPr>
          </w:p>
        </w:tc>
        <w:tc>
          <w:tcPr>
            <w:tcW w:w="620" w:type="dxa"/>
            <w:vAlign w:val="bottom"/>
          </w:tcPr>
          <w:p>
            <w:pPr>
              <w:jc w:val="right"/>
              <w:ind w:right="91"/>
              <w:spacing w:after="0"/>
              <w:rPr>
                <w:sz w:val="20"/>
                <w:szCs w:val="20"/>
                <w:color w:val="auto"/>
              </w:rPr>
            </w:pPr>
            <w:r>
              <w:rPr>
                <w:rFonts w:ascii="Arial" w:cs="Arial" w:eastAsia="Arial" w:hAnsi="Arial"/>
                <w:sz w:val="16"/>
                <w:szCs w:val="16"/>
                <w:color w:val="auto"/>
              </w:rPr>
              <w:t>8</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 xml:space="preserve">In November 2021, the FASB issued ASU 2021-10, </w:t>
      </w:r>
      <w:r>
        <w:rPr>
          <w:rFonts w:ascii="Arial" w:cs="Arial" w:eastAsia="Arial" w:hAnsi="Arial"/>
          <w:sz w:val="16"/>
          <w:szCs w:val="16"/>
          <w:i w:val="1"/>
          <w:iCs w:val="1"/>
          <w:color w:val="auto"/>
        </w:rPr>
        <w:t>Government Assistance (Topic 832): Disclosures by Business Entities about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Assistance</w:t>
      </w:r>
      <w:r>
        <w:rPr>
          <w:rFonts w:ascii="Arial" w:cs="Arial" w:eastAsia="Arial" w:hAnsi="Arial"/>
          <w:sz w:val="16"/>
          <w:szCs w:val="16"/>
          <w:color w:val="auto"/>
        </w:rPr>
        <w:t>. ASU 2021-10 requires entities to disclose certain information about the nature of certain governmental assistance received, including the nature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transaction and the related accounting policy, the financial statement line items impacted by the assistance, as well as the significant terms and conditions of the transactions. The ASU was adopted as of January 1, 2022 and did not have an impact on the Company’s results of operations or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On July 30, 2021, the Company entered into the Second Amendment to the Credit Agreement as discussed further in Note 8.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reported on the Company’s Unaudited Condensed Consolidated Balance Sheets for operating leases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155"/>
        </w:trPr>
        <w:tc>
          <w:tcPr>
            <w:tcW w:w="7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600" w:type="dxa"/>
            <w:vAlign w:val="bottom"/>
            <w:tcBorders>
              <w:top w:val="single" w:sz="8" w:color="auto"/>
              <w:bottom w:val="single" w:sz="8" w:color="auto"/>
            </w:tcBorders>
            <w:gridSpan w:val="4"/>
          </w:tcPr>
          <w:p>
            <w:pPr>
              <w:jc w:val="right"/>
              <w:ind w:right="11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77" w:lineRule="exact"/>
        <w:rPr>
          <w:sz w:val="20"/>
          <w:szCs w:val="20"/>
          <w:color w:val="auto"/>
        </w:rPr>
      </w:pPr>
    </w:p>
    <w:p>
      <w:pPr>
        <w:ind w:right="180" w:firstLine="476"/>
        <w:spacing w:after="0" w:line="277" w:lineRule="auto"/>
        <w:rPr>
          <w:sz w:val="20"/>
          <w:szCs w:val="20"/>
          <w:color w:val="auto"/>
        </w:rPr>
      </w:pPr>
      <w:r>
        <w:rPr>
          <w:rFonts w:ascii="Arial" w:cs="Arial" w:eastAsia="Arial" w:hAnsi="Arial"/>
          <w:sz w:val="18"/>
          <w:szCs w:val="18"/>
          <w:color w:val="auto"/>
        </w:rPr>
        <w:t>Components of lease costs were reported in general and administrative expenses in the Company’s Unaudited Condensed Consolidated Statements of Income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20" w:type="dxa"/>
            <w:vAlign w:val="bottom"/>
          </w:tcPr>
          <w:p>
            <w:pPr>
              <w:spacing w:after="0"/>
              <w:rPr>
                <w:sz w:val="14"/>
                <w:szCs w:val="14"/>
                <w:color w:val="auto"/>
              </w:rPr>
            </w:pPr>
          </w:p>
        </w:tc>
        <w:tc>
          <w:tcPr>
            <w:tcW w:w="27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6"/>
              </w:rPr>
              <w:t>For the Six Months Ended June 30,</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300" w:type="dxa"/>
            <w:vAlign w:val="bottom"/>
            <w:gridSpan w:val="6"/>
          </w:tcPr>
          <w:p>
            <w:pPr>
              <w:jc w:val="center"/>
              <w:ind w:left="386"/>
              <w:spacing w:after="0"/>
              <w:rPr>
                <w:sz w:val="20"/>
                <w:szCs w:val="20"/>
                <w:color w:val="auto"/>
              </w:rPr>
            </w:pPr>
            <w:r>
              <w:rPr>
                <w:rFonts w:ascii="Arial" w:cs="Arial" w:eastAsia="Arial" w:hAnsi="Arial"/>
                <w:sz w:val="14"/>
                <w:szCs w:val="14"/>
                <w:b w:val="1"/>
                <w:bCs w:val="1"/>
                <w:color w:val="auto"/>
                <w:w w:val="92"/>
              </w:rPr>
              <w:t>(Amounts in Thousands)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0"/>
              </w:rPr>
              <w:t>(Amounts in Thousands)</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20" w:type="dxa"/>
            <w:vAlign w:val="bottom"/>
            <w:tcBorders>
              <w:top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4,014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Less: sublease income</w:t>
            </w:r>
          </w:p>
        </w:tc>
        <w:tc>
          <w:tcPr>
            <w:tcW w:w="8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costs, net</w:t>
            </w: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00" w:type="dxa"/>
            <w:vAlign w:val="bottom"/>
            <w:gridSpan w:val="2"/>
          </w:tcPr>
          <w:p>
            <w:pPr>
              <w:ind w:left="480"/>
              <w:spacing w:after="0"/>
              <w:rPr>
                <w:sz w:val="20"/>
                <w:szCs w:val="20"/>
                <w:color w:val="auto"/>
              </w:rPr>
            </w:pPr>
            <w:r>
              <w:rPr>
                <w:rFonts w:ascii="Arial" w:cs="Arial" w:eastAsia="Arial" w:hAnsi="Arial"/>
                <w:sz w:val="18"/>
                <w:szCs w:val="18"/>
                <w:color w:val="auto"/>
                <w:w w:val="91"/>
              </w:rPr>
              <w:t>Weighted average remaining lease terms and discount rates were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2"/>
              </w:rPr>
              <w:t>June 30, 2022</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82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w w:val="85"/>
              </w:rPr>
              <w:t>6.39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w w:val="93"/>
              </w:rPr>
              <w:t>3.91%</w:t>
            </w:r>
          </w:p>
        </w:tc>
        <w:tc>
          <w:tcPr>
            <w:tcW w:w="0" w:type="dxa"/>
            <w:vAlign w:val="bottom"/>
          </w:tcPr>
          <w:p>
            <w:pPr>
              <w:spacing w:after="0"/>
              <w:rPr>
                <w:sz w:val="1"/>
                <w:szCs w:val="1"/>
                <w:color w:val="auto"/>
              </w:rPr>
            </w:pPr>
          </w:p>
        </w:tc>
      </w:tr>
      <w:tr>
        <w:trPr>
          <w:trHeight w:val="615"/>
        </w:trPr>
        <w:tc>
          <w:tcPr>
            <w:tcW w:w="5280" w:type="dxa"/>
            <w:vAlign w:val="bottom"/>
          </w:tcPr>
          <w:p>
            <w:pPr>
              <w:spacing w:after="0"/>
              <w:rPr>
                <w:sz w:val="24"/>
                <w:szCs w:val="24"/>
                <w:color w:val="auto"/>
              </w:rPr>
            </w:pPr>
          </w:p>
        </w:tc>
        <w:tc>
          <w:tcPr>
            <w:tcW w:w="820" w:type="dxa"/>
            <w:vAlign w:val="bottom"/>
          </w:tcPr>
          <w:p>
            <w:pPr>
              <w:jc w:val="right"/>
              <w:ind w:right="366"/>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Remaining operating lease payments as of June 30, 2022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the 12-month period ended June 30,</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2027</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rental commitments</w:t>
            </w:r>
          </w:p>
        </w:tc>
        <w:tc>
          <w:tcPr>
            <w:tcW w:w="10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55,392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2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w w:val="94"/>
              </w:rPr>
              <w:t>(Amounts in Thousands)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1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6,476</w:t>
            </w:r>
          </w:p>
        </w:tc>
        <w:tc>
          <w:tcPr>
            <w:tcW w:w="152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216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11,319</w:t>
            </w:r>
          </w:p>
        </w:tc>
        <w:tc>
          <w:tcPr>
            <w:tcW w:w="152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88"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JourneyCare</w:t>
      </w:r>
    </w:p>
    <w:p>
      <w:pPr>
        <w:spacing w:after="0" w:line="117" w:lineRule="exact"/>
        <w:rPr>
          <w:sz w:val="20"/>
          <w:szCs w:val="20"/>
          <w:color w:val="auto"/>
        </w:rPr>
      </w:pPr>
    </w:p>
    <w:p>
      <w:pPr>
        <w:ind w:right="100" w:firstLine="476"/>
        <w:spacing w:after="0" w:line="254" w:lineRule="auto"/>
        <w:rPr>
          <w:sz w:val="20"/>
          <w:szCs w:val="20"/>
          <w:color w:val="auto"/>
        </w:rPr>
      </w:pPr>
      <w:r>
        <w:rPr>
          <w:rFonts w:ascii="Arial" w:cs="Arial" w:eastAsia="Arial" w:hAnsi="Arial"/>
          <w:sz w:val="18"/>
          <w:szCs w:val="18"/>
          <w:color w:val="auto"/>
        </w:rPr>
        <w:t>On February 1, 2022, the Company completed the acquisition of the hospice and palliative operations of JourneyCare Inc. (“JourneyCare”). The purchase price was approximately $86.6 million, including the amount of acquired excess cash held by JourneyCare at the closing of the acquisition (approximately $0.5 million) plus the finalization of net working capital payable to seller of $1.6 million. The JourneyCare acquisition was funded with a combination of a $35.0 million draw on the Company’s revolving credit facility and available cash. With the JourneyCare acquisition, the Company expanded its hospice services in the state of Illinois. The related acquisition costs were $0.2 million and $0.5 million for the three and six months ended June 30, 2022, respectively, and integration costs were $1.3 million and $3.1 million for the three and six months ended June 30, 2022, respectively. These costs were included in general and administrative expenses on the Unaudited Condensed Consolidated Statements of Income and were expensed as incurred.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(Amounts in Thousands)</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9"/>
                <w:szCs w:val="19"/>
                <w:color w:val="auto"/>
              </w:rPr>
            </w:pP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(6,799)</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0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(1,511)</w:t>
            </w: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(3,537)</w:t>
            </w:r>
          </w:p>
        </w:tc>
      </w:tr>
      <w:tr>
        <w:trPr>
          <w:trHeight w:val="223"/>
        </w:trPr>
        <w:tc>
          <w:tcPr>
            <w:tcW w:w="8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76"/>
        <w:spacing w:after="0" w:line="279" w:lineRule="auto"/>
        <w:rPr>
          <w:sz w:val="20"/>
          <w:szCs w:val="20"/>
          <w:color w:val="auto"/>
        </w:rPr>
      </w:pPr>
      <w:r>
        <w:rPr>
          <w:rFonts w:ascii="Arial" w:cs="Arial" w:eastAsia="Arial" w:hAnsi="Arial"/>
          <w:sz w:val="17"/>
          <w:szCs w:val="17"/>
          <w:color w:val="auto"/>
        </w:rPr>
        <w:t>Identifiable intangible assets acquired included $9.0 million in a trade name and $4.8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17"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The JourneyCare acquisition accounted for $13.6 million and $23.1 million of net service revenues and $2.6 million and $4.6 million of operating income for the three and six months ended June 30, 2022, respectively.</w:t>
      </w:r>
    </w:p>
    <w:p>
      <w:pPr>
        <w:spacing w:after="0" w:line="170" w:lineRule="exact"/>
        <w:rPr>
          <w:sz w:val="20"/>
          <w:szCs w:val="20"/>
          <w:color w:val="auto"/>
        </w:rPr>
      </w:pPr>
    </w:p>
    <w:p>
      <w:pPr>
        <w:ind w:right="520" w:firstLine="477"/>
        <w:spacing w:after="0" w:line="277"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for the three and six months ended June 30, 2022 as if the JourneyCare acquisition closed on January 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4"/>
              </w:rPr>
              <w:t>For the Three Months Ended 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20" w:firstLine="476"/>
        <w:spacing w:after="0" w:line="296"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the operations of JourneyCare had been acquired effective January 1, 2021.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and related adjustments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Personal Care</w:t>
            </w: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Home Health</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60" w:type="dxa"/>
            <w:vAlign w:val="bottom"/>
            <w:tcBorders>
              <w:top w:val="single" w:sz="8" w:color="auto"/>
              <w:bottom w:val="single" w:sz="8" w:color="auto"/>
            </w:tcBorders>
            <w:gridSpan w:val="5"/>
          </w:tcPr>
          <w:p>
            <w:pPr>
              <w:jc w:val="right"/>
              <w:ind w:right="740"/>
              <w:spacing w:after="0" w:line="155" w:lineRule="exact"/>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23,370</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70,775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Goodwill as of June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399,018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152,688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574,752</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firstLine="477"/>
        <w:spacing w:after="0" w:line="277" w:lineRule="auto"/>
        <w:rPr>
          <w:sz w:val="20"/>
          <w:szCs w:val="20"/>
          <w:color w:val="auto"/>
        </w:rPr>
      </w:pPr>
      <w:r>
        <w:rPr>
          <w:rFonts w:ascii="Arial" w:cs="Arial" w:eastAsia="Arial" w:hAnsi="Arial"/>
          <w:sz w:val="18"/>
          <w:szCs w:val="18"/>
          <w:color w:val="auto"/>
        </w:rPr>
        <w:t>In connection with the JourneyCare acquisition, the Company recognized goodwill in its hospice segment of $70.8 million, during the six months ended June 30, 2022. See Note 4 for additional information regarding the acquisition.</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five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June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(37,215)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(19,773)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(6,023)</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(67,342)</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intangible assets at June 30, 2022</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477"/>
        <w:spacing w:after="0" w:line="342" w:lineRule="auto"/>
        <w:rPr>
          <w:sz w:val="20"/>
          <w:szCs w:val="20"/>
          <w:color w:val="auto"/>
        </w:rPr>
      </w:pPr>
      <w:r>
        <w:rPr>
          <w:rFonts w:ascii="Arial" w:cs="Arial" w:eastAsia="Arial" w:hAnsi="Arial"/>
          <w:sz w:val="16"/>
          <w:szCs w:val="16"/>
          <w:color w:val="auto"/>
        </w:rPr>
        <w:t>In connection with the JourneyCare acquisition, the Company recognized a trade name of $9.0 million and indefinite lived state licenses of $4.8 million in its hospice segment during the three months ended March 31, 2022. See Note 4 for additional information regarding the acquisition.</w:t>
      </w:r>
    </w:p>
    <w:p>
      <w:pPr>
        <w:spacing w:after="0" w:line="124" w:lineRule="exact"/>
        <w:rPr>
          <w:sz w:val="20"/>
          <w:szCs w:val="20"/>
          <w:color w:val="auto"/>
        </w:rPr>
      </w:pPr>
    </w:p>
    <w:p>
      <w:pPr>
        <w:ind w:right="20" w:firstLine="476"/>
        <w:spacing w:after="0" w:line="271" w:lineRule="auto"/>
        <w:rPr>
          <w:sz w:val="20"/>
          <w:szCs w:val="20"/>
          <w:color w:val="auto"/>
        </w:rPr>
      </w:pPr>
      <w:r>
        <w:rPr>
          <w:rFonts w:ascii="Arial" w:cs="Arial" w:eastAsia="Arial" w:hAnsi="Arial"/>
          <w:sz w:val="18"/>
          <w:szCs w:val="18"/>
          <w:color w:val="auto"/>
        </w:rPr>
        <w:t>Amortization expense related to the intangible assets was $1.8 million and $3.6 million for the three and six months ended June 30, 2022, respectively, and $2.1 million and $4.3 million for the three and six months ended June 30, 2021, respectively. The weighted average remaining useful lives of identifiable intangible assets as of June 30, 2022 was 10.0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80"/>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Payor advances (1)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93980</wp:posOffset>
            </wp:positionV>
            <wp:extent cx="1517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2" w:lineRule="exact"/>
        <w:rPr>
          <w:sz w:val="20"/>
          <w:szCs w:val="20"/>
          <w:color w:val="auto"/>
        </w:rPr>
      </w:pPr>
    </w:p>
    <w:p>
      <w:pPr>
        <w:jc w:val="both"/>
        <w:ind w:left="1040" w:right="60" w:hanging="330"/>
        <w:spacing w:after="0" w:line="278" w:lineRule="auto"/>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202"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as described below.</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Provider Relief Fund</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477"/>
        <w:spacing w:after="0" w:line="293" w:lineRule="auto"/>
        <w:rPr>
          <w:sz w:val="20"/>
          <w:szCs w:val="20"/>
          <w:color w:val="auto"/>
        </w:rPr>
      </w:pPr>
      <w:r>
        <w:rPr>
          <w:rFonts w:ascii="Arial" w:cs="Arial" w:eastAsia="Arial" w:hAnsi="Arial"/>
          <w:sz w:val="16"/>
          <w:szCs w:val="16"/>
          <w:color w:val="auto"/>
        </w:rPr>
        <w:t>One of the primary sources of relief for healthcare providers is the Provider Relief Fund, which has been funded through the Coronavirus Aid, Relief, and Economic Security Act (“CARES Act”) and related legislation.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 Commercial organizations that receive and expend annual total awards of $750,000 or more in federal funding, including payments received through the Provider Relief Fund, are subject to federal audit requirements.</w:t>
      </w:r>
    </w:p>
    <w:p>
      <w:pPr>
        <w:spacing w:after="0" w:line="164"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In November 2020, the Company received grants in an aggregate principal amount of $13.7 million from the Provider Relief Fund, and fully utilized these funds as of December 31, 2021, including $10.4 million and $11.3 million during the three and six months ended June 30, 2021, respectively, for healthcare related expenses, including retention payments, attributable to COVID-19 that were unreimbursed by other sources. We were required to properly and fully document the use of such funds in reports to the U.S. Department of Health &amp; Human Services (“HHS”), which we were required to submit no later than March 31, 2022. We have submitted the required reports.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The CARES Act also provided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As of June 30,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right="60" w:firstLine="477"/>
        <w:spacing w:after="0" w:line="273" w:lineRule="auto"/>
        <w:rPr>
          <w:sz w:val="20"/>
          <w:szCs w:val="20"/>
          <w:color w:val="auto"/>
        </w:rPr>
      </w:pPr>
      <w:r>
        <w:rPr>
          <w:rFonts w:ascii="Arial" w:cs="Arial" w:eastAsia="Arial" w:hAnsi="Arial"/>
          <w:sz w:val="17"/>
          <w:szCs w:val="17"/>
          <w:color w:val="auto"/>
        </w:rPr>
        <w:t>The American Rescue Plan Act of 2021 (“ARPA”), which became law on March 11, 2021,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 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70" w:lineRule="exact"/>
        <w:rPr>
          <w:sz w:val="20"/>
          <w:szCs w:val="20"/>
          <w:color w:val="auto"/>
        </w:rPr>
      </w:pPr>
    </w:p>
    <w:p>
      <w:pPr>
        <w:ind w:right="80" w:firstLine="477"/>
        <w:spacing w:after="0" w:line="289" w:lineRule="auto"/>
        <w:rPr>
          <w:sz w:val="20"/>
          <w:szCs w:val="20"/>
          <w:color w:val="auto"/>
        </w:rPr>
      </w:pPr>
      <w:r>
        <w:rPr>
          <w:rFonts w:ascii="Arial" w:cs="Arial" w:eastAsia="Arial" w:hAnsi="Arial"/>
          <w:sz w:val="16"/>
          <w:szCs w:val="16"/>
          <w:color w:val="auto"/>
        </w:rPr>
        <w:t>For certain states, the Company must implement efforts and expend funds primarily for the further recruitment, retention and training of caregivers and funds may be subject to recoupment if not expended or are expended on non-approved uses. In addition, the Company is required to properly and fully document the use of such funds in reports to the state in which the funds originated. During the six months ended June 30, 2022, the Company received state funding provided by the ARPA in an aggregate amount of $14.6 million. The Company recorded revenue of $1.6 million and related cost of service revenues of $1.2 million for certain states that met the revenue recognition criteria. The Company deferred the remaining $13.0 million, which was received from states with specific spending plans and reporting requirements. The Company utilized $0.4 million of these funds during the three and six months ended June 30, 2022, primarily for caregivers and adding support to recruiting and retention efforts, included as a reduction of cost of service revenues in the Company’s Unaudited Condensed Consolidated Statements of Income. As of June 30, 2022, the deferred portion of ARPA funding was $12.6 million, which is included within Government stimulus advances on the Company’s Unaudited Condensed Consolidated Balance Sheets.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right="220" w:firstLine="477"/>
        <w:spacing w:after="0" w:line="291" w:lineRule="auto"/>
        <w:rPr>
          <w:sz w:val="20"/>
          <w:szCs w:val="20"/>
          <w:color w:val="auto"/>
        </w:rPr>
      </w:pPr>
      <w:r>
        <w:rPr>
          <w:rFonts w:ascii="Arial" w:cs="Arial" w:eastAsia="Arial" w:hAnsi="Arial"/>
          <w:sz w:val="16"/>
          <w:szCs w:val="16"/>
          <w:color w:val="auto"/>
        </w:rPr>
        <w:t>The CARES Act and related laws temporarily lifted the Medicare sequester which would have otherwise reduced payments to Medicare providers by 2%, as required by the Budget Control Act of 2011, from May 1, 2020, through December 31, 2021 (but also extended sequestration through</w:t>
      </w:r>
    </w:p>
    <w:p>
      <w:pPr>
        <w:ind w:right="100"/>
        <w:spacing w:after="0" w:line="255" w:lineRule="auto"/>
        <w:rPr>
          <w:sz w:val="20"/>
          <w:szCs w:val="20"/>
          <w:color w:val="auto"/>
        </w:rPr>
      </w:pPr>
      <w:r>
        <w:rPr>
          <w:rFonts w:ascii="Arial" w:cs="Arial" w:eastAsia="Arial" w:hAnsi="Arial"/>
          <w:sz w:val="18"/>
          <w:szCs w:val="18"/>
          <w:color w:val="auto"/>
        </w:rPr>
        <w:t>2030). Congress further delayed these sequestration cuts through March 31, 2022, and reduced the sequestration adjustment to 1% from April 1 through June 30, 2022. The full 2% reduction resumed July 1, 2022. These sequestration cuts have been extended through 2030, with the reductions for 2030 set to increase to 2.25% for the first six months and to 3% for the second six months.</w:t>
      </w:r>
    </w:p>
    <w:p>
      <w:pPr>
        <w:spacing w:after="0" w:line="190"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In the hospice segment, Medicare sequester relief resulted in an increase in net service revenues of $0.5 million and $0.7 million for the three months ended June 30, 2022 and 2021, respectively, and $1.4 million for each of the six months ended June 30, 2022 and 2021. In the home health segment, Medicare sequester relief resulted in an increase in net service revenues of $0.1 million for each of the three months ended June 30, 2022 and 2021, and $0.3 million and $0.2 million for the six months ended June 30, 2022 and 2021,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477"/>
        <w:spacing w:after="0" w:line="257" w:lineRule="auto"/>
        <w:rPr>
          <w:sz w:val="20"/>
          <w:szCs w:val="20"/>
          <w:color w:val="auto"/>
        </w:rPr>
      </w:pPr>
      <w:r>
        <w:rPr>
          <w:rFonts w:ascii="Arial" w:cs="Arial" w:eastAsia="Arial" w:hAnsi="Arial"/>
          <w:sz w:val="18"/>
          <w:szCs w:val="18"/>
          <w:color w:val="auto"/>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88" w:lineRule="exact"/>
        <w:rPr>
          <w:sz w:val="20"/>
          <w:szCs w:val="20"/>
          <w:color w:val="auto"/>
        </w:rPr>
      </w:pPr>
    </w:p>
    <w:p>
      <w:pPr>
        <w:ind w:right="80" w:firstLine="506"/>
        <w:spacing w:after="0" w:line="291" w:lineRule="auto"/>
        <w:rPr>
          <w:sz w:val="20"/>
          <w:szCs w:val="20"/>
          <w:color w:val="auto"/>
        </w:rPr>
      </w:pPr>
      <w:r>
        <w:rPr>
          <w:rFonts w:ascii="Arial" w:cs="Arial" w:eastAsia="Arial" w:hAnsi="Arial"/>
          <w:sz w:val="16"/>
          <w:szCs w:val="16"/>
          <w:color w:val="auto"/>
        </w:rPr>
        <w:t>For the three and six months ended June 30, 2022, COVID-19-related expenses in our personal care segment were approximately $1.1 million and $2.8 million, respectively, and are included in cost of service revenues on the Consolidated Statements of Income. For the three and six months ended June 30, 2021, COVID-19-related expenses in our personal care segment were approximately $11.4 million and $13.3 million, respectively, which were offset by $10.4 million and $11.3 million, respectively, related to the utilization of a portion of the funds received from the Provider Relief Fund in November 2020 and included in cost of service revenues on the Condensed Consolidated Statements of Income. Additionally, the Company recognized revenue of $1.6 million and $3.0 million attributable to temporary rate increases from certain payors in our personal care segment for the three and six months ended June 30, 2022, respectively, and $3.1 million and $4.8 million for the three and six months ended June 30, 2021, respectively.</w:t>
      </w:r>
    </w:p>
    <w:p>
      <w:pPr>
        <w:spacing w:after="0" w:line="166"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For the three and six months ended June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84"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Although the United States has experienced a moderation of infection and related hospitalization rates, there continues to be a significant number of COVID-19 cases and deaths in the United States and throughout the world. Given the longer-term uncertainties associated with the COVID-19 pandemic, it is impossible to predict the effect and ultimate impact of the COVID-19 pandemic on the Company as conditions related to the COVID-19 pandemic continue to evolve.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2021</w:t>
            </w:r>
          </w:p>
        </w:tc>
      </w:tr>
      <w:tr>
        <w:trPr>
          <w:trHeight w:val="155"/>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80" w:firstLine="477"/>
        <w:spacing w:after="0" w:line="268"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First Amendment to Amended and Restated Credit Agreement, dated as of September 12, 2019, and as further amended by the Second Amendment to Amended and Restated Credit Agreement, dated as of July 30, 2021 (as amended, the “Credit Agreement”; as used throughout this Quarterly Report on Form 10-Q,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40" w:firstLine="476"/>
        <w:spacing w:after="0" w:line="269" w:lineRule="auto"/>
        <w:rPr>
          <w:sz w:val="20"/>
          <w:szCs w:val="20"/>
          <w:color w:val="auto"/>
        </w:rPr>
      </w:pPr>
      <w:r>
        <w:rPr>
          <w:rFonts w:ascii="Arial" w:cs="Arial" w:eastAsia="Arial" w:hAnsi="Arial"/>
          <w:sz w:val="17"/>
          <w:szCs w:val="17"/>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85" w:lineRule="exact"/>
        <w:rPr>
          <w:sz w:val="20"/>
          <w:szCs w:val="20"/>
          <w:color w:val="auto"/>
        </w:rPr>
      </w:pPr>
    </w:p>
    <w:p>
      <w:pPr>
        <w:ind w:right="220" w:firstLine="477"/>
        <w:spacing w:after="0" w:line="279" w:lineRule="auto"/>
        <w:rPr>
          <w:sz w:val="20"/>
          <w:szCs w:val="20"/>
          <w:color w:val="auto"/>
        </w:rPr>
      </w:pPr>
      <w:r>
        <w:rPr>
          <w:rFonts w:ascii="Arial" w:cs="Arial" w:eastAsia="Arial" w:hAnsi="Arial"/>
          <w:sz w:val="17"/>
          <w:szCs w:val="17"/>
          <w:color w:val="auto"/>
        </w:rPr>
        <w:t>The Company pays a fee ranging from 0.20% to 0.35% based on the applicable senior net leverage ratio times the unused portion of the revolving loan portion of the credit facility. The credit facility contains hardwired fallback language that contemplates a transition from LIBOR, and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171"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During the six months ended June 30, 2022, the Company (i) drew $35.0 million under its credit facility to fund, in part, the JourneyCare acquisition and (ii) repaid $60.0 million under the revolving credit facility. During the six months ended June 30, 2021, the Company had no draws under its credit facility.</w:t>
      </w:r>
    </w:p>
    <w:p>
      <w:pPr>
        <w:spacing w:after="0" w:line="184" w:lineRule="exact"/>
        <w:rPr>
          <w:sz w:val="20"/>
          <w:szCs w:val="20"/>
          <w:color w:val="auto"/>
        </w:rPr>
      </w:pPr>
    </w:p>
    <w:p>
      <w:pPr>
        <w:ind w:right="80" w:firstLine="477"/>
        <w:spacing w:after="0" w:line="261" w:lineRule="auto"/>
        <w:rPr>
          <w:sz w:val="20"/>
          <w:szCs w:val="20"/>
          <w:color w:val="auto"/>
        </w:rPr>
      </w:pPr>
      <w:r>
        <w:rPr>
          <w:rFonts w:ascii="Arial" w:cs="Arial" w:eastAsia="Arial" w:hAnsi="Arial"/>
          <w:sz w:val="18"/>
          <w:szCs w:val="18"/>
          <w:color w:val="auto"/>
        </w:rPr>
        <w:t>At June 30, 2022, the Company had a total of $199.9 million of revolving loans, with an interest rate of 3.67%, outstanding on its credit facility. After giving effect to the amount drawn on its credit facility, approximately $8.1 million of outstanding letters of credit and borrowing limits based on an advance multiple of adjusted EBITDA (as defined in the Credit Agreement), the Company had $376.4 million of capacity and $168.4 million available for borrowing under its credit facility. As of December 31, 2021, the Company had a total of $224.9 million of revolving loans, with an interest rate of 2.10%, outstanding on its credit facility.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2022, the Company was in compliance with all financial covenants under the Credit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81" w:lineRule="exact"/>
        <w:rPr>
          <w:sz w:val="20"/>
          <w:szCs w:val="20"/>
          <w:color w:val="auto"/>
        </w:rPr>
      </w:pPr>
    </w:p>
    <w:p>
      <w:pPr>
        <w:ind w:right="100" w:firstLine="476"/>
        <w:spacing w:after="0" w:line="263" w:lineRule="auto"/>
        <w:rPr>
          <w:sz w:val="20"/>
          <w:szCs w:val="20"/>
          <w:color w:val="auto"/>
        </w:rPr>
      </w:pPr>
      <w:r>
        <w:rPr>
          <w:rFonts w:ascii="Arial" w:cs="Arial" w:eastAsia="Arial" w:hAnsi="Arial"/>
          <w:sz w:val="18"/>
          <w:szCs w:val="18"/>
          <w:color w:val="auto"/>
        </w:rPr>
        <w:t>The effective income tax rates were 25.1% and 26.7% for the three months ended June 30, 2022 and 2021, respectively. The difference between our federal statutory and effective income tax rates is principally due to the inclusion of state taxes, non-deductible compensation and an excess tax expense, partially offset by the use of federal employment tax credits.</w:t>
      </w:r>
    </w:p>
    <w:p>
      <w:pPr>
        <w:spacing w:after="0" w:line="184" w:lineRule="exact"/>
        <w:rPr>
          <w:sz w:val="20"/>
          <w:szCs w:val="20"/>
          <w:color w:val="auto"/>
        </w:rPr>
      </w:pPr>
    </w:p>
    <w:p>
      <w:pPr>
        <w:ind w:right="20" w:firstLine="476"/>
        <w:spacing w:after="0" w:line="271" w:lineRule="auto"/>
        <w:rPr>
          <w:sz w:val="20"/>
          <w:szCs w:val="20"/>
          <w:color w:val="auto"/>
        </w:rPr>
      </w:pPr>
      <w:r>
        <w:rPr>
          <w:rFonts w:ascii="Arial" w:cs="Arial" w:eastAsia="Arial" w:hAnsi="Arial"/>
          <w:sz w:val="17"/>
          <w:szCs w:val="17"/>
          <w:color w:val="auto"/>
        </w:rPr>
        <w:t>The effective income tax rates were 26.3% and 23.5% for the six months ended June 30, 2022 and 2021, respectively. For the six months ended June 30, 2022, the difference between our federal statutory and effective income tax rates was principally due to the inclusion of state taxes, non-deductible compensation, and excess tax expense, partially offset by the use of federal employment tax credits. For the six months ended June 30, 2022 and 2021, the effective tax rates were inclusive of an excess tax expense of 1.2% and an excess tax benefit of 3.0%, respectively. The excess tax expense or benefit is a discrete item, related to the vesting of equity shares, which requires the Company to recognize the expense or benefit fully in the period. An excess tax expense results if the Company’s cumulative costs of the award recognized exceed the income tax deduction on the Unaudited Condensed Consolidated Statements of Income, whereas an excess tax benefit results if the Company’s cumulative costs of the award recognized are less than the income tax deduction on the Unaudited Condensed Consolidated Statements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w:t>
      </w:r>
    </w:p>
    <w:p>
      <w:pPr>
        <w:sectPr>
          <w:pgSz w:w="11900" w:h="16838" w:orient="portrait"/>
          <w:cols w:equalWidth="0" w:num="1">
            <w:col w:w="11220"/>
          </w:cols>
          <w:pgMar w:left="320" w:top="121" w:right="35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87" w:lineRule="exact"/>
        <w:rPr>
          <w:sz w:val="20"/>
          <w:szCs w:val="20"/>
          <w:color w:val="auto"/>
        </w:rPr>
      </w:pPr>
    </w:p>
    <w:p>
      <w:pPr>
        <w:ind w:right="820" w:firstLine="476"/>
        <w:spacing w:after="0" w:line="308" w:lineRule="auto"/>
        <w:rPr>
          <w:sz w:val="20"/>
          <w:szCs w:val="20"/>
          <w:color w:val="auto"/>
        </w:rPr>
      </w:pPr>
      <w:r>
        <w:rPr>
          <w:rFonts w:ascii="Arial" w:cs="Arial" w:eastAsia="Arial" w:hAnsi="Arial"/>
          <w:sz w:val="17"/>
          <w:szCs w:val="17"/>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81"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84" w:lineRule="exact"/>
        <w:rPr>
          <w:sz w:val="20"/>
          <w:szCs w:val="20"/>
          <w:color w:val="auto"/>
        </w:rPr>
      </w:pPr>
    </w:p>
    <w:p>
      <w:pPr>
        <w:ind w:right="320" w:firstLine="477"/>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6"/>
              </w:rPr>
              <w:t>For the Three Months Ended June 30, 2022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79"/>
              <w:spacing w:after="0"/>
              <w:rPr>
                <w:sz w:val="20"/>
                <w:szCs w:val="20"/>
                <w:color w:val="auto"/>
              </w:rPr>
            </w:pPr>
            <w:r>
              <w:rPr>
                <w:rFonts w:ascii="Arial" w:cs="Arial" w:eastAsia="Arial" w:hAnsi="Arial"/>
                <w:sz w:val="13"/>
                <w:szCs w:val="13"/>
                <w:b w:val="1"/>
                <w:bCs w:val="1"/>
                <w:color w:val="auto"/>
              </w:rPr>
              <w:t>Hospice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5"/>
              </w:rPr>
              <w:t>Home Health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174,330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128,682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25,522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7,138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161,342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3,398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75,598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13,036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2,501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30,984</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13,516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6"/>
              </w:rPr>
              <w:t>For the Three Months Ended June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Home Health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4,717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217,893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18,912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2,913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149,083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17,997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1,804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68,810</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8,673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25,999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2"/>
          </w:tcPr>
          <w:p>
            <w:pPr>
              <w:ind w:left="520"/>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w w:val="83"/>
              </w:rPr>
              <w:t>2022</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44,614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24,111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15,016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2"/>
              </w:rPr>
              <w:t>For the Six Months Ended June 30, 2022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343,962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99,801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19,811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463,574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254,973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48,963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13,854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317,790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50,838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5,957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145,784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24,748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4,860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60,059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58,538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26,090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1,097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73,003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9,057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423,195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250,097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37,508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5,583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293,188</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3,474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130,007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17,136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1,933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50,710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18,359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1,541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79,297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ind w:left="6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w w:val="83"/>
              </w:rPr>
              <w:t>2022</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85,725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48,188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26,767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revenue by payor type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jc w:val="center"/>
              <w:ind w:left="456"/>
              <w:spacing w:after="0"/>
              <w:rPr>
                <w:sz w:val="20"/>
                <w:szCs w:val="20"/>
                <w:color w:val="auto"/>
              </w:rPr>
            </w:pPr>
            <w:r>
              <w:rPr>
                <w:rFonts w:ascii="Arial" w:cs="Arial" w:eastAsia="Arial" w:hAnsi="Arial"/>
                <w:sz w:val="14"/>
                <w:szCs w:val="14"/>
                <w:b w:val="1"/>
                <w:bCs w:val="1"/>
                <w:color w:val="auto"/>
                <w:w w:val="93"/>
              </w:rPr>
              <w:t>For the Three Months Ended June 30,</w:t>
            </w:r>
          </w:p>
        </w:tc>
        <w:tc>
          <w:tcPr>
            <w:tcW w:w="7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jc w:val="center"/>
              <w:ind w:left="476"/>
              <w:spacing w:after="0"/>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governmental programs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85,462</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169,370</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169,231</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80,577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157,967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w w:val="99"/>
              </w:rPr>
              <w:t>Total personal care segment net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174,330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176,267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343,962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341,135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ind w:left="417"/>
              <w:spacing w:after="0"/>
              <w:rPr>
                <w:sz w:val="20"/>
                <w:szCs w:val="20"/>
                <w:color w:val="auto"/>
              </w:rPr>
            </w:pPr>
            <w:r>
              <w:rPr>
                <w:rFonts w:ascii="Arial" w:cs="Arial" w:eastAsia="Arial" w:hAnsi="Arial"/>
                <w:sz w:val="14"/>
                <w:szCs w:val="14"/>
                <w:b w:val="1"/>
                <w:bCs w:val="1"/>
                <w:color w:val="auto"/>
                <w:w w:val="94"/>
              </w:rPr>
              <w:t>For the Three Months Ended June 30,</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center"/>
              <w:ind w:left="417"/>
              <w:spacing w:after="0"/>
              <w:rPr>
                <w:sz w:val="20"/>
                <w:szCs w:val="20"/>
                <w:color w:val="auto"/>
              </w:rPr>
            </w:pPr>
            <w:r>
              <w:rPr>
                <w:rFonts w:ascii="Arial" w:cs="Arial" w:eastAsia="Arial" w:hAnsi="Arial"/>
                <w:sz w:val="14"/>
                <w:szCs w:val="14"/>
                <w:b w:val="1"/>
                <w:bCs w:val="1"/>
                <w:color w:val="auto"/>
                <w:w w:val="93"/>
              </w:rPr>
              <w:t>For the Six Months Ended June 30,</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47,152</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90,637</w:t>
            </w: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68,437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Commercial insurance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w w:val="95"/>
              </w:rPr>
              <w:t>Total hospice segment net service</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99,801</w:t>
            </w: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73,003</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417"/>
              <w:spacing w:after="0"/>
              <w:rPr>
                <w:sz w:val="20"/>
                <w:szCs w:val="20"/>
                <w:color w:val="auto"/>
              </w:rPr>
            </w:pPr>
            <w:r>
              <w:rPr>
                <w:rFonts w:ascii="Arial" w:cs="Arial" w:eastAsia="Arial" w:hAnsi="Arial"/>
                <w:sz w:val="14"/>
                <w:szCs w:val="14"/>
                <w:b w:val="1"/>
                <w:bCs w:val="1"/>
                <w:color w:val="auto"/>
                <w:w w:val="94"/>
              </w:rPr>
              <w:t>For the Three Months Ended June 30,</w:t>
            </w: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center"/>
              <w:ind w:left="417"/>
              <w:spacing w:after="0"/>
              <w:rPr>
                <w:sz w:val="20"/>
                <w:szCs w:val="20"/>
                <w:color w:val="auto"/>
              </w:rPr>
            </w:pPr>
            <w:r>
              <w:rPr>
                <w:rFonts w:ascii="Arial" w:cs="Arial" w:eastAsia="Arial" w:hAnsi="Arial"/>
                <w:sz w:val="14"/>
                <w:szCs w:val="14"/>
                <w:b w:val="1"/>
                <w:bCs w:val="1"/>
                <w:color w:val="auto"/>
                <w:w w:val="93"/>
              </w:rPr>
              <w:t>For the Six Months Ended June 30,</w:t>
            </w: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14,404</w:t>
            </w: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service revenues</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10,536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19,811</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76"/>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280" w:firstLine="476"/>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Mexico and New York. The percentages of segment revenue for each of these significant states for the three and six months ended June 30, 2022 and 2021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7"/>
              <w:spacing w:after="0"/>
              <w:rPr>
                <w:sz w:val="20"/>
                <w:szCs w:val="20"/>
                <w:color w:val="auto"/>
              </w:rPr>
            </w:pPr>
            <w:r>
              <w:rPr>
                <w:rFonts w:ascii="Arial" w:cs="Arial" w:eastAsia="Arial" w:hAnsi="Arial"/>
                <w:sz w:val="14"/>
                <w:szCs w:val="14"/>
                <w:b w:val="1"/>
                <w:bCs w:val="1"/>
                <w:color w:val="auto"/>
                <w:w w:val="94"/>
              </w:rPr>
              <w:t>For the Three Months Ended 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7"/>
              <w:spacing w:after="0"/>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88,797</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84,788</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173,480</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158,172</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26,473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25,484</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51,912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49,077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21,127</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53,110</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37,933</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40,460</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76,057</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80,776</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personal care segment net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174,330</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343,962</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0" w:type="dxa"/>
            <w:vAlign w:val="bottom"/>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680" w:right="20" w:hanging="335"/>
        <w:spacing w:after="0" w:line="281"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but we have not received a response to the formal protest. The Company continues to consider other arrangements and to pursue our protest of the award.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Under this provision, the Company is allowed to continue to contract with all of its current payors for CDPAP services. The Company continues to assess the future of its participation in this program. Given the status of the program, the Company has suspended materially all of its new patient admissions under the New York CDPAP program.</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7"/>
              <w:spacing w:after="0"/>
              <w:rPr>
                <w:sz w:val="20"/>
                <w:szCs w:val="20"/>
                <w:color w:val="auto"/>
              </w:rPr>
            </w:pPr>
            <w:r>
              <w:rPr>
                <w:rFonts w:ascii="Arial" w:cs="Arial" w:eastAsia="Arial" w:hAnsi="Arial"/>
                <w:sz w:val="14"/>
                <w:szCs w:val="14"/>
                <w:b w:val="1"/>
                <w:bCs w:val="1"/>
                <w:color w:val="auto"/>
                <w:w w:val="94"/>
              </w:rPr>
              <w:t>For the Three Months Ended 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7"/>
              <w:spacing w:after="0"/>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Ohio</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17,245</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33,574</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28,808</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16,078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23,102</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17,948</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27,047</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26,247</w:t>
            </w:r>
          </w:p>
        </w:tc>
        <w:tc>
          <w:tcPr>
            <w:tcW w:w="1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Total hospice segment net service</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99,801</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73,003</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60" w:type="dxa"/>
            <w:vAlign w:val="bottom"/>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6"/>
          <w:szCs w:val="16"/>
          <w:color w:val="auto"/>
        </w:rPr>
        <w:t>With the JourneyCare acquisition, the Company expanded its hospice services in the state of Illinois</w:t>
      </w:r>
      <w:r>
        <w:rPr>
          <w:rFonts w:ascii="Arial" w:cs="Arial" w:eastAsia="Arial" w:hAnsi="Arial"/>
          <w:sz w:val="17"/>
          <w:szCs w:val="17"/>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9"/>
              <w:spacing w:after="0"/>
              <w:rPr>
                <w:sz w:val="20"/>
                <w:szCs w:val="20"/>
                <w:color w:val="auto"/>
              </w:rPr>
            </w:pPr>
            <w:r>
              <w:rPr>
                <w:rFonts w:ascii="Arial" w:cs="Arial" w:eastAsia="Arial" w:hAnsi="Arial"/>
                <w:sz w:val="14"/>
                <w:szCs w:val="14"/>
                <w:b w:val="1"/>
                <w:bCs w:val="1"/>
                <w:color w:val="auto"/>
                <w:w w:val="94"/>
              </w:rPr>
              <w:t>For the Three Months Ended 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left="479"/>
              <w:spacing w:after="0"/>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16,579</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home health segment net</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19,811</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0" w:type="dxa"/>
            <w:vAlign w:val="bottom"/>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680" w:hanging="335"/>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5"/>
          <w:szCs w:val="15"/>
          <w:color w:val="auto"/>
        </w:rPr>
        <w:t>With the acquisition of Summit Home Health, LLC (“Summit”) on October 1, 2021, the Company expanded its home health services in the state of Illinois</w:t>
      </w:r>
      <w:r>
        <w:rPr>
          <w:rFonts w:ascii="Arial" w:cs="Arial" w:eastAsia="Arial" w:hAnsi="Arial"/>
          <w:sz w:val="16"/>
          <w:szCs w:val="16"/>
          <w:color w:val="auto"/>
        </w:rPr>
        <w:t>.</w:t>
      </w:r>
    </w:p>
    <w:p>
      <w:pPr>
        <w:spacing w:after="0" w:line="236" w:lineRule="exact"/>
        <w:rPr>
          <w:sz w:val="20"/>
          <w:szCs w:val="20"/>
          <w:color w:val="auto"/>
        </w:rPr>
      </w:pPr>
    </w:p>
    <w:p>
      <w:pPr>
        <w:ind w:right="100" w:firstLine="477"/>
        <w:spacing w:after="0" w:line="293"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federal, state and local governmental agencies. We derive a significant amount of our net service revenues in Illinois, which represented 43.8%, and 38.9% of our net service revenues for the three months ended June 30, 2022, and 2021, respectively, and accounted for 41.6% and 37.4% of our net service revenues for the six months ended June 30, 2022 and 2021, respectively. The Illinois Department on Aging, the largest payor program for the Company’s Illinois personal care operations, accounted for 20.7% and 22.6% of the Company’s net service revenues for the three months ended June 30, 2022 and 2021, respectively, and accounted for 20.7% and 21.5% of the Company’s net service revenues for the six months ended June 30, 2022 and 2021, respectively.</w:t>
      </w:r>
    </w:p>
    <w:p>
      <w:pPr>
        <w:spacing w:after="0" w:line="164" w:lineRule="exact"/>
        <w:rPr>
          <w:sz w:val="20"/>
          <w:szCs w:val="20"/>
          <w:color w:val="auto"/>
        </w:rPr>
      </w:pPr>
    </w:p>
    <w:p>
      <w:pPr>
        <w:ind w:right="540" w:firstLine="477"/>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18.3% and 16.1% of the Company’s net accounts receivable at June 30, 2022 and December 31, 2021, respectively.</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with respect to developments related to the COVID-19 pandemic, including, without limitation, those related to the length and severity of the pandemic, as well as the timing, availability and acceptance of effective medical treatments, vaccines and booster shots; the spread of potentially more contagious and/or virulent forms of the virus; the pandemic’s impact on our operations, reimbursement and our consumer population; measures we are taking to respond to the pandemic; the impact of government regulation, stimulus and relief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any other stimulus or relief legislation, along with the related uncertainties regarding such measures and any future measures related to COVID-19; negative economic conditions in the United States, including inflationary conditions; increased expenses related to personal protective equipment (“PPE”), labor, supply chain, or other expenditures, including as a result of inflationary conditions; workforce disruptions, including shortages and increased labor expenses, associated with competitive labor market conditions; the impact of vaccine mandates on the workforce;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spending by federal and state governments; cost containment initiatives undertaken by federal,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information technology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 the impact of public health emergencies, including the COVID-19 pandemic;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2021, filed with the SEC on February 25, 2022.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35.8% and 37.2% of our net service revenues during the three months ended June 30, 2022 and 2021, respectively, and 35.8% and 37.5% of our net service revenues during the six months ended June 30, 2022 and 2021,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certain consolidated financial results is provided in the table below.</w:t>
      </w:r>
    </w:p>
    <w:p>
      <w:pPr>
        <w:sectPr>
          <w:pgSz w:w="11900" w:h="16838" w:orient="portrait"/>
          <w:cols w:equalWidth="0" w:num="1">
            <w:col w:w="11240"/>
          </w:cols>
          <w:pgMar w:left="320" w:top="121" w:right="339" w:bottom="1440" w:gutter="0" w:footer="0" w:header="0"/>
        </w:sectPr>
      </w:pPr>
    </w:p>
    <w:p>
      <w:pPr>
        <w:spacing w:after="0" w:line="240" w:lineRule="exact"/>
        <w:rPr>
          <w:sz w:val="20"/>
          <w:szCs w:val="20"/>
          <w:color w:val="auto"/>
        </w:rPr>
      </w:pPr>
    </w:p>
    <w:p>
      <w:pPr>
        <w:jc w:val="center"/>
        <w:ind w:left="592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13970</wp:posOffset>
            </wp:positionV>
            <wp:extent cx="15944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20955</wp:posOffset>
            </wp:positionV>
            <wp:extent cx="16116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8" w:lineRule="exact"/>
        <w:rPr>
          <w:sz w:val="20"/>
          <w:szCs w:val="20"/>
          <w:color w:val="auto"/>
        </w:rPr>
      </w:pPr>
    </w:p>
    <w:p>
      <w:pPr>
        <w:ind w:left="240"/>
        <w:spacing w:after="0"/>
        <w:tabs>
          <w:tab w:leader="none" w:pos="16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8260" w:space="5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service revenues by segment:</w:t>
            </w:r>
          </w:p>
        </w:tc>
        <w:tc>
          <w:tcPr>
            <w:tcW w:w="28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Personal care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343,962</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Hospice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36,909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99,801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73,003</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health</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236,940</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217,893</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463,574</w:t>
            </w:r>
          </w:p>
        </w:tc>
        <w:tc>
          <w:tcPr>
            <w:tcW w:w="2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423,195</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11,250</w:t>
            </w:r>
          </w:p>
        </w:tc>
        <w:tc>
          <w:tcPr>
            <w:tcW w:w="2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19,720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As of June 30, 2022, we provided our services in 22 states through 206 offices. We served approximately 58,000 and 56,000 discrete individuals, respectively, during the six months ended June 30, 2022 and 2021.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right="80" w:firstLine="506"/>
        <w:spacing w:after="0" w:line="263" w:lineRule="auto"/>
        <w:rPr>
          <w:sz w:val="20"/>
          <w:szCs w:val="20"/>
          <w:color w:val="auto"/>
        </w:rPr>
      </w:pPr>
      <w:r>
        <w:rPr>
          <w:rFonts w:ascii="Arial" w:cs="Arial" w:eastAsia="Arial" w:hAnsi="Arial"/>
          <w:sz w:val="18"/>
          <w:szCs w:val="18"/>
          <w:color w:val="auto"/>
        </w:rPr>
        <w:t>Although the United States has experienced a moderation of infection and related hospitalization rates, there continues to be a significant number of COVID-19 cases and deaths in the United States and throughout the world. The long-term trends of new cases and deaths in the United States and the future impact of the pandemic continue to be unknown.</w:t>
      </w:r>
    </w:p>
    <w:p>
      <w:pPr>
        <w:spacing w:after="0" w:line="184" w:lineRule="exact"/>
        <w:rPr>
          <w:sz w:val="20"/>
          <w:szCs w:val="20"/>
          <w:color w:val="auto"/>
        </w:rPr>
      </w:pPr>
    </w:p>
    <w:p>
      <w:pPr>
        <w:ind w:right="140" w:firstLine="506"/>
        <w:spacing w:after="0" w:line="255" w:lineRule="auto"/>
        <w:rPr>
          <w:sz w:val="20"/>
          <w:szCs w:val="20"/>
          <w:color w:val="auto"/>
        </w:rPr>
      </w:pPr>
      <w:r>
        <w:rPr>
          <w:rFonts w:ascii="Arial" w:cs="Arial" w:eastAsia="Arial" w:hAnsi="Arial"/>
          <w:sz w:val="18"/>
          <w:szCs w:val="18"/>
          <w:color w:val="auto"/>
        </w:rPr>
        <w:t>CMS issued an interim rule in November 2021 requiring COVID-19 vaccinations for Medicare- and Medicaid-certified providers and suppliers, including hospices and home health agencies, which covers clinical staff, individuals providing services under arrangements, volunteers and staff who are not involved in direct patient care. Additionally, some states have implemented, or may implement in the future, vaccine mandates with respect to healthcare personnel. It is currently difficult to predict the impact that any of these vaccine mandates may have on us or the extent to which these vaccine mandates will ultimately become effective. However, we expect that these rules, to the extent that they become effective, will impact our home health and hospice segments.</w:t>
      </w:r>
    </w:p>
    <w:p>
      <w:pPr>
        <w:spacing w:after="0" w:line="192" w:lineRule="exact"/>
        <w:rPr>
          <w:sz w:val="20"/>
          <w:szCs w:val="20"/>
          <w:color w:val="auto"/>
        </w:rPr>
      </w:pPr>
    </w:p>
    <w:p>
      <w:pPr>
        <w:ind w:firstLine="506"/>
        <w:spacing w:after="0" w:line="272" w:lineRule="auto"/>
        <w:rPr>
          <w:sz w:val="20"/>
          <w:szCs w:val="20"/>
          <w:color w:val="auto"/>
        </w:rPr>
      </w:pPr>
      <w:r>
        <w:rPr>
          <w:rFonts w:ascii="Arial" w:cs="Arial" w:eastAsia="Arial" w:hAnsi="Arial"/>
          <w:sz w:val="17"/>
          <w:szCs w:val="17"/>
          <w:color w:val="auto"/>
        </w:rPr>
        <w:t>For the three and six months ended June 30, 2022, COVID-19-related expenses in our personal care segment were approximately $1.1 million and $2.8 million, respectively, and are included in cost of service revenues on the Consolidated Statements of Income. For the three and six months ended June 30, 2021, COVID-19-related expenses in our personal care segment were approximately $11.4 million and $13.3 million, respectively, which were offset by $10.4 million and $11.3 million, respectively, related to the utilization of a portion of the funds received from the Provider Relief Fund in November 2020 and included in cost of service revenues on the Condensed Consolidated Statements of Income. Additionally, we recognized revenue of $1.6 million and $3.0 million attributable to temporary rate increases from certain payors in our personal care segment for the three and six months ended June 30, 2022, respectively, and $3.1 million and $4.8 million for the three and six months ended June 30, 2021, respectively.</w:t>
      </w:r>
    </w:p>
    <w:p>
      <w:pPr>
        <w:spacing w:after="0" w:line="177" w:lineRule="exact"/>
        <w:rPr>
          <w:sz w:val="20"/>
          <w:szCs w:val="20"/>
          <w:color w:val="auto"/>
        </w:rPr>
      </w:pPr>
    </w:p>
    <w:p>
      <w:pPr>
        <w:ind w:right="160" w:firstLine="506"/>
        <w:spacing w:after="0" w:line="263" w:lineRule="auto"/>
        <w:rPr>
          <w:sz w:val="20"/>
          <w:szCs w:val="20"/>
          <w:color w:val="auto"/>
        </w:rPr>
      </w:pPr>
      <w:r>
        <w:rPr>
          <w:rFonts w:ascii="Arial" w:cs="Arial" w:eastAsia="Arial" w:hAnsi="Arial"/>
          <w:sz w:val="18"/>
          <w:szCs w:val="18"/>
          <w:color w:val="auto"/>
        </w:rPr>
        <w:t>For the three and six months ended June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84" w:lineRule="exact"/>
        <w:rPr>
          <w:sz w:val="20"/>
          <w:szCs w:val="20"/>
          <w:color w:val="auto"/>
        </w:rPr>
      </w:pPr>
    </w:p>
    <w:p>
      <w:pPr>
        <w:ind w:right="260" w:firstLine="506"/>
        <w:spacing w:after="0" w:line="279" w:lineRule="auto"/>
        <w:rPr>
          <w:sz w:val="20"/>
          <w:szCs w:val="20"/>
          <w:color w:val="auto"/>
        </w:rPr>
      </w:pPr>
      <w:r>
        <w:rPr>
          <w:rFonts w:ascii="Arial" w:cs="Arial" w:eastAsia="Arial" w:hAnsi="Arial"/>
          <w:sz w:val="17"/>
          <w:szCs w:val="17"/>
          <w:color w:val="auto"/>
        </w:rPr>
        <w:t>As of June 30, 2022, the Company deferred the recognition of $5.4 million of payments received from payors for COVID-19 reimbursement, included within accrued expenses, which will be recognized as we incur specific expenses related to the pandemic, such as expenses related to acquiring additional PPE and COVID-19 related paid time off, or will be returned to the extent COVID-19-related expenses are not incurred. We are not able to reasonably predict the total costs we will incur related to the COVID-19 pandemic, and such costs could be substantial.</w:t>
      </w:r>
    </w:p>
    <w:p>
      <w:pPr>
        <w:spacing w:after="0" w:line="171"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Federal and state agencies continue to issue regulations and guidance related to the COVID-19 pandemic, and the public health situation continues to evolve, and, therefore, we cannot currently predict with certainty the extent to which our business, results of operations, financial condition or liquidity will ultimately be impacted by the pandemic. We will continue to assess the impact and consequences of the COVID-19 pandemic and government responses to the pandemic, including the implementation of the CARES Act, the PPPHCE Act, the CAA, the ARPA, other stimulus and relief legislation, the President’s National COVID-19 Preparedness Plan, and existing and potential additional federal, state and local vaccine mandates,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7"/>
          <w:szCs w:val="17"/>
          <w:i w:val="1"/>
          <w:iCs w:val="1"/>
          <w:color w:val="auto"/>
        </w:rPr>
        <w:t>The COVID-19 pandemic could</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negatively affect our operations, business and financial condition, and our liquidity could also be negatively impacted, particularly if the U.S. economic and/or public health conditions deteriorate in connection with the pandemic</w:t>
      </w:r>
      <w:r>
        <w:rPr>
          <w:rFonts w:ascii="Arial" w:cs="Arial" w:eastAsia="Arial" w:hAnsi="Arial"/>
          <w:sz w:val="17"/>
          <w:szCs w:val="17"/>
          <w:color w:val="auto"/>
        </w:rPr>
        <w:t>” of our Annual Report on Form 10-K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 on February 25, 2022.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pandemic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w:t>
      </w:r>
    </w:p>
    <w:p>
      <w:pPr>
        <w:spacing w:after="0" w:line="117" w:lineRule="exact"/>
        <w:rPr>
          <w:sz w:val="20"/>
          <w:szCs w:val="20"/>
          <w:color w:val="auto"/>
        </w:rPr>
      </w:pPr>
    </w:p>
    <w:p>
      <w:pPr>
        <w:ind w:right="80" w:firstLine="506"/>
        <w:spacing w:after="0" w:line="255" w:lineRule="auto"/>
        <w:rPr>
          <w:sz w:val="20"/>
          <w:szCs w:val="20"/>
          <w:color w:val="auto"/>
        </w:rPr>
      </w:pPr>
      <w:r>
        <w:rPr>
          <w:rFonts w:ascii="Arial" w:cs="Arial" w:eastAsia="Arial" w:hAnsi="Arial"/>
          <w:sz w:val="18"/>
          <w:szCs w:val="18"/>
          <w:color w:val="auto"/>
        </w:rPr>
        <w:t>As the labor market has tightened and unemployment has declined in comparison to earlier levels, the competition for new caregivers, including skilled healthcare staff, and support staff has increased. In addition, the United States economy continues to experience significant inflationary pressures and a competitive labor market. To the extent that we continue to experience a shortage of caregivers, it may hinder our ability to fully meet the continuing demand for both our non-clinical and clinical services. The increased staffing challenges, including COVID-19 related quarantine requirements and inflationary pressures, resulted in increased labor costs to satisfy our staffing requirements during the three and six months ended June 30, 2022 compared to 2021 in our non-clinical and clinical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84"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with funding provided by our revolving credit facility. With the purchase of Armada, we expanded our home health and hospice services in the state of New Mexico.</w:t>
      </w:r>
    </w:p>
    <w:p>
      <w:pPr>
        <w:spacing w:after="0" w:line="187" w:lineRule="exact"/>
        <w:rPr>
          <w:sz w:val="20"/>
          <w:szCs w:val="20"/>
          <w:color w:val="auto"/>
        </w:rPr>
      </w:pPr>
    </w:p>
    <w:p>
      <w:pPr>
        <w:ind w:right="680" w:firstLine="506"/>
        <w:spacing w:after="0" w:line="308" w:lineRule="auto"/>
        <w:rPr>
          <w:sz w:val="20"/>
          <w:szCs w:val="20"/>
          <w:color w:val="auto"/>
        </w:rPr>
      </w:pPr>
      <w:r>
        <w:rPr>
          <w:rFonts w:ascii="Arial" w:cs="Arial" w:eastAsia="Arial" w:hAnsi="Arial"/>
          <w:sz w:val="17"/>
          <w:szCs w:val="17"/>
          <w:color w:val="auto"/>
        </w:rPr>
        <w:t>On October 1, 2021, we completed the acquisition of Summit Home Health, LLC (“Summit”) for approximately $8.1 million, with funding provided by available cash. With the purchase of Summit, we added clinical services in Illinois to our home health segment.</w:t>
      </w:r>
    </w:p>
    <w:p>
      <w:pPr>
        <w:spacing w:after="0" w:line="146" w:lineRule="exact"/>
        <w:rPr>
          <w:sz w:val="20"/>
          <w:szCs w:val="20"/>
          <w:color w:val="auto"/>
        </w:rPr>
      </w:pPr>
    </w:p>
    <w:p>
      <w:pPr>
        <w:ind w:right="80" w:firstLine="506"/>
        <w:spacing w:after="0" w:line="279" w:lineRule="auto"/>
        <w:rPr>
          <w:sz w:val="20"/>
          <w:szCs w:val="20"/>
          <w:color w:val="auto"/>
        </w:rPr>
      </w:pPr>
      <w:r>
        <w:rPr>
          <w:rFonts w:ascii="Arial" w:cs="Arial" w:eastAsia="Arial" w:hAnsi="Arial"/>
          <w:sz w:val="17"/>
          <w:szCs w:val="17"/>
          <w:color w:val="auto"/>
        </w:rPr>
        <w:t>On February 1, 2022, we completed the acquisition of the hospice and palliative operations of JourneyCare, Inc. (“JourneyCare”) for approximately $86.6 million, including the amount of acquired excess cash held by JourneyCare at the closing of the acquisition (approximately $0.5 million) plus the finalization of net working capital payable to seller of $1.6 million, with funding provided through a combination of a $35.0 million draw under the revolving credit facility and available cash on hand. With the JourneyCare acquisition, we added hospice services in Illinois.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240" w:firstLine="476"/>
        <w:spacing w:after="0" w:line="259" w:lineRule="auto"/>
        <w:rPr>
          <w:sz w:val="20"/>
          <w:szCs w:val="20"/>
          <w:color w:val="auto"/>
        </w:rPr>
      </w:pPr>
      <w:r>
        <w:rPr>
          <w:rFonts w:ascii="Arial" w:cs="Arial" w:eastAsia="Arial" w:hAnsi="Arial"/>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revenue by payor and significant states by segment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center"/>
              <w:ind w:left="474"/>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center"/>
              <w:ind w:left="494"/>
              <w:spacing w:after="0"/>
              <w:rPr>
                <w:sz w:val="20"/>
                <w:szCs w:val="20"/>
                <w:color w:val="auto"/>
              </w:rPr>
            </w:pPr>
            <w:r>
              <w:rPr>
                <w:rFonts w:ascii="Arial" w:cs="Arial" w:eastAsia="Arial" w:hAnsi="Arial"/>
                <w:sz w:val="14"/>
                <w:szCs w:val="14"/>
                <w:b w:val="1"/>
                <w:bCs w:val="1"/>
                <w:color w:val="auto"/>
                <w:w w:val="93"/>
              </w:rPr>
              <w:t>For the Six Months Ended June 30,</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governmental programs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85,462</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88,382</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169,370</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169,231</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80,577</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78,865</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157,967</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154,321</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5,022</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w w:val="99"/>
              </w:rPr>
              <w:t>Total personal care segment net</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174,330</w:t>
            </w:r>
          </w:p>
        </w:tc>
        <w:tc>
          <w:tcPr>
            <w:tcW w:w="14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176,267</w:t>
            </w:r>
          </w:p>
        </w:tc>
        <w:tc>
          <w:tcPr>
            <w:tcW w:w="1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343,962</w:t>
            </w:r>
          </w:p>
        </w:tc>
        <w:tc>
          <w:tcPr>
            <w:tcW w:w="16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341,135</w:t>
            </w:r>
          </w:p>
        </w:tc>
        <w:tc>
          <w:tcPr>
            <w:tcW w:w="14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88,797</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84,788</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173,480</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158,172</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26,473</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25,484</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51,912</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49,077</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21,127</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All other states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37,933</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40,460</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76,057</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80,776</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personal care segment net</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174,330</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343,962</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386080</wp:posOffset>
            </wp:positionV>
            <wp:extent cx="1791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Company has suspended materially all of its new patient admissions under the New York CDPAP program as discussed below.</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center"/>
              <w:ind w:left="474"/>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center"/>
              <w:ind w:left="494"/>
              <w:spacing w:after="0"/>
              <w:rPr>
                <w:sz w:val="20"/>
                <w:szCs w:val="20"/>
                <w:color w:val="auto"/>
              </w:rPr>
            </w:pPr>
            <w:r>
              <w:rPr>
                <w:rFonts w:ascii="Arial" w:cs="Arial" w:eastAsia="Arial" w:hAnsi="Arial"/>
                <w:sz w:val="14"/>
                <w:szCs w:val="14"/>
                <w:b w:val="1"/>
                <w:bCs w:val="1"/>
                <w:color w:val="auto"/>
                <w:w w:val="93"/>
              </w:rPr>
              <w:t>For the Six Months Ended June 30,</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47,152</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90,637</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68,437</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2,726</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hospice segment net service</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99,801</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73,003</w:t>
            </w: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Ohio</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3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3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16,078</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7,846</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8,717</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23,102</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17,948</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27,047</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26,247</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w w:val="94"/>
              </w:rPr>
              <w:t>Total hospice segment net service</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52,074</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36,909</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99,801</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73,003</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93980</wp:posOffset>
            </wp:positionV>
            <wp:extent cx="1791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32"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With the JourneyCare acquisition, the Company expanded its hospice services in the state of Illinois.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center"/>
              <w:ind w:left="475"/>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center"/>
              <w:ind w:left="495"/>
              <w:spacing w:after="0"/>
              <w:rPr>
                <w:sz w:val="20"/>
                <w:szCs w:val="20"/>
                <w:color w:val="auto"/>
              </w:rPr>
            </w:pPr>
            <w:r>
              <w:rPr>
                <w:rFonts w:ascii="Arial" w:cs="Arial" w:eastAsia="Arial" w:hAnsi="Arial"/>
                <w:sz w:val="14"/>
                <w:szCs w:val="14"/>
                <w:b w:val="1"/>
                <w:bCs w:val="1"/>
                <w:color w:val="auto"/>
                <w:w w:val="93"/>
              </w:rPr>
              <w:t>For the Six Months Ended June 30,</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14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w:t>
            </w:r>
          </w:p>
        </w:tc>
        <w:tc>
          <w:tcPr>
            <w:tcW w:w="16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14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16,579</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3,232</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home health segment net</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19,811</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1791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19"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With the acquisition of Summit, the Company expanded its home health services in the state of Illinois.</w:t>
      </w:r>
    </w:p>
    <w:p>
      <w:pPr>
        <w:spacing w:after="0" w:line="257"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We derive a significant amount of our net service revenues in Illinois, which represented 43.8% and 38.9% of our net service revenues for the three months ended June 30, 2022 and 2021, respectively, and accounted for 41.6% and 37.4% of our net service revenues for the six months ended June 30, 2022 and 2021, respectively.</w:t>
      </w:r>
    </w:p>
    <w:p>
      <w:pPr>
        <w:spacing w:after="0" w:line="184" w:lineRule="exact"/>
        <w:rPr>
          <w:sz w:val="20"/>
          <w:szCs w:val="20"/>
          <w:color w:val="auto"/>
        </w:rPr>
      </w:pPr>
    </w:p>
    <w:p>
      <w:pPr>
        <w:jc w:val="both"/>
        <w:ind w:right="260" w:firstLine="476"/>
        <w:spacing w:after="0" w:line="311" w:lineRule="auto"/>
        <w:rPr>
          <w:sz w:val="20"/>
          <w:szCs w:val="20"/>
          <w:color w:val="auto"/>
        </w:rPr>
      </w:pPr>
      <w:r>
        <w:rPr>
          <w:rFonts w:ascii="Arial" w:cs="Arial" w:eastAsia="Arial" w:hAnsi="Arial"/>
          <w:sz w:val="16"/>
          <w:szCs w:val="16"/>
          <w:color w:val="auto"/>
        </w:rPr>
        <w:t>A significant amount of our net service revenues are derived from one payor, the Illinois Department on Aging, the largest payor program for our Illinois personal care operations, which accounted for 20.7% and 22.6% of our net service revenues for the three months ended June 30, 2022 and 2021, respectively, and accounted for 20.7% and 21.5% of the Company’s net service revenues for the six months ended June 30, 2022 and 2021,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Reimbursement Rates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Illinois</w:t>
      </w:r>
    </w:p>
    <w:p>
      <w:pPr>
        <w:spacing w:after="0" w:line="117"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 In subsequent years, minimum wage will be increased through a cost of living adjustment capped at 2.5%.</w:t>
      </w:r>
    </w:p>
    <w:p>
      <w:pPr>
        <w:spacing w:after="0" w:line="184" w:lineRule="exact"/>
        <w:rPr>
          <w:sz w:val="20"/>
          <w:szCs w:val="20"/>
          <w:color w:val="auto"/>
        </w:rPr>
      </w:pPr>
    </w:p>
    <w:p>
      <w:pPr>
        <w:ind w:right="80" w:firstLine="477"/>
        <w:spacing w:after="0" w:line="308" w:lineRule="auto"/>
        <w:rPr>
          <w:sz w:val="20"/>
          <w:szCs w:val="20"/>
          <w:color w:val="auto"/>
        </w:rPr>
      </w:pPr>
      <w:r>
        <w:rPr>
          <w:rFonts w:ascii="Arial" w:cs="Arial" w:eastAsia="Arial" w:hAnsi="Arial"/>
          <w:sz w:val="17"/>
          <w:szCs w:val="17"/>
          <w:color w:val="auto"/>
        </w:rPr>
        <w:t>Effective January 1, 2021, the state of Illinois fiscal year 2021 budget increased hourly in-home care rates through the Community Care Program by 7.1%, to $23.40 from $21.84. However, the rate increase was delayed and did not take effect until April 1, 2021, as a result of the</w:t>
      </w:r>
    </w:p>
    <w:p>
      <w:pPr>
        <w:sectPr>
          <w:pgSz w:w="11900" w:h="16838" w:orient="portrait"/>
          <w:cols w:equalWidth="0" w:num="1">
            <w:col w:w="11240"/>
          </w:cols>
          <w:pgMar w:left="320" w:top="121"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failure of the November 2020 referendum to revise the Illinois income tax code. The Company recognized $2.0 million related to the rate increase for the year ended December 31, 2021, which was received during the three and six months ended June 30, 2022.</w:t>
      </w:r>
    </w:p>
    <w:p>
      <w:pPr>
        <w:spacing w:after="0" w:line="170" w:lineRule="exact"/>
        <w:rPr>
          <w:sz w:val="20"/>
          <w:szCs w:val="20"/>
          <w:color w:val="auto"/>
        </w:rPr>
      </w:pPr>
    </w:p>
    <w:p>
      <w:pPr>
        <w:ind w:right="60" w:firstLine="477"/>
        <w:spacing w:after="0" w:line="253" w:lineRule="auto"/>
        <w:rPr>
          <w:sz w:val="20"/>
          <w:szCs w:val="20"/>
          <w:color w:val="auto"/>
        </w:rPr>
      </w:pPr>
      <w:r>
        <w:rPr>
          <w:rFonts w:ascii="Arial" w:cs="Arial" w:eastAsia="Arial" w:hAnsi="Arial"/>
          <w:sz w:val="18"/>
          <w:szCs w:val="18"/>
          <w:color w:val="auto"/>
        </w:rPr>
        <w:t>Originally, the Illinois fiscal year 2022 budget included a scheduled increase of hourly in-home care rates to $24.96, to be effective January 1, 2022. On July 12, 2021, in connection with the temporary increase in federal funding for Medicaid HCBS authorized by the ARPA, Illinois submitted its Initial Spending Plan and Narrative to CMS for approval. This plan included the acceleration of the rate increase to $24.96 to November 1, 2021 from January 1, 2022 (i.e., two months earlier). CMS granted partial approval of the Illinois plan, including the acceleration of the rate increase to November 1, 2021. However, CMS noted that the state will need to submit an amendment for certain Medicaid waiver programs with regard to any rate change methodology and has highlighted that pay increases for providers of HCBS funded through the temporary increase in federal matching funds available under the ARPA will require an updated rate methodology. We recognized revenue of $3.6 million related to the rate increase for the year ended December 31, 2021, of which $2.1 million was received during the three and six months ended June 30, 2022. The remainder is expected to be received during the third quarter of 2022.</w:t>
      </w:r>
    </w:p>
    <w:p>
      <w:pPr>
        <w:spacing w:after="0" w:line="196"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The Illinois fiscal year 2023 budget was signed into law by the Governor on April 19, 2022 and includes a $0.70 rate increase effective January 1, 2023. The Chicago minimum wage increased by 2.5% effective July 1, 2022.</w:t>
      </w:r>
    </w:p>
    <w:p>
      <w:pPr>
        <w:spacing w:after="0" w:line="170" w:lineRule="exact"/>
        <w:rPr>
          <w:sz w:val="20"/>
          <w:szCs w:val="20"/>
          <w:color w:val="auto"/>
        </w:rPr>
      </w:pPr>
    </w:p>
    <w:p>
      <w:pPr>
        <w:ind w:right="26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7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CMS updates the HHPPS payment rates each calendar year. For calendar year 2022, CMS increased HHPPS rates by an estimated 3.2%, which reflects a 3.1% market basket update and a productivity adjustment of negative 0.5 percentage points,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64"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Effective January 1, 2022, CMS began implementing a nationwide expansion of the Home Health Value-Based Purchasing (“HHVBP”) Model.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88"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280" w:firstLine="477"/>
        <w:spacing w:after="0" w:line="279"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2021, CMS increased hospice payment rates by 2.0%. This reflects a 2.7% market basket increase and a negative 0.7 percentage point productivity adjustment. Hospices that do not satisfy quality reporting requirements are subject to a 2 percentage point reduction to the</w:t>
      </w:r>
    </w:p>
    <w:p>
      <w:pPr>
        <w:sectPr>
          <w:pgSz w:w="11900" w:h="16838" w:orient="portrait"/>
          <w:cols w:equalWidth="0" w:num="1">
            <w:col w:w="11220"/>
          </w:cols>
          <w:pgMar w:left="320" w:top="121" w:right="35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market basket update. Beginning in 2024, the reduction to the market basket update for failure to report quality data will increase to 4 percentage points.</w:t>
      </w:r>
    </w:p>
    <w:p>
      <w:pPr>
        <w:spacing w:after="0" w:line="248"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$31,297.61 for federal fiscal year 2022. If a hospice’s Medicare payments exceed its inpatient or aggregate caps, it must repay Medicare the excess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The New York Consumer Directed Personal Assistance Program (“CDPAP”) is a self-directed care alternative program that allows eligible individuals who need help with activities of daily living or skilled nursing services to choose their caregivers. We provide support services as a CDPAP fiscal intermediary. In 2021, the Company was not selected to enter into contracts as a Lead Fiscal Intermediary and submitted a formal protest in response to the selection process, which was filed and accepted on March 19, 2021. The Company has not received a response to the formal protest.</w:t>
      </w:r>
    </w:p>
    <w:p>
      <w:pPr>
        <w:spacing w:after="0" w:line="157" w:lineRule="exact"/>
        <w:rPr>
          <w:sz w:val="20"/>
          <w:szCs w:val="20"/>
          <w:color w:val="auto"/>
        </w:rPr>
      </w:pPr>
    </w:p>
    <w:p>
      <w:pPr>
        <w:ind w:right="180" w:firstLine="477"/>
        <w:spacing w:after="0" w:line="299" w:lineRule="auto"/>
        <w:rPr>
          <w:sz w:val="20"/>
          <w:szCs w:val="20"/>
          <w:color w:val="auto"/>
        </w:rPr>
      </w:pPr>
      <w:r>
        <w:rPr>
          <w:rFonts w:ascii="Arial" w:cs="Arial" w:eastAsia="Arial" w:hAnsi="Arial"/>
          <w:sz w:val="16"/>
          <w:szCs w:val="16"/>
          <w:color w:val="auto"/>
        </w:rPr>
        <w:t>The New York fiscal year 2023 state budget, passed in April 2022, amends the current Fiscal Intermediary Request For Offer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w:t>
      </w:r>
    </w:p>
    <w:p>
      <w:pPr>
        <w:spacing w:after="0" w:line="1"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in their application. Under this provision, the Company is allowed to continue to contract with all of its current payors for CDPAP services. The Company continues to assess the future of its participation in this program. Given the status of the program, the Company suspended materially all of its new patient admissions under the New York CDPAP.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ind w:firstLine="477"/>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49" w:lineRule="exact"/>
        <w:rPr>
          <w:sz w:val="20"/>
          <w:szCs w:val="20"/>
          <w:color w:val="auto"/>
        </w:rPr>
      </w:pPr>
    </w:p>
    <w:p>
      <w:pPr>
        <w:ind w:right="120" w:firstLine="476"/>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500" w:firstLine="476"/>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6"/>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180" w:firstLine="476"/>
        <w:spacing w:after="0" w:line="308"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w:t>
      </w:r>
    </w:p>
    <w:p>
      <w:pPr>
        <w:sectPr>
          <w:pgSz w:w="11900" w:h="16838" w:orient="portrait"/>
          <w:cols w:equalWidth="0" w:num="1">
            <w:col w:w="11240"/>
          </w:cols>
          <w:pgMar w:left="320" w:top="121"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25.1% and 26.7% for the three months ended June 30, 2022 and 2021, respectively. The effective income tax rates are 26.3% and 23.5% for the six months ended June 30, 2022 and 2021, respectively, compared to our federal statutory rate of 21%. The difference between our federal statutory and effective income tax rates was principally due to the inclusion of state taxes, non-deductible compensation, excess tax expense/benefit and the use of federal employment tax credits.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3"/>
              </w:rPr>
              <w:t>For the Three Months Ended June 30,</w:t>
            </w:r>
          </w:p>
        </w:tc>
        <w:tc>
          <w:tcPr>
            <w:tcW w:w="8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0"/>
          </w:tcPr>
          <w:p>
            <w:pPr>
              <w:jc w:val="center"/>
              <w:ind w:left="594"/>
              <w:spacing w:after="0" w:line="155" w:lineRule="exact"/>
              <w:rPr>
                <w:sz w:val="20"/>
                <w:szCs w:val="20"/>
                <w:color w:val="auto"/>
              </w:rPr>
            </w:pPr>
            <w:r>
              <w:rPr>
                <w:rFonts w:ascii="Arial" w:cs="Arial" w:eastAsia="Arial" w:hAnsi="Arial"/>
                <w:sz w:val="14"/>
                <w:szCs w:val="14"/>
                <w:b w:val="1"/>
                <w:bCs w:val="1"/>
                <w:color w:val="auto"/>
                <w:w w:val="90"/>
              </w:rPr>
              <w:t>(Amounts in Thousands, Except Percentages)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236,940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149,083</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55,095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16,894</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476"/>
        <w:spacing w:after="0" w:line="279" w:lineRule="auto"/>
        <w:rPr>
          <w:sz w:val="20"/>
          <w:szCs w:val="20"/>
          <w:color w:val="auto"/>
        </w:rPr>
      </w:pPr>
      <w:r>
        <w:rPr>
          <w:rFonts w:ascii="Arial" w:cs="Arial" w:eastAsia="Arial" w:hAnsi="Arial"/>
          <w:sz w:val="17"/>
          <w:szCs w:val="17"/>
          <w:color w:val="auto"/>
        </w:rPr>
        <w:t>Net service revenues increased by 8.7% to $236.9 million for the three months ended June 30, 2022 compared to $217.9 million for the three months ended June 30, 2021. Revenue increased by $15.2 million in our hospice segment and by $5.8 million in our home health segment during the three months ended June 30, 2022, compared to the same period in 2021. The increase in our hospice segment revenue was due to organic growth and the acquisitions of the operations of JourneyCare on February 1, 2022 and Armada on August 1, 2021.</w:t>
      </w:r>
    </w:p>
    <w:p>
      <w:pPr>
        <w:spacing w:after="0" w:line="171" w:lineRule="exact"/>
        <w:rPr>
          <w:sz w:val="20"/>
          <w:szCs w:val="20"/>
          <w:color w:val="auto"/>
        </w:rPr>
      </w:pPr>
    </w:p>
    <w:p>
      <w:pPr>
        <w:jc w:val="both"/>
        <w:ind w:right="20" w:firstLine="476"/>
        <w:spacing w:after="0" w:line="277" w:lineRule="auto"/>
        <w:rPr>
          <w:sz w:val="20"/>
          <w:szCs w:val="20"/>
          <w:color w:val="auto"/>
        </w:rPr>
      </w:pPr>
      <w:r>
        <w:rPr>
          <w:rFonts w:ascii="Arial" w:cs="Arial" w:eastAsia="Arial" w:hAnsi="Arial"/>
          <w:sz w:val="18"/>
          <w:szCs w:val="18"/>
          <w:color w:val="auto"/>
        </w:rPr>
        <w:t>Gross profit, expressed as a percentage of net service revenues, increased to 31.9% for the three months ended June 30, 2022, compared to 31.6% for the same period in 2021 due to growth in our higher margin hospice segment.</w:t>
      </w:r>
    </w:p>
    <w:p>
      <w:pPr>
        <w:spacing w:after="0" w:line="170" w:lineRule="exact"/>
        <w:rPr>
          <w:sz w:val="20"/>
          <w:szCs w:val="20"/>
          <w:color w:val="auto"/>
        </w:rPr>
      </w:pPr>
    </w:p>
    <w:p>
      <w:pPr>
        <w:ind w:right="40" w:firstLine="476"/>
        <w:spacing w:after="0" w:line="257" w:lineRule="auto"/>
        <w:rPr>
          <w:sz w:val="20"/>
          <w:szCs w:val="20"/>
          <w:color w:val="auto"/>
        </w:rPr>
      </w:pPr>
      <w:r>
        <w:rPr>
          <w:rFonts w:ascii="Arial" w:cs="Arial" w:eastAsia="Arial" w:hAnsi="Arial"/>
          <w:sz w:val="18"/>
          <w:szCs w:val="18"/>
          <w:color w:val="auto"/>
        </w:rPr>
        <w:t>General and administrative expenses increased to $55.1 million for the three months ended June 30, 2022, as compared to $48.2 million for the three months ended June 30, 2021. The increase in general and administrative expenses was primarily due to acquisitions that resulted in an increase in administrative employee wages, taxes and benefit costs of $5.9 million and an increase in rent expense of $0.7 million. General and administrative expenses, expressed as a percentage of net service revenues increased to 23.3% for the three months ended June 30, 2022, from 22.1% for the three months ended June 30, 2021.</w:t>
      </w:r>
    </w:p>
    <w:p>
      <w:pPr>
        <w:spacing w:after="0" w:line="188" w:lineRule="exact"/>
        <w:rPr>
          <w:sz w:val="20"/>
          <w:szCs w:val="20"/>
          <w:color w:val="auto"/>
        </w:rPr>
      </w:pPr>
    </w:p>
    <w:p>
      <w:pPr>
        <w:ind w:right="20" w:firstLine="476"/>
        <w:spacing w:after="0" w:line="286" w:lineRule="auto"/>
        <w:rPr>
          <w:sz w:val="20"/>
          <w:szCs w:val="20"/>
          <w:color w:val="auto"/>
        </w:rPr>
      </w:pPr>
      <w:r>
        <w:rPr>
          <w:rFonts w:ascii="Arial" w:cs="Arial" w:eastAsia="Arial" w:hAnsi="Arial"/>
          <w:sz w:val="17"/>
          <w:szCs w:val="17"/>
          <w:color w:val="auto"/>
        </w:rPr>
        <w:t>Interest expense increased to $2.0 million for the three months ended June 30, 2022 from $1.3 million for the three months ended June 30, 2021. The increase in interest expense was primarily due to higher average outstanding borrowings and increased interest rates under our credit facility for the three months ended June 30, 2022 compared to the three months ended June 30, 2021 due to the JourneyCare acquisition.</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476"/>
        <w:spacing w:after="0" w:line="311"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25.1% and 26.7% for the three months ended June 30, 2022 and 2021, respectively. The difference between the federal statutory and our effective income tax rates was principally due to the inclusion of state taxes, non-deductible compensation, excess tax expense/benefit and the use of federal employment tax credits.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17"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Six Months</w:t>
      </w:r>
    </w:p>
    <w:p>
      <w:pPr>
        <w:jc w:val="center"/>
        <w:ind w:left="186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7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7"/>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62"/>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Net Service</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2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7"/>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60" w:type="dxa"/>
            <w:vAlign w:val="bottom"/>
            <w:gridSpan w:val="8"/>
          </w:tcPr>
          <w:p>
            <w:pPr>
              <w:jc w:val="center"/>
              <w:spacing w:after="0"/>
              <w:rPr>
                <w:sz w:val="20"/>
                <w:szCs w:val="20"/>
                <w:color w:val="auto"/>
              </w:rPr>
            </w:pPr>
            <w:r>
              <w:rPr>
                <w:rFonts w:ascii="Arial" w:cs="Arial" w:eastAsia="Arial" w:hAnsi="Arial"/>
                <w:sz w:val="13"/>
                <w:szCs w:val="13"/>
                <w:b w:val="1"/>
                <w:bCs w:val="1"/>
                <w:color w:val="auto"/>
                <w:w w:val="92"/>
              </w:rPr>
              <w:t>(Amounts in Thousands, Except Percentages)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463,574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317,790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293,188</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115,377</w:t>
            </w:r>
          </w:p>
        </w:tc>
        <w:tc>
          <w:tcPr>
            <w:tcW w:w="20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100,789</w:t>
            </w:r>
          </w:p>
        </w:tc>
        <w:tc>
          <w:tcPr>
            <w:tcW w:w="20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30,407</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19,720</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Net service revenues increased by 9.5% to $463.6 million for the six months ended June 30, 2022 compared to $423.2 million for the six months ended June 30, 2021. Net service revenue increased by $26.8 million in our hospice segment and by $10.8 million in our home health segment during the six months ended June 30, 2022, compared to the same period in 2021. During the six months ended June 30, 2022, the increase in our hospice segment revenue was primarily due to an increase in revenue per patient day, attributable to the acquisitions of the operations of JourneyCare on February 1, 2022 and Armada on August 1, 2021, compared to the same period in 2021. Net service revenue increased by $2.8 million in our personal care segment due to an increase in revenues per billable hour for the six months ended June 30, 2022 compared to 2021, partially offset by a decrease in the New York CDPAP program patient admissions.</w:t>
      </w:r>
    </w:p>
    <w:p>
      <w:pPr>
        <w:spacing w:after="0" w:line="195" w:lineRule="exact"/>
        <w:rPr>
          <w:sz w:val="20"/>
          <w:szCs w:val="20"/>
          <w:color w:val="auto"/>
        </w:rPr>
      </w:pPr>
    </w:p>
    <w:p>
      <w:pPr>
        <w:ind w:right="160" w:firstLine="476"/>
        <w:spacing w:after="0" w:line="308" w:lineRule="auto"/>
        <w:rPr>
          <w:sz w:val="20"/>
          <w:szCs w:val="20"/>
          <w:color w:val="auto"/>
        </w:rPr>
      </w:pPr>
      <w:r>
        <w:rPr>
          <w:rFonts w:ascii="Arial" w:cs="Arial" w:eastAsia="Arial" w:hAnsi="Arial"/>
          <w:sz w:val="17"/>
          <w:szCs w:val="17"/>
          <w:color w:val="auto"/>
        </w:rPr>
        <w:t>Gross profit, expressed as a percentage of net service revenues, increased to 31.4% for the six months ended June 30, 2022, compared to 30.7% for the same period in 2021. The increase was mainly attributed to the acquisition of a relatively higher margin hospice business in 2022.</w:t>
      </w:r>
    </w:p>
    <w:p>
      <w:pPr>
        <w:spacing w:after="0" w:line="146"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General and administrative expenses increased to $108.2 million for the six months ended June 30, 2022 as compared to $93.6 million for the six months ended June 30, 2021. The increase in general and administrative expenses was primarily due to acquisitions and wage increases that resulted in an increase in administrative employee wages, taxes and benefit costs of $10.8 million and an increase in rent expense of $1.3 million. General and administrative expenses, expressed as a percentage of net service revenues increased to 23.4% for the six months ended June 30, 2022, from 22.1% for the six months ended June 30, 2021.</w:t>
      </w:r>
    </w:p>
    <w:p>
      <w:pPr>
        <w:spacing w:after="0" w:line="188"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Interest expense increased to $3.8 million from $2.5 million for the six months ended June 30, 2022, as compared to the six months ended June 30, 2021. The increase in interest expense was primarily due to higher average outstanding borrowings and increased interest rates under our credit facility for the six months ended June 30, 2022, compared to the six months ended June 30, 2021.</w:t>
      </w:r>
    </w:p>
    <w:p>
      <w:pPr>
        <w:spacing w:after="0" w:line="184"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The effective income tax rate was 26.3% and 23.5% for the six months ended June 30, 2022 and 2021, respectively. For the six months ended June 30, 2022, the difference between our federal statutory and effective income tax rates was principally due to the inclusion of state taxes, non-deductible compensation, and excess tax expense, partially offset by the use of federal employment tax credits. For the six months ended June 30, 2021, the difference between our federal statutory and effective income tax rates was principally due to the inclusion of state taxes and non-deductible compensation, partially offset by the use of federal employment tax credits and excess tax benefit. For the six months ended June 30, 2022 and 2021, the effective tax rates were inclusive of an excess tax expense of 1.2% and an excess tax benefit of 3.0%, respectively. The excess tax expense/benefit is a discrete item, related to the vesting of equity shares, which requires the Company to recognize the expense/benefit fully in the period.</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5"/>
          </w:tcPr>
          <w:p>
            <w:pPr>
              <w:jc w:val="center"/>
              <w:ind w:right="157"/>
              <w:spacing w:after="0"/>
              <w:rPr>
                <w:sz w:val="20"/>
                <w:szCs w:val="20"/>
                <w:color w:val="auto"/>
              </w:rPr>
            </w:pPr>
            <w:r>
              <w:rPr>
                <w:rFonts w:ascii="Arial" w:cs="Arial" w:eastAsia="Arial" w:hAnsi="Arial"/>
                <w:sz w:val="13"/>
                <w:szCs w:val="13"/>
                <w:b w:val="1"/>
                <w:bCs w:val="1"/>
                <w:color w:val="auto"/>
                <w:w w:val="90"/>
              </w:rPr>
              <w:t>For the Three Months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3"/>
          </w:tcPr>
          <w:p>
            <w:pPr>
              <w:jc w:val="center"/>
              <w:ind w:right="177"/>
              <w:spacing w:after="0"/>
              <w:rPr>
                <w:sz w:val="20"/>
                <w:szCs w:val="20"/>
                <w:color w:val="auto"/>
              </w:rPr>
            </w:pPr>
            <w:r>
              <w:rPr>
                <w:rFonts w:ascii="Arial" w:cs="Arial" w:eastAsia="Arial" w:hAnsi="Arial"/>
                <w:sz w:val="13"/>
                <w:szCs w:val="13"/>
                <w:b w:val="1"/>
                <w:bCs w:val="1"/>
                <w:color w:val="auto"/>
                <w:w w:val="88"/>
              </w:rPr>
              <w:t>For the Six Months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317"/>
              <w:spacing w:after="0"/>
              <w:rPr>
                <w:sz w:val="20"/>
                <w:szCs w:val="20"/>
                <w:color w:val="auto"/>
              </w:rPr>
            </w:pPr>
            <w:r>
              <w:rPr>
                <w:rFonts w:ascii="Arial" w:cs="Arial" w:eastAsia="Arial" w:hAnsi="Arial"/>
                <w:sz w:val="13"/>
                <w:szCs w:val="13"/>
                <w:b w:val="1"/>
                <w:bCs w:val="1"/>
                <w:color w:val="auto"/>
                <w:w w:val="88"/>
              </w:rPr>
              <w:t>Ended June 30,</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3"/>
                <w:szCs w:val="13"/>
                <w:b w:val="1"/>
                <w:bCs w:val="1"/>
                <w:color w:val="auto"/>
                <w:w w:val="85"/>
              </w:rPr>
              <w:t>Ended June 30,</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2"/>
              </w:rPr>
              <w:t>2022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2"/>
              </w:rPr>
              <w:t>2021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3"/>
                <w:szCs w:val="13"/>
                <w:b w:val="1"/>
                <w:bCs w:val="1"/>
                <w:color w:val="auto"/>
                <w:w w:val="92"/>
              </w:rPr>
              <w:t>Change</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2"/>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w w:val="82"/>
              </w:rPr>
              <w:t>2021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92"/>
              </w:rPr>
              <w:t>Change</w:t>
            </w: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10"/>
          </w:tcPr>
          <w:p>
            <w:pPr>
              <w:jc w:val="center"/>
              <w:ind w:left="13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gridSpan w:val="10"/>
          </w:tcPr>
          <w:p>
            <w:pPr>
              <w:jc w:val="center"/>
              <w:ind w:left="23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3"/>
                <w:szCs w:val="13"/>
                <w:color w:val="auto"/>
              </w:rPr>
              <w:t>Net service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174,330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176,267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18"/>
              <w:spacing w:after="0"/>
              <w:rPr>
                <w:sz w:val="20"/>
                <w:szCs w:val="20"/>
                <w:color w:val="auto"/>
              </w:rPr>
            </w:pPr>
            <w:r>
              <w:rPr>
                <w:rFonts w:ascii="Arial" w:cs="Arial" w:eastAsia="Arial" w:hAnsi="Arial"/>
                <w:sz w:val="13"/>
                <w:szCs w:val="13"/>
                <w:color w:val="auto"/>
                <w:w w:val="97"/>
              </w:rPr>
              <w:t>(1,937)</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343,962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3"/>
              </w:rPr>
              <w:t>341,135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2,827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0.8</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128,682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127,258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72.2</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254,973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250,097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73.3</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45,648</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49,009</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27.8</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7"/>
              </w:rPr>
              <w:t>(3,361)</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88,989</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91,038</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7"/>
              </w:rPr>
              <w:t>(2,049)</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expenses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(911)</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30,451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w w:val="97"/>
              </w:rPr>
              <w:t>(1,190)</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30,201</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32,651</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18.5</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(2,450</w:t>
            </w:r>
          </w:p>
        </w:tc>
        <w:tc>
          <w:tcPr>
            <w:tcW w:w="200" w:type="dxa"/>
            <w:vAlign w:val="bottom"/>
            <w:tcBorders>
              <w:bottom w:val="single" w:sz="8" w:color="CFF0FC"/>
            </w:tcBorders>
          </w:tcPr>
          <w:p>
            <w:pPr>
              <w:jc w:val="right"/>
              <w:ind w:right="1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58,538</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59,397</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(859</w:t>
            </w:r>
          </w:p>
        </w:tc>
        <w:tc>
          <w:tcPr>
            <w:tcW w:w="200" w:type="dxa"/>
            <w:vAlign w:val="bottom"/>
            <w:tcBorders>
              <w:bottom w:val="single" w:sz="8" w:color="CFF0FC"/>
            </w:tcBorders>
          </w:tcPr>
          <w:p>
            <w:pPr>
              <w:jc w:val="right"/>
              <w:ind w:right="11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58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w w:val="99"/>
              </w:rPr>
              <w:t>Numbers, Except Billable</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Hours in Thousands)</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164</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w w:val="96"/>
              </w:rPr>
              <w:t xml:space="preserve">Average billable census * </w:t>
            </w:r>
            <w:r>
              <w:rPr>
                <w:rFonts w:ascii="Arial" w:cs="Arial" w:eastAsia="Arial" w:hAnsi="Arial"/>
                <w:sz w:val="10"/>
                <w:szCs w:val="10"/>
                <w:color w:val="auto"/>
                <w:w w:val="96"/>
              </w:rPr>
              <w:t>(1)</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37,501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38,493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(992)</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37,041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38,410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w w:val="97"/>
              </w:rPr>
              <w:t>(1,369)</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 xml:space="preserve">Billable hours * </w:t>
            </w: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7,373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7,650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14,474</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15,187</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Average billable hours per</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census per month * </w:t>
            </w:r>
            <w:r>
              <w:rPr>
                <w:rFonts w:ascii="Arial" w:cs="Arial" w:eastAsia="Arial" w:hAnsi="Arial"/>
                <w:sz w:val="10"/>
                <w:szCs w:val="10"/>
                <w:color w:val="auto"/>
              </w:rPr>
              <w:t>(2)</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(0.7)</w:t>
            </w:r>
          </w:p>
        </w:tc>
        <w:tc>
          <w:tcPr>
            <w:tcW w:w="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line="134" w:lineRule="exact"/>
              <w:rPr>
                <w:sz w:val="20"/>
                <w:szCs w:val="20"/>
                <w:color w:val="auto"/>
              </w:rPr>
            </w:pPr>
            <w:r>
              <w:rPr>
                <w:rFonts w:ascii="Arial" w:cs="Arial" w:eastAsia="Arial" w:hAnsi="Arial"/>
                <w:sz w:val="13"/>
                <w:szCs w:val="13"/>
                <w:color w:val="auto"/>
              </w:rPr>
              <w:t>Billable hours per business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3"/>
                <w:szCs w:val="13"/>
                <w:color w:val="auto"/>
              </w:rPr>
              <w:t xml:space="preserve">day * </w:t>
            </w: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113,426</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117,688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3"/>
                <w:szCs w:val="13"/>
                <w:color w:val="auto"/>
                <w:w w:val="97"/>
              </w:rPr>
              <w:t>(4,262)</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112,198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117,729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3"/>
                <w:szCs w:val="13"/>
                <w:color w:val="auto"/>
                <w:w w:val="97"/>
              </w:rPr>
              <w:t>(5,531)</w:t>
            </w:r>
          </w:p>
        </w:tc>
        <w:tc>
          <w:tcPr>
            <w:tcW w:w="1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w w:val="95"/>
              </w:rPr>
              <w:t>Revenues per billable hour *</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23.58</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22.60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0.98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23.61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22.42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spacing w:after="0"/>
              <w:rPr>
                <w:sz w:val="20"/>
                <w:szCs w:val="20"/>
                <w:color w:val="auto"/>
              </w:rPr>
            </w:pPr>
            <w:r>
              <w:rPr>
                <w:rFonts w:ascii="Arial" w:cs="Arial" w:eastAsia="Arial" w:hAnsi="Arial"/>
                <w:sz w:val="11"/>
                <w:szCs w:val="11"/>
                <w:color w:val="auto"/>
              </w:rPr>
              <w:t>(2)</w:t>
            </w:r>
          </w:p>
        </w:tc>
        <w:tc>
          <w:tcPr>
            <w:tcW w:w="160" w:type="dxa"/>
            <w:vAlign w:val="bottom"/>
            <w:gridSpan w:val="2"/>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gridSpan w:val="2"/>
            <w:vMerge w:val="continue"/>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gridSpan w:val="2"/>
            <w:vMerge w:val="continue"/>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140" w:type="dxa"/>
            <w:vAlign w:val="bottom"/>
            <w:gridSpan w:val="2"/>
            <w:vMerge w:val="continue"/>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gridSpan w:val="2"/>
            <w:vMerge w:val="continue"/>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line="134" w:lineRule="exact"/>
              <w:rPr>
                <w:sz w:val="20"/>
                <w:szCs w:val="20"/>
                <w:color w:val="auto"/>
              </w:rPr>
            </w:pPr>
            <w:r>
              <w:rPr>
                <w:rFonts w:ascii="Arial" w:cs="Arial" w:eastAsia="Arial" w:hAnsi="Arial"/>
                <w:sz w:val="13"/>
                <w:szCs w:val="13"/>
                <w:color w:val="auto"/>
                <w:w w:val="89"/>
              </w:rPr>
              <w:t>Same store growth revenue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80" w:right="140" w:hanging="472"/>
        <w:spacing w:after="0" w:line="293"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36"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100" w:hanging="472"/>
        <w:spacing w:after="0" w:line="27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the revenue associated with New York CDPAP and the ARPA.</w:t>
      </w:r>
    </w:p>
    <w:p>
      <w:pPr>
        <w:spacing w:after="0" w:line="36" w:lineRule="exact"/>
        <w:rPr>
          <w:sz w:val="20"/>
          <w:szCs w:val="20"/>
          <w:color w:val="auto"/>
        </w:rPr>
      </w:pPr>
    </w:p>
    <w:p>
      <w:pPr>
        <w:ind w:left="480" w:right="40" w:hanging="472"/>
        <w:spacing w:after="0" w:line="26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74" w:lineRule="exact"/>
        <w:rPr>
          <w:sz w:val="20"/>
          <w:szCs w:val="20"/>
          <w:color w:val="auto"/>
        </w:rPr>
      </w:pPr>
    </w:p>
    <w:p>
      <w:pPr>
        <w:ind w:right="160" w:firstLine="476"/>
        <w:spacing w:after="0" w:line="257" w:lineRule="auto"/>
        <w:rPr>
          <w:sz w:val="20"/>
          <w:szCs w:val="20"/>
          <w:color w:val="auto"/>
        </w:rPr>
      </w:pPr>
      <w:r>
        <w:rPr>
          <w:rFonts w:ascii="Arial" w:cs="Arial" w:eastAsia="Arial" w:hAnsi="Arial"/>
          <w:sz w:val="18"/>
          <w:szCs w:val="18"/>
          <w:color w:val="auto"/>
        </w:rPr>
        <w:t>The personal care segment derives a significant amount of its net service revenues from operations in Illinois, which represented 43.8% and 38.9% of our net service revenues for the three months ended June 30, 2022 and 2021, respectively, and accounted for 41.6% and 37.4% of our net service revenues for the six months ended June 30, 2022 and 2021, respectively. One payor, the Illinois Department on Aging, accounted for 20.7% and 22.6% of net service revenues for the three months ended June 30, 2022 and 2021, respectively, and accounted for 20.7% and 21.5% of net service revenues for the six months ended June 30, 2022 and 2021, respectively.</w:t>
      </w:r>
    </w:p>
    <w:p>
      <w:pPr>
        <w:spacing w:after="0" w:line="188" w:lineRule="exact"/>
        <w:rPr>
          <w:sz w:val="20"/>
          <w:szCs w:val="20"/>
          <w:color w:val="auto"/>
        </w:rPr>
      </w:pPr>
    </w:p>
    <w:p>
      <w:pPr>
        <w:ind w:right="20" w:firstLine="476"/>
        <w:spacing w:after="0" w:line="293" w:lineRule="auto"/>
        <w:rPr>
          <w:sz w:val="20"/>
          <w:szCs w:val="20"/>
          <w:color w:val="auto"/>
        </w:rPr>
      </w:pPr>
      <w:r>
        <w:rPr>
          <w:rFonts w:ascii="Arial" w:cs="Arial" w:eastAsia="Arial" w:hAnsi="Arial"/>
          <w:sz w:val="16"/>
          <w:szCs w:val="16"/>
          <w:color w:val="auto"/>
        </w:rPr>
        <w:t>Net service revenues from state, local and other governmental programs accounted for 49.0% and 50.2% of net service revenues for the three months ended June 30, 2022 and 2021, respectively. Managed care organizations accounted for 46.2% and 44.7% of net service revenues for the three months ended June 30, 2022 and 2021, respectively, with commercial insurance, private pay and other payors accounting for the remainder of net service revenues. Net service revenues from state, local and other governmental programs accounted for 49.2% and 49.6% of net service revenues for the six months ended June 30, 2022 and 2021, respectively. Managed care organizations accounted for 45.9% and 45.2% of net service revenues for the six months ended June 30, 2022 and 2021, respectively with commercial insurance, private pay and other payors accounting for the remainder of net service revenues.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476"/>
        <w:spacing w:after="0" w:line="289" w:lineRule="auto"/>
        <w:rPr>
          <w:sz w:val="20"/>
          <w:szCs w:val="20"/>
          <w:color w:val="auto"/>
        </w:rPr>
      </w:pPr>
      <w:r>
        <w:rPr>
          <w:rFonts w:ascii="Arial" w:cs="Arial" w:eastAsia="Arial" w:hAnsi="Arial"/>
          <w:sz w:val="16"/>
          <w:szCs w:val="16"/>
          <w:color w:val="auto"/>
        </w:rPr>
        <w:t>Net service revenues decreased by 1.1% and increased by 0.8% for the three and six months ended June 30, 2022, respectively, compared to the three and six months ended June 30, 2021. Net service revenues included a 4.3% and 5.3% increase in revenues per billable hour for the three and six months ended June 30, 2022, respectively, mainly attributed to rate increases discussed above, as compared to the three and six months ended June 30, 2021. The Company experienced a decrease in New York net service revenues of $4.4 million and $10.6 million for the three and six months ended June 30, 2022, primarily driven by a decrease in participation in the New York CDPAP program as discussed above, compared to 2021. Gross profit, expressed as a percentage of net service revenues, decreased to 26.2% for the three months ended June 30, 2022 from 27.8% for the three months ended June 30, 2021 and to 25.9% for the six months ended June 30, 2022 from 26.7% for the six months ended June 30, 2021. This decrease was primarily due to increases in direct payroll as a percentage of net service revenues of 1.9% and 0.9% for the three and six months ended June 30, 2022 as compared to the three and six months ended June 30, 2021 primarily related to labor wage pressures discussed above.</w:t>
      </w:r>
    </w:p>
    <w:p>
      <w:pPr>
        <w:spacing w:after="0" w:line="166" w:lineRule="exact"/>
        <w:rPr>
          <w:sz w:val="20"/>
          <w:szCs w:val="20"/>
          <w:color w:val="auto"/>
        </w:rPr>
      </w:pPr>
    </w:p>
    <w:p>
      <w:pPr>
        <w:ind w:right="40" w:firstLine="476"/>
        <w:spacing w:after="0" w:line="277" w:lineRule="auto"/>
        <w:rPr>
          <w:sz w:val="20"/>
          <w:szCs w:val="20"/>
          <w:color w:val="auto"/>
        </w:rPr>
      </w:pPr>
      <w:r>
        <w:rPr>
          <w:rFonts w:ascii="Arial" w:cs="Arial" w:eastAsia="Arial" w:hAnsi="Arial"/>
          <w:sz w:val="18"/>
          <w:szCs w:val="18"/>
          <w:color w:val="auto"/>
        </w:rPr>
        <w:t>General and administrative expenses, expressed as a percentage of net service revenues, was 8.9% and 9.3% for the three and six months ended June 30,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center"/>
              <w:ind w:left="277"/>
              <w:spacing w:after="0"/>
              <w:rPr>
                <w:sz w:val="20"/>
                <w:szCs w:val="20"/>
                <w:color w:val="auto"/>
              </w:rPr>
            </w:pPr>
            <w:r>
              <w:rPr>
                <w:rFonts w:ascii="Arial" w:cs="Arial" w:eastAsia="Arial" w:hAnsi="Arial"/>
                <w:sz w:val="13"/>
                <w:szCs w:val="13"/>
                <w:b w:val="1"/>
                <w:bCs w:val="1"/>
                <w:color w:val="auto"/>
                <w:w w:val="88"/>
              </w:rPr>
              <w:t>For the Three Months Ended June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left="317"/>
              <w:spacing w:after="0"/>
              <w:rPr>
                <w:sz w:val="20"/>
                <w:szCs w:val="20"/>
                <w:color w:val="auto"/>
              </w:rPr>
            </w:pPr>
            <w:r>
              <w:rPr>
                <w:rFonts w:ascii="Arial" w:cs="Arial" w:eastAsia="Arial" w:hAnsi="Arial"/>
                <w:sz w:val="13"/>
                <w:szCs w:val="13"/>
                <w:b w:val="1"/>
                <w:bCs w:val="1"/>
                <w:color w:val="auto"/>
                <w:w w:val="87"/>
              </w:rPr>
              <w:t>For the Six Months Ended June 30,</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477"/>
              <w:spacing w:after="0" w:line="142" w:lineRule="exact"/>
              <w:rPr>
                <w:sz w:val="20"/>
                <w:szCs w:val="20"/>
                <w:color w:val="auto"/>
              </w:rPr>
            </w:pPr>
            <w:r>
              <w:rPr>
                <w:rFonts w:ascii="Arial" w:cs="Arial" w:eastAsia="Arial" w:hAnsi="Arial"/>
                <w:sz w:val="13"/>
                <w:szCs w:val="13"/>
                <w:b w:val="1"/>
                <w:bCs w:val="1"/>
                <w:color w:val="auto"/>
                <w:w w:val="89"/>
              </w:rPr>
              <w:t>2022</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3"/>
                <w:szCs w:val="13"/>
                <w:b w:val="1"/>
                <w:bCs w:val="1"/>
                <w:color w:val="auto"/>
                <w:w w:val="88"/>
              </w:rPr>
              <w:t>Change</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497"/>
              <w:spacing w:after="0" w:line="142" w:lineRule="exact"/>
              <w:rPr>
                <w:sz w:val="20"/>
                <w:szCs w:val="20"/>
                <w:color w:val="auto"/>
              </w:rPr>
            </w:pPr>
            <w:r>
              <w:rPr>
                <w:rFonts w:ascii="Arial" w:cs="Arial" w:eastAsia="Arial" w:hAnsi="Arial"/>
                <w:sz w:val="13"/>
                <w:szCs w:val="13"/>
                <w:b w:val="1"/>
                <w:bCs w:val="1"/>
                <w:color w:val="auto"/>
                <w:w w:val="82"/>
              </w:rPr>
              <w:t>2022</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92"/>
              </w:rPr>
              <w:t>Change</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2"/>
          </w:tcPr>
          <w:p>
            <w:pPr>
              <w:jc w:val="center"/>
              <w:ind w:left="15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9"/>
          </w:tcPr>
          <w:p>
            <w:pPr>
              <w:jc w:val="center"/>
              <w:ind w:left="11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gridSpan w:val="12"/>
          </w:tcPr>
          <w:p>
            <w:pPr>
              <w:jc w:val="center"/>
              <w:ind w:right="44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20"/>
                <w:szCs w:val="20"/>
                <w:color w:val="auto"/>
              </w:rPr>
            </w:pPr>
            <w:r>
              <w:rPr>
                <w:rFonts w:ascii="Arial" w:cs="Arial" w:eastAsia="Arial" w:hAnsi="Arial"/>
                <w:sz w:val="13"/>
                <w:szCs w:val="13"/>
                <w:color w:val="auto"/>
              </w:rPr>
              <w:t>Net service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52,074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36,909</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15,165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41.1</w:t>
            </w:r>
          </w:p>
        </w:tc>
        <w:tc>
          <w:tcPr>
            <w:tcW w:w="6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99,801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73,003</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26,798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36.7</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25,522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18,912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48,963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49.1</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37,508</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26,552</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51.0</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17,997</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48.8</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8,555</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47.5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50,838</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50.9</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35,495</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48.6</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15,343</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FF0FC"/>
          </w:tcPr>
          <w:p>
            <w:pPr>
              <w:spacing w:after="0"/>
              <w:rPr>
                <w:sz w:val="20"/>
                <w:szCs w:val="20"/>
                <w:color w:val="auto"/>
              </w:rPr>
            </w:pPr>
            <w:r>
              <w:rPr>
                <w:rFonts w:ascii="Arial" w:cs="Arial" w:eastAsia="Arial" w:hAnsi="Arial"/>
                <w:sz w:val="13"/>
                <w:szCs w:val="13"/>
                <w:color w:val="auto"/>
              </w:rPr>
              <w:t>expenses</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13,036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24,748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24.8</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17,136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13,516</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26.0</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9,324</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25.3</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4,192</w:t>
            </w:r>
          </w:p>
        </w:tc>
        <w:tc>
          <w:tcPr>
            <w:tcW w:w="1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45.0</w:t>
            </w:r>
          </w:p>
        </w:tc>
        <w:tc>
          <w:tcPr>
            <w:tcW w:w="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26,090</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26.1</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18,359</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25.1</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7,731</w:t>
            </w:r>
          </w:p>
        </w:tc>
        <w:tc>
          <w:tcPr>
            <w:tcW w:w="1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42.1</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82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Numbers)</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Admissions * </w:t>
            </w:r>
            <w:r>
              <w:rPr>
                <w:rFonts w:ascii="Arial" w:cs="Arial" w:eastAsia="Arial" w:hAnsi="Arial"/>
                <w:sz w:val="10"/>
                <w:szCs w:val="10"/>
                <w:color w:val="auto"/>
              </w:rPr>
              <w:t>(1)</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3,333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2,460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35.5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3,323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2,430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36.7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w w:val="90"/>
              </w:rPr>
              <w:t>Average discharge length of stay *</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FF0FC"/>
          </w:tcPr>
          <w:p>
            <w:pPr>
              <w:spacing w:after="0"/>
              <w:rPr>
                <w:sz w:val="12"/>
                <w:szCs w:val="12"/>
                <w:color w:val="auto"/>
              </w:rPr>
            </w:pP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(12.5)</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FF0FC"/>
          </w:tcPr>
          <w:p>
            <w:pPr>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20"/>
                <w:szCs w:val="20"/>
                <w:color w:val="auto"/>
              </w:rPr>
            </w:pPr>
            <w:r>
              <w:rPr>
                <w:rFonts w:ascii="Arial" w:cs="Arial" w:eastAsia="Arial" w:hAnsi="Arial"/>
                <w:sz w:val="13"/>
                <w:szCs w:val="13"/>
                <w:color w:val="auto"/>
              </w:rPr>
              <w:t xml:space="preserve">Patient days * </w:t>
            </w:r>
            <w:r>
              <w:rPr>
                <w:rFonts w:ascii="Arial" w:cs="Arial" w:eastAsia="Arial" w:hAnsi="Arial"/>
                <w:sz w:val="10"/>
                <w:szCs w:val="10"/>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303,289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223,901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79,388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35.5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578,777</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439,908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138,869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31.6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0"/>
                <w:szCs w:val="10"/>
                <w:color w:val="auto"/>
              </w:rPr>
              <w:t>(5)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171.70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164.85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172.43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20"/>
                <w:szCs w:val="20"/>
                <w:color w:val="auto"/>
              </w:rPr>
            </w:pPr>
            <w:r>
              <w:rPr>
                <w:rFonts w:ascii="Arial" w:cs="Arial" w:eastAsia="Arial" w:hAnsi="Arial"/>
                <w:sz w:val="13"/>
                <w:szCs w:val="13"/>
                <w:color w:val="auto"/>
              </w:rPr>
              <w:t>Organic growth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 xml:space="preserve">- Revenue * </w:t>
            </w:r>
            <w:r>
              <w:rPr>
                <w:rFonts w:ascii="Arial" w:cs="Arial" w:eastAsia="Arial" w:hAnsi="Arial"/>
                <w:sz w:val="10"/>
                <w:szCs w:val="10"/>
                <w:color w:val="auto"/>
              </w:rPr>
              <w:t>(6)</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FF0FC"/>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(8.4) %</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FF0FC"/>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(8.4) %</w:t>
            </w: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140"/>
              <w:spacing w:after="0"/>
              <w:rPr>
                <w:sz w:val="20"/>
                <w:szCs w:val="20"/>
                <w:color w:val="auto"/>
              </w:rPr>
            </w:pPr>
            <w:r>
              <w:rPr>
                <w:rFonts w:ascii="Arial" w:cs="Arial" w:eastAsia="Arial" w:hAnsi="Arial"/>
                <w:sz w:val="13"/>
                <w:szCs w:val="13"/>
                <w:color w:val="auto"/>
              </w:rPr>
              <w:t xml:space="preserve">- Average daily census * </w:t>
            </w:r>
            <w:r>
              <w:rPr>
                <w:rFonts w:ascii="Arial" w:cs="Arial" w:eastAsia="Arial" w:hAnsi="Arial"/>
                <w:sz w:val="10"/>
                <w:szCs w:val="10"/>
                <w:color w:val="auto"/>
              </w:rPr>
              <w:t>(6)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w:t>
            </w:r>
          </w:p>
        </w:tc>
        <w:tc>
          <w:tcPr>
            <w:tcW w:w="22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(14.3) %</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6.6</w:t>
            </w:r>
          </w:p>
        </w:tc>
        <w:tc>
          <w:tcPr>
            <w:tcW w:w="22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(27.2) %</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99"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113" w:lineRule="exact"/>
        <w:rPr>
          <w:rFonts w:ascii="Arial" w:cs="Arial" w:eastAsia="Arial" w:hAnsi="Arial"/>
          <w:sz w:val="16"/>
          <w:szCs w:val="16"/>
          <w:color w:val="auto"/>
        </w:rPr>
      </w:pPr>
    </w:p>
    <w:p>
      <w:pPr>
        <w:ind w:left="480" w:right="120" w:hanging="472"/>
        <w:spacing w:after="0" w:line="27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49" w:lineRule="exact"/>
        <w:rPr>
          <w:sz w:val="20"/>
          <w:szCs w:val="20"/>
          <w:color w:val="auto"/>
        </w:rPr>
      </w:pPr>
    </w:p>
    <w:p>
      <w:pPr>
        <w:ind w:left="480" w:right="40" w:hanging="472"/>
        <w:spacing w:after="0" w:line="26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477"/>
        <w:spacing w:after="0" w:line="291" w:lineRule="auto"/>
        <w:rPr>
          <w:sz w:val="20"/>
          <w:szCs w:val="20"/>
          <w:color w:val="auto"/>
        </w:rPr>
      </w:pPr>
      <w:r>
        <w:rPr>
          <w:rFonts w:ascii="Arial" w:cs="Arial" w:eastAsia="Arial" w:hAnsi="Arial"/>
          <w:sz w:val="16"/>
          <w:szCs w:val="16"/>
          <w:color w:val="auto"/>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90.5% and 93.3% for the three months ended June 30, 2022 and 2021, respectively, and 90.8% and 93.8% for the six months ended June 30, 2022 and 2021, respectively. Net service revenues from managed care organizations accounted for 3.8% for each the three months ended June 30, 2022 and June 30, 2021, and 3.7% and 3.9% for the six months ended June 30, 2022 and 2021, respectively.</w:t>
      </w:r>
    </w:p>
    <w:p>
      <w:pPr>
        <w:spacing w:after="0" w:line="166" w:lineRule="exact"/>
        <w:rPr>
          <w:sz w:val="20"/>
          <w:szCs w:val="20"/>
          <w:color w:val="auto"/>
        </w:rPr>
      </w:pPr>
    </w:p>
    <w:p>
      <w:pPr>
        <w:ind w:right="40" w:firstLine="476"/>
        <w:spacing w:after="0" w:line="263" w:lineRule="auto"/>
        <w:rPr>
          <w:sz w:val="20"/>
          <w:szCs w:val="20"/>
          <w:color w:val="auto"/>
        </w:rPr>
      </w:pPr>
      <w:r>
        <w:rPr>
          <w:rFonts w:ascii="Arial" w:cs="Arial" w:eastAsia="Arial" w:hAnsi="Arial"/>
          <w:sz w:val="18"/>
          <w:szCs w:val="18"/>
          <w:color w:val="auto"/>
        </w:rPr>
        <w:t>Net service revenues increased by $15.2 million and $26.8 for the three and six months ended June 30, 2022, respectively, compared to the three and six months ended June 30, 2021 attributed to organic growth and the acquisitions of the operations of JourneyCare on February 1, 2022 and Armada on August 1, 2021.</w:t>
      </w:r>
    </w:p>
    <w:p>
      <w:pPr>
        <w:spacing w:after="0" w:line="184" w:lineRule="exact"/>
        <w:rPr>
          <w:sz w:val="20"/>
          <w:szCs w:val="20"/>
          <w:color w:val="auto"/>
        </w:rPr>
      </w:pPr>
    </w:p>
    <w:p>
      <w:pPr>
        <w:ind w:right="140" w:firstLine="476"/>
        <w:spacing w:after="0" w:line="259" w:lineRule="auto"/>
        <w:rPr>
          <w:sz w:val="20"/>
          <w:szCs w:val="20"/>
          <w:color w:val="auto"/>
        </w:rPr>
      </w:pPr>
      <w:r>
        <w:rPr>
          <w:rFonts w:ascii="Arial" w:cs="Arial" w:eastAsia="Arial" w:hAnsi="Arial"/>
          <w:sz w:val="18"/>
          <w:szCs w:val="18"/>
          <w:color w:val="auto"/>
        </w:rPr>
        <w:t>Gross profit, expressed as a percentage of net service revenues was 51.0% and 48.8% for the three months ended June 30, 2022 and 2021, respectively, and 50.9% and 48.6%, for the six months ended June 30, 2022 and 2021, respectively. For the three and six months ended June 30, 2022, the increase as a percentage of net service revenues was mainly attributed to decreases in direct employee wages, taxes and benefit costs of 0.3% and 0.8%, respectively.</w:t>
      </w:r>
    </w:p>
    <w:p>
      <w:pPr>
        <w:spacing w:after="0" w:line="187"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25.0% and 23.5% for the three months ended June 30, 2022 and 2021, respectively, and 24.8% and 23.5% for the six months ended June 30, 2022 and 2021, respectively. The increase in general and administrative expenses for the three and six months ended June 30, 2022, was due to acquisitions that resulted in a $3.2 million and $5.8 million, respectively, increase in administrative employee wages, taxes and benefit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3"/>
                <w:szCs w:val="13"/>
                <w:b w:val="1"/>
                <w:bCs w:val="1"/>
                <w:color w:val="auto"/>
                <w:w w:val="88"/>
              </w:rPr>
              <w:t>For the Three Months Ended June 30,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jc w:val="center"/>
              <w:ind w:left="337"/>
              <w:spacing w:after="0"/>
              <w:rPr>
                <w:sz w:val="20"/>
                <w:szCs w:val="20"/>
                <w:color w:val="auto"/>
              </w:rPr>
            </w:pPr>
            <w:r>
              <w:rPr>
                <w:rFonts w:ascii="Arial" w:cs="Arial" w:eastAsia="Arial" w:hAnsi="Arial"/>
                <w:sz w:val="13"/>
                <w:szCs w:val="13"/>
                <w:b w:val="1"/>
                <w:bCs w:val="1"/>
                <w:color w:val="auto"/>
                <w:w w:val="87"/>
              </w:rPr>
              <w:t>For the Six Months Ended June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96"/>
              </w:rPr>
              <w:t>2022</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3"/>
              </w:rPr>
              <w:t>Change</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477"/>
              <w:spacing w:after="0" w:line="142" w:lineRule="exact"/>
              <w:rPr>
                <w:sz w:val="20"/>
                <w:szCs w:val="20"/>
                <w:color w:val="auto"/>
              </w:rPr>
            </w:pPr>
            <w:r>
              <w:rPr>
                <w:rFonts w:ascii="Arial" w:cs="Arial" w:eastAsia="Arial" w:hAnsi="Arial"/>
                <w:sz w:val="13"/>
                <w:szCs w:val="13"/>
                <w:b w:val="1"/>
                <w:bCs w:val="1"/>
                <w:color w:val="auto"/>
                <w:w w:val="89"/>
              </w:rPr>
              <w:t>2022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4"/>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42"/>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60" w:type="dxa"/>
            <w:vAlign w:val="bottom"/>
            <w:gridSpan w:val="13"/>
          </w:tcPr>
          <w:p>
            <w:pPr>
              <w:jc w:val="center"/>
              <w:ind w:right="38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gridSpan w:val="13"/>
          </w:tcPr>
          <w:p>
            <w:pPr>
              <w:jc w:val="center"/>
              <w:ind w:right="44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Net service revenues</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0"/>
              </w:rPr>
              <w:t>10,536</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4,717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5,819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123.4</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19,811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9,057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10,754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118.7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67.7</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61.8</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145.0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13,854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61.6</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148.1</w:t>
            </w:r>
          </w:p>
        </w:tc>
        <w:tc>
          <w:tcPr>
            <w:tcW w:w="220" w:type="dxa"/>
            <w:vAlign w:val="bottom"/>
            <w:shd w:val="clear" w:color="auto" w:fill="CFF0FC"/>
          </w:tcPr>
          <w:p>
            <w:pPr>
              <w:spacing w:after="0"/>
              <w:rPr>
                <w:sz w:val="12"/>
                <w:szCs w:val="12"/>
                <w:color w:val="auto"/>
              </w:rPr>
            </w:pPr>
          </w:p>
        </w:tc>
      </w:tr>
      <w:tr>
        <w:trPr>
          <w:trHeight w:val="142"/>
        </w:trPr>
        <w:tc>
          <w:tcPr>
            <w:tcW w:w="200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3,398</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32.3</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1,804</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1,594</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88.4</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5,957</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30.1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3,474</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2,483</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71.5</w:t>
            </w:r>
          </w:p>
        </w:tc>
        <w:tc>
          <w:tcPr>
            <w:tcW w:w="220" w:type="dxa"/>
            <w:vAlign w:val="bottom"/>
          </w:tcPr>
          <w:p>
            <w:pPr>
              <w:spacing w:after="0"/>
              <w:rPr>
                <w:sz w:val="12"/>
                <w:szCs w:val="12"/>
                <w:color w:val="auto"/>
              </w:rPr>
            </w:pP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2"/>
              </w:rPr>
              <w:t>General and administrative expenses</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20.5</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158.4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151.4</w:t>
            </w:r>
          </w:p>
        </w:tc>
        <w:tc>
          <w:tcPr>
            <w:tcW w:w="220" w:type="dxa"/>
            <w:vAlign w:val="bottom"/>
            <w:shd w:val="clear" w:color="auto" w:fill="CFF0FC"/>
          </w:tcPr>
          <w:p>
            <w:pPr>
              <w:spacing w:after="0"/>
              <w:rPr>
                <w:sz w:val="12"/>
                <w:szCs w:val="12"/>
                <w:color w:val="auto"/>
              </w:rPr>
            </w:pPr>
          </w:p>
        </w:tc>
      </w:tr>
      <w:tr>
        <w:trPr>
          <w:trHeight w:val="182"/>
        </w:trPr>
        <w:tc>
          <w:tcPr>
            <w:tcW w:w="2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897</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836</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17.7</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w:t>
            </w:r>
          </w:p>
        </w:tc>
        <w:tc>
          <w:tcPr>
            <w:tcW w:w="1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1,097</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1,541</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(444</w:t>
            </w:r>
          </w:p>
        </w:tc>
        <w:tc>
          <w:tcPr>
            <w:tcW w:w="180" w:type="dxa"/>
            <w:vAlign w:val="bottom"/>
            <w:tcBorders>
              <w:bottom w:val="single" w:sz="8" w:color="CFF0FC"/>
            </w:tcBorders>
          </w:tcPr>
          <w:p>
            <w:pPr>
              <w:jc w:val="right"/>
              <w:ind w:right="9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(28.8)</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29"/>
        </w:trPr>
        <w:tc>
          <w:tcPr>
            <w:tcW w:w="20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90"/>
              </w:rPr>
              <w:t>Business Metrics (Actual Numbers)</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New admissions * </w:t>
            </w:r>
            <w:r>
              <w:rPr>
                <w:rFonts w:ascii="Arial" w:cs="Arial" w:eastAsia="Arial" w:hAnsi="Arial"/>
                <w:sz w:val="10"/>
                <w:szCs w:val="10"/>
                <w:color w:val="auto"/>
              </w:rPr>
              <w:t>(1)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3,351</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1,186</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182.5</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6,687</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2,354</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184.1</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0"/>
                <w:szCs w:val="10"/>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1,409</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738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2,725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1,395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95.3</w:t>
            </w:r>
          </w:p>
        </w:tc>
        <w:tc>
          <w:tcPr>
            <w:tcW w:w="220" w:type="dxa"/>
            <w:vAlign w:val="bottom"/>
          </w:tcPr>
          <w:p>
            <w:pPr>
              <w:spacing w:after="0"/>
              <w:rPr>
                <w:sz w:val="12"/>
                <w:szCs w:val="12"/>
                <w:color w:val="auto"/>
              </w:rPr>
            </w:pPr>
          </w:p>
        </w:tc>
      </w:tr>
      <w:tr>
        <w:trPr>
          <w:trHeight w:val="149"/>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Total volume * </w:t>
            </w:r>
            <w:r>
              <w:rPr>
                <w:rFonts w:ascii="Arial" w:cs="Arial" w:eastAsia="Arial" w:hAnsi="Arial"/>
                <w:sz w:val="10"/>
                <w:szCs w:val="10"/>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4,760</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1,924</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147.4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9,412</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151.1</w:t>
            </w:r>
          </w:p>
        </w:tc>
        <w:tc>
          <w:tcPr>
            <w:tcW w:w="220" w:type="dxa"/>
            <w:vAlign w:val="bottom"/>
            <w:shd w:val="clear" w:color="auto" w:fill="CFF0FC"/>
          </w:tcPr>
          <w:p>
            <w:pPr>
              <w:spacing w:after="0"/>
              <w:rPr>
                <w:sz w:val="12"/>
                <w:szCs w:val="12"/>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 xml:space="preserve">Visits *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68,452</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31,582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36,870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116.7</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133,665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59,247</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74,418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125.6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Organic growth</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9"/>
        </w:trPr>
        <w:tc>
          <w:tcPr>
            <w:tcW w:w="2000" w:type="dxa"/>
            <w:vAlign w:val="bottom"/>
          </w:tcPr>
          <w:p>
            <w:pPr>
              <w:ind w:left="140"/>
              <w:spacing w:after="0"/>
              <w:rPr>
                <w:sz w:val="20"/>
                <w:szCs w:val="20"/>
                <w:color w:val="auto"/>
              </w:rPr>
            </w:pPr>
            <w:r>
              <w:rPr>
                <w:rFonts w:ascii="Arial" w:cs="Arial" w:eastAsia="Arial" w:hAnsi="Arial"/>
                <w:sz w:val="13"/>
                <w:szCs w:val="13"/>
                <w:color w:val="auto"/>
              </w:rPr>
              <w:t xml:space="preserve">- Revenue * </w:t>
            </w:r>
            <w:r>
              <w:rPr>
                <w:rFonts w:ascii="Arial" w:cs="Arial" w:eastAsia="Arial" w:hAnsi="Arial"/>
                <w:sz w:val="10"/>
                <w:szCs w:val="10"/>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w:t>
            </w:r>
          </w:p>
        </w:tc>
        <w:tc>
          <w:tcPr>
            <w:tcW w:w="22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0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 xml:space="preserve">- Admissions * </w:t>
            </w:r>
            <w:r>
              <w:rPr>
                <w:rFonts w:ascii="Arial" w:cs="Arial" w:eastAsia="Arial" w:hAnsi="Arial"/>
                <w:sz w:val="10"/>
                <w:szCs w:val="10"/>
                <w:color w:val="auto"/>
              </w:rPr>
              <w:t>(5)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w:t>
            </w:r>
          </w:p>
        </w:tc>
        <w:tc>
          <w:tcPr>
            <w:tcW w:w="220" w:type="dxa"/>
            <w:vAlign w:val="bottom"/>
            <w:shd w:val="clear" w:color="auto" w:fill="CFF0FC"/>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bl>
    <w:p>
      <w:pPr>
        <w:spacing w:after="0" w:line="193"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86"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126" w:lineRule="exact"/>
        <w:rPr>
          <w:rFonts w:ascii="Arial" w:cs="Arial" w:eastAsia="Arial" w:hAnsi="Arial"/>
          <w:sz w:val="16"/>
          <w:szCs w:val="16"/>
          <w:color w:val="auto"/>
        </w:rPr>
      </w:pPr>
    </w:p>
    <w:p>
      <w:pPr>
        <w:ind w:left="480" w:right="300" w:hanging="472"/>
        <w:spacing w:after="0" w:line="27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76" w:lineRule="exact"/>
        <w:rPr>
          <w:sz w:val="20"/>
          <w:szCs w:val="20"/>
          <w:color w:val="auto"/>
        </w:rPr>
      </w:pPr>
    </w:p>
    <w:p>
      <w:pPr>
        <w:ind w:left="480" w:right="40" w:hanging="472"/>
        <w:spacing w:after="0" w:line="26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The home health segment generates net service revenues by providing home health services on a short-term, intermittent or episodic basis to individuals, generally to treat an illness or injury. Net service revenues from Medicare accounted for 72.1% and 81.1%, managed care organizations accounted for 21.5% and 17.4% and other accounted for 6.4% and 1.5% for the three months ended June 30, 2022 and 2021, respectively. Net service revenues from Medicare accounted for 72.7% and 80.9%, managed care organizations accounted for 21.0% and 17.9% and other accounted for 6.3% and 1.2% for the six months ended June 30, 2022 and 2021, respectively. Home health services provided to Medicare beneficiaries are paid under the Medicare Home Health Prospective Payment System (“HHPPS”).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1" w:lineRule="exact"/>
        <w:rPr>
          <w:sz w:val="20"/>
          <w:szCs w:val="20"/>
          <w:color w:val="auto"/>
        </w:rPr>
      </w:pPr>
    </w:p>
    <w:p>
      <w:pPr>
        <w:ind w:right="140" w:firstLine="476"/>
        <w:spacing w:after="0" w:line="263" w:lineRule="auto"/>
        <w:rPr>
          <w:sz w:val="20"/>
          <w:szCs w:val="20"/>
          <w:color w:val="auto"/>
        </w:rPr>
      </w:pPr>
      <w:r>
        <w:rPr>
          <w:rFonts w:ascii="Arial" w:cs="Arial" w:eastAsia="Arial" w:hAnsi="Arial"/>
          <w:sz w:val="18"/>
          <w:szCs w:val="18"/>
          <w:color w:val="auto"/>
        </w:rPr>
        <w:t>Net service revenues increased by $5.8 million and $10.8 million for the three and six months ended June 30, 2022, compared to the three and six months ended June 30, 2021. Total visits increased for the three months ended June 30, 2022, mainly attributed to the acquisition of Armada on August 1, 2021 and Summit on October 1, 2021.</w:t>
      </w:r>
    </w:p>
    <w:p>
      <w:pPr>
        <w:spacing w:after="0" w:line="184" w:lineRule="exact"/>
        <w:rPr>
          <w:sz w:val="20"/>
          <w:szCs w:val="20"/>
          <w:color w:val="auto"/>
        </w:rPr>
      </w:pPr>
    </w:p>
    <w:p>
      <w:pPr>
        <w:ind w:right="120" w:firstLine="476"/>
        <w:spacing w:after="0" w:line="259" w:lineRule="auto"/>
        <w:rPr>
          <w:sz w:val="20"/>
          <w:szCs w:val="20"/>
          <w:color w:val="auto"/>
        </w:rPr>
      </w:pPr>
      <w:r>
        <w:rPr>
          <w:rFonts w:ascii="Arial" w:cs="Arial" w:eastAsia="Arial" w:hAnsi="Arial"/>
          <w:sz w:val="18"/>
          <w:szCs w:val="18"/>
          <w:color w:val="auto"/>
        </w:rPr>
        <w:t>Gross profit, expressed as a percentage of net service revenues was 32.3% and 38.2% for the three months ended June 30, 2022 and 2021, respectively, and 30.1% and 38.4%, for the six months ended June 30, 2022 and 2021, respectively. For the three and six months ended June 30, 2022, the decrease was primarily due to an increase of direct employee wages, taxes and benefit costs of 5.7% and 7.1%, respectively, as a percentage of net service revenues.</w:t>
      </w:r>
    </w:p>
    <w:p>
      <w:pPr>
        <w:spacing w:after="0" w:line="187"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The home health segment’s general and administrative expenses primarily consist of administrative employee wages, taxes and benefit costs, rent, information technology and office expenses. General and administrative expenses, expressed as a percentage of net service revenues was 23.7% and 20.5% for the three months ended June 30, 2022 and 2021, respectively, and 24.5% and 21.3% for the six months ended June 30, 2022 and 2021, respectively. The increase in general and administrative expenses was primarily due to acquisitions that resulted in a $1.2 million and $2.5 million increase in administrative employee wages, taxes and benefit costs for the three and six months ended June 30,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June 30, 2022 and December 31, 2021, we had cash balances of $120.9 million and $168.9 million, respectively. At June 30, 2022, we had a $600.0 million revolving credit facility and a $125.0 million incremental loan facility, which may be for term loans or an increase to the revolving loan commitments. The maturity of this credit facility is July 30, 2026.</w:t>
      </w:r>
    </w:p>
    <w:p>
      <w:pPr>
        <w:spacing w:after="0" w:line="187" w:lineRule="exact"/>
        <w:rPr>
          <w:sz w:val="20"/>
          <w:szCs w:val="20"/>
          <w:color w:val="auto"/>
        </w:rPr>
      </w:pPr>
    </w:p>
    <w:p>
      <w:pPr>
        <w:ind w:right="100" w:firstLine="477"/>
        <w:spacing w:after="0" w:line="262" w:lineRule="auto"/>
        <w:rPr>
          <w:sz w:val="20"/>
          <w:szCs w:val="20"/>
          <w:color w:val="auto"/>
        </w:rPr>
      </w:pPr>
      <w:r>
        <w:rPr>
          <w:rFonts w:ascii="Arial" w:cs="Arial" w:eastAsia="Arial" w:hAnsi="Arial"/>
          <w:sz w:val="18"/>
          <w:szCs w:val="18"/>
          <w:color w:val="auto"/>
        </w:rPr>
        <w:t>During the six months ended June 30, 2022, we (i) drew $35.0 million under our revolving credit facility to fund, in part, the JourneyCare acquisition and (ii) repaid $60.0 million under our revolving credit facility. As of June 30, 2022, we had a total of $199.9 million in revolving loans, with an interest rate of 3.67% outstanding on its credit facility and after giving effect to the amount drawn on our credit facility, approximately $8.1 million of outstanding letters of credit and borrowing limits based on an advance multiple of adjusted EBITDA (as defined in the Credit Agreement), we had $376.4 million of capacity and $168.4 million available for borrowing under our credit facility. At December 31, 2021, we had a total of $224.9 million revolving credit loans, with an interest rate of 2.10%, outstanding on our credit facility.</w:t>
      </w:r>
    </w:p>
    <w:p>
      <w:pPr>
        <w:spacing w:after="0" w:line="183" w:lineRule="exact"/>
        <w:rPr>
          <w:sz w:val="20"/>
          <w:szCs w:val="20"/>
          <w:color w:val="auto"/>
        </w:rPr>
      </w:pPr>
    </w:p>
    <w:p>
      <w:pPr>
        <w:ind w:right="180" w:firstLine="477"/>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June 30, 2022,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See Note 8 to the Notes to Condensed Consolidated Financial Statements, </w:t>
      </w:r>
      <w:r>
        <w:rPr>
          <w:rFonts w:ascii="Arial" w:cs="Arial" w:eastAsia="Arial" w:hAnsi="Arial"/>
          <w:sz w:val="17"/>
          <w:szCs w:val="17"/>
          <w:i w:val="1"/>
          <w:iCs w:val="1"/>
          <w:color w:val="auto"/>
        </w:rPr>
        <w:t>Long-Term Debt</w:t>
      </w:r>
      <w:r>
        <w:rPr>
          <w:rFonts w:ascii="Arial" w:cs="Arial" w:eastAsia="Arial" w:hAnsi="Arial"/>
          <w:sz w:val="17"/>
          <w:szCs w:val="17"/>
          <w:color w:val="auto"/>
        </w:rPr>
        <w:t>, for additional details of our long-term debt.</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October 13, 2022, but HHS has indicated it will provide states with 60 days’ notice prior to termination of the declaration.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In November 2020, the Company received grants in an aggregate principal amount of $13.7 million from the Provider Relief Fund, and fully utilized these funds as of December 31, 2021, including $10.4 million and $11.3 million during the three and six months ended June 30, 2021, for healthcare related expenses, including retention payments, attributable to COVID-19 that were unreimbursed by other sources. We were required to properly and fully document the use of such funds in reports to HHS, which we were required to submit no later than March 31, 2022. We have submitted the required reports.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40" w:firstLine="506"/>
        <w:spacing w:after="0" w:line="259" w:lineRule="auto"/>
        <w:rPr>
          <w:sz w:val="20"/>
          <w:szCs w:val="20"/>
          <w:color w:val="auto"/>
        </w:rPr>
      </w:pPr>
      <w:r>
        <w:rPr>
          <w:rFonts w:ascii="Arial" w:cs="Arial" w:eastAsia="Arial" w:hAnsi="Arial"/>
          <w:sz w:val="18"/>
          <w:szCs w:val="18"/>
          <w:color w:val="auto"/>
        </w:rPr>
        <w:t>The CARES Act allowed for the deferral of the employer portion of Social Security payroll taxes through December 31, 2020. As of June 30,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right="40" w:firstLine="506"/>
        <w:spacing w:after="0" w:line="255" w:lineRule="auto"/>
        <w:rPr>
          <w:sz w:val="20"/>
          <w:szCs w:val="20"/>
          <w:color w:val="auto"/>
        </w:rPr>
      </w:pPr>
      <w:r>
        <w:rPr>
          <w:rFonts w:ascii="Arial" w:cs="Arial" w:eastAsia="Arial" w:hAnsi="Arial"/>
          <w:sz w:val="18"/>
          <w:szCs w:val="18"/>
          <w:color w:val="auto"/>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92" w:lineRule="exact"/>
        <w:rPr>
          <w:sz w:val="20"/>
          <w:szCs w:val="20"/>
          <w:color w:val="auto"/>
        </w:rPr>
      </w:pPr>
    </w:p>
    <w:p>
      <w:pPr>
        <w:ind w:right="60" w:firstLine="506"/>
        <w:spacing w:after="0" w:line="289" w:lineRule="auto"/>
        <w:rPr>
          <w:sz w:val="20"/>
          <w:szCs w:val="20"/>
          <w:color w:val="auto"/>
        </w:rPr>
      </w:pPr>
      <w:r>
        <w:rPr>
          <w:rFonts w:ascii="Arial" w:cs="Arial" w:eastAsia="Arial" w:hAnsi="Arial"/>
          <w:sz w:val="16"/>
          <w:szCs w:val="16"/>
          <w:color w:val="auto"/>
        </w:rPr>
        <w:t>For certain states, the Company must implement efforts and expend funds primarily for the further recruitment, retention and training of caregivers and funds may be subject to recoupment if not expended or are expended on non-approved uses. In addition, the Company is required to properly and fully document the use of such funds in reports to the state in which the funds originated. During the six months ended June 30, 2022, the Company received state funding provided by the ARPA in an aggregate amount of $14.6 million. The Company recorded revenue of $1.6 million and related cost of service revenues of $1.2 million for certain states that met the revenue recognition criteria. The Company deferred the remaining $13.0 million, which was received from states with specific spending plans and reporting requirements. The Company utilized $0.4 million of these funds during the three and six months ended June 30, 2022, primarily for caregivers and adding support to recruiting and retention efforts, included as a reduction of cost of service revenues in the Company’s Unaudited Condensed Consolidated Statements of Income. As of June 30, 2022, the deferred portion of ARPA funding was $12.6 million, which is included within Government stimulus advances on the Company’s Unaudited Condensed Consolidated Balance Sheets.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right="320" w:firstLine="506"/>
        <w:spacing w:after="0" w:line="257" w:lineRule="auto"/>
        <w:rPr>
          <w:sz w:val="20"/>
          <w:szCs w:val="20"/>
          <w:color w:val="auto"/>
        </w:rPr>
      </w:pPr>
      <w:r>
        <w:rPr>
          <w:rFonts w:ascii="Arial" w:cs="Arial" w:eastAsia="Arial" w:hAnsi="Arial"/>
          <w:sz w:val="18"/>
          <w:szCs w:val="18"/>
          <w:color w:val="auto"/>
        </w:rPr>
        <w:t>The CARES Act and related legislation temporarily lifted the Medicare sequester that would have otherwise reduced payments to Medicare providers by 2% as required by the Budget Control Act of 2011, from May 1, 2020 through December 31, 2021. Congress further delayed these sequestration cuts through March 31, 2022, and reduced the sequestration adjustment to 1% from April 1 through June 30, 2022. The full 2% reduction resumed July 1, 2022. These sequestration cuts have been extended through 2030, with the reductions for 2030 set to increase to 2.25% for the first six months and to 3% for the second six months.</w:t>
      </w:r>
    </w:p>
    <w:p>
      <w:pPr>
        <w:spacing w:after="0" w:line="188" w:lineRule="exact"/>
        <w:rPr>
          <w:sz w:val="20"/>
          <w:szCs w:val="20"/>
          <w:color w:val="auto"/>
        </w:rPr>
      </w:pPr>
    </w:p>
    <w:p>
      <w:pPr>
        <w:ind w:right="340" w:firstLine="506"/>
        <w:spacing w:after="0" w:line="279" w:lineRule="auto"/>
        <w:rPr>
          <w:sz w:val="20"/>
          <w:szCs w:val="20"/>
          <w:color w:val="auto"/>
        </w:rPr>
      </w:pPr>
      <w:r>
        <w:rPr>
          <w:rFonts w:ascii="Arial" w:cs="Arial" w:eastAsia="Arial" w:hAnsi="Arial"/>
          <w:sz w:val="17"/>
          <w:szCs w:val="17"/>
          <w:color w:val="auto"/>
        </w:rPr>
        <w:t>In our hospice segment, Medicare sequester relief resulted in an increase in net service revenues of $0.5 million and $0.7 million for the three months ended June 30, 2022 and 2021, respectively, and $1.4 million for each of the six months ended June 30, 2022 and 2021. In our home health segment, Medicare sequester relief resulted in an increase in net service revenues of $0.1 million for each of the three months ended June 30, 2022 and 2021, and $0.3 million and $0.2 million for the six months ended June 30, 2022 and 2021, respectively.</w:t>
      </w:r>
    </w:p>
    <w:p>
      <w:pPr>
        <w:spacing w:after="0" w:line="171" w:lineRule="exact"/>
        <w:rPr>
          <w:sz w:val="20"/>
          <w:szCs w:val="20"/>
          <w:color w:val="auto"/>
        </w:rPr>
      </w:pPr>
    </w:p>
    <w:p>
      <w:pPr>
        <w:jc w:val="both"/>
        <w:ind w:firstLine="506"/>
        <w:spacing w:after="0" w:line="301" w:lineRule="auto"/>
        <w:rPr>
          <w:sz w:val="20"/>
          <w:szCs w:val="20"/>
          <w:color w:val="auto"/>
        </w:rPr>
      </w:pPr>
      <w:r>
        <w:rPr>
          <w:rFonts w:ascii="Arial" w:cs="Arial" w:eastAsia="Arial" w:hAnsi="Arial"/>
          <w:sz w:val="16"/>
          <w:szCs w:val="16"/>
          <w:color w:val="auto"/>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5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 xml:space="preserve">See Note 7 to the Notes to Condensed Consolidated Financial Statements, </w:t>
      </w:r>
      <w:r>
        <w:rPr>
          <w:rFonts w:ascii="Arial" w:cs="Arial" w:eastAsia="Arial" w:hAnsi="Arial"/>
          <w:sz w:val="16"/>
          <w:szCs w:val="16"/>
          <w:i w:val="1"/>
          <w:iCs w:val="1"/>
          <w:color w:val="auto"/>
        </w:rPr>
        <w:t>COVID-19 Pandemic</w:t>
      </w:r>
      <w:r>
        <w:rPr>
          <w:rFonts w:ascii="Arial" w:cs="Arial" w:eastAsia="Arial" w:hAnsi="Arial"/>
          <w:sz w:val="16"/>
          <w:szCs w:val="16"/>
          <w:color w:val="auto"/>
        </w:rPr>
        <w:t>, for additional details of the COVID-19 pandemic.</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9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6"/>
                <w:szCs w:val="16"/>
                <w:b w:val="1"/>
                <w:bCs w:val="1"/>
                <w:color w:val="auto"/>
                <w:w w:val="91"/>
              </w:rPr>
              <w:t>For the Six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2920" w:type="dxa"/>
            <w:vAlign w:val="bottom"/>
            <w:gridSpan w:val="3"/>
          </w:tcPr>
          <w:p>
            <w:pPr>
              <w:jc w:val="center"/>
              <w:ind w:left="397"/>
              <w:spacing w:after="0"/>
              <w:rPr>
                <w:sz w:val="20"/>
                <w:szCs w:val="20"/>
                <w:color w:val="auto"/>
              </w:rPr>
            </w:pPr>
            <w:r>
              <w:rPr>
                <w:rFonts w:ascii="Arial" w:cs="Arial" w:eastAsia="Arial" w:hAnsi="Arial"/>
                <w:sz w:val="16"/>
                <w:szCs w:val="16"/>
                <w:b w:val="1"/>
                <w:bCs w:val="1"/>
                <w:color w:val="auto"/>
                <w:w w:val="91"/>
              </w:rPr>
              <w:t>(Amounts in Thousands)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62,502</w:t>
            </w:r>
          </w:p>
        </w:tc>
        <w:tc>
          <w:tcPr>
            <w:tcW w:w="1180" w:type="dxa"/>
            <w:vAlign w:val="bottom"/>
            <w:shd w:val="clear" w:color="auto" w:fill="CFF0FC"/>
          </w:tcPr>
          <w:p>
            <w:pPr>
              <w:jc w:val="right"/>
              <w:ind w:right="89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1"/>
              </w:rPr>
              <w:t>(3,321)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5"/>
              </w:rPr>
              <w:t>(86,028)</w:t>
            </w:r>
          </w:p>
        </w:tc>
        <w:tc>
          <w:tcPr>
            <w:tcW w:w="1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(1,928)</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(24,452)</w:t>
            </w:r>
          </w:p>
        </w:tc>
        <w:tc>
          <w:tcPr>
            <w:tcW w:w="1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(429)</w:t>
            </w: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117" w:lineRule="exact"/>
        <w:rPr>
          <w:sz w:val="20"/>
          <w:szCs w:val="20"/>
          <w:color w:val="auto"/>
        </w:rPr>
      </w:pPr>
    </w:p>
    <w:p>
      <w:pPr>
        <w:ind w:right="220" w:firstLine="476"/>
        <w:spacing w:after="0" w:line="272" w:lineRule="auto"/>
        <w:rPr>
          <w:sz w:val="20"/>
          <w:szCs w:val="20"/>
          <w:color w:val="auto"/>
        </w:rPr>
      </w:pPr>
      <w:r>
        <w:rPr>
          <w:rFonts w:ascii="Arial" w:cs="Arial" w:eastAsia="Arial" w:hAnsi="Arial"/>
          <w:sz w:val="17"/>
          <w:szCs w:val="17"/>
          <w:color w:val="auto"/>
        </w:rPr>
        <w:t>Cash flows from operating activities represent the inflow of cash from our payors and the outflow of cash for payroll and payroll taxes, operating expenses, interest and taxes. Net cash provided by operating activities was $62.5 million for the six months ended June 30, 2022, compared to net cash used in operating activities of $3.3 million for the same period in 2021. The increase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six months ended June 30, 2022 compared to 2021, as described below. The related receivables due from the Illinois Department on Aging represented 18.3% and 16.1% of the Company’s net accounts receivable at June 30, 2022 and December 31, 2021, respectively, as discussed below.</w:t>
      </w:r>
    </w:p>
    <w:p>
      <w:pPr>
        <w:spacing w:after="0" w:line="177" w:lineRule="exact"/>
        <w:rPr>
          <w:sz w:val="20"/>
          <w:szCs w:val="20"/>
          <w:color w:val="auto"/>
        </w:rPr>
      </w:pPr>
    </w:p>
    <w:p>
      <w:pPr>
        <w:jc w:val="both"/>
        <w:ind w:right="860" w:firstLine="477"/>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2022, primarily consisted of $84.5 million of net cash used for the JourneyCare acquisition. For the six months ended June 30, 2022 and 2021, property and equipment purchases, primarily related to our ongoing investments in our technology infrastructure, were $1.5 million and $1.8 million, respectively.</w:t>
      </w:r>
    </w:p>
    <w:p>
      <w:pPr>
        <w:spacing w:after="0" w:line="184"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2022, primarily related to a $60.0 million payment on the revolver portion of our credit facility, partially offset by borrowings of $35.0 million on the revolver portion of our credit facility to fund, in part, the JourneyCare acquisition. For the six months ended June 30, 2022 and 2021, net cash provided by financing activities included cash received from the exercise of stock options of $0.5 million and $0.1 million, respectively.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right="80" w:firstLine="476"/>
        <w:spacing w:after="0" w:line="275" w:lineRule="auto"/>
        <w:rPr>
          <w:sz w:val="20"/>
          <w:szCs w:val="20"/>
          <w:color w:val="auto"/>
        </w:rPr>
      </w:pPr>
      <w:r>
        <w:rPr>
          <w:rFonts w:ascii="Arial" w:cs="Arial" w:eastAsia="Arial" w:hAnsi="Arial"/>
          <w:sz w:val="17"/>
          <w:szCs w:val="17"/>
          <w:color w:val="auto"/>
        </w:rPr>
        <w:t>Gross accounts receivable as of June 30, 2022 and December 31, 2021 were approximately $125.9 million and $138.4 million, respectively. Outstanding accounts receivable, net of allowance for credit losses, decreased by $12.4 million as of June 30, 2022 as compared to December 31, 2021. Accounts receivable for the Illinois Department on Aging increased approximately $0.1 million during the quarter ended June 30, 2022.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76" w:lineRule="exact"/>
        <w:rPr>
          <w:sz w:val="20"/>
          <w:szCs w:val="20"/>
          <w:color w:val="auto"/>
        </w:rPr>
      </w:pPr>
    </w:p>
    <w:p>
      <w:pPr>
        <w:ind w:right="120" w:firstLine="476"/>
        <w:spacing w:after="0" w:line="259" w:lineRule="auto"/>
        <w:rPr>
          <w:sz w:val="20"/>
          <w:szCs w:val="20"/>
          <w:color w:val="auto"/>
        </w:rPr>
      </w:pPr>
      <w:r>
        <w:rPr>
          <w:rFonts w:ascii="Arial" w:cs="Arial" w:eastAsia="Arial" w:hAnsi="Arial"/>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46 days and 54 days at June 30, 2022 and December 31, 2021, respectively. The DSOs for our largest payor, the Illinois Department on Aging, was 43 days at both June 30, 2022 and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2022, we did not have any off-balance sheet guarantees or arrangements with unconsolidated entities.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2021, filed on February 25,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June 30, 2022, we had outstanding borrowings of approximately $199.9 million on our credit facility, all of such borrowings were subject to variable interest rates. If the variable rates on this debt were 100 basis points higher than the rate applicable to the borrowing during the three and six month periods ended June 30, 2022, our net income would have decreased by $0.4 million, or $0.03 per diluted share, and $1.2 million, or $0.08 per diluted share, respectively. We do not currently have any derivative or hedging arrangements, or other known exposures, to changes in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76"/>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2022.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440" w:firstLine="476"/>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180" w:firstLine="47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June 30, 2022 that have materially affected, or are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702"/>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right="40" w:firstLine="476"/>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2021, filed on February 25, 2022.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6"/>
              </w:rPr>
              <w:t>Incorporated by Reference</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3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w w:val="92"/>
              </w:rPr>
              <w:t>Description of Document</w:t>
            </w:r>
          </w:p>
        </w:tc>
        <w:tc>
          <w:tcPr>
            <w:tcW w:w="2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File No.</w:t>
            </w: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Date Filing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960" w:right="60" w:hanging="616"/>
        <w:spacing w:after="0" w:line="277" w:lineRule="auto"/>
        <w:tabs>
          <w:tab w:leader="none" w:pos="940" w:val="left"/>
        </w:tabs>
        <w:rPr>
          <w:rFonts w:ascii="Arial" w:cs="Arial" w:eastAsia="Arial" w:hAnsi="Arial"/>
          <w:sz w:val="18"/>
          <w:szCs w:val="18"/>
          <w:u w:val="single" w:color="auto"/>
          <w:color w:val="0000EE"/>
        </w:rPr>
      </w:pPr>
      <w:hyperlink r:id="rId62">
        <w:r>
          <w:rPr>
            <w:rFonts w:ascii="Arial" w:cs="Arial" w:eastAsia="Arial" w:hAnsi="Arial"/>
            <w:sz w:val="18"/>
            <w:szCs w:val="18"/>
            <w:color w:val="0000EE"/>
          </w:rPr>
          <w:t>3.1</w:t>
        </w:r>
      </w:hyperlink>
      <w:r>
        <w:rPr>
          <w:rFonts w:ascii="Arial" w:cs="Arial" w:eastAsia="Arial" w:hAnsi="Arial"/>
          <w:sz w:val="18"/>
          <w:szCs w:val="18"/>
          <w:color w:val="0000EE"/>
        </w:rPr>
        <w:tab/>
      </w:r>
      <w:hyperlink r:id="rId62">
        <w:r>
          <w:rPr>
            <w:rFonts w:ascii="Arial" w:cs="Arial" w:eastAsia="Arial" w:hAnsi="Arial"/>
            <w:sz w:val="18"/>
            <w:szCs w:val="18"/>
            <w:u w:val="single" w:color="auto"/>
            <w:color w:val="0000EE"/>
          </w:rPr>
          <w:t>Amended and Restated Certificate of Incorporation of the Company dated as of</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October 27, 2009.</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184785</wp:posOffset>
            </wp:positionH>
            <wp:positionV relativeFrom="paragraph">
              <wp:posOffset>-182245</wp:posOffset>
            </wp:positionV>
            <wp:extent cx="171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0" w:lineRule="exact"/>
        <w:rPr>
          <w:rFonts w:ascii="Arial" w:cs="Arial" w:eastAsia="Arial" w:hAnsi="Arial"/>
          <w:sz w:val="18"/>
          <w:szCs w:val="18"/>
          <w:color w:val="0000EE"/>
        </w:rPr>
      </w:pPr>
    </w:p>
    <w:p>
      <w:pPr>
        <w:ind w:left="960" w:right="540" w:hanging="638"/>
        <w:spacing w:after="0" w:line="277" w:lineRule="auto"/>
        <w:tabs>
          <w:tab w:leader="none" w:pos="940" w:val="left"/>
        </w:tabs>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64">
        <w:r>
          <w:rPr>
            <w:rFonts w:ascii="Arial" w:cs="Arial" w:eastAsia="Arial" w:hAnsi="Arial"/>
            <w:sz w:val="18"/>
            <w:szCs w:val="18"/>
            <w:u w:val="single" w:color="auto"/>
            <w:color w:val="0000EE"/>
          </w:rPr>
          <w:t>Amended and Restated Bylaws of the Company, as amended by the First</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Amendment to the Amended and Restated Bylaws.</w:t>
        </w:r>
      </w:hyperlink>
    </w:p>
    <w:p>
      <w:pPr>
        <w:spacing w:after="0" w:line="170" w:lineRule="exact"/>
        <w:rPr>
          <w:rFonts w:ascii="Arial" w:cs="Arial" w:eastAsia="Arial" w:hAnsi="Arial"/>
          <w:sz w:val="18"/>
          <w:szCs w:val="18"/>
          <w:u w:val="single" w:color="auto"/>
          <w:color w:val="0000EE"/>
        </w:rPr>
      </w:pPr>
    </w:p>
    <w:p>
      <w:pPr>
        <w:ind w:left="320"/>
        <w:spacing w:after="0"/>
        <w:tabs>
          <w:tab w:leader="none" w:pos="940" w:val="left"/>
        </w:tabs>
        <w:rPr>
          <w:rFonts w:ascii="Arial" w:cs="Arial" w:eastAsia="Arial" w:hAnsi="Arial"/>
          <w:sz w:val="16"/>
          <w:szCs w:val="16"/>
          <w:u w:val="single" w:color="auto"/>
          <w:color w:val="0000EE"/>
        </w:rPr>
      </w:pPr>
      <w:hyperlink r:id="rId65">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65">
        <w:r>
          <w:rPr>
            <w:rFonts w:ascii="Arial" w:cs="Arial" w:eastAsia="Arial" w:hAnsi="Arial"/>
            <w:sz w:val="16"/>
            <w:szCs w:val="16"/>
            <w:u w:val="single" w:color="auto"/>
            <w:color w:val="0000EE"/>
          </w:rPr>
          <w:t>Form of Common Stock Certificate.</w:t>
        </w:r>
      </w:hyperlink>
    </w:p>
    <w:p>
      <w:pPr>
        <w:spacing w:after="0" w:line="225" w:lineRule="exact"/>
        <w:rPr>
          <w:sz w:val="20"/>
          <w:szCs w:val="20"/>
          <w:color w:val="auto"/>
        </w:rPr>
      </w:pPr>
    </w:p>
    <w:p>
      <w:pPr>
        <w:ind w:left="960" w:hanging="728"/>
        <w:spacing w:after="0" w:line="277" w:lineRule="auto"/>
        <w:tabs>
          <w:tab w:leader="none" w:pos="940" w:val="left"/>
        </w:tabs>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8">
        <w:r>
          <w:rPr>
            <w:rFonts w:ascii="Arial" w:cs="Arial" w:eastAsia="Arial" w:hAnsi="Arial"/>
            <w:sz w:val="18"/>
            <w:szCs w:val="18"/>
            <w:u w:val="single" w:color="auto"/>
            <w:color w:val="0000EE"/>
          </w:rPr>
          <w:t>Employment and Non-Competition Agreement, effective April 20, 2022, by and</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between Addus HealthCare, Inc. and Cliff Blessing.</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90"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8"/>
              </w:rPr>
              <w:t>11/20/2009</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48"/>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05/9/2013</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40"/>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10/2/2009</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832" w:lineRule="exact"/>
        <w:rPr>
          <w:rFonts w:ascii="Arial" w:cs="Arial" w:eastAsia="Arial" w:hAnsi="Arial"/>
          <w:sz w:val="18"/>
          <w:szCs w:val="18"/>
          <w:u w:val="single" w:color="auto"/>
          <w:color w:val="0000EE"/>
        </w:rPr>
      </w:pPr>
    </w:p>
    <w:p>
      <w:pPr>
        <w:sectPr>
          <w:pgSz w:w="11900" w:h="16838" w:orient="portrait"/>
          <w:cols w:equalWidth="0" w:num="2">
            <w:col w:w="6740" w:space="400"/>
            <w:col w:w="4100"/>
          </w:cols>
          <w:pgMar w:left="320" w:top="108" w:right="33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5720" w:type="dxa"/>
            <w:vAlign w:val="bottom"/>
            <w:gridSpan w:val="6"/>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Certification of Chief Executive Officer Pursuant to Rule 13a-14(a) of the</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Securities Exchange Act of 1934 as Adopted Pursuant to Section 302 of the</w:t>
              </w:r>
            </w:hyperlink>
          </w:p>
        </w:tc>
        <w:tc>
          <w:tcPr>
            <w:tcW w:w="280" w:type="dxa"/>
            <w:vAlign w:val="bottom"/>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Sarbanes-Oxley Act of 2002.</w:t>
              </w:r>
            </w:hyperlink>
          </w:p>
        </w:tc>
        <w:tc>
          <w:tcPr>
            <w:tcW w:w="3620" w:type="dxa"/>
            <w:vAlign w:val="bottom"/>
            <w:gridSpan w:val="5"/>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5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Chief Financial Officer Pursuant to Rule 13a-14(a) of the</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Securities Exchange Act of 1934 as Adopted Pursuant to Section 302 of the</w:t>
              </w:r>
            </w:hyperlink>
          </w:p>
        </w:tc>
        <w:tc>
          <w:tcPr>
            <w:tcW w:w="280" w:type="dxa"/>
            <w:vAlign w:val="bottom"/>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Sarbanes-Oxley Act of 2002.</w:t>
              </w:r>
            </w:hyperlink>
          </w:p>
        </w:tc>
        <w:tc>
          <w:tcPr>
            <w:tcW w:w="3620" w:type="dxa"/>
            <w:vAlign w:val="bottom"/>
            <w:gridSpan w:val="5"/>
          </w:tcPr>
          <w:p>
            <w:pPr>
              <w:spacing w:after="0"/>
              <w:rPr>
                <w:sz w:val="17"/>
                <w:szCs w:val="17"/>
                <w:color w:val="auto"/>
              </w:rPr>
            </w:pPr>
          </w:p>
        </w:tc>
      </w:tr>
      <w:tr>
        <w:trPr>
          <w:trHeight w:val="412"/>
        </w:trPr>
        <w:tc>
          <w:tcPr>
            <w:tcW w:w="880" w:type="dxa"/>
            <w:vAlign w:val="bottom"/>
            <w:gridSpan w:val="3"/>
          </w:tcPr>
          <w:p>
            <w:pPr>
              <w:jc w:val="center"/>
              <w:ind w:right="200"/>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5720" w:type="dxa"/>
            <w:vAlign w:val="bottom"/>
            <w:gridSpan w:val="6"/>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Executive Officer Pursuant to 18 U.S.C. Section 1350, as</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Adopted Pursuant to Section 906 of the Sarbanes-Oxley Act of 2002.</w:t>
              </w:r>
            </w:hyperlink>
          </w:p>
        </w:tc>
        <w:tc>
          <w:tcPr>
            <w:tcW w:w="740" w:type="dxa"/>
            <w:vAlign w:val="bottom"/>
            <w:tcBorders>
              <w:top w:val="single" w:sz="8" w:color="0000EE"/>
            </w:tcBorders>
            <w:gridSpan w:val="4"/>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5720" w:type="dxa"/>
            <w:vAlign w:val="bottom"/>
            <w:gridSpan w:val="6"/>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Chief Financial Officer Pursuant to 18 U.S.C. Section 1350, as</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Adopted Pursuant to Section 906 of the Sarbanes-Oxley Act of 2002.</w:t>
              </w:r>
            </w:hyperlink>
          </w:p>
        </w:tc>
        <w:tc>
          <w:tcPr>
            <w:tcW w:w="6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101.INS</w:t>
            </w:r>
          </w:p>
        </w:tc>
        <w:tc>
          <w:tcPr>
            <w:tcW w:w="572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XBRL document).</w:t>
            </w:r>
          </w:p>
        </w:tc>
      </w:tr>
      <w:tr>
        <w:trPr>
          <w:trHeight w:val="432"/>
        </w:trPr>
        <w:tc>
          <w:tcPr>
            <w:tcW w:w="8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101.SCH</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7"/>
              </w:rPr>
              <w:t>101.CAL</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101.LAB</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101.PRE</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432"/>
        </w:trPr>
        <w:tc>
          <w:tcPr>
            <w:tcW w:w="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101.DEF</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2" w:lineRule="exact"/>
        <w:rPr>
          <w:sz w:val="20"/>
          <w:szCs w:val="20"/>
          <w:color w:val="auto"/>
        </w:rPr>
      </w:pPr>
    </w:p>
    <w:p>
      <w:pPr>
        <w:ind w:left="960" w:right="4580" w:hanging="669"/>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August 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August 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760"/>
          </w:cols>
          <w:pgMar w:left="320" w:top="121" w:right="8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AND NON-COMPETITION AGREEMENT</w:t>
      </w:r>
    </w:p>
    <w:p>
      <w:pPr>
        <w:spacing w:after="0" w:line="229"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This EMPLOYMENT AND NON-COMPETITION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effective as of April 20,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Addus HealthCare, Inc., an Illinois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Cliff Blessing an individual domiciled in the State of Texas (the “</w:t>
      </w:r>
      <w:r>
        <w:rPr>
          <w:rFonts w:ascii="Arial" w:cs="Arial" w:eastAsia="Arial" w:hAnsi="Arial"/>
          <w:sz w:val="17"/>
          <w:szCs w:val="17"/>
          <w:u w:val="single" w:color="auto"/>
          <w:color w:val="auto"/>
        </w:rPr>
        <w:t>Executive</w:t>
      </w:r>
      <w:r>
        <w:rPr>
          <w:rFonts w:ascii="Arial" w:cs="Arial" w:eastAsia="Arial" w:hAnsi="Arial"/>
          <w:sz w:val="17"/>
          <w:szCs w:val="17"/>
          <w:color w:val="auto"/>
        </w:rPr>
        <w:t>”). The Company and Executive are hereinafter sometimes referred to individually as a “Party”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8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 hospice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desire to enter this Agreement to secure the Executive’s employment, all on the terms and conditions set forth herein;</w:t>
      </w:r>
    </w:p>
    <w:p>
      <w:pPr>
        <w:spacing w:after="0" w:line="26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virtue of the Executive’s employment by the Company pursuant to the terms hereof, the Executive will obtain and become familiar with</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valuable confidential and proprietary information relating to the Addus HealthCare Group;</w:t>
      </w:r>
    </w:p>
    <w:p>
      <w:pPr>
        <w:spacing w:after="0" w:line="18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intending to be legally bound,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229" w:lineRule="exact"/>
        <w:rPr>
          <w:rFonts w:ascii="Arial" w:cs="Arial" w:eastAsia="Arial" w:hAnsi="Arial"/>
          <w:sz w:val="18"/>
          <w:szCs w:val="18"/>
          <w:b w:val="1"/>
          <w:bCs w:val="1"/>
          <w:color w:val="auto"/>
        </w:rPr>
      </w:pPr>
    </w:p>
    <w:p>
      <w:pPr>
        <w:ind w:left="880" w:hanging="440"/>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225" w:lineRule="exact"/>
        <w:rPr>
          <w:rFonts w:ascii="Arial" w:cs="Arial" w:eastAsia="Arial" w:hAnsi="Arial"/>
          <w:sz w:val="18"/>
          <w:szCs w:val="18"/>
          <w:color w:val="auto"/>
        </w:rPr>
      </w:pPr>
    </w:p>
    <w:p>
      <w:pPr>
        <w:ind w:left="880" w:right="40" w:hanging="440"/>
        <w:spacing w:after="0" w:line="286" w:lineRule="auto"/>
        <w:tabs>
          <w:tab w:leader="none" w:pos="8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hereby employs the Executive, and the Executive hereby accepts employment by the Company, for the period commencing as of the Effective Date and ending on the first (1</w:t>
      </w:r>
      <w:r>
        <w:rPr>
          <w:rFonts w:ascii="Arial" w:cs="Arial" w:eastAsia="Arial" w:hAnsi="Arial"/>
          <w:sz w:val="13"/>
          <w:szCs w:val="13"/>
          <w:color w:val="auto"/>
        </w:rPr>
        <w:t>st</w:t>
      </w:r>
      <w:r>
        <w:rPr>
          <w:rFonts w:ascii="Arial" w:cs="Arial" w:eastAsia="Arial" w:hAnsi="Arial"/>
          <w:sz w:val="16"/>
          <w:szCs w:val="16"/>
          <w:color w:val="auto"/>
        </w:rPr>
        <w:t>) anniversary of the Effective Date, or on such earlier date as provided pursuant to the terms and conditions of this Agreement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6"/>
          <w:szCs w:val="16"/>
          <w:u w:val="single" w:color="auto"/>
          <w:color w:val="auto"/>
        </w:rPr>
        <w:t>Additional Employment Term</w:t>
      </w:r>
      <w:r>
        <w:rPr>
          <w:rFonts w:ascii="Arial" w:cs="Arial" w:eastAsia="Arial" w:hAnsi="Arial"/>
          <w:sz w:val="16"/>
          <w:szCs w:val="16"/>
          <w:color w:val="auto"/>
        </w:rPr>
        <w:t>” and together with the Initial Employment Term,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unless either Party provides notice to the other of its or his/her intention not to renew this Agreement at least thirty (30) days prior to the expiration of the Initial Employment Term or any Additional Employment Term (a “</w:t>
      </w:r>
      <w:r>
        <w:rPr>
          <w:rFonts w:ascii="Arial" w:cs="Arial" w:eastAsia="Arial" w:hAnsi="Arial"/>
          <w:sz w:val="16"/>
          <w:szCs w:val="16"/>
          <w:u w:val="single" w:color="auto"/>
          <w:color w:val="auto"/>
        </w:rPr>
        <w:t>Non-Renewal</w:t>
      </w:r>
      <w:r>
        <w:rPr>
          <w:rFonts w:ascii="Arial" w:cs="Arial" w:eastAsia="Arial" w:hAnsi="Arial"/>
          <w:sz w:val="16"/>
          <w:szCs w:val="16"/>
          <w:color w:val="auto"/>
        </w:rPr>
        <w:t>”). During the Employment Term, the Executive shall (i) devote substantially all of his/her professional time, loyalty, and efforts to discharge his/her duties hereunder on a timely basis; (ii) use his/her best efforts to loyally and diligently serve the business and affairs of the Addus HealthCare Group; and (iii) endeavor in all respects to promote, advance and further the Addus HealthCare Group’s interests in all matters. To the extent it does not interfere with Executive’s duties hereunder in any material respect, the Parties agree that this provision should not be construed as limiting Executive’s right to serve on up to one (1) board of, or otherwise engage in activities on behalf of, charitable and civic organizations and, upon prior written approval of the Company, one (1) board of a for profit entity that does not compete with the business of the Company.</w:t>
      </w:r>
    </w:p>
    <w:p>
      <w:pPr>
        <w:spacing w:after="0" w:line="169"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p>
    <w:p>
      <w:pPr>
        <w:spacing w:after="0" w:line="22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18"/>
          <w:szCs w:val="18"/>
          <w:color w:val="auto"/>
        </w:rPr>
        <w:t>During the Employment Term, the Company will employ the Executive as its Executive Vice President - Chief Development Officer, a senior executive position that reports directly to 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 The Executive’s principal duties and responsibilities shall be to oversee and direct applicable operations of the Addus HealthCare Group including the management and delivery of home care and adult day care services and the performance of such other executive duties and responsibilities as may be assigned to him/her by the CEO or the Board of Directors and are consistent with the Executive’s position as Chief Development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221" w:lineRule="exact"/>
        <w:rPr>
          <w:sz w:val="20"/>
          <w:szCs w:val="20"/>
          <w:color w:val="auto"/>
        </w:rPr>
      </w:pPr>
    </w:p>
    <w:p>
      <w:pPr>
        <w:jc w:val="both"/>
        <w:ind w:left="880" w:hanging="440"/>
        <w:spacing w:after="0" w:line="298" w:lineRule="auto"/>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pay the Executive a base salary at the annual rate of Three Hundred Thousand Dollars ($300,000),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of Addus HomeCare Corporation (“</w:t>
      </w:r>
      <w:r>
        <w:rPr>
          <w:rFonts w:ascii="Arial" w:cs="Arial" w:eastAsia="Arial" w:hAnsi="Arial"/>
          <w:sz w:val="16"/>
          <w:szCs w:val="16"/>
          <w:u w:val="single" w:color="auto"/>
          <w:color w:val="auto"/>
        </w:rPr>
        <w:t>Addus HomeCare</w:t>
      </w:r>
      <w:r>
        <w:rPr>
          <w:rFonts w:ascii="Arial" w:cs="Arial" w:eastAsia="Arial" w:hAnsi="Arial"/>
          <w:sz w:val="16"/>
          <w:szCs w:val="16"/>
          <w:color w:val="auto"/>
        </w:rPr>
        <w:t>”)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on or about each anniversary of the Effective Date for each year during the Employment Term (as adjusted from time-to-time, the “</w:t>
      </w:r>
      <w:r>
        <w:rPr>
          <w:rFonts w:ascii="Arial" w:cs="Arial" w:eastAsia="Arial" w:hAnsi="Arial"/>
          <w:sz w:val="16"/>
          <w:szCs w:val="16"/>
          <w:u w:val="single" w:color="auto"/>
          <w:color w:val="auto"/>
        </w:rPr>
        <w:t>Base Salary</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color w:val="auto"/>
        </w:rPr>
        <w:t>. The Executive, at the discretion of the Compensation Committee, shall be eligible (but not entitled) to receive an annual bonus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on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159" w:lineRule="exact"/>
        <w:rPr>
          <w:rFonts w:ascii="Arial" w:cs="Arial" w:eastAsia="Arial" w:hAnsi="Arial"/>
          <w:sz w:val="16"/>
          <w:szCs w:val="16"/>
          <w:color w:val="auto"/>
        </w:rPr>
      </w:pPr>
    </w:p>
    <w:p>
      <w:pPr>
        <w:jc w:val="both"/>
        <w:ind w:left="880" w:hanging="440"/>
        <w:spacing w:after="0" w:line="261" w:lineRule="auto"/>
        <w:tabs>
          <w:tab w:leader="none" w:pos="880"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be eligible to receive equity awards and, as of the Effective Date, Executive would be issued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19,000 unrestricted shares of Addus common stock and granted 2,900 restricted shares of Addus common stock (the “Initial Grants”). The Initial Grants vest annually over a four-year period, subject to the terms and conditions set forth in the Company’s stock incentive plan and the respective stock agreements.</w:t>
      </w:r>
    </w:p>
    <w:p>
      <w:pPr>
        <w:spacing w:after="0" w:line="17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It is recognized that the Executive, in the performance of his/her duties hereunder, may be required to expend sums for travel (e.g., airfare, automobile rental, etc.), entertainment, and lodging. During the Employment Term, the Company shall reimburse the Executive for reasonable business expenses incurred by him/her during the Employment Term in connection with the performance of his/her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21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184" w:lineRule="exact"/>
        <w:rPr>
          <w:sz w:val="20"/>
          <w:szCs w:val="20"/>
          <w:color w:val="auto"/>
        </w:rPr>
      </w:pPr>
    </w:p>
    <w:p>
      <w:pPr>
        <w:jc w:val="both"/>
        <w:ind w:left="880" w:hanging="440"/>
        <w:spacing w:after="0" w:line="286"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chosen to forgo a traditional sick or vacation accrual policy for its executives. Instead, executives may request Paid Time Off (PTO). Executives do not “accrue” PTO days as in traditional plans, and therefore will not be compensated for any unused PTO time upon separation of employment. The Company has discretion to approve or deny PTO requests under this program.</w:t>
      </w:r>
    </w:p>
    <w:p>
      <w:pPr>
        <w:spacing w:after="0" w:line="165" w:lineRule="exact"/>
        <w:rPr>
          <w:rFonts w:ascii="Arial" w:cs="Arial" w:eastAsia="Arial" w:hAnsi="Arial"/>
          <w:sz w:val="17"/>
          <w:szCs w:val="17"/>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Coverage under the health benefit plan provided by the Company to its executives, which may change, at the sole discretion of the Board of Directors, from time to time. The Company will cover the Executive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9" w:name="page40"/>
    <w:bookmarkEnd w:id="39"/>
    <w:p>
      <w:pPr>
        <w:ind w:left="880"/>
        <w:spacing w:after="0" w:line="277" w:lineRule="auto"/>
        <w:rPr>
          <w:sz w:val="20"/>
          <w:szCs w:val="20"/>
          <w:color w:val="auto"/>
        </w:rPr>
      </w:pPr>
      <w:r>
        <w:rPr>
          <w:rFonts w:ascii="Arial" w:cs="Arial" w:eastAsia="Arial" w:hAnsi="Arial"/>
          <w:sz w:val="18"/>
          <w:szCs w:val="18"/>
          <w:color w:val="auto"/>
        </w:rPr>
        <w:t>his/her dependents, if any, during the Employment Term to the same extent and according to the same terms as the Company’s other executives are covered.</w:t>
      </w:r>
    </w:p>
    <w:p>
      <w:pPr>
        <w:spacing w:after="0" w:line="170" w:lineRule="exact"/>
        <w:rPr>
          <w:sz w:val="20"/>
          <w:szCs w:val="20"/>
          <w:color w:val="auto"/>
        </w:rPr>
      </w:pPr>
    </w:p>
    <w:p>
      <w:pPr>
        <w:ind w:left="880" w:hanging="440"/>
        <w:spacing w:after="0" w:line="27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Life insurance policy with a face amount of up to five (5) times the Base Salary, provided that the Company shall not be required to spend greater than three percent (3%) of the Base Salary in purchasing such insurance policy.</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Short-term and long-term disability insurance to the same extent and according to the same terms as the Company’s other similarly-situated executives are covered, which may change, at the sole discretion of the Board of Directors, from time to time.</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Chief Executive Officer.</w:t>
      </w:r>
    </w:p>
    <w:p>
      <w:pPr>
        <w:spacing w:after="0" w:line="170"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Effective Date or such other date as required under the plan. The Company may provide an annual discretionary match of the Executive’s annual contribution to such plan during the Employment Term, subject to the Company’s established policies and procedures.</w:t>
      </w:r>
    </w:p>
    <w:p>
      <w:pPr>
        <w:spacing w:after="0" w:line="17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Company.</w:t>
      </w:r>
    </w:p>
    <w:p>
      <w:pPr>
        <w:spacing w:after="0" w:line="229" w:lineRule="exact"/>
        <w:rPr>
          <w:rFonts w:ascii="Arial" w:cs="Arial" w:eastAsia="Arial" w:hAnsi="Arial"/>
          <w:sz w:val="18"/>
          <w:szCs w:val="18"/>
          <w:b w:val="1"/>
          <w:bCs w:val="1"/>
          <w:color w:val="auto"/>
        </w:rPr>
      </w:pPr>
    </w:p>
    <w:p>
      <w:pPr>
        <w:ind w:left="88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170" w:lineRule="exact"/>
        <w:rPr>
          <w:rFonts w:ascii="Arial" w:cs="Arial" w:eastAsia="Arial" w:hAnsi="Arial"/>
          <w:sz w:val="18"/>
          <w:szCs w:val="18"/>
          <w:color w:val="auto"/>
        </w:rPr>
      </w:pPr>
    </w:p>
    <w:p>
      <w:pPr>
        <w:jc w:val="both"/>
        <w:ind w:left="880" w:hanging="8"/>
        <w:spacing w:after="0" w:line="255" w:lineRule="auto"/>
        <w:tabs>
          <w:tab w:leader="none" w:pos="1109"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his/her duties or obligations under this Agreement (except due to Disability, as defined below) that the Executive shall fail to cure after receipt of written notice of such breach or omission from the Company’s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192" w:lineRule="exact"/>
        <w:rPr>
          <w:rFonts w:ascii="Arial" w:cs="Arial" w:eastAsia="Arial" w:hAnsi="Arial"/>
          <w:sz w:val="18"/>
          <w:szCs w:val="18"/>
          <w:color w:val="auto"/>
        </w:rPr>
      </w:pPr>
    </w:p>
    <w:p>
      <w:pPr>
        <w:ind w:left="880" w:hanging="8"/>
        <w:spacing w:after="0" w:line="277" w:lineRule="auto"/>
        <w:tabs>
          <w:tab w:leader="none" w:pos="1151" w:val="left"/>
        </w:tabs>
        <w:numPr>
          <w:ilvl w:val="2"/>
          <w:numId w:val="22"/>
        </w:numPr>
        <w:rPr>
          <w:rFonts w:ascii="Arial" w:cs="Arial" w:eastAsia="Arial" w:hAnsi="Arial"/>
          <w:sz w:val="18"/>
          <w:szCs w:val="18"/>
          <w:color w:val="auto"/>
        </w:rPr>
      </w:pPr>
      <w:r>
        <w:rPr>
          <w:rFonts w:ascii="Arial" w:cs="Arial" w:eastAsia="Arial" w:hAnsi="Arial"/>
          <w:sz w:val="18"/>
          <w:szCs w:val="18"/>
          <w:color w:val="auto"/>
        </w:rPr>
        <w:t>Willfully engaging in any action that materially damages, or that may reasonably be expected to materially damage, the Addus HealthCare Group or the business or goodwill thereof;</w:t>
      </w:r>
    </w:p>
    <w:p>
      <w:pPr>
        <w:spacing w:after="0" w:line="170" w:lineRule="exact"/>
        <w:rPr>
          <w:rFonts w:ascii="Arial" w:cs="Arial" w:eastAsia="Arial" w:hAnsi="Arial"/>
          <w:sz w:val="18"/>
          <w:szCs w:val="18"/>
          <w:color w:val="auto"/>
        </w:rPr>
      </w:pPr>
    </w:p>
    <w:p>
      <w:pPr>
        <w:ind w:left="1180" w:hanging="308"/>
        <w:spacing w:after="0"/>
        <w:tabs>
          <w:tab w:leader="none" w:pos="11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Breaching the Executive’s fiduciary duty to the Addus HealthCare Group;</w:t>
      </w:r>
    </w:p>
    <w:p>
      <w:pPr>
        <w:spacing w:after="0" w:line="225" w:lineRule="exact"/>
        <w:rPr>
          <w:rFonts w:ascii="Arial" w:cs="Arial" w:eastAsia="Arial" w:hAnsi="Arial"/>
          <w:sz w:val="18"/>
          <w:szCs w:val="18"/>
          <w:color w:val="auto"/>
        </w:rPr>
      </w:pPr>
    </w:p>
    <w:p>
      <w:pPr>
        <w:jc w:val="both"/>
        <w:ind w:left="880" w:hanging="8"/>
        <w:spacing w:after="0" w:line="263" w:lineRule="auto"/>
        <w:tabs>
          <w:tab w:leader="none" w:pos="1188" w:val="left"/>
        </w:tabs>
        <w:numPr>
          <w:ilvl w:val="2"/>
          <w:numId w:val="22"/>
        </w:numPr>
        <w:rPr>
          <w:rFonts w:ascii="Arial" w:cs="Arial" w:eastAsia="Arial" w:hAnsi="Arial"/>
          <w:sz w:val="18"/>
          <w:szCs w:val="18"/>
          <w:color w:val="auto"/>
        </w:rPr>
      </w:pPr>
      <w:r>
        <w:rPr>
          <w:rFonts w:ascii="Arial" w:cs="Arial" w:eastAsia="Arial" w:hAnsi="Arial"/>
          <w:sz w:val="18"/>
          <w:szCs w:val="18"/>
          <w:color w:val="auto"/>
        </w:rPr>
        <w:t>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spacing w:after="0" w:line="183" w:lineRule="exact"/>
        <w:rPr>
          <w:rFonts w:ascii="Arial" w:cs="Arial" w:eastAsia="Arial" w:hAnsi="Arial"/>
          <w:sz w:val="18"/>
          <w:szCs w:val="18"/>
          <w:color w:val="auto"/>
        </w:rPr>
      </w:pPr>
    </w:p>
    <w:p>
      <w:pPr>
        <w:ind w:left="1120" w:hanging="248"/>
        <w:spacing w:after="0"/>
        <w:tabs>
          <w:tab w:leader="none" w:pos="11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225" w:lineRule="exact"/>
        <w:rPr>
          <w:rFonts w:ascii="Arial" w:cs="Arial" w:eastAsia="Arial" w:hAnsi="Arial"/>
          <w:sz w:val="18"/>
          <w:szCs w:val="18"/>
          <w:color w:val="auto"/>
        </w:rPr>
      </w:pPr>
    </w:p>
    <w:p>
      <w:pPr>
        <w:ind w:left="880" w:hanging="8"/>
        <w:spacing w:after="0" w:line="277" w:lineRule="auto"/>
        <w:tabs>
          <w:tab w:leader="none" w:pos="1189" w:val="left"/>
        </w:tabs>
        <w:numPr>
          <w:ilvl w:val="2"/>
          <w:numId w:val="22"/>
        </w:numPr>
        <w:rPr>
          <w:rFonts w:ascii="Arial" w:cs="Arial" w:eastAsia="Arial" w:hAnsi="Arial"/>
          <w:sz w:val="18"/>
          <w:szCs w:val="18"/>
          <w:color w:val="auto"/>
        </w:rPr>
      </w:pPr>
      <w:r>
        <w:rPr>
          <w:rFonts w:ascii="Arial" w:cs="Arial" w:eastAsia="Arial" w:hAnsi="Arial"/>
          <w:sz w:val="18"/>
          <w:szCs w:val="18"/>
          <w:color w:val="auto"/>
        </w:rPr>
        <w:t>Committing acts constituting gross insubordination, such as, without limitation, the intentional disregard of any reasonable directive of the CEO or the Board of Directors; or</w:t>
      </w:r>
    </w:p>
    <w:p>
      <w:pPr>
        <w:spacing w:after="0" w:line="170" w:lineRule="exact"/>
        <w:rPr>
          <w:rFonts w:ascii="Arial" w:cs="Arial" w:eastAsia="Arial" w:hAnsi="Arial"/>
          <w:sz w:val="18"/>
          <w:szCs w:val="18"/>
          <w:color w:val="auto"/>
        </w:rPr>
      </w:pPr>
    </w:p>
    <w:p>
      <w:pPr>
        <w:jc w:val="both"/>
        <w:ind w:left="880" w:hanging="8"/>
        <w:spacing w:after="0" w:line="296" w:lineRule="auto"/>
        <w:tabs>
          <w:tab w:leader="none" w:pos="1242" w:val="left"/>
        </w:tabs>
        <w:numPr>
          <w:ilvl w:val="2"/>
          <w:numId w:val="22"/>
        </w:numPr>
        <w:rPr>
          <w:rFonts w:ascii="Arial" w:cs="Arial" w:eastAsia="Arial" w:hAnsi="Arial"/>
          <w:sz w:val="16"/>
          <w:szCs w:val="16"/>
          <w:color w:val="auto"/>
        </w:rPr>
      </w:pPr>
      <w:r>
        <w:rPr>
          <w:rFonts w:ascii="Arial" w:cs="Arial" w:eastAsia="Arial" w:hAnsi="Arial"/>
          <w:sz w:val="16"/>
          <w:szCs w:val="16"/>
          <w:color w:val="auto"/>
        </w:rPr>
        <w:t>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days within which the performance deficiency must be cured to the reasonable satisfaction of the CEO or the Board of Directors, as applicable, in order to prevent a termination for reasonable cause; provided, however, that the Executive shall only be permitted the opportunity to cure such performance deficiencies a total of two times in any twelve (12)-month rolling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both"/>
        <w:ind w:left="880" w:hanging="440"/>
        <w:spacing w:after="0" w:line="25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his/her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his/her duties in a manner satisfactory to the Company for a period of ninety (90) days out of any one hundred eighty (180) consecutive-day period (in which event the Executive shall be deemed to have suffered a permanent Disability).</w:t>
      </w:r>
    </w:p>
    <w:p>
      <w:pPr>
        <w:spacing w:after="0" w:line="187" w:lineRule="exact"/>
        <w:rPr>
          <w:rFonts w:ascii="Arial" w:cs="Arial" w:eastAsia="Arial" w:hAnsi="Arial"/>
          <w:sz w:val="18"/>
          <w:szCs w:val="18"/>
          <w:color w:val="auto"/>
        </w:rPr>
      </w:pPr>
    </w:p>
    <w:p>
      <w:pPr>
        <w:ind w:left="880" w:hanging="440"/>
        <w:spacing w:after="0"/>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p>
    <w:p>
      <w:pPr>
        <w:spacing w:after="0" w:line="229"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 xml:space="preserve">The Executive may terminate his/her employment with the Company (a) for Good Reason (as defined below) or (b) without Good Reason, in each case, upon not less than thirty (30) days prior written notice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7"/>
          <w:szCs w:val="17"/>
          <w:u w:val="single" w:color="auto"/>
          <w:color w:val="auto"/>
        </w:rPr>
        <w:t>Good Reason</w:t>
      </w:r>
      <w:r>
        <w:rPr>
          <w:rFonts w:ascii="Arial" w:cs="Arial" w:eastAsia="Arial" w:hAnsi="Arial"/>
          <w:sz w:val="17"/>
          <w:szCs w:val="17"/>
          <w:color w:val="auto"/>
        </w:rPr>
        <w:t>” means (i) any reduction in the Executive’s Base Salary, (ii) any material reduction to the Executive’s employment duties and responsibilities, (iii) any material breach by the Company of any material term of this Agreement, other than a breach which is remedied by the Company within 10 days after receipt of written notice given by the Executive, (iv) a change in the Executive’s direct reporting duty to a person other than the CEO of the Company or the Board of Directors; or (v) the relocation of the Executive’s principal office to a location more than fifty (50) miles from Frisco, Texas.</w:t>
      </w:r>
    </w:p>
    <w:p>
      <w:pPr>
        <w:spacing w:after="0" w:line="20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229" w:lineRule="exact"/>
        <w:rPr>
          <w:rFonts w:ascii="Arial" w:cs="Arial" w:eastAsia="Arial" w:hAnsi="Arial"/>
          <w:sz w:val="18"/>
          <w:szCs w:val="18"/>
          <w:b w:val="1"/>
          <w:bCs w:val="1"/>
          <w:color w:val="auto"/>
        </w:rPr>
      </w:pPr>
    </w:p>
    <w:p>
      <w:pPr>
        <w:jc w:val="both"/>
        <w:ind w:left="880" w:hanging="440"/>
        <w:spacing w:after="0" w:line="263"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his/her estate shall have no further rights against the Addus HealthCare Group hereunder, except for the right to receive, with respect to the period prior to the effective date of termination:</w:t>
      </w:r>
    </w:p>
    <w:p>
      <w:pPr>
        <w:spacing w:after="0" w:line="183" w:lineRule="exact"/>
        <w:rPr>
          <w:rFonts w:ascii="Arial" w:cs="Arial" w:eastAsia="Arial" w:hAnsi="Arial"/>
          <w:sz w:val="18"/>
          <w:szCs w:val="18"/>
          <w:color w:val="auto"/>
        </w:rPr>
      </w:pPr>
    </w:p>
    <w:p>
      <w:pPr>
        <w:ind w:left="1080" w:hanging="208"/>
        <w:spacing w:after="0"/>
        <w:tabs>
          <w:tab w:leader="none" w:pos="10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225" w:lineRule="exact"/>
        <w:rPr>
          <w:rFonts w:ascii="Arial" w:cs="Arial" w:eastAsia="Arial" w:hAnsi="Arial"/>
          <w:sz w:val="18"/>
          <w:szCs w:val="18"/>
          <w:color w:val="auto"/>
        </w:rPr>
      </w:pPr>
    </w:p>
    <w:p>
      <w:pPr>
        <w:ind w:left="1140" w:hanging="268"/>
        <w:spacing w:after="0"/>
        <w:tabs>
          <w:tab w:leader="none" w:pos="11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225" w:lineRule="exact"/>
        <w:rPr>
          <w:rFonts w:ascii="Arial" w:cs="Arial" w:eastAsia="Arial" w:hAnsi="Arial"/>
          <w:sz w:val="18"/>
          <w:szCs w:val="18"/>
          <w:color w:val="auto"/>
        </w:rPr>
      </w:pPr>
    </w:p>
    <w:p>
      <w:pPr>
        <w:ind w:left="880" w:right="20" w:hanging="8"/>
        <w:spacing w:after="0" w:line="277" w:lineRule="auto"/>
        <w:tabs>
          <w:tab w:leader="none" w:pos="1228"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as applicable.</w:t>
      </w:r>
    </w:p>
    <w:p>
      <w:pPr>
        <w:spacing w:after="0" w:line="170" w:lineRule="exact"/>
        <w:rPr>
          <w:sz w:val="20"/>
          <w:szCs w:val="20"/>
          <w:color w:val="auto"/>
        </w:rPr>
      </w:pPr>
    </w:p>
    <w:p>
      <w:pPr>
        <w:ind w:left="174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170" w:lineRule="exact"/>
        <w:rPr>
          <w:sz w:val="20"/>
          <w:szCs w:val="20"/>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23" w:lineRule="exact"/>
        <w:rPr>
          <w:rFonts w:ascii="Arial" w:cs="Arial" w:eastAsia="Arial" w:hAnsi="Arial"/>
          <w:sz w:val="16"/>
          <w:szCs w:val="16"/>
          <w:color w:val="auto"/>
        </w:rPr>
      </w:pPr>
    </w:p>
    <w:p>
      <w:pPr>
        <w:ind w:left="1080" w:hanging="208"/>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225" w:lineRule="exact"/>
        <w:rPr>
          <w:rFonts w:ascii="Arial" w:cs="Arial" w:eastAsia="Arial" w:hAnsi="Arial"/>
          <w:sz w:val="18"/>
          <w:szCs w:val="18"/>
          <w:color w:val="auto"/>
        </w:rPr>
      </w:pPr>
    </w:p>
    <w:p>
      <w:pPr>
        <w:jc w:val="both"/>
        <w:ind w:left="880" w:hanging="8"/>
        <w:spacing w:after="0" w:line="263" w:lineRule="auto"/>
        <w:tabs>
          <w:tab w:leader="none" w:pos="11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his/her employment not been terminated, which shall be payable following the time the Company determines the amount of bonuses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ind w:left="440"/>
        <w:spacing w:after="0" w:line="277" w:lineRule="auto"/>
        <w:rPr>
          <w:sz w:val="20"/>
          <w:szCs w:val="20"/>
          <w:color w:val="auto"/>
        </w:rPr>
      </w:pPr>
      <w:r>
        <w:rPr>
          <w:rFonts w:ascii="Arial" w:cs="Arial" w:eastAsia="Arial" w:hAnsi="Arial"/>
          <w:sz w:val="18"/>
          <w:szCs w:val="18"/>
          <w:color w:val="auto"/>
        </w:rPr>
        <w:t>payable to its executives following the end of the year in which termination occurs, which determination will be based on the actual performance of the Company;</w:t>
      </w:r>
    </w:p>
    <w:p>
      <w:pPr>
        <w:spacing w:after="0" w:line="170" w:lineRule="exact"/>
        <w:rPr>
          <w:sz w:val="20"/>
          <w:szCs w:val="20"/>
          <w:color w:val="auto"/>
        </w:rPr>
      </w:pPr>
    </w:p>
    <w:p>
      <w:pPr>
        <w:ind w:left="440" w:hanging="8"/>
        <w:spacing w:after="0" w:line="277" w:lineRule="auto"/>
        <w:tabs>
          <w:tab w:leader="none" w:pos="7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170" w:lineRule="exact"/>
        <w:rPr>
          <w:rFonts w:ascii="Arial" w:cs="Arial" w:eastAsia="Arial" w:hAnsi="Arial"/>
          <w:sz w:val="18"/>
          <w:szCs w:val="18"/>
          <w:color w:val="auto"/>
        </w:rPr>
      </w:pPr>
    </w:p>
    <w:p>
      <w:pPr>
        <w:jc w:val="both"/>
        <w:ind w:left="440" w:hanging="8"/>
        <w:spacing w:after="0" w:line="253" w:lineRule="auto"/>
        <w:tabs>
          <w:tab w:leader="none" w:pos="7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Base Cash Compensation</w:t>
      </w:r>
      <w:r>
        <w:rPr>
          <w:rFonts w:ascii="Arial" w:cs="Arial" w:eastAsia="Arial" w:hAnsi="Arial"/>
          <w:sz w:val="17"/>
          <w:szCs w:val="17"/>
          <w:color w:val="auto"/>
        </w:rPr>
        <w:t>” shall mean the highest annual Base Salary in effect for the Executive.</w:t>
      </w:r>
    </w:p>
    <w:p>
      <w:pPr>
        <w:spacing w:after="0" w:line="237" w:lineRule="exact"/>
        <w:rPr>
          <w:sz w:val="20"/>
          <w:szCs w:val="20"/>
          <w:color w:val="auto"/>
        </w:rPr>
      </w:pPr>
    </w:p>
    <w:p>
      <w:pPr>
        <w:jc w:val="both"/>
        <w:ind w:left="440" w:hanging="440"/>
        <w:spacing w:after="0" w:line="266"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7"/>
          <w:szCs w:val="17"/>
          <w:u w:val="single" w:color="auto"/>
          <w:color w:val="auto"/>
        </w:rPr>
        <w:t>Change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 Severance Pay</w:t>
      </w:r>
      <w:r>
        <w:rPr>
          <w:rFonts w:ascii="Arial" w:cs="Arial" w:eastAsia="Arial" w:hAnsi="Arial"/>
          <w:sz w:val="17"/>
          <w:szCs w:val="17"/>
          <w:color w:val="auto"/>
        </w:rPr>
        <w:t>” and, together with Base Severance Pay, “</w:t>
      </w:r>
      <w:r>
        <w:rPr>
          <w:rFonts w:ascii="Arial" w:cs="Arial" w:eastAsia="Arial" w:hAnsi="Arial"/>
          <w:sz w:val="17"/>
          <w:szCs w:val="17"/>
          <w:u w:val="single" w:color="auto"/>
          <w:color w:val="auto"/>
        </w:rPr>
        <w:t>Severance Pay</w:t>
      </w:r>
      <w:r>
        <w:rPr>
          <w:rFonts w:ascii="Arial" w:cs="Arial" w:eastAsia="Arial" w:hAnsi="Arial"/>
          <w:sz w:val="17"/>
          <w:szCs w:val="17"/>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8" w:right="339" w:bottom="1440" w:gutter="0" w:footer="0" w:header="0"/>
        </w:sectPr>
      </w:pPr>
    </w:p>
    <w:bookmarkStart w:id="42" w:name="page43"/>
    <w:bookmarkEnd w:id="42"/>
    <w:p>
      <w:pPr>
        <w:jc w:val="both"/>
        <w:ind w:left="880"/>
        <w:spacing w:after="0" w:line="25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187" w:lineRule="exact"/>
        <w:rPr>
          <w:sz w:val="20"/>
          <w:szCs w:val="20"/>
          <w:color w:val="auto"/>
        </w:rPr>
      </w:pPr>
    </w:p>
    <w:p>
      <w:pPr>
        <w:jc w:val="both"/>
        <w:ind w:left="880" w:hanging="440"/>
        <w:spacing w:after="0" w:line="291" w:lineRule="auto"/>
        <w:tabs>
          <w:tab w:leader="none" w:pos="8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6"/>
          <w:szCs w:val="16"/>
          <w:u w:val="single" w:color="auto"/>
          <w:color w:val="auto"/>
        </w:rPr>
        <w:t>Code §409A</w:t>
      </w:r>
      <w:r>
        <w:rPr>
          <w:rFonts w:ascii="Arial" w:cs="Arial" w:eastAsia="Arial" w:hAnsi="Arial"/>
          <w:sz w:val="16"/>
          <w:szCs w:val="16"/>
          <w:color w:val="auto"/>
        </w:rPr>
        <w:t>”) and (ii) conditioned upon the release, shall be made before the first day of the second calendar year, regardless of when the release is actually executed and returned to the Company.</w:t>
      </w:r>
    </w:p>
    <w:p>
      <w:pPr>
        <w:spacing w:after="0" w:line="16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Executive.</w:t>
      </w:r>
    </w:p>
    <w:p>
      <w:pPr>
        <w:spacing w:after="0" w:line="225" w:lineRule="exact"/>
        <w:rPr>
          <w:rFonts w:ascii="Arial" w:cs="Arial" w:eastAsia="Arial" w:hAnsi="Arial"/>
          <w:sz w:val="18"/>
          <w:szCs w:val="18"/>
          <w:b w:val="1"/>
          <w:bCs w:val="1"/>
          <w:color w:val="auto"/>
        </w:rPr>
      </w:pPr>
    </w:p>
    <w:p>
      <w:pPr>
        <w:ind w:left="880" w:hanging="440"/>
        <w:spacing w:after="0" w:line="282"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color w:val="auto"/>
        </w:rPr>
        <w:t>. The Executive represents and warrants that he is not personally subject to any agreement, order, or decree that restricts his/her</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his/her duties with the Company hereunder.</w:t>
      </w:r>
    </w:p>
    <w:p>
      <w:pPr>
        <w:spacing w:after="0" w:line="161" w:lineRule="exact"/>
        <w:rPr>
          <w:rFonts w:ascii="Arial" w:cs="Arial" w:eastAsia="Arial" w:hAnsi="Arial"/>
          <w:sz w:val="18"/>
          <w:szCs w:val="18"/>
          <w:color w:val="auto"/>
        </w:rPr>
      </w:pPr>
    </w:p>
    <w:p>
      <w:pPr>
        <w:jc w:val="both"/>
        <w:ind w:left="880" w:hanging="440"/>
        <w:spacing w:after="0" w:line="281" w:lineRule="auto"/>
        <w:tabs>
          <w:tab w:leader="none" w:pos="880" w:val="left"/>
        </w:tabs>
        <w:numPr>
          <w:ilvl w:val="1"/>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color w:val="auto"/>
        </w:rPr>
        <w:t>. During the Employment Term and during the Restrictive Period (as defined below), the Executive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without the prior written consent of the Company, directly or indirectly, in any capacity whatsoever, either on his/her own behalf or on behalf of any other person or entity whom he may manage, control, participate in, consult with, render services for, or be employed by or associated with, compete with the Business (as defined below) in any of the following described manners:</w:t>
      </w:r>
    </w:p>
    <w:p>
      <w:pPr>
        <w:spacing w:after="0" w:line="168" w:lineRule="exact"/>
        <w:rPr>
          <w:rFonts w:ascii="Arial" w:cs="Arial" w:eastAsia="Arial" w:hAnsi="Arial"/>
          <w:sz w:val="17"/>
          <w:szCs w:val="17"/>
          <w:color w:val="auto"/>
        </w:rPr>
      </w:pPr>
    </w:p>
    <w:p>
      <w:pPr>
        <w:jc w:val="both"/>
        <w:ind w:left="880" w:hanging="8"/>
        <w:spacing w:after="0" w:line="263" w:lineRule="auto"/>
        <w:tabs>
          <w:tab w:leader="none" w:pos="1096" w:val="left"/>
        </w:tabs>
        <w:numPr>
          <w:ilvl w:val="2"/>
          <w:numId w:val="30"/>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183" w:lineRule="exact"/>
        <w:rPr>
          <w:rFonts w:ascii="Arial" w:cs="Arial" w:eastAsia="Arial" w:hAnsi="Arial"/>
          <w:sz w:val="18"/>
          <w:szCs w:val="18"/>
          <w:color w:val="auto"/>
        </w:rPr>
      </w:pPr>
    </w:p>
    <w:p>
      <w:pPr>
        <w:jc w:val="both"/>
        <w:ind w:left="880" w:hanging="8"/>
        <w:spacing w:after="0" w:line="263" w:lineRule="auto"/>
        <w:tabs>
          <w:tab w:leader="none" w:pos="1151"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183" w:lineRule="exact"/>
        <w:rPr>
          <w:rFonts w:ascii="Arial" w:cs="Arial" w:eastAsia="Arial" w:hAnsi="Arial"/>
          <w:sz w:val="18"/>
          <w:szCs w:val="18"/>
          <w:color w:val="auto"/>
        </w:rPr>
      </w:pPr>
    </w:p>
    <w:p>
      <w:pPr>
        <w:ind w:left="880" w:hanging="8"/>
        <w:spacing w:after="0" w:line="308" w:lineRule="auto"/>
        <w:tabs>
          <w:tab w:leader="none" w:pos="1219" w:val="left"/>
        </w:tabs>
        <w:numPr>
          <w:ilvl w:val="2"/>
          <w:numId w:val="30"/>
        </w:numPr>
        <w:rPr>
          <w:rFonts w:ascii="Arial" w:cs="Arial" w:eastAsia="Arial" w:hAnsi="Arial"/>
          <w:sz w:val="17"/>
          <w:szCs w:val="17"/>
          <w:color w:val="auto"/>
        </w:rPr>
      </w:pPr>
      <w:r>
        <w:rPr>
          <w:rFonts w:ascii="Arial" w:cs="Arial" w:eastAsia="Arial" w:hAnsi="Arial"/>
          <w:sz w:val="17"/>
          <w:szCs w:val="17"/>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46" w:lineRule="exact"/>
        <w:rPr>
          <w:rFonts w:ascii="Arial" w:cs="Arial" w:eastAsia="Arial" w:hAnsi="Arial"/>
          <w:sz w:val="17"/>
          <w:szCs w:val="17"/>
          <w:color w:val="auto"/>
        </w:rPr>
      </w:pPr>
    </w:p>
    <w:p>
      <w:pPr>
        <w:jc w:val="both"/>
        <w:ind w:left="880" w:hanging="8"/>
        <w:spacing w:after="0" w:line="311" w:lineRule="auto"/>
        <w:tabs>
          <w:tab w:leader="none" w:pos="1199" w:val="left"/>
        </w:tabs>
        <w:numPr>
          <w:ilvl w:val="2"/>
          <w:numId w:val="30"/>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49"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performs and/or any other business activity in which the Addus HealthCare Group performs or program or service under active development proposed to be performed and/or any other business activity in which the Addus HealthCare Group becomes engaged in on or after the date hereof while the Executive is employed by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jc w:val="both"/>
        <w:ind w:left="440"/>
        <w:spacing w:after="0" w:line="301" w:lineRule="auto"/>
        <w:rPr>
          <w:sz w:val="20"/>
          <w:szCs w:val="20"/>
          <w:color w:val="auto"/>
        </w:rPr>
      </w:pPr>
      <w:r>
        <w:rPr>
          <w:rFonts w:ascii="Arial" w:cs="Arial" w:eastAsia="Arial" w:hAnsi="Arial"/>
          <w:sz w:val="16"/>
          <w:szCs w:val="16"/>
          <w:color w:val="auto"/>
        </w:rPr>
        <w:t>For purposes hereof, the term “</w:t>
      </w:r>
      <w:r>
        <w:rPr>
          <w:rFonts w:ascii="Arial" w:cs="Arial" w:eastAsia="Arial" w:hAnsi="Arial"/>
          <w:sz w:val="16"/>
          <w:szCs w:val="16"/>
          <w:u w:val="single" w:color="auto"/>
          <w:color w:val="auto"/>
        </w:rPr>
        <w:t>Restrictive Period</w:t>
      </w:r>
      <w:r>
        <w:rPr>
          <w:rFonts w:ascii="Arial" w:cs="Arial" w:eastAsia="Arial" w:hAnsi="Arial"/>
          <w:sz w:val="16"/>
          <w:szCs w:val="16"/>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157" w:lineRule="exact"/>
        <w:rPr>
          <w:sz w:val="20"/>
          <w:szCs w:val="20"/>
          <w:color w:val="auto"/>
        </w:rPr>
      </w:pPr>
    </w:p>
    <w:p>
      <w:pPr>
        <w:jc w:val="both"/>
        <w:ind w:left="440"/>
        <w:spacing w:after="0" w:line="296" w:lineRule="auto"/>
        <w:rPr>
          <w:sz w:val="20"/>
          <w:szCs w:val="20"/>
          <w:color w:val="auto"/>
        </w:rPr>
      </w:pPr>
      <w:r>
        <w:rPr>
          <w:rFonts w:ascii="Arial" w:cs="Arial" w:eastAsia="Arial" w:hAnsi="Arial"/>
          <w:sz w:val="16"/>
          <w:szCs w:val="16"/>
          <w:color w:val="auto"/>
        </w:rPr>
        <w:t>Notwithstanding the foregoing provisions, nothing herein shall prohibit the Executive from owning one percent (1%) or less of any securities of an Addus HealthCare Group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157" w:lineRule="exact"/>
        <w:rPr>
          <w:sz w:val="20"/>
          <w:szCs w:val="20"/>
          <w:color w:val="auto"/>
        </w:rPr>
      </w:pPr>
    </w:p>
    <w:p>
      <w:pPr>
        <w:jc w:val="both"/>
        <w:ind w:left="440" w:hanging="440"/>
        <w:spacing w:after="0" w:line="283"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his/her duties hereunder, or as required by law, disclose any of such confidential information to any person, entity, or governmental authority without express authorization of the Company. This restriction shall not, however, prohibit the Executive from communicating with any Government Agency or otherwise 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his/her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w:t>
      </w:r>
    </w:p>
    <w:p>
      <w:pPr>
        <w:spacing w:after="0" w:line="7" w:lineRule="exact"/>
        <w:rPr>
          <w:sz w:val="20"/>
          <w:szCs w:val="20"/>
          <w:color w:val="auto"/>
        </w:rPr>
      </w:pPr>
    </w:p>
    <w:p>
      <w:pPr>
        <w:jc w:val="both"/>
        <w:ind w:left="440"/>
        <w:spacing w:after="0" w:line="281" w:lineRule="auto"/>
        <w:rPr>
          <w:sz w:val="20"/>
          <w:szCs w:val="20"/>
          <w:color w:val="auto"/>
        </w:rPr>
      </w:pPr>
      <w:r>
        <w:rPr>
          <w:rFonts w:ascii="Arial" w:cs="Arial" w:eastAsia="Arial" w:hAnsi="Arial"/>
          <w:sz w:val="16"/>
          <w:szCs w:val="16"/>
          <w:color w:val="auto"/>
        </w:rPr>
        <w:t>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w:t>
      </w:r>
    </w:p>
    <w:p>
      <w:pPr>
        <w:spacing w:after="0" w:line="1" w:lineRule="exact"/>
        <w:rPr>
          <w:sz w:val="20"/>
          <w:szCs w:val="20"/>
          <w:color w:val="auto"/>
        </w:rPr>
      </w:pPr>
    </w:p>
    <w:p>
      <w:pPr>
        <w:jc w:val="both"/>
        <w:ind w:left="440" w:hanging="8"/>
        <w:spacing w:after="0" w:line="281" w:lineRule="auto"/>
        <w:tabs>
          <w:tab w:leader="none" w:pos="67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patentable  or  unpatentable  and  whether  or  not  reduced  to  practice,  sales  records,  and  other  proprietary  commercial  information;</w:t>
      </w:r>
    </w:p>
    <w:p>
      <w:pPr>
        <w:spacing w:after="0" w:line="32" w:lineRule="exact"/>
        <w:rPr>
          <w:sz w:val="20"/>
          <w:szCs w:val="20"/>
          <w:color w:val="auto"/>
        </w:rPr>
      </w:pPr>
    </w:p>
    <w:p>
      <w:pPr>
        <w:jc w:val="both"/>
        <w:ind w:left="440"/>
        <w:spacing w:after="0" w:line="252" w:lineRule="auto"/>
        <w:rPr>
          <w:sz w:val="20"/>
          <w:szCs w:val="20"/>
          <w:color w:val="auto"/>
        </w:rPr>
      </w:pPr>
      <w:r>
        <w:rPr>
          <w:rFonts w:ascii="Arial" w:cs="Arial" w:eastAsia="Arial" w:hAnsi="Arial"/>
          <w:sz w:val="18"/>
          <w:szCs w:val="18"/>
          <w:color w:val="auto"/>
        </w:rPr>
        <w:t>(iii)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his/her employment that could have been obtained by him/her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188" w:lineRule="exact"/>
        <w:rPr>
          <w:sz w:val="20"/>
          <w:szCs w:val="20"/>
          <w:color w:val="auto"/>
        </w:rPr>
      </w:pPr>
    </w:p>
    <w:p>
      <w:pPr>
        <w:jc w:val="both"/>
        <w:ind w:left="440" w:hanging="440"/>
        <w:spacing w:after="0" w:line="294"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Regarding Confidential and Proprietary Information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his/her usual hours of work, whether in or about the premises of the Addus HealthCare Group and whether prior or subsequent to the execution hereof). The Executive will not disclose any such improvement,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8" w:right="339" w:bottom="1440" w:gutter="0" w:footer="0" w:header="0"/>
        </w:sectPr>
      </w:pPr>
    </w:p>
    <w:bookmarkStart w:id="44" w:name="page45"/>
    <w:bookmarkEnd w:id="44"/>
    <w:p>
      <w:pPr>
        <w:jc w:val="both"/>
        <w:ind w:left="440"/>
        <w:spacing w:after="0" w:line="287" w:lineRule="auto"/>
        <w:rPr>
          <w:sz w:val="20"/>
          <w:szCs w:val="20"/>
          <w:color w:val="auto"/>
        </w:rPr>
      </w:pPr>
      <w:r>
        <w:rPr>
          <w:rFonts w:ascii="Arial" w:cs="Arial" w:eastAsia="Arial" w:hAnsi="Arial"/>
          <w:sz w:val="16"/>
          <w:szCs w:val="16"/>
          <w:color w:val="auto"/>
        </w:rPr>
        <w:t>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164" w:lineRule="exact"/>
        <w:rPr>
          <w:sz w:val="20"/>
          <w:szCs w:val="20"/>
          <w:color w:val="auto"/>
        </w:rPr>
      </w:pPr>
    </w:p>
    <w:p>
      <w:pPr>
        <w:jc w:val="both"/>
        <w:ind w:left="440" w:hanging="440"/>
        <w:spacing w:after="0" w:line="261"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179" w:lineRule="exact"/>
        <w:rPr>
          <w:rFonts w:ascii="Arial" w:cs="Arial" w:eastAsia="Arial" w:hAnsi="Arial"/>
          <w:sz w:val="18"/>
          <w:szCs w:val="18"/>
          <w:color w:val="auto"/>
        </w:rPr>
      </w:pPr>
    </w:p>
    <w:p>
      <w:pPr>
        <w:jc w:val="both"/>
        <w:ind w:left="440" w:hanging="440"/>
        <w:spacing w:after="0" w:line="266"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his/her control.</w:t>
      </w:r>
    </w:p>
    <w:p>
      <w:pPr>
        <w:spacing w:after="0" w:line="175" w:lineRule="exact"/>
        <w:rPr>
          <w:rFonts w:ascii="Arial" w:cs="Arial" w:eastAsia="Arial" w:hAnsi="Arial"/>
          <w:sz w:val="18"/>
          <w:szCs w:val="18"/>
          <w:color w:val="auto"/>
        </w:rPr>
      </w:pPr>
    </w:p>
    <w:p>
      <w:pPr>
        <w:jc w:val="both"/>
        <w:ind w:left="440" w:hanging="440"/>
        <w:spacing w:after="0" w:line="289"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 acknowledges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breach or threat of a breach will cause the Company to suffer irreparable harm and that the 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and any remaining Severance Pay and benefits pursuant to Section 8, the recovery of damages from the 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p>
      <w:pPr>
        <w:spacing w:after="0" w:line="166" w:lineRule="exact"/>
        <w:rPr>
          <w:rFonts w:ascii="Arial" w:cs="Arial" w:eastAsia="Arial" w:hAnsi="Arial"/>
          <w:sz w:val="16"/>
          <w:szCs w:val="16"/>
          <w:color w:val="auto"/>
        </w:rPr>
      </w:pPr>
    </w:p>
    <w:p>
      <w:pPr>
        <w:jc w:val="both"/>
        <w:ind w:left="440" w:hanging="440"/>
        <w:spacing w:after="0" w:line="271"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his/her employment with the Company, will have had access to the most confidential and important information of Addus HealthCare Group, its Business, and future plans. The Executive furthermore acknowledges that no unreasonable harm or injury will be suffered by him/her from enforcement of the covenants contained herein and that he will be able to earn a reasonable livelihood following termination of his/her employment notwithstanding enforcement of the covenants contained herein.</w:t>
      </w:r>
    </w:p>
    <w:p>
      <w:pPr>
        <w:spacing w:after="0" w:line="173" w:lineRule="exact"/>
        <w:rPr>
          <w:rFonts w:ascii="Arial" w:cs="Arial" w:eastAsia="Arial" w:hAnsi="Arial"/>
          <w:sz w:val="17"/>
          <w:szCs w:val="17"/>
          <w:color w:val="auto"/>
        </w:rPr>
      </w:pPr>
    </w:p>
    <w:p>
      <w:pPr>
        <w:ind w:left="440" w:hanging="440"/>
        <w:spacing w:after="0" w:line="282"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 Off.</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by the Executive of the provisions of this Agreement, the Company is hereby authorized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to the fullest extent permitted by law, and after 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8" w:right="339" w:bottom="1440" w:gutter="0" w:footer="0" w:header="0"/>
        </w:sectPr>
      </w:pPr>
    </w:p>
    <w:bookmarkStart w:id="45" w:name="page46"/>
    <w:bookmarkEnd w:id="45"/>
    <w:p>
      <w:pPr>
        <w:jc w:val="both"/>
        <w:ind w:left="880" w:hanging="8"/>
        <w:spacing w:after="0" w:line="259" w:lineRule="auto"/>
        <w:tabs>
          <w:tab w:leader="none" w:pos="12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82" w:lineRule="exact"/>
        <w:rPr>
          <w:rFonts w:ascii="Arial" w:cs="Arial" w:eastAsia="Arial" w:hAnsi="Arial"/>
          <w:sz w:val="18"/>
          <w:szCs w:val="18"/>
          <w:color w:val="auto"/>
        </w:rPr>
      </w:pPr>
    </w:p>
    <w:p>
      <w:pPr>
        <w:ind w:left="560" w:hanging="552"/>
        <w:spacing w:after="0"/>
        <w:tabs>
          <w:tab w:leader="none" w:pos="5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22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spacing w:after="0" w:line="194"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him/her shall be void. The Company may assign all or any of its rights hereunder.</w:t>
      </w:r>
    </w:p>
    <w:p>
      <w:pPr>
        <w:spacing w:after="0" w:line="193" w:lineRule="exact"/>
        <w:rPr>
          <w:sz w:val="20"/>
          <w:szCs w:val="20"/>
          <w:color w:val="auto"/>
        </w:rPr>
      </w:pPr>
    </w:p>
    <w:p>
      <w:pPr>
        <w:ind w:left="560" w:hanging="552"/>
        <w:spacing w:after="0"/>
        <w:tabs>
          <w:tab w:leader="none" w:pos="5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right="140" w:firstLine="589"/>
        <w:spacing w:after="0" w:line="279" w:lineRule="auto"/>
        <w:rPr>
          <w:sz w:val="20"/>
          <w:szCs w:val="20"/>
          <w:color w:val="auto"/>
        </w:rPr>
      </w:pPr>
      <w:r>
        <w:rPr>
          <w:rFonts w:ascii="Arial" w:cs="Arial" w:eastAsia="Arial" w:hAnsi="Arial"/>
          <w:sz w:val="17"/>
          <w:szCs w:val="17"/>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(except that email shall not be deemed given upon refusal thereof). Notice to each Party, if mailed or sent by overnight courier service, shall be to the following addresses:</w:t>
      </w:r>
    </w:p>
    <w:p>
      <w:pPr>
        <w:spacing w:after="0" w:line="198"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Cliff Blessing</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Addus HealthCare, Inc.</w:t>
      </w:r>
    </w:p>
    <w:p>
      <w:pPr>
        <w:spacing w:after="0" w:line="23" w:lineRule="exact"/>
        <w:rPr>
          <w:rFonts w:ascii="Arial" w:cs="Arial" w:eastAsia="Arial" w:hAnsi="Arial"/>
          <w:sz w:val="18"/>
          <w:szCs w:val="18"/>
          <w:color w:val="auto"/>
        </w:rPr>
      </w:pPr>
    </w:p>
    <w:p>
      <w:pPr>
        <w:ind w:left="880" w:right="8920"/>
        <w:spacing w:after="0" w:line="250" w:lineRule="auto"/>
        <w:rPr>
          <w:rFonts w:ascii="Arial" w:cs="Arial" w:eastAsia="Arial" w:hAnsi="Arial"/>
          <w:sz w:val="18"/>
          <w:szCs w:val="18"/>
          <w:color w:val="auto"/>
        </w:rPr>
      </w:pPr>
      <w:r>
        <w:rPr>
          <w:rFonts w:ascii="Arial" w:cs="Arial" w:eastAsia="Arial" w:hAnsi="Arial"/>
          <w:sz w:val="18"/>
          <w:szCs w:val="18"/>
          <w:color w:val="auto"/>
        </w:rPr>
        <w:t>6303 Cowboys Way Suite 600</w:t>
      </w:r>
    </w:p>
    <w:p>
      <w:pPr>
        <w:ind w:left="880"/>
        <w:spacing w:after="0"/>
        <w:rPr>
          <w:rFonts w:ascii="Arial" w:cs="Arial" w:eastAsia="Arial" w:hAnsi="Arial"/>
          <w:sz w:val="18"/>
          <w:szCs w:val="18"/>
          <w:color w:val="auto"/>
        </w:rPr>
      </w:pPr>
      <w:r>
        <w:rPr>
          <w:rFonts w:ascii="Arial" w:cs="Arial" w:eastAsia="Arial" w:hAnsi="Arial"/>
          <w:sz w:val="18"/>
          <w:szCs w:val="18"/>
          <w:color w:val="auto"/>
        </w:rPr>
        <w:t>Frisco, TX 75034</w:t>
      </w:r>
    </w:p>
    <w:p>
      <w:pPr>
        <w:spacing w:after="0" w:line="9" w:lineRule="exact"/>
        <w:rPr>
          <w:rFonts w:ascii="Arial" w:cs="Arial" w:eastAsia="Arial" w:hAnsi="Arial"/>
          <w:sz w:val="18"/>
          <w:szCs w:val="18"/>
          <w:color w:val="auto"/>
        </w:rPr>
      </w:pPr>
    </w:p>
    <w:p>
      <w:pPr>
        <w:ind w:left="880" w:right="6800"/>
        <w:spacing w:after="0" w:line="554" w:lineRule="auto"/>
        <w:rPr>
          <w:rFonts w:ascii="Arial" w:cs="Arial" w:eastAsia="Arial" w:hAnsi="Arial"/>
          <w:sz w:val="18"/>
          <w:szCs w:val="18"/>
          <w:color w:val="auto"/>
        </w:rPr>
      </w:pPr>
      <w:r>
        <w:rPr>
          <w:rFonts w:ascii="Arial" w:cs="Arial" w:eastAsia="Arial" w:hAnsi="Arial"/>
          <w:sz w:val="16"/>
          <w:szCs w:val="16"/>
          <w:color w:val="auto"/>
        </w:rPr>
        <w:t>Attention: Sean Gaffney, Chief Legal Officer With a copy, which shall not constitute notice, to:</w:t>
      </w:r>
    </w:p>
    <w:p>
      <w:pPr>
        <w:ind w:left="880"/>
        <w:spacing w:after="0"/>
        <w:rPr>
          <w:rFonts w:ascii="Arial" w:cs="Arial" w:eastAsia="Arial" w:hAnsi="Arial"/>
          <w:sz w:val="18"/>
          <w:szCs w:val="18"/>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8"/>
          <w:szCs w:val="18"/>
          <w:color w:val="auto"/>
        </w:rPr>
      </w:pPr>
    </w:p>
    <w:p>
      <w:pPr>
        <w:ind w:left="880" w:right="8400"/>
        <w:spacing w:after="0" w:line="281" w:lineRule="auto"/>
        <w:rPr>
          <w:rFonts w:ascii="Arial" w:cs="Arial" w:eastAsia="Arial" w:hAnsi="Arial"/>
          <w:sz w:val="18"/>
          <w:szCs w:val="18"/>
          <w:color w:val="auto"/>
        </w:rPr>
      </w:pPr>
      <w:r>
        <w:rPr>
          <w:rFonts w:ascii="Arial" w:cs="Arial" w:eastAsia="Arial" w:hAnsi="Arial"/>
          <w:sz w:val="16"/>
          <w:szCs w:val="16"/>
          <w:color w:val="auto"/>
        </w:rPr>
        <w:t>150 Third Avenue South Suite 2800 Nashville, TN 37201 Attention: David Cox, Esq. Telephone: (615) 742-6299 Facsimile: (615) 742-2864</w:t>
      </w:r>
    </w:p>
    <w:p>
      <w:pPr>
        <w:spacing w:after="0" w:line="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E-mail: dcox@bassberry.com</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ind w:left="560" w:hanging="552"/>
        <w:spacing w:after="0"/>
        <w:tabs>
          <w:tab w:leader="none" w:pos="5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48"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93"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p>
    <w:p>
      <w:pPr>
        <w:spacing w:after="0" w:line="22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207"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p>
    <w:p>
      <w:pPr>
        <w:spacing w:after="0" w:line="229" w:lineRule="exact"/>
        <w:rPr>
          <w:sz w:val="20"/>
          <w:szCs w:val="20"/>
          <w:color w:val="auto"/>
        </w:rPr>
      </w:pPr>
    </w:p>
    <w:p>
      <w:pPr>
        <w:jc w:val="both"/>
        <w:ind w:firstLine="589"/>
        <w:spacing w:after="0" w:line="285"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192"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69" w:lineRule="exact"/>
        <w:rPr>
          <w:sz w:val="20"/>
          <w:szCs w:val="20"/>
          <w:color w:val="auto"/>
        </w:rPr>
      </w:pPr>
    </w:p>
    <w:p>
      <w:pPr>
        <w:ind w:left="560" w:hanging="552"/>
        <w:spacing w:after="0"/>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Obligations under this Agreement which by their nature would continue beyond the termination of this Agreement, including without limitation Sections 8 and 9, shall survive termination of this Agreement for any reason.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ind w:left="560" w:hanging="552"/>
        <w:spacing w:after="0"/>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229" w:lineRule="exact"/>
        <w:rPr>
          <w:sz w:val="20"/>
          <w:szCs w:val="20"/>
          <w:color w:val="auto"/>
        </w:rPr>
      </w:pPr>
    </w:p>
    <w:p>
      <w:pPr>
        <w:jc w:val="both"/>
        <w:ind w:firstLine="589"/>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w:t>
      </w:r>
    </w:p>
    <w:p>
      <w:pPr>
        <w:spacing w:after="0" w:line="4" w:lineRule="exact"/>
        <w:rPr>
          <w:sz w:val="20"/>
          <w:szCs w:val="20"/>
          <w:color w:val="auto"/>
        </w:rPr>
      </w:pPr>
    </w:p>
    <w:p>
      <w:pPr>
        <w:jc w:val="both"/>
        <w:ind w:firstLine="8"/>
        <w:spacing w:after="0" w:line="267" w:lineRule="auto"/>
        <w:tabs>
          <w:tab w:leader="none" w:pos="359" w:val="left"/>
        </w:tabs>
        <w:numPr>
          <w:ilvl w:val="0"/>
          <w:numId w:val="47"/>
        </w:numPr>
        <w:rPr>
          <w:rFonts w:ascii="Arial" w:cs="Arial" w:eastAsia="Arial" w:hAnsi="Arial"/>
          <w:sz w:val="17"/>
          <w:szCs w:val="17"/>
          <w:color w:val="auto"/>
        </w:rPr>
      </w:pPr>
      <w:r>
        <w:rPr>
          <w:rFonts w:ascii="Arial" w:cs="Arial" w:eastAsia="Arial" w:hAnsi="Arial"/>
          <w:sz w:val="17"/>
          <w:szCs w:val="17"/>
          <w:color w:val="auto"/>
        </w:rPr>
        <w:t>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180"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229"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jc w:val="right"/>
        <w:ind w:right="322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R. Dirk Allison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Cliff Blessing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Cliff Blesssing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9" w:name="page50"/>
    <w:bookmarkEnd w:id="49"/>
    <w:p>
      <w:pPr>
        <w:ind w:left="52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Executive is eligible to receive a bonus with a target amount of 75% of the Executive’s annual Base Salary during the applicable calendar year (pro-rated for any partial year, including, without limitation, the 2022 calendar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80"/>
          </w:cols>
          <w:pgMar w:left="320" w:top="607"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Date: August 2, 2022</w:t>
            </w:r>
          </w:p>
        </w:tc>
        <w:tc>
          <w:tcPr>
            <w:tcW w:w="7800" w:type="dxa"/>
            <w:vAlign w:val="bottom"/>
            <w:gridSpan w:val="2"/>
          </w:tcPr>
          <w:p>
            <w:pPr>
              <w:ind w:left="2040"/>
              <w:spacing w:after="0"/>
              <w:rPr>
                <w:sz w:val="20"/>
                <w:szCs w:val="20"/>
                <w:color w:val="auto"/>
              </w:rPr>
            </w:pPr>
            <w:r>
              <w:rPr>
                <w:rFonts w:ascii="Arial" w:cs="Arial" w:eastAsia="Arial" w:hAnsi="Arial"/>
                <w:sz w:val="16"/>
                <w:szCs w:val="16"/>
                <w:color w:val="auto"/>
              </w:rPr>
              <w:t>By: /s/ R. Dirk Allison</w:t>
            </w:r>
          </w:p>
        </w:tc>
      </w:tr>
      <w:tr>
        <w:trPr>
          <w:trHeight w:val="189"/>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Date: August 2, 2022</w:t>
            </w:r>
          </w:p>
        </w:tc>
        <w:tc>
          <w:tcPr>
            <w:tcW w:w="7800" w:type="dxa"/>
            <w:vAlign w:val="bottom"/>
            <w:gridSpan w:val="2"/>
          </w:tcPr>
          <w:p>
            <w:pPr>
              <w:ind w:left="2040"/>
              <w:spacing w:after="0"/>
              <w:rPr>
                <w:sz w:val="20"/>
                <w:szCs w:val="20"/>
                <w:color w:val="auto"/>
              </w:rPr>
            </w:pPr>
            <w:r>
              <w:rPr>
                <w:rFonts w:ascii="Arial" w:cs="Arial" w:eastAsia="Arial" w:hAnsi="Arial"/>
                <w:sz w:val="16"/>
                <w:szCs w:val="16"/>
                <w:color w:val="auto"/>
              </w:rPr>
              <w:t>By: /s/ Brian Poff</w:t>
            </w:r>
          </w:p>
        </w:tc>
      </w:tr>
      <w:tr>
        <w:trPr>
          <w:trHeight w:val="189"/>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June 30, 2022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Date: August 2, 2022</w:t>
            </w:r>
          </w:p>
        </w:tc>
        <w:tc>
          <w:tcPr>
            <w:tcW w:w="7780" w:type="dxa"/>
            <w:vAlign w:val="bottom"/>
            <w:gridSpan w:val="2"/>
          </w:tcPr>
          <w:p>
            <w:pPr>
              <w:ind w:left="2060"/>
              <w:spacing w:after="0"/>
              <w:rPr>
                <w:sz w:val="20"/>
                <w:szCs w:val="20"/>
                <w:color w:val="auto"/>
              </w:rPr>
            </w:pPr>
            <w:r>
              <w:rPr>
                <w:rFonts w:ascii="Arial" w:cs="Arial" w:eastAsia="Arial" w:hAnsi="Arial"/>
                <w:sz w:val="16"/>
                <w:szCs w:val="16"/>
                <w:color w:val="auto"/>
              </w:rPr>
              <w:t>By:  /s/ R. Dirk Allison</w:t>
            </w:r>
          </w:p>
        </w:tc>
      </w:tr>
      <w:tr>
        <w:trPr>
          <w:trHeight w:val="233"/>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4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2022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880" w:hanging="841"/>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Date: August 2, 2022</w:t>
            </w:r>
          </w:p>
        </w:tc>
        <w:tc>
          <w:tcPr>
            <w:tcW w:w="7780" w:type="dxa"/>
            <w:vAlign w:val="bottom"/>
            <w:gridSpan w:val="2"/>
          </w:tcPr>
          <w:p>
            <w:pPr>
              <w:ind w:left="2060"/>
              <w:spacing w:after="0"/>
              <w:rPr>
                <w:sz w:val="20"/>
                <w:szCs w:val="20"/>
                <w:color w:val="auto"/>
              </w:rPr>
            </w:pPr>
            <w:r>
              <w:rPr>
                <w:rFonts w:ascii="Arial" w:cs="Arial" w:eastAsia="Arial" w:hAnsi="Arial"/>
                <w:sz w:val="16"/>
                <w:szCs w:val="16"/>
                <w:color w:val="auto"/>
              </w:rPr>
              <w:t>By:   /s/ Brian Poff</w:t>
            </w:r>
          </w:p>
        </w:tc>
      </w:tr>
      <w:tr>
        <w:trPr>
          <w:trHeight w:val="234"/>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43"/>
        </w:trPr>
        <w:tc>
          <w:tcPr>
            <w:tcW w:w="34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lvl w:ilvl="1">
      <w:lvlJc w:val="left"/>
      <w:lvlText w:val="(%2)"/>
      <w:numFmt w:val="decimal"/>
      <w:start w:val="1"/>
    </w:lvl>
  </w:abstractNum>
  <w:abstractNum w:abstractNumId="3">
    <w:nsid w:val="2CA88611"/>
    <w:multiLevelType w:val="hybridMultilevel"/>
    <w:lvl w:ilvl="0">
      <w:lvlJc w:val="left"/>
      <w:lvlText w:val="%1."/>
      <w:numFmt w:val="decimal"/>
      <w:start w:val="7"/>
    </w:lvl>
    <w:lvl w:ilvl="1">
      <w:lvlJc w:val="left"/>
      <w:lvlText w:val="%2"/>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lvl w:ilvl="1">
      <w:lvlJc w:val="left"/>
      <w:lvlText w:val="%2"/>
      <w:numFmt w:val="decimal"/>
      <w:start w:val="104"/>
    </w:lvl>
  </w:abstractNum>
  <w:abstractNum w:abstractNumId="14">
    <w:nsid w:val="3006C83E"/>
    <w:multiLevelType w:val="hybridMultilevel"/>
    <w:lvl w:ilvl="0">
      <w:lvlJc w:val="left"/>
      <w:lvlText w:val="%1."/>
      <w:numFmt w:val="decimal"/>
      <w:start w:val="1"/>
    </w:lvl>
    <w:lvl w:ilvl="1">
      <w:lvlJc w:val="left"/>
      <w:lvlText w:val="(%2)"/>
      <w:numFmt w:val="lowerLetter"/>
      <w:start w:val="1"/>
    </w:lvl>
  </w:abstractNum>
  <w:abstractNum w:abstractNumId="15">
    <w:nsid w:val="614FD4A1"/>
    <w:multiLevelType w:val="hybridMultilevel"/>
    <w:lvl w:ilvl="0">
      <w:lvlJc w:val="left"/>
      <w:lvlText w:val="%1."/>
      <w:numFmt w:val="decimal"/>
      <w:start w:val="3"/>
    </w:lvl>
  </w:abstractNum>
  <w:abstractNum w:abstractNumId="16">
    <w:nsid w:val="419AC241"/>
    <w:multiLevelType w:val="hybridMultilevel"/>
    <w:lvl w:ilvl="0">
      <w:lvlJc w:val="left"/>
      <w:lvlText w:val="%1"/>
      <w:numFmt w:val="decimal"/>
      <w:start w:val="1"/>
    </w:lvl>
    <w:lvl w:ilvl="1">
      <w:lvlJc w:val="left"/>
      <w:lvlText w:val="(%2)"/>
      <w:numFmt w:val="lowerLetter"/>
      <w:start w:val="1"/>
    </w:lvl>
  </w:abstractNum>
  <w:abstractNum w:abstractNumId="17">
    <w:nsid w:val="5577F8E1"/>
    <w:multiLevelType w:val="hybridMultilevel"/>
    <w:lvl w:ilvl="0">
      <w:lvlJc w:val="left"/>
      <w:lvlText w:val="%1."/>
      <w:numFmt w:val="decimal"/>
      <w:start w:val="4"/>
    </w:lvl>
    <w:lvl w:ilvl="1">
      <w:lvlJc w:val="left"/>
      <w:lvlText w:val="%2"/>
      <w:numFmt w:val="lowerLetter"/>
      <w:start w:val="1"/>
    </w:lvl>
  </w:abstractNum>
  <w:abstractNum w:abstractNumId="18">
    <w:nsid w:val="440BADFC"/>
    <w:multiLevelType w:val="hybridMultilevel"/>
    <w:lvl w:ilvl="0">
      <w:lvlJc w:val="left"/>
      <w:lvlText w:val="%1."/>
      <w:numFmt w:val="decimal"/>
      <w:start w:val="5"/>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7724C67E"/>
    <w:multiLevelType w:val="hybridMultilevel"/>
    <w:lvl w:ilvl="0">
      <w:lvlJc w:val="left"/>
      <w:lvlText w:val="%1"/>
      <w:numFmt w:val="decimal"/>
      <w:start w:val="1"/>
    </w:lvl>
    <w:lvl w:ilvl="1">
      <w:lvlJc w:val="left"/>
      <w:lvlText w:val="(%2)"/>
      <w:numFmt w:val="lowerLetter"/>
      <w:start w:val="2"/>
    </w:lvl>
  </w:abstractNum>
  <w:abstractNum w:abstractNumId="23">
    <w:nsid w:val="5C482A97"/>
    <w:multiLevelType w:val="hybridMultilevel"/>
    <w:lvl w:ilvl="0">
      <w:lvlJc w:val="left"/>
      <w:lvlText w:val="%1."/>
      <w:numFmt w:val="decimal"/>
      <w:start w:val="7"/>
    </w:lvl>
    <w:lvl w:ilvl="1">
      <w:lvlJc w:val="left"/>
      <w:lvlText w:val="%2"/>
      <w:numFmt w:val="lowerLetter"/>
      <w:start w:val="1"/>
    </w:lvl>
  </w:abstractNum>
  <w:abstractNum w:abstractNumId="24">
    <w:nsid w:val="2463B9E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
    <w:nsid w:val="5E884ADC"/>
    <w:multiLevelType w:val="hybridMultilevel"/>
    <w:lvl w:ilvl="0">
      <w:lvlJc w:val="left"/>
      <w:lvlText w:val="(%1)"/>
      <w:numFmt w:val="lowerLetter"/>
      <w:start w:val="2"/>
    </w:lvl>
    <w:lvl w:ilvl="1">
      <w:lvlJc w:val="left"/>
      <w:lvlText w:val="(%2)"/>
      <w:numFmt w:val="lowerRoman"/>
      <w:start w:val="1"/>
    </w:lvl>
  </w:abstractNum>
  <w:abstractNum w:abstractNumId="26">
    <w:nsid w:val="51EAD36B"/>
    <w:multiLevelType w:val="hybridMultilevel"/>
    <w:lvl w:ilvl="0">
      <w:lvlJc w:val="left"/>
      <w:lvlText w:val="(%1)"/>
      <w:numFmt w:val="lowerRoman"/>
      <w:start w:val="3"/>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153EA43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
    <w:nsid w:val="3855585C"/>
    <w:multiLevelType w:val="hybridMultilevel"/>
    <w:lvl w:ilvl="0">
      <w:lvlJc w:val="left"/>
      <w:lvlText w:val="(%1)"/>
      <w:numFmt w:val="lowerLetter"/>
      <w:start w:val="3"/>
    </w:lvl>
  </w:abstractNum>
  <w:abstractNum w:abstractNumId="31">
    <w:nsid w:val="70A64E2A"/>
    <w:multiLevelType w:val="hybridMultilevel"/>
    <w:lvl w:ilvl="0">
      <w:lvlJc w:val="left"/>
      <w:lvlText w:val="(%1)"/>
      <w:numFmt w:val="lowerRoman"/>
      <w:start w:val="1"/>
    </w:lvl>
  </w:abstractNum>
  <w:abstractNum w:abstractNumId="32">
    <w:nsid w:val="6A2342EC"/>
    <w:multiLevelType w:val="hybridMultilevel"/>
    <w:lvl w:ilvl="0">
      <w:lvlJc w:val="left"/>
      <w:lvlText w:val="(%1)"/>
      <w:numFmt w:val="lowerLetter"/>
      <w:start w:val="4"/>
    </w:lvl>
  </w:abstractNum>
  <w:abstractNum w:abstractNumId="33">
    <w:nsid w:val="2A487CB0"/>
    <w:multiLevelType w:val="hybridMultilevel"/>
    <w:lvl w:ilvl="0">
      <w:lvlJc w:val="left"/>
      <w:lvlText w:val="(%1)"/>
      <w:numFmt w:val="lowerLetter"/>
      <w:start w:val="5"/>
    </w:lvl>
  </w:abstractNum>
  <w:abstractNum w:abstractNumId="34">
    <w:nsid w:val="1D4ED43B"/>
    <w:multiLevelType w:val="hybridMultilevel"/>
    <w:lvl w:ilvl="0">
      <w:lvlJc w:val="left"/>
      <w:lvlText w:val="%1"/>
      <w:numFmt w:val="decimal"/>
      <w:start w:val="1"/>
    </w:lvl>
    <w:lvl w:ilvl="1">
      <w:lvlJc w:val="left"/>
      <w:lvlText w:val="(%2)"/>
      <w:numFmt w:val="decimal"/>
      <w:start w:val="10"/>
    </w:lvl>
  </w:abstractNum>
  <w:abstractNum w:abstractNumId="35">
    <w:nsid w:val="725A06FB"/>
    <w:multiLevelType w:val="hybridMultilevel"/>
    <w:lvl w:ilvl="0">
      <w:lvlJc w:val="left"/>
      <w:lvlText w:val="%1."/>
      <w:numFmt w:val="decimal"/>
      <w:start w:val="10"/>
    </w:lvl>
    <w:lvl w:ilvl="1">
      <w:lvlJc w:val="left"/>
      <w:lvlText w:val="%2"/>
      <w:numFmt w:val="decimal"/>
      <w:start w:val="1"/>
    </w:lvl>
  </w:abstractNum>
  <w:abstractNum w:abstractNumId="36">
    <w:nsid w:val="2CD89A32"/>
    <w:multiLevelType w:val="hybridMultilevel"/>
    <w:lvl w:ilvl="0">
      <w:lvlJc w:val="left"/>
      <w:lvlText w:val="%1."/>
      <w:numFmt w:val="decimal"/>
      <w:start w:val="11"/>
    </w:lvl>
  </w:abstractNum>
  <w:abstractNum w:abstractNumId="37">
    <w:nsid w:val="57E4CCAF"/>
    <w:multiLevelType w:val="hybridMultilevel"/>
    <w:lvl w:ilvl="0">
      <w:lvlJc w:val="left"/>
      <w:lvlText w:val="%1."/>
      <w:numFmt w:val="decimal"/>
      <w:start w:val="12"/>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13"/>
    </w:lvl>
  </w:abstractNum>
  <w:abstractNum w:abstractNumId="40">
    <w:nsid w:val="542289EC"/>
    <w:multiLevelType w:val="hybridMultilevel"/>
    <w:lvl w:ilvl="0">
      <w:lvlJc w:val="left"/>
      <w:lvlText w:val="%1."/>
      <w:numFmt w:val="decimal"/>
      <w:start w:val="14"/>
    </w:lvl>
  </w:abstractNum>
  <w:abstractNum w:abstractNumId="41">
    <w:nsid w:val="6DE91B18"/>
    <w:multiLevelType w:val="hybridMultilevel"/>
    <w:lvl w:ilvl="0">
      <w:lvlJc w:val="left"/>
      <w:lvlText w:val="%1."/>
      <w:numFmt w:val="decimal"/>
      <w:start w:val="15"/>
    </w:lvl>
  </w:abstractNum>
  <w:abstractNum w:abstractNumId="42">
    <w:nsid w:val="38437FDB"/>
    <w:multiLevelType w:val="hybridMultilevel"/>
    <w:lvl w:ilvl="0">
      <w:lvlJc w:val="left"/>
      <w:lvlText w:val="%1."/>
      <w:numFmt w:val="decimal"/>
      <w:start w:val="16"/>
    </w:lvl>
  </w:abstractNum>
  <w:abstractNum w:abstractNumId="43">
    <w:nsid w:val="7644A45C"/>
    <w:multiLevelType w:val="hybridMultilevel"/>
    <w:lvl w:ilvl="0">
      <w:lvlJc w:val="left"/>
      <w:lvlText w:val="%1."/>
      <w:numFmt w:val="decimal"/>
      <w:start w:val="17"/>
    </w:lvl>
  </w:abstractNum>
  <w:abstractNum w:abstractNumId="44">
    <w:nsid w:val="32FFF902"/>
    <w:multiLevelType w:val="hybridMultilevel"/>
    <w:lvl w:ilvl="0">
      <w:lvlJc w:val="left"/>
      <w:lvlText w:val="%1."/>
      <w:numFmt w:val="decimal"/>
      <w:start w:val="18"/>
    </w:lvl>
  </w:abstractNum>
  <w:abstractNum w:abstractNumId="45">
    <w:nsid w:val="684A481A"/>
    <w:multiLevelType w:val="hybridMultilevel"/>
    <w:lvl w:ilvl="0">
      <w:lvlJc w:val="left"/>
      <w:lvlText w:val="%1."/>
      <w:numFmt w:val="decimal"/>
      <w:start w:val="19"/>
    </w:lvl>
  </w:abstractNum>
  <w:abstractNum w:abstractNumId="46">
    <w:nsid w:val="579478FE"/>
    <w:multiLevelType w:val="hybridMultilevel"/>
    <w:lvl w:ilvl="0">
      <w:lvlJc w:val="left"/>
      <w:lvlText w:val="(%1)"/>
      <w:numFmt w:val="decimal"/>
      <w:start w:val="15"/>
    </w:lvl>
  </w:abstractNum>
  <w:abstractNum w:abstractNumId="47">
    <w:nsid w:val="749ABB43"/>
    <w:multiLevelType w:val="hybridMultilevel"/>
    <w:lvl w:ilvl="0">
      <w:lvlJc w:val="left"/>
      <w:lvlText w:val="%1."/>
      <w:numFmt w:val="decimal"/>
      <w:start w:val="20"/>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62" Type="http://schemas.openxmlformats.org/officeDocument/2006/relationships/hyperlink" Target="http://www.sec.gov/Archives/edgar/data/1468328/000119312509238641/dex31.htm" TargetMode="External"/><Relationship Id="rId64" Type="http://schemas.openxmlformats.org/officeDocument/2006/relationships/hyperlink" Target="http://www.sec.gov/Archives/edgar/data/1468328/000119312513211165/d535575dex32.htm" TargetMode="External"/><Relationship Id="rId65"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2022-08-02T15:26:59Z</dcterms:created>
  <dcterms:modified xsi:type="dcterms:W3CDTF">2022-08-02T15:26:59Z</dcterms:modified>
</cp:coreProperties>
</file>