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BLESSING CLIFF DONALD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6303 COWBOYS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Addus HomeCare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ADUS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20"/>
        <w:gridCol w:w="787"/>
        <w:gridCol w:w="661"/>
        <w:gridCol w:w="303"/>
        <w:gridCol w:w="812"/>
        <w:gridCol w:w="458"/>
        <w:gridCol w:w="766"/>
        <w:gridCol w:w="1177"/>
        <w:gridCol w:w="1010"/>
        <w:gridCol w:w="93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04/21/2026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93.61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12,183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reflects the sale of shares, made pursuant to a previously established 10b5-1 plan, for the purpose of satisfying tax obligations due upon the vesting of restricted stock awards granted by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Adoption date of referenced 10b5-1(c) plan is: 03-14-2025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Poff, Attorney-in-Fact for Cliff Donald Blessing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23477" TargetMode="External"/><Relationship Id="rId5" Type="http://schemas.openxmlformats.org/officeDocument/2006/relationships/hyperlink" Target="http://www.sec.gov/cgi-bin/browse-edgar?action=getcompany&amp;CIK=00014683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3323</Characters>
  <CharactersWithSpaces>3872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