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7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-235585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ind w:left="580" w:hanging="572"/>
        <w:spacing w:after="0" w:line="185" w:lineRule="auto"/>
        <w:tabs>
          <w:tab w:leader="none" w:pos="58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06" w:lineRule="exact"/>
        <w:rPr>
          <w:sz w:val="24"/>
          <w:szCs w:val="24"/>
          <w:color w:val="auto"/>
        </w:rPr>
      </w:pPr>
    </w:p>
    <w:p>
      <w:pPr>
        <w:ind w:left="4140"/>
        <w:spacing w:after="0"/>
        <w:tabs>
          <w:tab w:leader="none" w:pos="65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ADDUS HOMECARE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6"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720" w:type="dxa"/>
            <w:vAlign w:val="bottom"/>
          </w:tcPr>
          <w:p>
            <w:pPr>
              <w:jc w:val="center"/>
              <w:ind w:left="1764"/>
              <w:spacing w:after="0"/>
              <w:rPr>
                <w:sz w:val="20"/>
                <w:szCs w:val="20"/>
                <w:color w:val="auto"/>
              </w:rPr>
            </w:pPr>
            <w:r>
              <w:rPr>
                <w:rFonts w:ascii="Arial" w:cs="Arial" w:eastAsia="Arial" w:hAnsi="Arial"/>
                <w:sz w:val="16"/>
                <w:szCs w:val="16"/>
                <w:b w:val="1"/>
                <w:bCs w:val="1"/>
                <w:color w:val="auto"/>
                <w:w w:val="91"/>
              </w:rPr>
              <w:t>Delaware</w:t>
            </w:r>
          </w:p>
        </w:tc>
        <w:tc>
          <w:tcPr>
            <w:tcW w:w="8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jc w:val="right"/>
              <w:ind w:right="25"/>
              <w:spacing w:after="0"/>
              <w:rPr>
                <w:sz w:val="20"/>
                <w:szCs w:val="20"/>
                <w:color w:val="auto"/>
              </w:rPr>
            </w:pPr>
            <w:r>
              <w:rPr>
                <w:rFonts w:ascii="Arial" w:cs="Arial" w:eastAsia="Arial" w:hAnsi="Arial"/>
                <w:sz w:val="16"/>
                <w:szCs w:val="16"/>
                <w:b w:val="1"/>
                <w:bCs w:val="1"/>
                <w:color w:val="auto"/>
              </w:rPr>
              <w:t>20-5340172</w:t>
            </w:r>
          </w:p>
        </w:tc>
        <w:tc>
          <w:tcPr>
            <w:tcW w:w="2300" w:type="dxa"/>
            <w:vAlign w:val="bottom"/>
          </w:tcPr>
          <w:p>
            <w:pPr>
              <w:spacing w:after="0"/>
              <w:rPr>
                <w:sz w:val="17"/>
                <w:szCs w:val="17"/>
                <w:color w:val="auto"/>
              </w:rPr>
            </w:pPr>
          </w:p>
        </w:tc>
      </w:tr>
      <w:tr>
        <w:trPr>
          <w:trHeight w:val="148"/>
        </w:trPr>
        <w:tc>
          <w:tcPr>
            <w:tcW w:w="3720" w:type="dxa"/>
            <w:vAlign w:val="bottom"/>
          </w:tcPr>
          <w:p>
            <w:pPr>
              <w:jc w:val="center"/>
              <w:ind w:left="1764"/>
              <w:spacing w:after="0"/>
              <w:rPr>
                <w:sz w:val="20"/>
                <w:szCs w:val="20"/>
                <w:color w:val="auto"/>
              </w:rPr>
            </w:pPr>
            <w:r>
              <w:rPr>
                <w:rFonts w:ascii="Arial" w:cs="Arial" w:eastAsia="Arial" w:hAnsi="Arial"/>
                <w:sz w:val="13"/>
                <w:szCs w:val="13"/>
                <w:b w:val="1"/>
                <w:bCs w:val="1"/>
                <w:color w:val="auto"/>
                <w:w w:val="94"/>
              </w:rPr>
              <w:t>(State or other jurisdiction of</w:t>
            </w:r>
          </w:p>
        </w:tc>
        <w:tc>
          <w:tcPr>
            <w:tcW w:w="8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20" w:type="dxa"/>
            <w:vAlign w:val="bottom"/>
          </w:tcPr>
          <w:p>
            <w:pPr>
              <w:jc w:val="center"/>
              <w:ind w:left="365"/>
              <w:spacing w:after="0"/>
              <w:rPr>
                <w:sz w:val="20"/>
                <w:szCs w:val="20"/>
                <w:color w:val="auto"/>
              </w:rPr>
            </w:pPr>
            <w:r>
              <w:rPr>
                <w:rFonts w:ascii="Arial" w:cs="Arial" w:eastAsia="Arial" w:hAnsi="Arial"/>
                <w:sz w:val="13"/>
                <w:szCs w:val="13"/>
                <w:b w:val="1"/>
                <w:bCs w:val="1"/>
                <w:color w:val="auto"/>
                <w:w w:val="98"/>
              </w:rPr>
              <w:t>(I.R.S. Employer</w:t>
            </w:r>
          </w:p>
        </w:tc>
        <w:tc>
          <w:tcPr>
            <w:tcW w:w="2300" w:type="dxa"/>
            <w:vAlign w:val="bottom"/>
          </w:tcPr>
          <w:p>
            <w:pPr>
              <w:spacing w:after="0"/>
              <w:rPr>
                <w:sz w:val="12"/>
                <w:szCs w:val="12"/>
                <w:color w:val="auto"/>
              </w:rPr>
            </w:pPr>
          </w:p>
        </w:tc>
      </w:tr>
      <w:tr>
        <w:trPr>
          <w:trHeight w:val="174"/>
        </w:trPr>
        <w:tc>
          <w:tcPr>
            <w:tcW w:w="3720" w:type="dxa"/>
            <w:vAlign w:val="bottom"/>
          </w:tcPr>
          <w:p>
            <w:pPr>
              <w:jc w:val="center"/>
              <w:ind w:left="1764"/>
              <w:spacing w:after="0"/>
              <w:rPr>
                <w:sz w:val="20"/>
                <w:szCs w:val="20"/>
                <w:color w:val="auto"/>
              </w:rPr>
            </w:pPr>
            <w:r>
              <w:rPr>
                <w:rFonts w:ascii="Arial" w:cs="Arial" w:eastAsia="Arial" w:hAnsi="Arial"/>
                <w:sz w:val="13"/>
                <w:szCs w:val="13"/>
                <w:b w:val="1"/>
                <w:bCs w:val="1"/>
                <w:color w:val="auto"/>
                <w:w w:val="94"/>
              </w:rPr>
              <w:t>incorporation or organization)</w:t>
            </w:r>
          </w:p>
        </w:tc>
        <w:tc>
          <w:tcPr>
            <w:tcW w:w="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720" w:type="dxa"/>
            <w:vAlign w:val="bottom"/>
            <w:gridSpan w:val="2"/>
          </w:tcPr>
          <w:p>
            <w:pPr>
              <w:jc w:val="center"/>
              <w:ind w:right="1779"/>
              <w:spacing w:after="0"/>
              <w:rPr>
                <w:sz w:val="20"/>
                <w:szCs w:val="20"/>
                <w:color w:val="auto"/>
              </w:rPr>
            </w:pPr>
            <w:r>
              <w:rPr>
                <w:rFonts w:ascii="Arial" w:cs="Arial" w:eastAsia="Arial" w:hAnsi="Arial"/>
                <w:sz w:val="13"/>
                <w:szCs w:val="13"/>
                <w:b w:val="1"/>
                <w:bCs w:val="1"/>
                <w:color w:val="auto"/>
                <w:w w:val="96"/>
              </w:rPr>
              <w:t>Identification No.)</w:t>
            </w:r>
          </w:p>
        </w:tc>
      </w:tr>
      <w:tr>
        <w:trPr>
          <w:trHeight w:val="285"/>
        </w:trPr>
        <w:tc>
          <w:tcPr>
            <w:tcW w:w="7520" w:type="dxa"/>
            <w:vAlign w:val="bottom"/>
            <w:gridSpan w:val="4"/>
          </w:tcPr>
          <w:p>
            <w:pPr>
              <w:jc w:val="center"/>
              <w:ind w:right="1960"/>
              <w:spacing w:after="0"/>
              <w:rPr>
                <w:sz w:val="20"/>
                <w:szCs w:val="20"/>
                <w:color w:val="auto"/>
              </w:rPr>
            </w:pPr>
            <w:r>
              <w:rPr>
                <w:rFonts w:ascii="Arial" w:cs="Arial" w:eastAsia="Arial" w:hAnsi="Arial"/>
                <w:sz w:val="16"/>
                <w:szCs w:val="16"/>
                <w:b w:val="1"/>
                <w:bCs w:val="1"/>
                <w:color w:val="auto"/>
                <w:w w:val="91"/>
              </w:rPr>
              <w:t>6303 Cowboys Way, Suite 600 Frisco, TX</w:t>
            </w:r>
          </w:p>
        </w:tc>
        <w:tc>
          <w:tcPr>
            <w:tcW w:w="1420" w:type="dxa"/>
            <w:vAlign w:val="bottom"/>
          </w:tcPr>
          <w:p>
            <w:pPr>
              <w:jc w:val="right"/>
              <w:ind w:right="205"/>
              <w:spacing w:after="0"/>
              <w:rPr>
                <w:sz w:val="20"/>
                <w:szCs w:val="20"/>
                <w:color w:val="auto"/>
              </w:rPr>
            </w:pPr>
            <w:r>
              <w:rPr>
                <w:rFonts w:ascii="Arial" w:cs="Arial" w:eastAsia="Arial" w:hAnsi="Arial"/>
                <w:sz w:val="16"/>
                <w:szCs w:val="16"/>
                <w:b w:val="1"/>
                <w:bCs w:val="1"/>
                <w:color w:val="auto"/>
              </w:rPr>
              <w:t>75034</w:t>
            </w:r>
          </w:p>
        </w:tc>
        <w:tc>
          <w:tcPr>
            <w:tcW w:w="2300" w:type="dxa"/>
            <w:vAlign w:val="bottom"/>
          </w:tcPr>
          <w:p>
            <w:pPr>
              <w:spacing w:after="0"/>
              <w:rPr>
                <w:sz w:val="24"/>
                <w:szCs w:val="24"/>
                <w:color w:val="auto"/>
              </w:rPr>
            </w:pPr>
          </w:p>
        </w:tc>
      </w:tr>
      <w:tr>
        <w:trPr>
          <w:trHeight w:val="174"/>
        </w:trPr>
        <w:tc>
          <w:tcPr>
            <w:tcW w:w="7520" w:type="dxa"/>
            <w:vAlign w:val="bottom"/>
            <w:gridSpan w:val="4"/>
          </w:tcPr>
          <w:p>
            <w:pPr>
              <w:jc w:val="center"/>
              <w:ind w:right="196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1420" w:type="dxa"/>
            <w:vAlign w:val="bottom"/>
          </w:tcPr>
          <w:p>
            <w:pPr>
              <w:jc w:val="center"/>
              <w:ind w:left="365"/>
              <w:spacing w:after="0"/>
              <w:rPr>
                <w:sz w:val="20"/>
                <w:szCs w:val="20"/>
                <w:color w:val="auto"/>
              </w:rPr>
            </w:pPr>
            <w:r>
              <w:rPr>
                <w:rFonts w:ascii="Arial" w:cs="Arial" w:eastAsia="Arial" w:hAnsi="Arial"/>
                <w:sz w:val="13"/>
                <w:szCs w:val="13"/>
                <w:b w:val="1"/>
                <w:bCs w:val="1"/>
                <w:color w:val="auto"/>
                <w:w w:val="96"/>
              </w:rPr>
              <w:t>(Zip Code)</w:t>
            </w:r>
          </w:p>
        </w:tc>
        <w:tc>
          <w:tcPr>
            <w:tcW w:w="2300" w:type="dxa"/>
            <w:vAlign w:val="bottom"/>
          </w:tcPr>
          <w:p>
            <w:pPr>
              <w:spacing w:after="0"/>
              <w:rPr>
                <w:sz w:val="15"/>
                <w:szCs w:val="15"/>
                <w:color w:val="auto"/>
              </w:rPr>
            </w:pPr>
          </w:p>
        </w:tc>
      </w:tr>
      <w:tr>
        <w:trPr>
          <w:trHeight w:val="244"/>
        </w:trPr>
        <w:tc>
          <w:tcPr>
            <w:tcW w:w="3720" w:type="dxa"/>
            <w:vAlign w:val="bottom"/>
          </w:tcPr>
          <w:p>
            <w:pPr>
              <w:spacing w:after="0"/>
              <w:rPr>
                <w:sz w:val="21"/>
                <w:szCs w:val="21"/>
                <w:color w:val="auto"/>
              </w:rPr>
            </w:pPr>
          </w:p>
        </w:tc>
        <w:tc>
          <w:tcPr>
            <w:tcW w:w="3040" w:type="dxa"/>
            <w:vAlign w:val="bottom"/>
            <w:gridSpan w:val="2"/>
          </w:tcPr>
          <w:p>
            <w:pPr>
              <w:jc w:val="center"/>
              <w:ind w:left="682"/>
              <w:spacing w:after="0"/>
              <w:rPr>
                <w:sz w:val="20"/>
                <w:szCs w:val="20"/>
                <w:color w:val="auto"/>
              </w:rPr>
            </w:pPr>
            <w:r>
              <w:rPr>
                <w:rFonts w:ascii="Arial" w:cs="Arial" w:eastAsia="Arial" w:hAnsi="Arial"/>
                <w:sz w:val="16"/>
                <w:szCs w:val="16"/>
                <w:b w:val="1"/>
                <w:bCs w:val="1"/>
                <w:color w:val="auto"/>
                <w:w w:val="92"/>
              </w:rPr>
              <w:t>469-535-8200</w:t>
            </w:r>
          </w:p>
        </w:tc>
        <w:tc>
          <w:tcPr>
            <w:tcW w:w="7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174"/>
        </w:trPr>
        <w:tc>
          <w:tcPr>
            <w:tcW w:w="3720" w:type="dxa"/>
            <w:vAlign w:val="bottom"/>
          </w:tcPr>
          <w:p>
            <w:pPr>
              <w:spacing w:after="0"/>
              <w:rPr>
                <w:sz w:val="15"/>
                <w:szCs w:val="15"/>
                <w:color w:val="auto"/>
              </w:rPr>
            </w:pPr>
          </w:p>
        </w:tc>
        <w:tc>
          <w:tcPr>
            <w:tcW w:w="3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14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251"/>
        </w:trPr>
        <w:tc>
          <w:tcPr>
            <w:tcW w:w="3720" w:type="dxa"/>
            <w:vAlign w:val="bottom"/>
          </w:tcPr>
          <w:p>
            <w:pPr>
              <w:spacing w:after="0"/>
              <w:rPr>
                <w:sz w:val="21"/>
                <w:szCs w:val="21"/>
                <w:color w:val="auto"/>
              </w:rPr>
            </w:pPr>
          </w:p>
        </w:tc>
        <w:tc>
          <w:tcPr>
            <w:tcW w:w="380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14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128"/>
        </w:trPr>
        <w:tc>
          <w:tcPr>
            <w:tcW w:w="37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gridSpan w:val="2"/>
          </w:tcPr>
          <w:p>
            <w:pPr>
              <w:spacing w:after="0"/>
              <w:rPr>
                <w:sz w:val="11"/>
                <w:szCs w:val="11"/>
                <w:color w:val="auto"/>
              </w:rPr>
            </w:pPr>
          </w:p>
        </w:tc>
      </w:tr>
      <w:tr>
        <w:trPr>
          <w:trHeight w:val="196"/>
        </w:trPr>
        <w:tc>
          <w:tcPr>
            <w:tcW w:w="3720" w:type="dxa"/>
            <w:vAlign w:val="bottom"/>
            <w:tcBorders>
              <w:left w:val="single" w:sz="8" w:color="auto"/>
              <w:bottom w:val="single" w:sz="8" w:color="auto"/>
            </w:tcBorders>
          </w:tcPr>
          <w:p>
            <w:pPr>
              <w:jc w:val="center"/>
              <w:ind w:left="724"/>
              <w:spacing w:after="0"/>
              <w:rPr>
                <w:sz w:val="20"/>
                <w:szCs w:val="20"/>
                <w:color w:val="auto"/>
              </w:rPr>
            </w:pPr>
            <w:r>
              <w:rPr>
                <w:rFonts w:ascii="Arial" w:cs="Arial" w:eastAsia="Arial" w:hAnsi="Arial"/>
                <w:sz w:val="16"/>
                <w:szCs w:val="16"/>
                <w:color w:val="auto"/>
                <w:w w:val="90"/>
              </w:rPr>
              <w:t>Title of each class</w:t>
            </w: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7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gridSpan w:val="2"/>
          </w:tcPr>
          <w:p>
            <w:pPr>
              <w:jc w:val="center"/>
              <w:ind w:right="699"/>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720" w:type="dxa"/>
            <w:vAlign w:val="bottom"/>
            <w:tcBorders>
              <w:left w:val="single" w:sz="8" w:color="auto"/>
              <w:bottom w:val="single" w:sz="8" w:color="auto"/>
            </w:tcBorders>
          </w:tcPr>
          <w:p>
            <w:pPr>
              <w:jc w:val="center"/>
              <w:ind w:left="744"/>
              <w:spacing w:after="0"/>
              <w:rPr>
                <w:sz w:val="20"/>
                <w:szCs w:val="20"/>
                <w:color w:val="auto"/>
              </w:rPr>
            </w:pPr>
            <w:r>
              <w:rPr>
                <w:rFonts w:ascii="Arial" w:cs="Arial" w:eastAsia="Arial" w:hAnsi="Arial"/>
                <w:sz w:val="16"/>
                <w:szCs w:val="16"/>
                <w:color w:val="auto"/>
                <w:w w:val="91"/>
              </w:rPr>
              <w:t>Common Stock, $0.001 par value</w:t>
            </w:r>
          </w:p>
        </w:tc>
        <w:tc>
          <w:tcPr>
            <w:tcW w:w="800" w:type="dxa"/>
            <w:vAlign w:val="bottom"/>
            <w:tcBorders>
              <w:bottom w:val="single" w:sz="8" w:color="auto"/>
              <w:right w:val="single" w:sz="8" w:color="auto"/>
            </w:tcBorders>
          </w:tcPr>
          <w:p>
            <w:pPr>
              <w:spacing w:after="0"/>
              <w:rPr>
                <w:sz w:val="17"/>
                <w:szCs w:val="17"/>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ADUS</w:t>
            </w:r>
          </w:p>
        </w:tc>
        <w:tc>
          <w:tcPr>
            <w:tcW w:w="760" w:type="dxa"/>
            <w:vAlign w:val="bottom"/>
            <w:tcBorders>
              <w:bottom w:val="single" w:sz="8" w:color="auto"/>
            </w:tcBorders>
          </w:tcPr>
          <w:p>
            <w:pPr>
              <w:spacing w:after="0"/>
              <w:rPr>
                <w:sz w:val="17"/>
                <w:szCs w:val="17"/>
                <w:color w:val="auto"/>
              </w:rPr>
            </w:pPr>
          </w:p>
        </w:tc>
        <w:tc>
          <w:tcPr>
            <w:tcW w:w="3720" w:type="dxa"/>
            <w:vAlign w:val="bottom"/>
            <w:tcBorders>
              <w:bottom w:val="single" w:sz="8" w:color="auto"/>
              <w:right w:val="single" w:sz="8" w:color="auto"/>
            </w:tcBorders>
            <w:gridSpan w:val="2"/>
          </w:tcPr>
          <w:p>
            <w:pPr>
              <w:jc w:val="center"/>
              <w:ind w:right="699"/>
              <w:spacing w:after="0"/>
              <w:rPr>
                <w:sz w:val="20"/>
                <w:szCs w:val="20"/>
                <w:color w:val="auto"/>
              </w:rPr>
            </w:pPr>
            <w:r>
              <w:rPr>
                <w:rFonts w:ascii="Arial" w:cs="Arial" w:eastAsia="Arial" w:hAnsi="Arial"/>
                <w:sz w:val="16"/>
                <w:szCs w:val="16"/>
                <w:color w:val="auto"/>
                <w:w w:val="93"/>
              </w:rPr>
              <w:t>The Nasdaq Global Market</w:t>
            </w:r>
          </w:p>
        </w:tc>
      </w:tr>
      <w:tr>
        <w:trPr>
          <w:trHeight w:val="311"/>
        </w:trPr>
        <w:tc>
          <w:tcPr>
            <w:tcW w:w="3720" w:type="dxa"/>
            <w:vAlign w:val="bottom"/>
          </w:tcPr>
          <w:p>
            <w:pPr>
              <w:spacing w:after="0"/>
              <w:rPr>
                <w:sz w:val="24"/>
                <w:szCs w:val="24"/>
                <w:color w:val="auto"/>
              </w:rPr>
            </w:pPr>
          </w:p>
        </w:tc>
        <w:tc>
          <w:tcPr>
            <w:tcW w:w="380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12(g) of the Act:</w:t>
            </w:r>
          </w:p>
        </w:tc>
        <w:tc>
          <w:tcPr>
            <w:tcW w:w="14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1"/>
        </w:trPr>
        <w:tc>
          <w:tcPr>
            <w:tcW w:w="3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None</w:t>
            </w:r>
          </w:p>
        </w:tc>
        <w:tc>
          <w:tcPr>
            <w:tcW w:w="14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66"/>
        </w:trPr>
        <w:tc>
          <w:tcPr>
            <w:tcW w:w="4520" w:type="dxa"/>
            <w:vAlign w:val="bottom"/>
            <w:gridSpan w:val="2"/>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2180" w:type="dxa"/>
            <w:vAlign w:val="bottom"/>
            <w:gridSpan w:val="2"/>
          </w:tcPr>
          <w:p>
            <w:pPr>
              <w:spacing w:after="0"/>
              <w:rPr>
                <w:sz w:val="5"/>
                <w:szCs w:val="5"/>
                <w:color w:val="auto"/>
              </w:rPr>
            </w:pPr>
          </w:p>
        </w:tc>
        <w:tc>
          <w:tcPr>
            <w:tcW w:w="2300" w:type="dxa"/>
            <w:vAlign w:val="bottom"/>
          </w:tcPr>
          <w:p>
            <w:pPr>
              <w:spacing w:after="0"/>
              <w:rPr>
                <w:sz w:val="5"/>
                <w:szCs w:val="5"/>
                <w:color w:val="auto"/>
              </w:rPr>
            </w:pPr>
          </w:p>
        </w:tc>
      </w:tr>
      <w:tr>
        <w:trPr>
          <w:trHeight w:val="275"/>
        </w:trPr>
        <w:tc>
          <w:tcPr>
            <w:tcW w:w="8940" w:type="dxa"/>
            <w:vAlign w:val="bottom"/>
            <w:gridSpan w:val="5"/>
          </w:tcPr>
          <w:p>
            <w:pPr>
              <w:ind w:left="520"/>
              <w:spacing w:after="0" w:line="184" w:lineRule="exact"/>
              <w:rPr>
                <w:sz w:val="20"/>
                <w:szCs w:val="20"/>
                <w:color w:val="auto"/>
              </w:rPr>
            </w:pPr>
            <w:r>
              <w:rPr>
                <w:rFonts w:ascii="Arial" w:cs="Arial" w:eastAsia="Arial" w:hAnsi="Arial"/>
                <w:sz w:val="16"/>
                <w:szCs w:val="16"/>
                <w:color w:val="auto"/>
                <w:w w:val="95"/>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5"/>
              </w:rPr>
              <w:t>☐</w:t>
            </w:r>
          </w:p>
        </w:tc>
        <w:tc>
          <w:tcPr>
            <w:tcW w:w="2300" w:type="dxa"/>
            <w:vAlign w:val="bottom"/>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tc>
      </w:tr>
      <w:tr>
        <w:trPr>
          <w:trHeight w:val="283"/>
        </w:trPr>
        <w:tc>
          <w:tcPr>
            <w:tcW w:w="8940" w:type="dxa"/>
            <w:vAlign w:val="bottom"/>
            <w:gridSpan w:val="5"/>
          </w:tcPr>
          <w:p>
            <w:pPr>
              <w:ind w:left="52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Exchange Act.</w:t>
            </w:r>
          </w:p>
        </w:tc>
        <w:tc>
          <w:tcPr>
            <w:tcW w:w="230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tc>
      </w:tr>
    </w:tbl>
    <w:p>
      <w:pPr>
        <w:spacing w:after="0" w:line="46" w:lineRule="exact"/>
        <w:rPr>
          <w:sz w:val="24"/>
          <w:szCs w:val="24"/>
          <w:color w:val="auto"/>
        </w:rPr>
      </w:pPr>
    </w:p>
    <w:p>
      <w:pPr>
        <w:ind w:right="180" w:firstLine="5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47" w:lineRule="exact"/>
        <w:rPr>
          <w:sz w:val="24"/>
          <w:szCs w:val="24"/>
          <w:color w:val="auto"/>
        </w:rPr>
      </w:pPr>
    </w:p>
    <w:p>
      <w:pPr>
        <w:ind w:right="940" w:firstLine="510"/>
        <w:spacing w:after="0" w:line="28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jc w:val="both"/>
        <w:ind w:right="28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28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28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6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4800" w:type="dxa"/>
            <w:vAlign w:val="bottom"/>
          </w:tcPr>
          <w:p>
            <w:pPr>
              <w:ind w:left="2280"/>
              <w:spacing w:after="0"/>
              <w:rPr>
                <w:sz w:val="20"/>
                <w:szCs w:val="20"/>
                <w:color w:val="auto"/>
              </w:rPr>
            </w:pPr>
            <w:r>
              <w:rPr>
                <w:rFonts w:ascii="Arial" w:cs="Arial" w:eastAsia="Arial" w:hAnsi="Arial"/>
                <w:sz w:val="16"/>
                <w:szCs w:val="16"/>
                <w:color w:val="auto"/>
              </w:rPr>
              <w:t>Emerging Growth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6" w:lineRule="exact"/>
        <w:rPr>
          <w:sz w:val="24"/>
          <w:szCs w:val="24"/>
          <w:color w:val="auto"/>
        </w:rPr>
      </w:pPr>
    </w:p>
    <w:p>
      <w:pPr>
        <w:ind w:right="320" w:firstLine="51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 w:lineRule="exact"/>
        <w:rPr>
          <w:sz w:val="24"/>
          <w:szCs w:val="24"/>
          <w:color w:val="auto"/>
        </w:rPr>
      </w:pPr>
    </w:p>
    <w:p>
      <w:pPr>
        <w:ind w:left="520"/>
        <w:spacing w:after="0" w:line="184" w:lineRule="exact"/>
        <w:tabs>
          <w:tab w:leader="none" w:pos="7300" w:val="left"/>
          <w:tab w:leader="none" w:pos="7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220" w:firstLine="510"/>
        <w:spacing w:after="0" w:line="328" w:lineRule="auto"/>
        <w:rPr>
          <w:sz w:val="20"/>
          <w:szCs w:val="20"/>
          <w:color w:val="auto"/>
        </w:rPr>
      </w:pPr>
      <w:r>
        <w:rPr>
          <w:rFonts w:ascii="Arial" w:cs="Arial" w:eastAsia="Arial" w:hAnsi="Arial"/>
          <w:sz w:val="15"/>
          <w:szCs w:val="15"/>
          <w:color w:val="auto"/>
        </w:rPr>
        <w:t>The aggregate market value of the voting and non-voting common stock held by non-affiliates of the registrant, based on the last sale price on The Nasdaq Global Market on June 30, 2020 (the last business day of the registrant’s most recently completed second fiscal quarter) was approximately $1,335,406,000.</w:t>
      </w:r>
    </w:p>
    <w:p>
      <w:pPr>
        <w:spacing w:after="0" w:line="42" w:lineRule="exact"/>
        <w:rPr>
          <w:sz w:val="24"/>
          <w:szCs w:val="24"/>
          <w:color w:val="auto"/>
        </w:rPr>
      </w:pPr>
    </w:p>
    <w:p>
      <w:pPr>
        <w:ind w:left="520"/>
        <w:spacing w:after="0"/>
        <w:rPr>
          <w:sz w:val="20"/>
          <w:szCs w:val="20"/>
          <w:color w:val="auto"/>
        </w:rPr>
      </w:pPr>
      <w:r>
        <w:rPr>
          <w:rFonts w:ascii="Arial" w:cs="Arial" w:eastAsia="Arial" w:hAnsi="Arial"/>
          <w:sz w:val="16"/>
          <w:szCs w:val="16"/>
          <w:color w:val="auto"/>
        </w:rPr>
        <w:t>As of February 19, 2021, there were 15,826,284 shares of common stock outstanding.</w:t>
      </w:r>
    </w:p>
    <w:p>
      <w:pPr>
        <w:spacing w:after="0" w:line="82"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right="360" w:firstLine="510"/>
        <w:spacing w:after="0" w:line="328" w:lineRule="auto"/>
        <w:rPr>
          <w:sz w:val="20"/>
          <w:szCs w:val="20"/>
          <w:color w:val="auto"/>
        </w:rPr>
      </w:pPr>
      <w:r>
        <w:rPr>
          <w:rFonts w:ascii="Arial" w:cs="Arial" w:eastAsia="Arial" w:hAnsi="Arial"/>
          <w:sz w:val="15"/>
          <w:szCs w:val="15"/>
          <w:color w:val="auto"/>
        </w:rPr>
        <w:t>Certain portions of the registrant’s Definitive Proxy Statement for its 2021 Annual Meeting of Stockholders (which is expected to be filed with the Commission within 120 days after the end of the registrant’s 2020 fiscal year)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540" w:type="dxa"/>
            <w:vAlign w:val="bottom"/>
            <w:gridSpan w:val="2"/>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700" w:type="dxa"/>
            <w:vAlign w:val="bottom"/>
          </w:tcPr>
          <w:p>
            <w:pPr>
              <w:spacing w:after="0"/>
              <w:rPr>
                <w:sz w:val="20"/>
                <w:szCs w:val="20"/>
                <w:color w:val="auto"/>
              </w:rPr>
            </w:pPr>
          </w:p>
        </w:tc>
      </w:tr>
      <w:tr>
        <w:trPr>
          <w:trHeight w:val="648"/>
        </w:trPr>
        <w:tc>
          <w:tcPr>
            <w:tcW w:w="1120" w:type="dxa"/>
            <w:vAlign w:val="bottom"/>
          </w:tcPr>
          <w:p>
            <w:pPr>
              <w:spacing w:after="0"/>
              <w:rPr>
                <w:sz w:val="24"/>
                <w:szCs w:val="24"/>
                <w:color w:val="auto"/>
              </w:rPr>
            </w:pPr>
          </w:p>
        </w:tc>
        <w:tc>
          <w:tcPr>
            <w:tcW w:w="9420" w:type="dxa"/>
            <w:vAlign w:val="bottom"/>
          </w:tcPr>
          <w:p>
            <w:pPr>
              <w:ind w:left="354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4"/>
                <w:szCs w:val="24"/>
                <w:color w:val="auto"/>
              </w:rPr>
            </w:pPr>
          </w:p>
        </w:tc>
      </w:tr>
      <w:tr>
        <w:trPr>
          <w:trHeight w:val="441"/>
        </w:trPr>
        <w:tc>
          <w:tcPr>
            <w:tcW w:w="1120" w:type="dxa"/>
            <w:vAlign w:val="bottom"/>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w:t>
              </w:r>
            </w:hyperlink>
          </w:p>
        </w:tc>
        <w:tc>
          <w:tcPr>
            <w:tcW w:w="9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1.</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Business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1A.</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Risk Factors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1B.</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Unresolved Staff Comments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2.</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Properties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3.</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Legal Proceedings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4"/>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4.</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Mine Safety Disclosures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4"/>
        </w:trPr>
        <w:tc>
          <w:tcPr>
            <w:tcW w:w="1120" w:type="dxa"/>
            <w:vAlign w:val="bottom"/>
          </w:tcPr>
          <w:p>
            <w:pPr>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PART II</w:t>
              </w:r>
            </w:hyperlink>
          </w:p>
        </w:tc>
        <w:tc>
          <w:tcPr>
            <w:tcW w:w="9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5.</w:t>
            </w:r>
          </w:p>
        </w:tc>
        <w:tc>
          <w:tcPr>
            <w:tcW w:w="9420" w:type="dxa"/>
            <w:vAlign w:val="bottom"/>
          </w:tcPr>
          <w:p>
            <w:pPr>
              <w:ind w:left="220"/>
              <w:spacing w:after="0"/>
              <w:rPr>
                <w:rFonts w:ascii="Arial" w:cs="Arial" w:eastAsia="Arial" w:hAnsi="Arial"/>
                <w:sz w:val="18"/>
                <w:szCs w:val="18"/>
                <w:b w:val="1"/>
                <w:bCs w:val="1"/>
                <w:u w:val="single" w:color="auto"/>
                <w:color w:val="0000EE"/>
                <w:w w:val="95"/>
              </w:rPr>
            </w:pPr>
            <w:hyperlink w:anchor="page36">
              <w:r>
                <w:rPr>
                  <w:rFonts w:ascii="Arial" w:cs="Arial" w:eastAsia="Arial" w:hAnsi="Arial"/>
                  <w:sz w:val="18"/>
                  <w:szCs w:val="18"/>
                  <w:b w:val="1"/>
                  <w:bCs w:val="1"/>
                  <w:u w:val="single" w:color="auto"/>
                  <w:color w:val="0000EE"/>
                  <w:w w:val="95"/>
                </w:rPr>
                <w:t>Market for Registrant’s Common Equity, Related Stockholder Matters and Issuer Purchases of Equity Securities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6.</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Selected Financial Data</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7.</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7A.</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Quantitative and Qualitative Disclosures about Market Risk</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8.</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Financial Statements and Supplementary Data</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9.</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Changes in and Disagreements with Accountants on Accounting and Financial Disclosure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9A.</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Controls and Procedures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4"/>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9B.</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Other Information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14"/>
        </w:trPr>
        <w:tc>
          <w:tcPr>
            <w:tcW w:w="1120" w:type="dxa"/>
            <w:vAlign w:val="bottom"/>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PART III</w:t>
              </w:r>
            </w:hyperlink>
          </w:p>
        </w:tc>
        <w:tc>
          <w:tcPr>
            <w:tcW w:w="9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10.</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Directors, Executive Officers and Corporate Governance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11.</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Executive Compensation</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12.</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Security Ownership of Certain Beneficial Owners and Management and Related Stockholder Matters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13.</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Certain Relationships and Related Transactions, and Director Independence</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4"/>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14.</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Principal Accounting Fees and Services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4"/>
        </w:trPr>
        <w:tc>
          <w:tcPr>
            <w:tcW w:w="1120" w:type="dxa"/>
            <w:vAlign w:val="bottom"/>
          </w:tcPr>
          <w:p>
            <w:pPr>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PART IV</w:t>
              </w:r>
            </w:hyperlink>
          </w:p>
        </w:tc>
        <w:tc>
          <w:tcPr>
            <w:tcW w:w="9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15.</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6">
              <w:r>
                <w:rPr>
                  <w:rFonts w:ascii="Arial" w:cs="Arial" w:eastAsia="Arial" w:hAnsi="Arial"/>
                  <w:sz w:val="18"/>
                  <w:szCs w:val="18"/>
                  <w:b w:val="1"/>
                  <w:bCs w:val="1"/>
                  <w:u w:val="single" w:color="auto"/>
                  <w:color w:val="0000EE"/>
                </w:rPr>
                <w:t>Exhibits and Financial Statement Schedules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4"/>
        </w:trPr>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Item 16.</w:t>
            </w:r>
          </w:p>
        </w:tc>
        <w:tc>
          <w:tcPr>
            <w:tcW w:w="9420" w:type="dxa"/>
            <w:vAlign w:val="bottom"/>
          </w:tcPr>
          <w:p>
            <w:pPr>
              <w:ind w:left="220"/>
              <w:spacing w:after="0"/>
              <w:rPr>
                <w:rFonts w:ascii="Arial" w:cs="Arial" w:eastAsia="Arial" w:hAnsi="Arial"/>
                <w:sz w:val="18"/>
                <w:szCs w:val="18"/>
                <w:b w:val="1"/>
                <w:bCs w:val="1"/>
                <w:u w:val="single" w:color="auto"/>
                <w:color w:val="0000EE"/>
              </w:rPr>
            </w:pPr>
            <w:hyperlink w:anchor="page69">
              <w:r>
                <w:rPr>
                  <w:rFonts w:ascii="Arial" w:cs="Arial" w:eastAsia="Arial" w:hAnsi="Arial"/>
                  <w:sz w:val="18"/>
                  <w:szCs w:val="18"/>
                  <w:b w:val="1"/>
                  <w:bCs w:val="1"/>
                  <w:u w:val="single" w:color="auto"/>
                  <w:color w:val="0000EE"/>
                </w:rPr>
                <w:t>Form 10-K Summary</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006"/>
        </w:trPr>
        <w:tc>
          <w:tcPr>
            <w:tcW w:w="112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CAUTION CONCERNING FORWARD-LOOKING STATEMENTS</w:t>
      </w:r>
    </w:p>
    <w:p>
      <w:pPr>
        <w:spacing w:after="0" w:line="22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When included in this Annual Report on Form 10-K, or in other documents that we file with the Securities and Exchange Commission (“SEC”) or in statements made by or on behalf of the Company,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w:t>
      </w:r>
    </w:p>
    <w:p>
      <w:pPr>
        <w:spacing w:after="0" w:line="195" w:lineRule="exact"/>
        <w:rPr>
          <w:sz w:val="20"/>
          <w:szCs w:val="20"/>
          <w:color w:val="auto"/>
        </w:rPr>
      </w:pPr>
    </w:p>
    <w:p>
      <w:pPr>
        <w:ind w:left="880" w:right="80" w:hanging="373"/>
        <w:spacing w:after="0" w:line="290"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anticipated impact to our business with respect to developments related to the COVID-19 pandemic, including, without limitation, those related to the length and severity of the pandemic, as well as the timing and availability of effective medical treatments and the ongoing rollout of vaccines; the pandemic’s impact on our operations, reimbursement and our consumer population; measures we are taking to respond to the pandemic; the impact of government regulation and stimulus measures, including the Coronavirus Aid, Relief, and Economic Security Act (“CARES Act”), Paycheck Protection Program and Health Care Enhancement Act (“PPPHCE Act”), the Consolidated Appropriations Act, 2021 (“CAA”), the Covid-Related Tax Relief Act of 2020 and other stimulus legislation; along with the related uncertainties regarding the implementation of such stimulus measures and any future stimulus measures related to COVID-19; increased expenses related to personal protective equipment (“PPE”), labor, supply chain, or other expenditures; and workforce disruptions and supply shortages and disruptions;</w:t>
      </w:r>
    </w:p>
    <w:p>
      <w:pPr>
        <w:spacing w:after="0" w:line="16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operational and reimbursement processes and payment structures at the state or federal levels;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Medicaid, Medicare, other government program and managed care organizations policies and payment rates;</w:t>
      </w:r>
    </w:p>
    <w:p>
      <w:pPr>
        <w:spacing w:after="0" w:line="238" w:lineRule="exact"/>
        <w:rPr>
          <w:rFonts w:ascii="Arial" w:cs="Arial" w:eastAsia="Arial" w:hAnsi="Arial"/>
          <w:sz w:val="18"/>
          <w:szCs w:val="18"/>
          <w:color w:val="auto"/>
        </w:rPr>
      </w:pPr>
    </w:p>
    <w:p>
      <w:pPr>
        <w:ind w:left="880" w:right="10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our failure to comply with, existing, federal and state laws or regulations, or our failure to comply with new government laws or regulations on a timely basis;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healthcare industry;</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geographical concentration of our operations;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case mix of consumers and payment methodologies;</w:t>
      </w:r>
    </w:p>
    <w:p>
      <w:pPr>
        <w:spacing w:after="0" w:line="238"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changes resulting from the assumption by managed care organizations of responsibility for managing and paying for our services to consumers;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nature and success of future financial and/or delivery system reforms;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estimates and judgments associated with critical accounting policies;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establish new referral sources;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significant agreements or groups of agreements;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238" w:lineRule="exact"/>
        <w:rPr>
          <w:rFonts w:ascii="Arial" w:cs="Arial" w:eastAsia="Arial" w:hAnsi="Arial"/>
          <w:sz w:val="18"/>
          <w:szCs w:val="18"/>
          <w:color w:val="auto"/>
        </w:rPr>
      </w:pPr>
    </w:p>
    <w:p>
      <w:pPr>
        <w:ind w:left="880" w:right="36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city and state minimum wage pressure, including any failure of Illinois or any other governmental entity to enact a minimum wage offset and/or the timing of any such enactment;</w:t>
      </w:r>
    </w:p>
    <w:p>
      <w:pPr>
        <w:spacing w:after="0" w:line="170"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payments and covered services due to the overall economic conditions, including economic and business conditions resulting from the COVID-19 pandemic, and deficit spending by federal and state governments;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containment initiatives undertaken by state and other third-party payors;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financing through the capital and credit markets;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debt service requirements and comply with covenants in debt agreements;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80" w:right="18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disruptions due to natural disasters, acts of terrorism, pandemics, riots, civil insurrection or social unrest, looting, protests, strikes or street demonstrations;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and manage our information systems;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prevent cyber-attacks or security breaches to protect our computer systems and confidential consumer data;</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size and growth of the market for our services;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acceptance of privatized social services;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changes in reimbursement rates;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eligibility standards and limits on services imposed by state governmental agencies;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litigation;</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discretionary determinations by government officials;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model to grow our business;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continue identifying, pursuing, consummating and integrating acquisition opportunities and expand into new geographic markets;</w:t>
      </w:r>
    </w:p>
    <w:p>
      <w:pPr>
        <w:spacing w:after="0" w:line="261" w:lineRule="exact"/>
        <w:rPr>
          <w:rFonts w:ascii="Arial" w:cs="Arial" w:eastAsia="Arial" w:hAnsi="Arial"/>
          <w:sz w:val="16"/>
          <w:szCs w:val="16"/>
          <w:color w:val="auto"/>
        </w:rPr>
      </w:pPr>
    </w:p>
    <w:p>
      <w:pPr>
        <w:ind w:left="880" w:right="160" w:hanging="373"/>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acquisitions and dispositions on our business, including the potential inability to realize the benefits of the acquisition of Queen City Hospice, LLC and its affiliate Miracle City Hospice, LLC (together “Queen City Hospice”);</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the discontinuation or modification of LIBOR;</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quality and cost of our services;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execute our growth strategy;</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rates;</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public health emergencies, including the COVID-19 pandemic;</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inclement weather or natural disasters; and</w:t>
      </w:r>
    </w:p>
    <w:p>
      <w:pPr>
        <w:spacing w:after="0" w:line="238" w:lineRule="exact"/>
        <w:rPr>
          <w:rFonts w:ascii="Arial" w:cs="Arial" w:eastAsia="Arial" w:hAnsi="Arial"/>
          <w:sz w:val="18"/>
          <w:szCs w:val="18"/>
          <w:color w:val="auto"/>
        </w:rPr>
      </w:pPr>
    </w:p>
    <w:p>
      <w:pPr>
        <w:ind w:left="880" w:hanging="373"/>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various other matters, many of which are beyond our control.</w:t>
      </w:r>
    </w:p>
    <w:p>
      <w:pPr>
        <w:spacing w:after="0" w:line="23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 For a discussion of some of the factors discussed above as well as additional factors, see Part I, Item 1A—“Risk Factors” and Part II, Item 7—“Management’s Discussion and Analysis of Financial Condition and Results of Operations—Critical Accounting Policies and Estimates.”</w:t>
      </w:r>
    </w:p>
    <w:p>
      <w:pPr>
        <w:spacing w:after="0" w:line="19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Unless otherwise provided, “Addus,” “we,” “us,” “our,” and the “Company” refer to Addus HomeCare Corporation and our consolidated subsidiaries and “Holdings” refers to Addus HomeCare Corporation. When we refer to 2020, 2019 and 2018, we mean the twelve month period then ended December 31, unless otherwise provided.</w:t>
      </w:r>
    </w:p>
    <w:p>
      <w:pPr>
        <w:spacing w:after="0" w:line="184"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A copy of this Annual Report on Form 10-K for the year ended December 31, 2020 as filed with the SEC, including all exhibits, is available on our internet website at http://www.addus.com on the “Investors” page link. Information contained on, or accessible through, our website is not a part of, and is not incorporated by reference into, this Annual Report on Form 10-K.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Addus has been providing home care services since 1979. We now operate in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w:t>
      </w:r>
    </w:p>
    <w:p>
      <w:pPr>
        <w:spacing w:after="0" w:line="14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As of December 31, 2020, we provided services in 22 states through approximately 214 offices. For the years ended December 31, 2020, 2019 and 2018, we served approximately 66,000, 61,000 and 57,000 discrete consumers, respectively.</w:t>
      </w:r>
    </w:p>
    <w:p>
      <w:pPr>
        <w:spacing w:after="0" w:line="197"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In 2016, Addus refined its strategy to focus on growth in the states in which we have a current presence while adding clinical care services to our offerings. With the purchase of Queen City Hospice in the fourth quarter of 2020, and Ambercare Corporation (“Ambercare”) in the second quarter of 2018, we now have the opportunity to provide all three levels of care, personal care, home health and hospice services, in Ohio and New Mexico and strategically continue to pursue other markets.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financial results for 2020, 2019 and 2018 is provided in the table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center"/>
              <w:ind w:left="595"/>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 – continuing operations</w:t>
            </w:r>
          </w:p>
        </w:tc>
        <w:tc>
          <w:tcPr>
            <w:tcW w:w="20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648,791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516,647</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25,811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16,307</w:t>
            </w:r>
          </w:p>
        </w:tc>
        <w:tc>
          <w:tcPr>
            <w:tcW w:w="100" w:type="dxa"/>
            <w:vAlign w:val="bottom"/>
          </w:tcPr>
          <w:p>
            <w:pPr>
              <w:spacing w:after="0"/>
              <w:rPr>
                <w:sz w:val="19"/>
                <w:szCs w:val="19"/>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earnings from discontinued operations</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(574)</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r>
      <w:tr>
        <w:trPr>
          <w:trHeight w:val="263"/>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7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33,133</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25,237</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16,433</w:t>
            </w:r>
          </w:p>
        </w:tc>
        <w:tc>
          <w:tcPr>
            <w:tcW w:w="100" w:type="dxa"/>
            <w:vAlign w:val="bottom"/>
            <w:tcBorders>
              <w:bottom w:val="single" w:sz="8" w:color="CFF0FC"/>
            </w:tcBorders>
          </w:tcPr>
          <w:p>
            <w:pPr>
              <w:spacing w:after="0"/>
              <w:rPr>
                <w:sz w:val="22"/>
                <w:szCs w:val="22"/>
                <w:color w:val="auto"/>
              </w:rPr>
            </w:pPr>
          </w:p>
        </w:tc>
      </w:tr>
      <w:tr>
        <w:trPr>
          <w:trHeight w:val="21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7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892,582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636,748</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348,094</w:t>
            </w:r>
          </w:p>
        </w:tc>
        <w:tc>
          <w:tcPr>
            <w:tcW w:w="100" w:type="dxa"/>
            <w:vAlign w:val="bottom"/>
            <w:shd w:val="clear" w:color="auto" w:fill="CFF0FC"/>
          </w:tcPr>
          <w:p>
            <w:pPr>
              <w:spacing w:after="0"/>
              <w:rPr>
                <w:sz w:val="18"/>
                <w:szCs w:val="18"/>
                <w:color w:val="auto"/>
              </w:rPr>
            </w:pPr>
          </w:p>
        </w:tc>
      </w:tr>
    </w:tbl>
    <w:p>
      <w:pPr>
        <w:spacing w:after="0" w:line="22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Our services and operating model address a number of crucial needs across the healthcare continuum. Care provided in the home generally costs less than facility-based care and is typically preferred by consumers and their families. By providing services in the home to the elderly and others who require long-term care and support with the activities of daily living, we lower the cost of chronic and acute care treatment by delaying or eliminating the need for care in more expensive settings. In addition, our caregivers observe and report changes in the condition of our consumers for the purpose of facilitating early intervention in the disease process, which often reduces the cost of medical services by preventing unnecessary emergency room visits and/or hospital admissions and re-admissions. We coordinate the services provided by our team with those of other healthcare providers and payors, as appropriate. Changes in a consumer’s conditions are evaluated by appropriately trained managers and may result in a report to the consumer’s case manager at a managed care organization or other payor. By providing care in the preferred setting of the home and by providing opportunities to improve the consumer’s conditions and allow early intervention as indicated, our model also is designed to improve consumer outcomes and satisfaction.</w:t>
      </w:r>
    </w:p>
    <w:p>
      <w:pPr>
        <w:spacing w:after="0" w:line="166"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We believe our model provides significant value to managed care organizations. States are increasingly implementing managed care programs for Medicaid enrollees, and, as a result, managed care organizations have been increasingly responsible for the healthcare needs and the related healthcare costs of our consumers. Managed care organizations have an economic incentive to better manage the healthcare expenditures of their members, lower costs and improve outcomes. We believe that our model is well positioned to assist in meeting those goals while also improving consumer satisfaction, and, as a result, we expect increased referrals from managed care organizations.</w:t>
      </w:r>
    </w:p>
    <w:p>
      <w:pPr>
        <w:spacing w:after="0" w:line="17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 2019, the Centers for Medicare &amp; Medicaid Services (“CMS”) expanded the scope of its “primarily health-related” supplemental benefit standard, permitting Medicare Advantage plans to cover a broader array of services that increase health and improve quality of life, including coverage of non-skilled in-home care. This policy change, emphasizing improving quality and reducing costs, aligns with our overall approach to care, and has increased demand for personal care from the Medicare Advantage population.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and Opportunity</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provide home care services that primarily include personal care services to assist with activities of daily living, as well as hospice and home health services. These services allow the elderly and other infirm adults who require long-term care and assistance with activities of daily living to maintain their independence at home with their families. Personal care services are a significant component of home and community-based services (“HCBS”), which have grown in significance and demand in recent years and during the COVID-19 pandemic. We expect demand for home-based services to continue to grow due to the aging of the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population, increased life expectancy, and improved opportunities for individuals to receive home-based care as an alternative to institutional care. The population over the age of 65 nationally has been consistently growing and the U.S. Census Bureau estimates that starting in 2030, when all baby boomers will be older than 65, Americans 65 years and older will make up 21% of the population, up from 15% today.</w:t>
      </w:r>
    </w:p>
    <w:p>
      <w:pPr>
        <w:spacing w:after="0" w:line="165" w:lineRule="exact"/>
        <w:rPr>
          <w:sz w:val="20"/>
          <w:szCs w:val="20"/>
          <w:color w:val="auto"/>
        </w:rPr>
      </w:pPr>
    </w:p>
    <w:p>
      <w:pPr>
        <w:ind w:right="40" w:firstLine="509"/>
        <w:spacing w:after="0" w:line="290" w:lineRule="auto"/>
        <w:rPr>
          <w:sz w:val="20"/>
          <w:szCs w:val="20"/>
          <w:color w:val="auto"/>
        </w:rPr>
      </w:pPr>
      <w:r>
        <w:rPr>
          <w:rFonts w:ascii="Arial" w:cs="Arial" w:eastAsia="Arial" w:hAnsi="Arial"/>
          <w:sz w:val="17"/>
          <w:szCs w:val="17"/>
          <w:color w:val="auto"/>
        </w:rPr>
        <w:t>Many states use both fee-for-service and managed care delivery models for personal care services, and the number of beneficiaries served through managed care continues to grow. As of July 2019, 40 states contracted with comprehensive, risk-based managed care organizations to serve their Medicaid enrollees, with 21 of those states enrolling at least 75% of all elderly beneficiaries or those with disabilities in managed care organizations. In 23 states, some or all long-term services and support is covered through Medicaid managed care arrangements.</w:t>
      </w:r>
    </w:p>
    <w:p>
      <w:pPr>
        <w:spacing w:after="0" w:line="1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demand for long-term services and supports, which include personal care services, is expected to increase</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COVID-19 pandemic has highlighted the role of personal care services in the larger continuum of health care services. Beyond government-sponsored programs and other third party payors, we offer our private pay consumers the same personal care services.</w:t>
      </w:r>
    </w:p>
    <w:p>
      <w:pPr>
        <w:spacing w:after="0" w:line="184"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Because our model serves an aging population in a home setting at a lower cost, we believe that we have favorable opportunities for growth. Historically, there were limited barriers to entry in the home-based services industry. As a result, the personal care, home health and hospice service industries developed in a highly fragmented manner, with few large participants and many small ones. Few companies have a significant market share across multiple regions or states. The lack of licensure or certification requirements in some states makes it difficult to estimate the number of home-based services agencies. We expect ongoing consolidation within our industry, driven by the desire of healthcare systems and managed care organizations to narrow their networks of service providers, and as a result of the industry’s increasingly complex regulatory, operating and technology requirements. We believe we are well positioned to capitalize on a consolidating industry given our reputation in the market, strong payor relationships and integration of technology into our business model.</w:t>
      </w:r>
    </w:p>
    <w:p>
      <w:pPr>
        <w:spacing w:after="0" w:line="19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personal care services industry is subject to increasing regulation. At the federal level, efforts have focused on improved coordination of regulation across the various types of Medicaid programs through which personal care services are offered. For example, the 21</w:t>
      </w:r>
      <w:r>
        <w:rPr>
          <w:rFonts w:ascii="Arial" w:cs="Arial" w:eastAsia="Arial" w:hAnsi="Arial"/>
          <w:sz w:val="14"/>
          <w:szCs w:val="14"/>
          <w:color w:val="auto"/>
        </w:rPr>
        <w:t>st</w:t>
      </w:r>
      <w:r>
        <w:rPr>
          <w:rFonts w:ascii="Arial" w:cs="Arial" w:eastAsia="Arial" w:hAnsi="Arial"/>
          <w:sz w:val="17"/>
          <w:szCs w:val="17"/>
          <w:color w:val="auto"/>
        </w:rPr>
        <w:t xml:space="preserve"> Century Cures Act, as amended, mandated that states implement electronic visit verification (“EVV”), which is used to collect home visit data, such as when the visit begins and ends. In several states, providers are now required to obtain state licenses or registrations and must comply with laws and regulations governing standards of practice. Providers must dedicate substantial resources to ensure continuing compliance with all applicable regulations and significant expenditures may be necessary to offer new services or to expand into new markets. We believe licensing requirements and regulations, including EVV, the increasing focus on improving health outcomes, the rising cost and complexity of operations and technology and pressure on reimbursement rates due to constrained government resources may discourage new providers and may encourage industry consolidation.</w:t>
      </w:r>
    </w:p>
    <w:p>
      <w:pPr>
        <w:spacing w:after="0" w:line="178"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Medicare-Medicaid Coordination Office (“MMCO”) was established within CMS to improve services for consumers who are eligible for both Medicare and Medicaid, also known as “dual eligibles,” and improve coordination between the federal government and states to enhance access to quality services to which they are entitled. The MMCO works with state Medicaid agencies, other federal and state agencies, physicians and others, to make available technical assistance and educational tools to improve care coordination between Medicare and Medicaid and to reduce costs and improve beneficiary experience while reducing administrative and regulatory barriers between the programs. For example, the Financial Alignment Initiative is a demonstration project that tests capitated models and managed fee-for-service models of integrated care and payment for benefits provided to “dual eligibles.” In addition, in December 2020, CMS announced a direct contracting model opportunity that aims to allow Medicaid managed care organizations to better coordinate care for dually eligible Medicaid managed care enrollees. CMS anticipates that some arrangements under the model may include use of care coordinators or in-home aides to provide long-term services and supports. Managed care direct contracting entities may begin participating in the model in January 2022.</w:t>
      </w:r>
    </w:p>
    <w:p>
      <w:pPr>
        <w:spacing w:after="0" w:line="18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We believe that our personal care program and our technology make us well-suited to partner with managed care organizations to address the needs of the “dual eligible” population, and we believe that our ability to identify changes in our consumers’ health and condition before acute intervention is required will lower the overall cost of care. We believe this approach to care delivery and the integration of our services into the broader healthcare continuum are particularly attractive to managed care organizations and others who are ultimately responsible for the healthcare needs of our consumers and over time will increase our business with them.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Strategy</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growth of our revenues is closely correlated with the number of consumers to whom we provide our services. Our continued growth depends on our ability to provide consistently high quality care, maintain our existing payor relationships, establish relationships with new payors and increase our referral sources. Our continued growth is also dependent upon the authorization by state agencies of new consumers to receive our services. We believe there are several market opportunities for growth. The U.S. population of persons aged 65 continues to grow, and the U.S. Census Bureau estimates that this population will nearly double in size by 2060, according to projections published in March 2018. Additionally, we believe the overwhelming majority of individuals in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need of care generally prefer to receive care in their homes. We believe that the COVID-19 pandemic has heightened this preference due to health concerns that may be associated with institutional settings for long-term care, along with temporary visitor restrictions that have been imposed. Finally, we believe the provision of home-based services is more cost-effective than the provision of similar services in institutional settings for long-term care. We plan to continue our revenue growth and margin improvement and enhance our competitive positioning by executing on the following growth strategies:</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Consistently Provide High-Quality Care</w:t>
      </w:r>
    </w:p>
    <w:p>
      <w:pPr>
        <w:spacing w:after="0" w:line="117"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We schedule and require our caregivers to perform their services as defined within the individual plan of care. We monitor the performance of our caregivers through regular supervisory visits in the homes of consumers. Our caregivers are provided with pre-service training and orientation and an evaluation of their skills. In many cases, caregivers are also required to attend ongoing in-service education. In certain states, our caregivers are required to complete certified training programs and maintain a state certification. The training provided assists to identify changes in our consumers’ health and condition before acute intervention is required, which we believe lowers the overall cost of care.</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Drive Organic Growth in Existing Markets</w:t>
      </w:r>
    </w:p>
    <w:p>
      <w:pPr>
        <w:spacing w:after="0" w:line="11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We intend to drive organic growth through several initiatives, including continuing to build and enhance our sales and marketing capabilities, enhancing our business intelligence analytic capabilities and investing in technology and operations to drive efficiencies. We also expect our organic growth will benefit from an increase in demand for our services by an aging population and our increased alignment with referral sources and payors. We continue to selectively open new offices in existing markets when an opportunity is identified and appropriate.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 to Managed Care Organizations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As a scaled, national provider of home-based care, we are partnering with managed care organizations, taking advantage of an industry shift from traditional fee-for-service Medicaid and toward managed care models, which aim to better coordinate care. We expect this shift to lead to narrower provider networks where we can be competitive by offering a larger, more experienced partner to these organizations, as well as by providing more sophisticated technology, electronic visit records and an outcomes-driven approach to service. We believe our coordinated care model and integration of services into the broader healthcare industry are particularly attractive to managed care organizations. In particular, our expansion from primarily personal care services into hospice and home health has increased our value to our managed care partners by diversifying our home-based care offerings.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Grow Through Acquisitions</w:t>
      </w:r>
    </w:p>
    <w:p>
      <w:pPr>
        <w:spacing w:after="0" w:line="117"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In addition to our organic growth, we have been growing through acquisitions that have expanded our presence in current markets or facilitated our entry into new markets. We completed four acquisitions in 2020, despite the challenges and disruptions related to the COVID-19 pandemic including, A Plus Health Care, Inc. (“A Plus”) on July 1, 2020, County Homemakers, Inc. (“County Homemakers”) on November 1, 2020, SLHC, Inc., d/b/a SunLife Home Care (“SunLife Home Care”) on December 1, 2020 and Queen City Hospice on December 4, 2020. During 2019, we completed four acquisitions, one of which, VIP Healthcare Services (“VIP”), was completed on June 1, 2019, two of which, Alliance Home Health Care (“Alliance”) and Foremost Home Care (“Foremost”), were completed on August 1, 2019 and one of which, Hospice Partners of America, LLC (“Hospice Partners”), was completed on October 1, 2019. Acquisitions completed in 2020 accounted for $12.1 million in net service revenues for the year ended December 31, 2020. Acquisitions completed in 2019 accounted for $108.2 million and $55.8 million in net service revenues for the years ended December 31, 2020 and 2019, respectively. Acquisitions completed in 2018 accounted for $158.1 million, $113.2 million and $75.2 million in net service revenues for the years ended December 31, 2020, 2019 and 2018, respectively.</w:t>
      </w:r>
    </w:p>
    <w:p>
      <w:pPr>
        <w:spacing w:after="0" w:line="185" w:lineRule="exact"/>
        <w:rPr>
          <w:sz w:val="20"/>
          <w:szCs w:val="20"/>
          <w:color w:val="auto"/>
        </w:rPr>
      </w:pPr>
    </w:p>
    <w:p>
      <w:pPr>
        <w:jc w:val="both"/>
        <w:ind w:right="120" w:firstLine="509"/>
        <w:spacing w:after="0" w:line="257" w:lineRule="auto"/>
        <w:rPr>
          <w:sz w:val="20"/>
          <w:szCs w:val="20"/>
          <w:color w:val="auto"/>
        </w:rPr>
      </w:pPr>
      <w:r>
        <w:rPr>
          <w:rFonts w:ascii="Arial" w:cs="Arial" w:eastAsia="Arial" w:hAnsi="Arial"/>
          <w:sz w:val="18"/>
          <w:szCs w:val="18"/>
          <w:color w:val="auto"/>
        </w:rPr>
        <w:t>Our active pipeline and strong financial position support additional acquisitions. With rising consolidation pressures in the industry, our focus is on identifying growing markets with favorable demographics in states that are fiscally well managed and have a reasonable minimum wage environment and where we have the potential to become one of the leading providers in the state in order to support our managed care organization strategy. We believe our experience identifying and executing on opportunities generated by our acquisition pipeline, as well as our history of integrating acquisitions, will lead to additional consolidation.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We operate in three business segments: (i) personal care (ii) hospice and (iii) home health. Without our services, many of our consumers would be at increased risk of placement in a long-term care institution.</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Personal Care</w:t>
      </w:r>
    </w:p>
    <w:p>
      <w:pPr>
        <w:spacing w:after="0" w:line="117"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Our personal care segment provides non-medical assistance with activities of daily living, primarily to persons who are at increased risk of hospitalization or institutionalization, such as the elderly, chronically ill or disabled. The services we provide include assistance with bathing, grooming, oral care, feeding and dressing, medication reminders, meal planning and preparation, housekeeping and transportation services. Many consumers need such services on a long-term basis to address chronic or acute conditions. Our personal care segment also includes staffing services, with clients including assisted living facilities, nursing homes and hospice facilities. Each payor client establishes its own eligibility standards, determines the type, amount, duration and scope of services, and establishes the applicable reimbursement rate in accordance with applicable law, regulations or contracts.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hospice segment provides physical, emotional and spiritual care for people who are terminally ill as well as related services for their families.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hospice services we provide include palliative nursing care, social work, spiritual counseling, homemaker services and bereavement counseling.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Generally, patients receiving hospice services have a life expectancy of six months or less.</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Our home health segment provides services that are primarily medical in nature to individuals who may require assistance during an illness or after hospitalization and include skilled nursing and physical, occupational and speech therapy. We generally provide home health services on a short-term, intermittent or episodic basis to individuals, typically to assist patients recovering from an illness or injury.</w:t>
      </w:r>
    </w:p>
    <w:p>
      <w:pPr>
        <w:spacing w:after="0" w:line="18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measure the performance of each segment using a number of different metrics. For the personal care segment, these include average billable census, billable hours, average billable hours per census per month, billable hours per business day, revenues per billable hour and same store growth revenue by percent. For the hospice segment, these include new admissions, average daily census, average length of stay and revenue per patient day. For the home health segment, these include admissions, recertifications, total volume and number of visits. See Part II, Item 6—“Selected Financial Data” for more information on the Company’s metrics.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Payors</w:t>
      </w:r>
    </w:p>
    <w:p>
      <w:pPr>
        <w:spacing w:after="0" w:line="117"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Our payor clients include federal, state and local governmental agencies, managed care organizations, commercial insurers and private individuals. The federal, state and local programs under which these organizations operate are subject to legislative, budgetary and other risks that can influence reimbursement rates. Managed care organizations that operate as an extension of our government payors are subject to similar economic pressures. Our commercial insurance payor clients are typically for profit companies and are continuously seeking opportunities to control costs.</w:t>
      </w:r>
    </w:p>
    <w:p>
      <w:pPr>
        <w:spacing w:after="0" w:line="15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Most of our services are provided pursuant to agreements with state and local governmental social and aging service agencies. These agreements generally have an initial term of one to two years and may be terminated with 60 days’ notice. They are typically renewed for one to five-year terms, provided that we have complied with licensing, certification and program standards, and other regulatory requirements. Reimbursement rates and methods vary by state and service type, but are typically based on an hourly or unit-of-service basis. Managed care organizations are becoming an increasing portion of our personal care segment payor mix as states shift from administering fee-for-service programs to utilizing managed care models. In our personal care segment during 2020, approximately 50.2% of our net service revenues were derived from state and local government programs, with 44.3% derived from managed care organizations, while approximately 3.2% and 1.5% of net service revenues were derived from private pay consumers and commercial insurance programs, respectively.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2020, 2019 and 2018, our revenue mix by payor type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7"/>
              </w:rPr>
              <w:t>Years Ended December 31,</w:t>
            </w:r>
          </w:p>
        </w:tc>
        <w:tc>
          <w:tcPr>
            <w:tcW w:w="1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56"/>
        </w:trPr>
        <w:tc>
          <w:tcPr>
            <w:tcW w:w="65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Personal Care</w:t>
            </w:r>
          </w:p>
        </w:tc>
        <w:tc>
          <w:tcPr>
            <w:tcW w:w="8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State, local and other governmental programs</w:t>
            </w:r>
          </w:p>
        </w:tc>
        <w:tc>
          <w:tcPr>
            <w:tcW w:w="420" w:type="dxa"/>
            <w:vAlign w:val="bottom"/>
          </w:tcPr>
          <w:p>
            <w:pPr>
              <w:jc w:val="right"/>
              <w:spacing w:after="0"/>
              <w:rPr>
                <w:sz w:val="20"/>
                <w:szCs w:val="20"/>
                <w:color w:val="auto"/>
              </w:rPr>
            </w:pPr>
            <w:r>
              <w:rPr>
                <w:rFonts w:ascii="Arial" w:cs="Arial" w:eastAsia="Arial" w:hAnsi="Arial"/>
                <w:sz w:val="18"/>
                <w:szCs w:val="18"/>
                <w:color w:val="auto"/>
              </w:rPr>
              <w:t>50.2</w:t>
            </w:r>
          </w:p>
        </w:tc>
        <w:tc>
          <w:tcPr>
            <w:tcW w:w="3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FF0FC"/>
          </w:tcPr>
          <w:p>
            <w:pPr>
              <w:spacing w:after="0"/>
              <w:rPr>
                <w:sz w:val="19"/>
                <w:szCs w:val="19"/>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Private pay</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9"/>
                <w:szCs w:val="19"/>
                <w:color w:val="auto"/>
              </w:rPr>
            </w:pPr>
          </w:p>
        </w:tc>
      </w:tr>
      <w:tr>
        <w:trPr>
          <w:trHeight w:val="229"/>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insurance</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Hospice</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Medicare</w:t>
            </w:r>
          </w:p>
        </w:tc>
        <w:tc>
          <w:tcPr>
            <w:tcW w:w="420" w:type="dxa"/>
            <w:vAlign w:val="bottom"/>
          </w:tcPr>
          <w:p>
            <w:pPr>
              <w:jc w:val="right"/>
              <w:spacing w:after="0"/>
              <w:rPr>
                <w:sz w:val="20"/>
                <w:szCs w:val="20"/>
                <w:color w:val="auto"/>
              </w:rPr>
            </w:pPr>
            <w:r>
              <w:rPr>
                <w:rFonts w:ascii="Arial" w:cs="Arial" w:eastAsia="Arial" w:hAnsi="Arial"/>
                <w:sz w:val="18"/>
                <w:szCs w:val="18"/>
                <w:color w:val="auto"/>
              </w:rPr>
              <w:t>92.9</w:t>
            </w:r>
          </w:p>
        </w:tc>
        <w:tc>
          <w:tcPr>
            <w:tcW w:w="3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9"/>
                <w:szCs w:val="19"/>
                <w:color w:val="auto"/>
              </w:rPr>
            </w:pP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r>
      <w:tr>
        <w:trPr>
          <w:trHeight w:val="229"/>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Home Health</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Medicare</w:t>
            </w:r>
          </w:p>
        </w:tc>
        <w:tc>
          <w:tcPr>
            <w:tcW w:w="420" w:type="dxa"/>
            <w:vAlign w:val="bottom"/>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FF0FC"/>
          </w:tcPr>
          <w:p>
            <w:pPr>
              <w:spacing w:after="0"/>
              <w:rPr>
                <w:sz w:val="19"/>
                <w:szCs w:val="19"/>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r>
    </w:tbl>
    <w:p>
      <w:pPr>
        <w:spacing w:after="0" w:line="228"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We derive a significant amount of our revenues from our operations in Illinois, New York and New Mexico. The percentages of total revenue for each of these significant states for 2020, 2019 and 2018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7"/>
              </w:rPr>
              <w:t>Years Ended December 31,</w:t>
            </w:r>
          </w:p>
        </w:tc>
        <w:tc>
          <w:tcPr>
            <w:tcW w:w="1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237"/>
        </w:trPr>
        <w:tc>
          <w:tcPr>
            <w:tcW w:w="7320" w:type="dxa"/>
            <w:vAlign w:val="bottom"/>
            <w:gridSpan w:val="3"/>
          </w:tcPr>
          <w:p>
            <w:pPr>
              <w:ind w:left="7000"/>
              <w:spacing w:after="0"/>
              <w:rPr>
                <w:sz w:val="20"/>
                <w:szCs w:val="20"/>
                <w:color w:val="auto"/>
              </w:rPr>
            </w:pPr>
            <w:r>
              <w:rPr>
                <w:rFonts w:ascii="Arial" w:cs="Arial" w:eastAsia="Arial" w:hAnsi="Arial"/>
                <w:sz w:val="14"/>
                <w:szCs w:val="14"/>
                <w:b w:val="1"/>
                <w:bCs w:val="1"/>
                <w:color w:val="auto"/>
                <w:w w:val="96"/>
              </w:rPr>
              <w:t>2020</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20"/>
                <w:szCs w:val="20"/>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0"/>
                <w:szCs w:val="20"/>
                <w:color w:val="auto"/>
              </w:rPr>
            </w:pPr>
          </w:p>
        </w:tc>
      </w:tr>
      <w:tr>
        <w:trPr>
          <w:trHeight w:val="223"/>
        </w:trPr>
        <w:tc>
          <w:tcPr>
            <w:tcW w:w="6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Personal Care</w:t>
            </w:r>
          </w:p>
        </w:tc>
        <w:tc>
          <w:tcPr>
            <w:tcW w:w="1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r>
      <w:tr>
        <w:trPr>
          <w:trHeight w:val="229"/>
        </w:trPr>
        <w:tc>
          <w:tcPr>
            <w:tcW w:w="732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460" w:type="dxa"/>
            <w:vAlign w:val="bottom"/>
          </w:tcPr>
          <w:p>
            <w:pPr>
              <w:jc w:val="right"/>
              <w:spacing w:after="0"/>
              <w:rPr>
                <w:sz w:val="20"/>
                <w:szCs w:val="20"/>
                <w:color w:val="auto"/>
              </w:rPr>
            </w:pPr>
            <w:r>
              <w:rPr>
                <w:rFonts w:ascii="Arial" w:cs="Arial" w:eastAsia="Arial" w:hAnsi="Arial"/>
                <w:sz w:val="18"/>
                <w:szCs w:val="18"/>
                <w:color w:val="auto"/>
              </w:rPr>
              <w:t>44.6</w:t>
            </w:r>
          </w:p>
        </w:tc>
        <w:tc>
          <w:tcPr>
            <w:tcW w:w="3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New York</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FF0FC"/>
          </w:tcPr>
          <w:p>
            <w:pPr>
              <w:spacing w:after="0"/>
              <w:rPr>
                <w:sz w:val="19"/>
                <w:szCs w:val="19"/>
                <w:color w:val="auto"/>
              </w:rPr>
            </w:pPr>
          </w:p>
        </w:tc>
      </w:tr>
      <w:tr>
        <w:trPr>
          <w:trHeight w:val="229"/>
        </w:trPr>
        <w:tc>
          <w:tcPr>
            <w:tcW w:w="7320" w:type="dxa"/>
            <w:vAlign w:val="bottom"/>
            <w:gridSpan w:val="3"/>
          </w:tcPr>
          <w:p>
            <w:pPr>
              <w:spacing w:after="0"/>
              <w:rPr>
                <w:sz w:val="20"/>
                <w:szCs w:val="20"/>
                <w:color w:val="auto"/>
              </w:rPr>
            </w:pPr>
            <w:r>
              <w:rPr>
                <w:rFonts w:ascii="Arial" w:cs="Arial" w:eastAsia="Arial" w:hAnsi="Arial"/>
                <w:sz w:val="18"/>
                <w:szCs w:val="18"/>
                <w:color w:val="auto"/>
              </w:rPr>
              <w:t>New Mexico</w:t>
            </w: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r>
      <w:tr>
        <w:trPr>
          <w:trHeight w:val="230"/>
        </w:trPr>
        <w:tc>
          <w:tcPr>
            <w:tcW w:w="7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FF0FC"/>
          </w:tcPr>
          <w:p>
            <w:pPr>
              <w:spacing w:after="0"/>
              <w:rPr>
                <w:sz w:val="19"/>
                <w:szCs w:val="19"/>
                <w:color w:val="auto"/>
              </w:rPr>
            </w:pPr>
          </w:p>
        </w:tc>
      </w:tr>
      <w:tr>
        <w:trPr>
          <w:trHeight w:val="230"/>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Hospice</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7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New Mexico</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gridSpan w:val="3"/>
          </w:tcPr>
          <w:p>
            <w:pPr>
              <w:spacing w:after="0"/>
              <w:rPr>
                <w:sz w:val="20"/>
                <w:szCs w:val="20"/>
                <w:color w:val="auto"/>
              </w:rPr>
            </w:pPr>
            <w:r>
              <w:rPr>
                <w:rFonts w:ascii="Arial" w:cs="Arial" w:eastAsia="Arial" w:hAnsi="Arial"/>
                <w:sz w:val="18"/>
                <w:szCs w:val="18"/>
                <w:color w:val="auto"/>
              </w:rPr>
              <w:t>All other states</w:t>
            </w:r>
          </w:p>
        </w:tc>
        <w:tc>
          <w:tcPr>
            <w:tcW w:w="460" w:type="dxa"/>
            <w:vAlign w:val="bottom"/>
          </w:tcPr>
          <w:p>
            <w:pPr>
              <w:jc w:val="right"/>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230"/>
        </w:trPr>
        <w:tc>
          <w:tcPr>
            <w:tcW w:w="73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Home Health</w:t>
            </w:r>
          </w:p>
        </w:tc>
        <w:tc>
          <w:tcPr>
            <w:tcW w:w="4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30"/>
        </w:trPr>
        <w:tc>
          <w:tcPr>
            <w:tcW w:w="7320" w:type="dxa"/>
            <w:vAlign w:val="bottom"/>
            <w:gridSpan w:val="3"/>
          </w:tcPr>
          <w:p>
            <w:pPr>
              <w:spacing w:after="0"/>
              <w:rPr>
                <w:sz w:val="20"/>
                <w:szCs w:val="20"/>
                <w:color w:val="auto"/>
              </w:rPr>
            </w:pPr>
            <w:r>
              <w:rPr>
                <w:rFonts w:ascii="Arial" w:cs="Arial" w:eastAsia="Arial" w:hAnsi="Arial"/>
                <w:sz w:val="18"/>
                <w:szCs w:val="18"/>
                <w:color w:val="auto"/>
              </w:rPr>
              <w:t>New Mexico</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30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right="240" w:firstLine="509"/>
        <w:spacing w:after="0" w:line="308" w:lineRule="auto"/>
        <w:rPr>
          <w:sz w:val="20"/>
          <w:szCs w:val="20"/>
          <w:color w:val="auto"/>
        </w:rPr>
      </w:pPr>
      <w:r>
        <w:rPr>
          <w:rFonts w:ascii="Arial" w:cs="Arial" w:eastAsia="Arial" w:hAnsi="Arial"/>
          <w:sz w:val="17"/>
          <w:szCs w:val="17"/>
          <w:color w:val="auto"/>
        </w:rPr>
        <w:t>A significant amount of our revenue is derived from one payor client, the Illinois Department on Aging, the largest payor program for our Illinois personal care operations, which accounted for 23.0%, 25.3% and 31.7% of our net service revenues for 2020, 2019 and 2018, respectively.</w:t>
      </w:r>
    </w:p>
    <w:p>
      <w:pPr>
        <w:spacing w:after="0" w:line="146"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The state of Illinois finalized its fiscal year 2020 budget with the inclusion of an appropriation to raise in-home care rates to offset the costs of previous minimum wage increases in Chicago and other areas of the state that were imposed beginning on July 1, 2018. These rates were originally set to be effective July 1, 2019, with in-home care rates to be initially increased by 10.9% to $20.28 from $18.29 to partially offset the costs of the minimum wage hikes. Rates were then further increased on January 1, 2020 by an additional 7.7% to $21.84, providing full funding for both the Chicago minimum wage increases and a statewide raise for all current in-home caregivers.</w:t>
      </w:r>
    </w:p>
    <w:p>
      <w:pPr>
        <w:spacing w:after="0" w:line="188"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Illinois Department on Aging, in conjunction with Illinois’ Health Care and Family Services, announced that the new rates would become effective retroactive to July 1, 2019 for services covered by managed care organizations. On January 15, 2020, the Department on Aging announced confirmation that a one-time bonus payment would be paid to providers who have provided services to clients not enrolled in a managed care organization, for the time period of July 1, 2019 through November 30, 2019 using an updated hourly rate of $20.28. The bonus payment of $6.8 million was recognized as net service revenues as of December 31, 2019.</w:t>
      </w:r>
    </w:p>
    <w:p>
      <w:pPr>
        <w:spacing w:after="0" w:line="228"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On November 26, 2019, the Chicago City Council voted to approve additional increases in the Chicago minimum wage to $14 per hour beginning July 1, 2020 to $15 per hour beginning July 1, 2021. The Company and its trade association will be looking for additional funding in the state of Illinois fiscal year 2022 budget to offset the cost of the July 1, 2021 additional minimum wage increases.</w:t>
      </w:r>
    </w:p>
    <w:p>
      <w:pPr>
        <w:spacing w:after="0" w:line="184"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state of Illinois finalized its fiscal year 2021 budget, with in-home care rates to be increased by 7.1% to $23.40 from $21.84, effective January 1, 2021, contingent upon federal CMS approval. Although federal CMS approval was obtained by the state,</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a result of on-going state revenue declines due to COVID-19 and the failure of the November 2020 referendum to revise the Illinois income tax code, on December 15, 2020, the Governor of Illinois announced a delay in the implementation of the scheduled rate increase to April 1, 2021.</w:t>
      </w:r>
    </w:p>
    <w:p>
      <w:pPr>
        <w:spacing w:after="0" w:line="146"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Our business will benefit from the rate increases noted above, but there is no assurance that additional offsetting rate increases will be adopted in Illinois for fiscal years beyond fiscal year 2021, and our financial performance will be adversely impacted for any periods in which an additional offsetting reimbursement rate increase is not in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industry is highly competitive, fragmented and market specific. Each local market has its own competitive profile and no single competitor has significant market share across all of our markets. Our competition consists of personal care service providers, home health providers, hospice providers, private caregivers, larger publicly held companies, privately held companies, privately held single-site agencies, hospital-based agencies, not-for-profit organizations, community-based organizations, managed care organizations and self-directed care programs. In addition, certain governmental payors contract for services with independent providers such that our relationships with these payors are not exclusive. We have experienced, and expect to continue to experience, competition from new entrants into our markets. It is unclear how increased use of telecommunications technology across our service lines, which was accelerated by the COVID-19 pandemic, will affect competition, as it presents both challenges and opportunities. Increased competition may result in pricing pressures, loss of or failure to gain market share or loss of consumers or payors, any of which could harm our business. In addition, some of our competitors may have greater financial, technical, political and marketing resources, and name recognition with consumers and payors.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We focus on initiating and maintaining working relationships with state and local governmental agencies responsible for the provision of the services we offer. We target these agencies in our current markets and in geographical areas that we have identified as potential markets for expansion. We also seek to identify service needs or changes in the service delivery or reimbursement system of governmental entities and attempt to work with and provide input to the responsible government personnel, provider associations and consumer advocacy groups.</w:t>
      </w:r>
    </w:p>
    <w:p>
      <w:pPr>
        <w:spacing w:after="0" w:line="171"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We establish new referral relationships with various managed care organizations that contract with the states for the servicing of the state Medicaid programs. We have met with many contracted managed care organizations in markets we serve and believe we are building the relationships necessary to generate continued referrals of new clients.</w:t>
      </w:r>
    </w:p>
    <w:p>
      <w:pPr>
        <w:spacing w:after="0" w:line="184"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receive substantially all of our personal care consumers through third-party referrals, including state departments on aging, rehabilitation, mental health and children’s services, county departments of social services, managed care organizations, the Veterans Health Administration and city departments on aging. Generally, family members of potential consumers are made aware of available in-home or alternative living arrangements through state or local case management systems. These systems are operated by governmental or private agencies.</w:t>
      </w:r>
    </w:p>
    <w:p>
      <w:pPr>
        <w:spacing w:after="0" w:line="171"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We provide ongoing education and outreach in our target communities in order to inform the community about state and locally-subsidized care options and to communicate our role in providing quality personal care services. We also utilize consumer-directed sales, marketing and advertising programs designed to attract consumers.</w:t>
      </w:r>
    </w:p>
    <w:p>
      <w:pPr>
        <w:spacing w:after="0" w:line="184"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With respect to our hospice and home health patients, we receive substantially all of our referrals through other health care providers, such as hospitals, physicians, nursing homes and assisted living facilities. We have a team of community liaisons in our hospice and home health operations that educate and develop relationships with other health care providers and the community at large.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for Services</w:t>
      </w:r>
    </w:p>
    <w:p>
      <w:pPr>
        <w:spacing w:after="0" w:line="117"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We are reimbursed for substantially all of our services by federal, state and local government programs, such as Medicare and Medicaid state programs, managed care organizations, other state agencies and the Veterans Health Administration. In addition, we are reimbursed by commercial insurance and private pay consumers. Depending on the type of service, coverage for services may be predicated on a case manager, physician or nurse determination that the care is necessary or on the development of a plan for care in the home. A significant amount of our net service revenues from our personal care segment are derived from one specific payor client, the Illinois Department on Aging, which accounted for 23.0%, 25.3% and 31.7% of our net service revenues for 2020, 2019 and 2018,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Department on Aging</w:t>
      </w:r>
    </w:p>
    <w:p>
      <w:pPr>
        <w:spacing w:after="0" w:line="117" w:lineRule="exact"/>
        <w:rPr>
          <w:sz w:val="20"/>
          <w:szCs w:val="20"/>
          <w:color w:val="auto"/>
        </w:rPr>
      </w:pPr>
    </w:p>
    <w:p>
      <w:pPr>
        <w:ind w:right="240" w:firstLine="509"/>
        <w:spacing w:after="0" w:line="255" w:lineRule="auto"/>
        <w:rPr>
          <w:sz w:val="20"/>
          <w:szCs w:val="20"/>
          <w:color w:val="auto"/>
        </w:rPr>
      </w:pPr>
      <w:r>
        <w:rPr>
          <w:rFonts w:ascii="Arial" w:cs="Arial" w:eastAsia="Arial" w:hAnsi="Arial"/>
          <w:sz w:val="18"/>
          <w:szCs w:val="18"/>
          <w:color w:val="auto"/>
        </w:rPr>
        <w:t>We provide personal care services pursuant to agreements with the Illinois Department on Aging, which coordinates programs and community-based services intended to improve quality of life and preserve the independence of older individuals. The Illinois Department on Aging is funded by Medicaid and general revenue funds of the state of Illinois, and also receives funding available under the federal Older Americans Act (“OAA”). The Department on Aging’s Community Care Program (“CCP”) provides adult day service, emergency home response and in-home services, including some personal care services to individuals who are age 60 and over and meet other eligibility requirements. Some of these services are provided through Medicaid waivers granted by CMS.</w:t>
      </w:r>
    </w:p>
    <w:p>
      <w:pPr>
        <w:spacing w:after="0" w:line="19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Consumers are identified by case managers contracted independently with the Illinois Department on Aging. Once a consumer has been evaluated and determined to be eligible for a program, an assigned case manager refers the consumer to a list of authorized providers, from which the consumer selects the provider. We provide our services in accordance with a care plan developed by the case manager and under administrative directives from the Illinois Department on Aging. We are reimbursed on an hourly fee-for-service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Federal, State and Local Payors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Medicare</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Medicare is a federal program that provides medical services to persons aged 65 or older and other qualified persons with disabilities or end-stage renal disease. Each of our hospice and home care agencies must comply with the extensive conditions of participation in the Medicare program in order to continue receiving Medicare reimbursement.</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Hospice</w:t>
      </w:r>
    </w:p>
    <w:p>
      <w:pPr>
        <w:spacing w:after="0" w:line="225"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Medicare beneficiaries who have a terminal illness and a life expectancy of six months or less may elect to receive hospice benefits (i.e., palliative services for management of a terminal illness) in lieu of standard Medicare coverage for treatment. Hospice services are paid under the Medicare Hospice Prospective Payment System (“HPPS”), under which CMS sets a daily rate for each day a patient is enrolled in the hospice benefit. Hospice payment rates increased by 2.4% for federal fiscal year 2021, which reflects a 2.4% market basket update; reduced by the multifactor productivity adjustment of 0.04 percentage points. CMS requires various providers, including hospice providers, to submit quality reporting data each year. Hospices that do not satisfy quality reporting requirements are subject to a 2 percentage point reduction to the market basket percentage update. Additionally,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to Medicare patients for the year. If a hospice exceeds the number of allowable inpatient care days, the hospice must refund any amounts received for inpatient care that exceed the total of: (i) the product of the total reimbursement paid to the hospice for inpatient care multiplied by the ratio of the maximum number of allowable inpatient days to the actual number of inpatient care days furnished by the hospice to Medicare patients; and (ii) the product of the number of actual inpatient days in excess of the limitation multiplied by the routine home care rate. The aggregate cap, which is calculated each federal fiscal year, limits the amount of Medicare reimbursement a hospice may receive, based on the number of Medicare patients served. If a hospice’s Medicare payments exceed its aggregate cap, it must repay Medicare for the excess amount. In federal fiscal year 2021, the aggregate cap is $30,683.93.</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Effective January 1, 2020, CMS transitioned to 30-day periods of care within each 60-day certification of patient eligibility period and implemented the Patient-Driven Groupings Model (“PDGM”) as the payment model for services provided to Medicare patients with dates of service on or after January 1, 2020. The PDGM replaced the case-mix system, which used the number of visits to determine payment, and classified patients based on clinical characteristics.</w:t>
      </w:r>
    </w:p>
    <w:p>
      <w:pPr>
        <w:spacing w:after="0" w:line="18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intent of the PDGM is to shift toward a value-based payment system and remove the incentive to overprovide care. CMS updates the HHPPS payment rates each calendar year. For calendar year 2021, HHPPS rates increased by 2.0%, which reflects a 2.3% market basket update, reduced by a multifactor productivity adjustment of 0.3 percentage points. CMS expects Medicare payments to home health agencies in 2021 to increase in the aggregate by 1.9% after accounting for the 0.1 percentage point decrease in payments to home health agencies due to changes in the rural add-on percentages also mandated by the Bipartisan Budget Act of 2018. Home health providers that do not comply with quality data reporting requirements are subject to a 2 percentage point reduction to their market basket update.</w:t>
      </w:r>
    </w:p>
    <w:p>
      <w:pPr>
        <w:spacing w:after="0" w:line="192"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Historically, CMS paid home health providers 50% to 60% of anticipated payment at the beginning of a patient’s care episode through a request for anticipated payment (“RAP”). However, to address potential program integrity risks, CMS has phased out RAP payments. In calendar year 2021, CMS will not provide any up-front payments in response to a RAP but will continue to require home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health providers to submit streamlined RAPs as notice that a beneficiary is under a home health period of care. In calendar year 2022, CMS will replace the RAP with a “Notice of Admission.”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Medicaid Programs</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Medicaid is a state-administered program that provides certain social and medical services to qualified low-income individuals and is jointly funded by the federal government and individual states. Reimbursement rates and methods vary by state and service type, but are typically based on an hourly or unit-of-service basis. Rates are subject to adjustment based on statutory and regulatory changes, administrative rulings, government funding limitations and interpretations of policy by individual state agencies. Within guidelines established by federal statutes and regulations, and subject to federal oversight, each state establishes its own eligibility standards, determines the type, amount, duration and scope of services, sets the rate of payment for services and administers its own program. States typically cover Medicaid beneficiaries for intermittent home health services as well as continuous services for children and young adults with complicated medical conditions and cover home and community-based services for seniors and people with disabilities.</w:t>
      </w:r>
    </w:p>
    <w:p>
      <w:pPr>
        <w:spacing w:after="0" w:line="166"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Many states are moving the administration of their Medicaid personal care programs to managed care organizations. This transition is due to an overall desire to better manage the costs of the Medicaid long-term care programs. In addition, hospice and home health services are also reimbursed by managed care organizations in many states. Reimbursement from the managed care organizations for personal care services is generally on an hourly, fee-for-service basis with rates consistent with or as a percentage of the individual state funded rates.</w:t>
      </w:r>
    </w:p>
    <w:p>
      <w:pPr>
        <w:spacing w:after="0" w:line="17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Currently, personal care services and other HCBS are largely reimbursed on a fee-for-service basis. States receive permission from CMS to provide personal care services under waivers of traditional Medicaid requirements. In an effort to control escalating Medicaid costs, states are increasingly requiring Medicaid beneficiaries to enroll in managed care plans for better coordination of HCBS and health care services. Medicaid beneficiaries in Illinois are a part of the Health Choice Illinois statewide managed care program, which is serviced by various managed care organizations. The Illinois Department of Healthcare and Family Services has entered into managed care contracts that will expand managed care through the Health Choice Illinois program to reach approximately 80% of Medicaid enrollees. Effective July 1, 2019, the Health Choice Illinois program began coverage for home health and personal care services for certain dual-eligible beneficiaries with HCBS waivers after previously delaying such coverage and enrollment.</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Veterans Health Administration</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The Veterans Health Administration operates the nation’s largest integrated healthcare system, with more than 1,200 healthcare facilities, and provides healthcare benefits, including personal care, hospice and home health services, to eligible military veterans. The Veterans Health Administration provides funding to regional and local offices and facilities that support the in-home care needs of eligible aged and disabled veterans. Services are funded by local Veterans Medical Centers and the aid and attendance pension, which reimburses veterans for their otherwise unreimbursed health and long-term care expenses. We currently have relationships and agreements with the Veterans Health Administration to provide personal care services in several states, principally in California, New Mexico and Illinois.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Other sources of funding are available to support personal care, hospice and home health services in different states and localities. In addition, many states appropriate general funds or special use funds through targeted taxes or lotteries to finance personal care services for senior citizens and individuals with disabilities. Depending on the state, these funds may be used to supplement existing Medicaid programs or for distinct programs that serve non-Medicaid eligible consumers.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Relief</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January 31, 2020, the Secretary of the U.S. Department of Health and Human Services (“HHS”) declared a national public health emergency due to a novel coronavirus. In March 2020, the World Health Organization declared the outbreak of COVID-19, the disease caused by this novel coronavirus, a pandemic. This disease continues to spread throughout the United States and other parts of the world.</w:t>
      </w:r>
    </w:p>
    <w:p>
      <w:pPr>
        <w:spacing w:after="0" w:line="184"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April 21, 2021, but HHS has indicated it will likely extend through 2021.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HHS Secretary may renew the declaration for successive 90-day periods for as long as the emergency continues to exist and may terminate the declaration whenever he determines that the emergency no longer exists.</w:t>
      </w:r>
    </w:p>
    <w:p>
      <w:pPr>
        <w:spacing w:after="0" w:line="17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One of the primary sources of relief for healthcare providers is the CARES Act, which was expanded by the PPPHCE Act, and the CAA. In total, the CARES Act, the PPPHCE Act and the CAA include $178 billion in funding to be distributed through the Public Health and Social Services Emergency Fund (the “Provider Relief Fund”) to eligible providers, including public entities and Medicare- and/or Medicaid-enrolled providers. Provider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Provider Relief Fund to reimburse expenses or losses that other sources are obligated to reimburse.</w:t>
      </w:r>
    </w:p>
    <w:p>
      <w:pPr>
        <w:spacing w:after="0" w:line="164"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April 2020, the Company received grants in an aggregate principal amount of $6.9 million, for which it did not apply, from the Provider Relief Fund as part of the automatic general distributions by HHS. The Company returned these funds in June 2020. In November 2020, the Company received grants in an aggregate principal amount of $13.7 million from the Provider Relief Fund, for which we applied. The Company utilized $1.4 million of these funds for healthcare related expenses attributable to COVID-19 that were unreimbursed by other sources in the period ended December 31, 2020 and, in accordance with the current guidance issued by HHS, expects to utilize additional funds through June 30, 2021, at which point any unused funds will be returned. We are required to properly and fully document the use of such funds in reports to HHS. The Company’s ability to utilize and retain some or all of such funds will depend on the magnitude, timing and nature of the impact of the COVID-19 pandemic, as well as the terms and conditions of the funds received. In April 2020, Queen City Hospice received grants in an aggregate principal amount of approximately $2.5 million, for which it did not apply, from the Provider Relief Fund as part of the automatic general distributions by HHS. Queen City Hospice utilized approximately $0.6 million of the funds for healthcare related expenses attributable to COVID-19 that were unreimbursed by other sources. Queen City Hospice intends to repay $1.9 million, which represents the remainder of the grants received but not utilized, in 2021. Commercial organizations that receive annual total awards of $750,000 or more in federal funding, including payments received through the Provider Relief Fund, are subject to federal audit requirements.</w:t>
      </w:r>
    </w:p>
    <w:p>
      <w:pPr>
        <w:spacing w:after="0" w:line="168"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In addition, the CARES Act expands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pay back. Recoupment of these payments was due to begin in August, but CMS has delayed the recoupment process for these payments, based on amended repayment terms imposed by the CAA, until one year after payment was issued. In April 2020, Queen City Hospice received an amount equal to $10.8 million pursuant to the Medicare Accelerated and Advance Payment Program. Queen City Hospice did not repay the funds prior to the completion of our acquisition of Queen City Hospice, however, Queen City Hospice intends to repay such funds in March 2021, prior to any CMS recoupment and before any interest accrues.</w:t>
      </w:r>
    </w:p>
    <w:p>
      <w:pPr>
        <w:spacing w:after="0" w:line="17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CARES Act and related legislation also include other provisions offering financial relief, for example temporarily lifting the Medicare sequester, which would have otherwise reduced payments to Medicare providers by 2%, from May 1, 2020, through March 31, 2021 (but also extending sequestration through 2030). The Medicare sequester relief resulted in an increase of $0.2 million to home health net service revenues and $1.3 million to hospice net service revenues for the year ended December 31, 2020. Additional financial relief under the CARES Act includes a temporary 6.2% increase in the federal share of Medicaid spending (also known as Federal Medical Assistance Percentages or FMAP) intended to broadly support the solvency of state Medicaid programs.</w:t>
      </w:r>
    </w:p>
    <w:p>
      <w:pPr>
        <w:spacing w:after="0" w:line="18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CARES Act also provides for certain federal income and other tax changes, including the deferral of the employer portion of Social Security payroll taxes.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expects to repay the $7.1 million in 2021.</w:t>
      </w:r>
    </w:p>
    <w:p>
      <w:pPr>
        <w:spacing w:after="0" w:line="1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the COVID-19 pandemic has progressed, the federal government is considering additional stimulus measures, federal agencies continue to issue related regulations and guidance, and the public health emergency continues to evolve. We continue to assess the potential impact of COVID-19 and government responses to the pandemic, including the enactment and implementation of the CARES Act, the PPPHCE Act, the CAA and other stimulus legislation, on our business, results of operations, financial condition and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Insurance</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Most long-term care insurance policies contain benefits for in-home services. Policies are generally subject to dollar limitations on the amount of daily, weekly or monthly coverage provided.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Pay</w:t>
      </w:r>
    </w:p>
    <w:p>
      <w:pPr>
        <w:spacing w:after="0" w:line="1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Our private pay services are provided on an hourly or type of services basis. Our rates are established to achieve a pre-determined gross margin, and are competitive with those of other local providers. We bill our private pay consumers for services rendered weekly, bi-monthly or monthly. Other private payors include workers’ compensation programs/insurance, preferred provider organizations and employers.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Programs and Costs</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maintain workers’ compensation, general and professional liability, cyber, automobile, directors’ and officers’ liability, fiduciary liability and excess liability insurance. We offer various health insurance plans to eligible full-time and part-time employees. We believe our insurance coverage and self-insurance reserves are adequate for our current operations. However, we cannot be certain that any potential losses or asserted claims will not exceed such insurance coverage and self-insurance reserves.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17"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We value our employees and believe they are the reason for our success. We believe that to be a great home care company, we must have great employees. We believe our staff is a group of engaged, energized and compassionate employees whose work allows our consumers and patients the freedom to stay in their homes.</w:t>
      </w:r>
    </w:p>
    <w:p>
      <w:pPr>
        <w:spacing w:after="0" w:line="224"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Our caregivers, excluding agency staff, provide substantially all of our services and comprise approximately 95.6% of our total workforce. They undergo a criminal background check and are provided with pre-service training and orientation and an evaluation of their skills. In many cases, caregivers are also required to attend ongoing in-service education. In certain states, our caregivers are required to complete certified training programs and maintain a state certification. Approximately 47.3% of our total employees are represented by labor unions. We maintain strong working relationships with these labor unions. We have numerous collective bargaining agreements with the Service Employees International Union (“SEIU”), which are renegotiated from time to time.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breakdown of our part- and full-time employees, including the employees in our national support center,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380" w:type="dxa"/>
            <w:vAlign w:val="bottom"/>
          </w:tcPr>
          <w:p>
            <w:pPr>
              <w:ind w:left="680"/>
              <w:spacing w:after="0"/>
              <w:rPr>
                <w:sz w:val="20"/>
                <w:szCs w:val="20"/>
                <w:color w:val="auto"/>
              </w:rPr>
            </w:pPr>
            <w:r>
              <w:rPr>
                <w:rFonts w:ascii="Arial" w:cs="Arial" w:eastAsia="Arial" w:hAnsi="Arial"/>
                <w:sz w:val="14"/>
                <w:szCs w:val="14"/>
                <w:b w:val="1"/>
                <w:bCs w:val="1"/>
                <w:color w:val="auto"/>
              </w:rPr>
              <w:t>Full-time</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ind w:left="660"/>
              <w:spacing w:after="0"/>
              <w:rPr>
                <w:sz w:val="20"/>
                <w:szCs w:val="20"/>
                <w:color w:val="auto"/>
              </w:rPr>
            </w:pPr>
            <w:r>
              <w:rPr>
                <w:rFonts w:ascii="Arial" w:cs="Arial" w:eastAsia="Arial" w:hAnsi="Arial"/>
                <w:sz w:val="14"/>
                <w:szCs w:val="14"/>
                <w:b w:val="1"/>
                <w:bCs w:val="1"/>
                <w:color w:val="auto"/>
              </w:rPr>
              <w:t>Part-time</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ind w:left="800"/>
              <w:spacing w:after="0"/>
              <w:rPr>
                <w:sz w:val="20"/>
                <w:szCs w:val="20"/>
                <w:color w:val="auto"/>
              </w:rPr>
            </w:pPr>
            <w:r>
              <w:rPr>
                <w:rFonts w:ascii="Arial" w:cs="Arial" w:eastAsia="Arial" w:hAnsi="Arial"/>
                <w:sz w:val="14"/>
                <w:szCs w:val="14"/>
                <w:b w:val="1"/>
                <w:bCs w:val="1"/>
                <w:color w:val="auto"/>
              </w:rPr>
              <w:t>Total</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Caregivers and agency staff</w:t>
            </w:r>
          </w:p>
        </w:tc>
        <w:tc>
          <w:tcPr>
            <w:tcW w:w="13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3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29,101</w:t>
            </w:r>
          </w:p>
        </w:tc>
        <w:tc>
          <w:tcPr>
            <w:tcW w:w="32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National support centers</w:t>
            </w:r>
          </w:p>
        </w:tc>
        <w:tc>
          <w:tcPr>
            <w:tcW w:w="56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r>
      <w:tr>
        <w:trPr>
          <w:trHeight w:val="223"/>
        </w:trPr>
        <w:tc>
          <w:tcPr>
            <w:tcW w:w="46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6,027</w:t>
            </w:r>
          </w:p>
        </w:tc>
        <w:tc>
          <w:tcPr>
            <w:tcW w:w="3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29,112</w:t>
            </w:r>
          </w:p>
        </w:tc>
        <w:tc>
          <w:tcPr>
            <w:tcW w:w="32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35,139</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strive to provide the following, among other things.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Employee Safety in Light of COVID-19</w:t>
      </w:r>
    </w:p>
    <w:p>
      <w:pPr>
        <w:spacing w:after="0" w:line="117" w:lineRule="exact"/>
        <w:rPr>
          <w:sz w:val="20"/>
          <w:szCs w:val="20"/>
          <w:color w:val="auto"/>
        </w:rPr>
      </w:pPr>
    </w:p>
    <w:p>
      <w:pPr>
        <w:ind w:right="80" w:firstLine="749"/>
        <w:spacing w:after="0" w:line="257" w:lineRule="auto"/>
        <w:rPr>
          <w:sz w:val="20"/>
          <w:szCs w:val="20"/>
          <w:color w:val="auto"/>
        </w:rPr>
      </w:pPr>
      <w:r>
        <w:rPr>
          <w:rFonts w:ascii="Arial" w:cs="Arial" w:eastAsia="Arial" w:hAnsi="Arial"/>
          <w:sz w:val="18"/>
          <w:szCs w:val="18"/>
          <w:color w:val="auto"/>
        </w:rPr>
        <w:t>Senior management meets frequently to discuss the latest events surrounding COVID-19 and remains vigilant as to the safety of our consumers, patients, caregivers and employees. We have utilized our best commercial efforts to comply with health and safety standards, regulations and guidance provided by regulatory organizations such as the Occupational Safety and Health Administration, the United States Department of Labor and others that focus on the safety of employees. Addus has implemented several steps focused on employee safety and in accordance with CDC guidelines, including but not limited to the following;</w:t>
      </w:r>
    </w:p>
    <w:p>
      <w:pPr>
        <w:spacing w:after="0" w:line="80"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guidance for clinical and field staff with respect to exposure to COVID-19 and return to service;</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PPE to caregivers on a regular basis;</w:t>
      </w:r>
    </w:p>
    <w:p>
      <w:pPr>
        <w:spacing w:after="0" w:line="144"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various communication methods in order to communicate up-to-date real-time information relative to COVID-19, including on the Addus Intranet and a texting method to provide caregivers direct information;</w:t>
      </w:r>
    </w:p>
    <w:p>
      <w:pPr>
        <w:spacing w:after="0" w:line="62"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branch and corporate office retro fitting where needed to maintain proper social distancing, implemented prescreen questionnaires and temperature checks;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Prepared to provide safe passage letters to caregivers in the case of lockdowns, to prove essential worker status.</w:t>
      </w: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Recruiting and Development</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Employee recruiting and retention remains a top priority each year for Addus, as we are committed to hiring and retaining excellent employees. We believe that a strong workplace culture focused on employee engagement enables ongoing learning and promotes the development of individual career growth, necessary to successfully retain and develop diverse talent. Addus recognizes</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importance of employee engagement and we have implemented programs focused on new hire experiences and integration, ongoing learning opportunities though the Addus Learning Academy and Addus Institute of Skilled Care Education (“AISCE”), and mentoring through leadership training. The Addus Learning Academy allows employees to access training and resources necessary to build the skills specifically related to their respective positions at Addus. AISCE provides continuing education courses to support licensing and re-certification for our clinical employees.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Communication and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remain focused on the wellness of our employees, through programs, communications and services. We have developed two</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primary communication tools to distribute information to our branches and administrative employees, the SC Connect and Addus Ink newsletters. Addus Ink is a quarterly newsletter that features local branch content from around the country that is focused on fulfilling our Addus Mission and Values. SC Connect is a biweekly newsletter that features important Company updates, information and resources. We have also implemented the Addus Elite Program, which has three levels of recognition; peer to peer, quarterly recognition and Addus Elite Hall of Fame, designed to celebrate the amazing work our employees do on a daily basis. We believe it is important to acknowledge our colleagues, managers, and direct reports who are living our Addus Mission and Values every day.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currently utilize multiple applications to support our various lines of business and locations for patient accounting. Each application supports its respective line of business and locations with administrative, office, clinical and operating information system needs, including assisting with the compliance of our operating systems with the Health Insurance Portability and Accountability Act of 1996, or HIPAA, requirements. Each assists our staff in gathering information to improve the quality of consumer care, optimize financial performance, promote regulatory compliance and enhance staff efficiency. Each application is hosted by the vendor in a secure data center, which provides multiple redundancies for storage, power, bandwidth and security.</w:t>
      </w:r>
    </w:p>
    <w:p>
      <w:pPr>
        <w:spacing w:after="0" w:line="192"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In order to comply with current and future state and federal regulations around EVV use, we utilize several different vendors. In states with an “open” model, we are able to choose our vendor and have standardized CellTrak as our preferred EVV vendor. In states mandating the EVV vendor, a “closed” system, we utilize whichever vendor the state has mandated. In both cases, we have built interfaces between the EVV vendor and the patient accounting system utilized in the respective branch location. Our caregivers use a mix of Interactive Voice Response (“IVR”) and mobile applications for EVV. Through these technologies, caregivers are able to report changes in health conditions to a manager for triage and evaluation. In addition, we use these technologies to record basic information about each visit, record start and end times for a scheduled shift, track mileage reimbursement, send text messages to the caregivers and communicate basic payroll information.</w:t>
      </w:r>
    </w:p>
    <w:p>
      <w:pPr>
        <w:spacing w:after="0" w:line="17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license the Qlik Business Intelligence (“Qlik”) platform to provide historical, current, and forward-looking operational performance analysis. We currently have our personal care business integrated into Qlik to provide a comprehensive view of the business regardless of the application used. Qlik provides high-level historical and current analytical views to measure performance against budget and deliver insight into the various factors driving our execution against our financial, operational, and compliance goals. This analysis is available in summary and detailed views to accommodate user needs from senior management down to operators in the field.</w:t>
      </w:r>
    </w:p>
    <w:p>
      <w:pPr>
        <w:spacing w:after="0" w:line="188"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We utilize the ADPVantage Suite as our base human resources and payroll processing system and use their services and products to manage our leave of absence processes, benefits, 401(k) and flexible spending account administration, garnishment services, payroll tax filings, ACA compliance and filings, and time and attendance. For financial management, we utilize Oracle’s Planning Budgeting Cloud Service as our solution for budgeting, forecasting, and financial reporting and Oracle Fusion for the general ledger, accounts payable and fixed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Our business is subject to extensive federal, state and local regulation. Changes in the laws and regulations, including as a result of governmental responses to the COVID-19 pandemic, or new interpretations of existing laws and regulations may have a material impact on the definition of permissible activities, the relative cost of doing business, and the methods and amounts of payment for care by both governmental and other payors. In addition, differences among state laws may impede our ability to expand into certain markets. If we fail to comply with applicable laws and regulations, we could suffer administrative civil or criminal penalties, including the loss of our licenses to operate and our ability to participate in federal or state programs. In addition, the healthcare industry has experienced, and is expected to continue to experience, extensive and dynamic change. It is difficult to predict the effect of these changes on budgetary allocations for our services. See also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Operations—Overview</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Medicare and Medicaid Participation</w:t>
      </w:r>
    </w:p>
    <w:p>
      <w:pPr>
        <w:spacing w:after="0" w:line="11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To participate in and qualify for reimbursement under Medicare, our home health agencies and hospices must comply with extensive conditions of participation. Likewise, to participate in Medicaid programs, our personal care services, home health agencies and hospices are subject to various requirements imposed by federal and state authorities. If we were to violate the applicable federal and state regulations governing Medicare or Medicaid participation, we could be excluded from participation in federal and state healthcare programs and be subject to substantial administrative, civil and criminal penalties.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Health Reform</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U.S. Congress and certain state legislatures have passed many laws and regulations in recent years intended to effect major change within the national healthcare system, the most prominent of which is the Patient Protection and Affordable Care Act, as amended by the Health Care and Education Reconciliation Act of 2010 (collectively, “ACA”). As currently structured, the ACA affects how healthcare services are delivered and reimbursed through the expansion of public and private health insurance coverage, reduction of growth in Medicare and Medicaid program spending, and the establishment and expansion of programs that tie reimbursement to quality and integration. However, the future of the ACA is unclear. The law has been subject to legislative and regulatory changes and court challenges, and although the current presidential administration has indicated its intent to protect the ACA, it is possible that there may be continued changes to the ACA, its implementation or interpretation.</w:t>
      </w:r>
    </w:p>
    <w:p>
      <w:pPr>
        <w:spacing w:after="0" w:line="17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Effective January 1, 2019, Congress eliminated the penalty associated with the individual mandate to maintain health insurance. As a result of this change, a federal judge in Texas ruled in December 2018 that the individual mandate was unconstitutional and determined the rest of the ACA was therefore invalid. In December 2019, the Fifth Circuit Court of Appeals upheld this decision with respect to the individual mandate, but remanded the case for further consideration of how this decision affects the rest of the law. On November 10, 2020, the Supreme Court of the United States heard oral arguments regarding the case. The law remains in place pending the appeals process. The elimination of the individual mandate penalty and other changes may impact the number of individuals that elect to obtain public or private health insurance or the scope of such coverage, if purchased.</w:t>
      </w:r>
    </w:p>
    <w:p>
      <w:pPr>
        <w:spacing w:after="0" w:line="164" w:lineRule="exact"/>
        <w:rPr>
          <w:sz w:val="20"/>
          <w:szCs w:val="20"/>
          <w:color w:val="auto"/>
        </w:rPr>
      </w:pPr>
    </w:p>
    <w:p>
      <w:pPr>
        <w:ind w:right="60" w:firstLine="509"/>
        <w:spacing w:after="0" w:line="292" w:lineRule="auto"/>
        <w:rPr>
          <w:sz w:val="20"/>
          <w:szCs w:val="20"/>
          <w:color w:val="auto"/>
        </w:rPr>
      </w:pPr>
      <w:r>
        <w:rPr>
          <w:rFonts w:ascii="Arial" w:cs="Arial" w:eastAsia="Arial" w:hAnsi="Arial"/>
          <w:sz w:val="16"/>
          <w:szCs w:val="16"/>
          <w:color w:val="auto"/>
        </w:rPr>
        <w:t>The ACA, as enacted, requires states to expand Medicaid coverage to all individuals under age 65 with incomes effectively at or below 138% of the federal poverty level. However, states may opt out of the expansion without losing existing federal Medicaid funding. Some of the states use or have applied to use Medicaid waivers granted by CMS to implement expansion provisions, impose different eligibility or enrollment restrictions, or otherwise implement programs that vary from federal standards. CMS administrators have indicated that they intend to increase state flexibility in the administration of Medicaid programs, and states continue to explore payment and delivery reform initiatives, including beneficiary work requirements, and quality of care incentives. Enrollment in managed Medicaid plans has also increased in recent years, as state governments seek to control the cost of Medicaid programs. Managed Medicaid programs enable states to contract with one or more entities for patient enrollment, care management and claims adjudication. The states usually do not relinquish program responsibilities for financing, eligibility criteria and core benefit plan design.</w:t>
      </w:r>
    </w:p>
    <w:p>
      <w:pPr>
        <w:spacing w:after="0" w:line="16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Center for Medicare and Medicaid Innovation, or CMMI, tests innovative payment and service delivery systems to reduce program expenditures while maintaining or enhancing quality. For example, the CMMI has supported testing of new models of care for “dual eligibles,” funding of home health providers that offer chronic care management services, and establishment of pilot programs that bundle acute care hospital services with physician services and post-acute care services, which may include home health services for certain patients. The Improving Medicare Post-Acute Care Transformation Act of 2014 (“IMPACT Act”) requires HHS, in conjunction with the Medicare Payment Advisory Commission, to propose a unified post-acute care payment model by 2023. A unified post-acute care payment system would pay post-acute care providers, such as long-term care facilities, skilled nursing facilities, and home health agencies, under a single framework according to a patient’s characteristics, rather than the post-acute care setting where the patient receives treatment. These systems could have a material impact on our business. It is difficult to predict the nature and success of future financial or delivery system reforms implemented by HHS, CMMI and other industry participants.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Permits, Licensure and Certificate of Need</w:t>
      </w:r>
    </w:p>
    <w:p>
      <w:pPr>
        <w:spacing w:after="0" w:line="11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Our hospice, home health and personal care services are authorized and/or licensed under various state and county requirements, which cover a variety of topics including standards regarding the provision of medical or care services, clinical records, personnel, infection control and care plans. Additionally, health care professionals at our agencies are required to be individually licensed or certified under state law. Although our personal care service caregivers are generally not subject to licensure requirements, certain states require them to complete pre- and post-employment training programs, background checks, and, in certain instances, maintain state certification. We believe we are currently licensed appropriately as required by the laws of the states in which we operate in all material respects, but additional licensing requirements may be imposed upon us in existing markets or markets that we enter in the future.</w:t>
      </w:r>
    </w:p>
    <w:p>
      <w:pPr>
        <w:spacing w:after="0" w:line="195"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Some states also require a provider to obtain a certificate of need or permit of approval (“CON”) before establishing, constructing, acquiring or expanding certain health services, operations or facilities or making certain capital expenditures. In order to obtain a CON, a state health planning agency must determine that a need exists for the project, with the intent to avoid unnecessary duplication of services.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Fraud and Abuse Laws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i w:val="1"/>
          <w:iCs w:val="1"/>
          <w:color w:val="auto"/>
        </w:rPr>
        <w:t xml:space="preserve">Anti-Kickback Laws: </w:t>
      </w:r>
      <w:r>
        <w:rPr>
          <w:rFonts w:ascii="Arial" w:cs="Arial" w:eastAsia="Arial" w:hAnsi="Arial"/>
          <w:sz w:val="18"/>
          <w:szCs w:val="18"/>
          <w:color w:val="auto"/>
        </w:rPr>
        <w:t>The federal Anti-Kickback Statute prohibits the offering, payment, solicitation or receipt of any remuneration to induce</w:t>
      </w:r>
      <w:r>
        <w:rPr>
          <w:rFonts w:ascii="Arial" w:cs="Arial" w:eastAsia="Arial" w:hAnsi="Arial"/>
          <w:sz w:val="18"/>
          <w:szCs w:val="18"/>
          <w:i w:val="1"/>
          <w:iCs w:val="1"/>
          <w:color w:val="auto"/>
        </w:rPr>
        <w:t xml:space="preserve"> </w:t>
      </w:r>
      <w:r>
        <w:rPr>
          <w:rFonts w:ascii="Arial" w:cs="Arial" w:eastAsia="Arial" w:hAnsi="Arial"/>
          <w:sz w:val="18"/>
          <w:szCs w:val="18"/>
          <w:color w:val="auto"/>
        </w:rPr>
        <w:t>referrals or orders for items or services covered by federal healthcare programs such as Medicare and Medicaid. Courts have interpreted this statute broadly and held that there is a violation if just one purpose of the remuneration is to generate referrals. Knowledge of the law or intent to violate the law is not required. Violations of the federal Anti-Kickback Statute may be punished by criminal fines, imprisonment, significant civil monetary penalties plus damages of up to three times the total amount of remuneration involved and exclusion from participation in federal healthcare programs. In addition, the submission of a claim for services or items generated in violation of the federal Anti-Kickback Statute may be subject to additional penalties under the federal False Claims Act. Many states have similar laws proscribing kickbacks, some of which apply regardless of the source of payment for items or services.</w:t>
      </w:r>
    </w:p>
    <w:p>
      <w:pPr>
        <w:spacing w:after="0" w:line="19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i w:val="1"/>
          <w:iCs w:val="1"/>
          <w:color w:val="auto"/>
        </w:rPr>
        <w:t>The Stark Law and other Prohibitions on Physician Self-Referral</w:t>
      </w:r>
      <w:r>
        <w:rPr>
          <w:rFonts w:ascii="Arial" w:cs="Arial" w:eastAsia="Arial" w:hAnsi="Arial"/>
          <w:sz w:val="16"/>
          <w:szCs w:val="16"/>
          <w:color w:val="auto"/>
        </w:rPr>
        <w:t>: The federal law commonly known as the “Stark Law” prohibits physicians from</w:t>
      </w:r>
      <w:r>
        <w:rPr>
          <w:rFonts w:ascii="Arial" w:cs="Arial" w:eastAsia="Arial" w:hAnsi="Arial"/>
          <w:sz w:val="16"/>
          <w:szCs w:val="16"/>
          <w:i w:val="1"/>
          <w:iCs w:val="1"/>
          <w:color w:val="auto"/>
        </w:rPr>
        <w:t xml:space="preserve"> </w:t>
      </w:r>
      <w:r>
        <w:rPr>
          <w:rFonts w:ascii="Arial" w:cs="Arial" w:eastAsia="Arial" w:hAnsi="Arial"/>
          <w:sz w:val="16"/>
          <w:szCs w:val="16"/>
          <w:color w:val="auto"/>
        </w:rPr>
        <w:t>referring to an entity that provides certain “designated health services” covered by the Medicare and Medicaid program, including home health services, if they, or their family members, have a financial relationship with the entity receiving the referral, unless an exception applies. The Stark Law also prohibits entities that provide designated health services reimbursable by Medicare or Medicaid from billing these programs for any items or services that result from a prohibited referral and requires the entities to refund amounts received for items or services provided pursuant to a prohibited referral. Violations of the Stark Law may result in denial of payment, civil monetary penalties and exclusion from federal healthcare programs. Failure to refund amounts received as a result of a prohibited referral on a timely basis may constitute a false or fraudulent claim, which may result in additional penalties imposed under the federal False Claims Act. The statute and regulations also provide for a penalty for a circumvention scheme. We attempt to structure our relationships, including compensation agreements with physicians who serve as medical directors in our home health agencies, to meet an exception to the Stark Law, but we cannot provide assurance that every relationship fully complies. Many states have also enacted statutes similar in scope and purpose to the Stark Law, although these laws may apply to all payors or a greater range of services.</w:t>
      </w:r>
    </w:p>
    <w:p>
      <w:pPr>
        <w:spacing w:after="0" w:line="17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i w:val="1"/>
          <w:iCs w:val="1"/>
          <w:color w:val="auto"/>
        </w:rPr>
        <w:t>The False Claims Act</w:t>
      </w:r>
      <w:r>
        <w:rPr>
          <w:rFonts w:ascii="Arial" w:cs="Arial" w:eastAsia="Arial" w:hAnsi="Arial"/>
          <w:sz w:val="18"/>
          <w:szCs w:val="18"/>
          <w:color w:val="auto"/>
        </w:rPr>
        <w:t>: Numerous state and federal laws govern the submission of claims for reimbursement and prohibit false claims or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example, the federal False Claims Act prohibits any person, company or corporation from knowingly presenting, or causing to be presented, claims for payment to the federal government that are false or fraudulent, or which contain false or misleading information. “Knowingly” is defined broadly, and includes submission of a claim with reckless disregard to its truth or falsity. The federal False Claims Act can be used to prosecute fraud involving issues such as coding errors and billing for services not provided. Violations of other statutes, such as the federal Anti-Kickback Statute, can also serve as a basis for liability under the federal False Claims Act. Among other potential bases for liability is the knowing and improper failure to report and return overpayments received from Medicare or Medicaid in a timely manner following identification of the overpayment. An overpayment is deemed to be “identified” when a person has, or should have through reasonable diligence, determined that an overpayment was received and quantified the overpayment.</w:t>
      </w:r>
    </w:p>
    <w:p>
      <w:pPr>
        <w:spacing w:after="0" w:line="196" w:lineRule="exact"/>
        <w:rPr>
          <w:sz w:val="20"/>
          <w:szCs w:val="20"/>
          <w:color w:val="auto"/>
        </w:rPr>
      </w:pPr>
    </w:p>
    <w:p>
      <w:pPr>
        <w:jc w:val="both"/>
        <w:ind w:right="40" w:firstLine="509"/>
        <w:spacing w:after="0" w:line="342" w:lineRule="auto"/>
        <w:rPr>
          <w:sz w:val="20"/>
          <w:szCs w:val="20"/>
          <w:color w:val="auto"/>
        </w:rPr>
      </w:pPr>
      <w:r>
        <w:rPr>
          <w:rFonts w:ascii="Arial" w:cs="Arial" w:eastAsia="Arial" w:hAnsi="Arial"/>
          <w:sz w:val="16"/>
          <w:szCs w:val="16"/>
          <w:color w:val="auto"/>
        </w:rPr>
        <w:t>Every entity that receives at least $5.0 million in Medicaid payments annually must have written policies regarding certain federal and state laws for all employees, contractors and agents. These policies must provide detailed information about false claims, false statements and whistleblower protections.</w:t>
      </w:r>
    </w:p>
    <w:p>
      <w:pPr>
        <w:spacing w:after="0" w:line="12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A provider determined to be liable under the False Claims Act may be required to pay three times the amount of actual damages sustained by the federal government, in addition to mandatory civil monetary penalties that may amount to over $20,000 for each false or fraudulent claim. These penalties will be updated annually based on changes to the consumer price index. Private parties may initiate whistleblower lawsuits alleging the defrauding of the federal government by a provider and may receive a share of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settlement or judgment. When a private party brings an action under the federal False Claims Act, the defendant generally is not made aware of the lawsuit under the federal government commences its own investigation or determines whether it will intervene.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Many states have similar false claims statutes that impose additional liability for the types of acts prohibited by the False Claims Act.</w:t>
      </w:r>
    </w:p>
    <w:p>
      <w:pPr>
        <w:spacing w:after="0" w:line="225"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i w:val="1"/>
          <w:iCs w:val="1"/>
          <w:color w:val="auto"/>
        </w:rPr>
        <w:t>Other Fraud and Abuse Provisions</w:t>
      </w:r>
      <w:r>
        <w:rPr>
          <w:rFonts w:ascii="Arial" w:cs="Arial" w:eastAsia="Arial" w:hAnsi="Arial"/>
          <w:sz w:val="16"/>
          <w:szCs w:val="16"/>
          <w:color w:val="auto"/>
        </w:rPr>
        <w:t>: Criminal and civil penalties may be imposed under various other federal and state statutes that prohibit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forms of fraud and abuse, such as anti-kickback laws, prohibitions on self-referral, fee-splitting restrictions, insurance fraud laws, and false claims acts, which may extend to services reimbursable by any payer, including private insurers. For example, criminal penalties may be imposed upon any person or entity that knowingly and willfully defrauds a health care benefit plan, willfully obstructing a criminal investigation of a healthcare offense or makes a materially false statement in connection with delivery of or payment for health care services by a health care benefit plan. Further, the federal Civil Monetary Penalties Law (“CMPL”) imposes substantial penalties for offering remuneration or other inducements to influence federal healthcare beneficiaries’ decisions to seek specific governmentally reimbursable items or services or to choose particular providers. It also imposes penalties for contracting with an individual or entity known to be excluded from a federal healthcare program. The CMPL requires a lower burden of proof than some other fraud and abuse laws, including the federal Anti-Kickback Statute. Civil monetary penalties are updated annually based on changes to the consumer price index. In addition to the financial penalties, federal enforcement officials are able to exclude from Medicare or Medicaid any individuals or entities convicted of Medicare or Medicaid fraud or other offenses related to the delivery of items or services under those programs. Persons who have been excluded from the Medicare or Medicaid program may not retain ownership in a participating entity. Participating entities that permit continued ownership by excluded individuals, that contract with excluded individuals, and the excluded individuals themselves, may be penalized.</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Payment Integrity</w:t>
      </w:r>
    </w:p>
    <w:p>
      <w:pPr>
        <w:spacing w:after="0" w:line="117"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We are subject to routine and periodic surveys and audits by various governmental agencies and other payors. From time to time, we receive and respond to survey reports containing statements of deficiencies. Periodic and random audits conducted or directed by these agencies could result in a delay in receipt or an adjustment to the amount of reimbursements due or received under federal or state programs.</w:t>
      </w:r>
    </w:p>
    <w:p>
      <w:pPr>
        <w:spacing w:after="0" w:line="165" w:lineRule="exact"/>
        <w:rPr>
          <w:sz w:val="20"/>
          <w:szCs w:val="20"/>
          <w:color w:val="auto"/>
        </w:rPr>
      </w:pPr>
    </w:p>
    <w:p>
      <w:pPr>
        <w:jc w:val="both"/>
        <w:ind w:right="80" w:firstLine="509"/>
        <w:spacing w:after="0" w:line="293" w:lineRule="auto"/>
        <w:rPr>
          <w:sz w:val="20"/>
          <w:szCs w:val="20"/>
          <w:color w:val="auto"/>
        </w:rPr>
      </w:pPr>
      <w:r>
        <w:rPr>
          <w:rFonts w:ascii="Arial" w:cs="Arial" w:eastAsia="Arial" w:hAnsi="Arial"/>
          <w:sz w:val="16"/>
          <w:szCs w:val="16"/>
          <w:color w:val="auto"/>
        </w:rPr>
        <w:t>Under the Recovery Audit Contractor (“RAC”) program, CMS contracts with third parties to identify improper Medicare and Medicaid payments. By statute, states are required to enter into contracts with RACs to audit payments to Medicaid providers, although states are allowed to request waivers of aspects of this requirement. Further, under the Medicaid Integrity Program, CMS employs private contractors to perform post-payment audits of Medicaid claims and identify overpayments. CMS has transitioned several functions previously performed through other integrity programs (for example, Medicare Zone Program Integrity Contractors or ZPICs) to a consolidated model by engaging Unified Program Integrity Contractors (“UPICs”) to perform integrity activities such as investigation and audits of claims billed by Medicare providers, including home health and hospice providers.</w:t>
      </w:r>
    </w:p>
    <w:p>
      <w:pPr>
        <w:spacing w:after="0" w:line="164"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From time to time, various federal and state agencies, such as HHS, issue pronouncements that identify practices that may be subject to heightened scrutiny, as well as practices that may violate fraud and abuse laws. For example, the Office of the Inspector General issued an Investigative Advisory in 2012 that identified a number of program integrity vulnerabilities in the delivery of personal care services and recommending corrective actions by CMS. In December 2016, CMS issued a bulletin highlighting safeguards that state Medicaid agencies can put in place around personal care services. It has also issued guidance to personal care services agencies and attendants on avoiding improper payments. We believe, but cannot assure you, that our operations comply with the principles expressed by HHS in these reports, advisories and guidance.</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HIPAA, Other Privacy and Security and Data Exchange Requirements</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HIPAA Administrative Simplification provisions and implementing regulations require the use of uniform electronic data transmission standards and code sets for certain healthcare claims and reimbursement payment transactions submitted or received electronically. These provisions are intended to encourage electronic commerce in the U.S. healthcare industry.</w:t>
      </w:r>
    </w:p>
    <w:p>
      <w:pPr>
        <w:spacing w:after="0" w:line="184"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HIPAA, as amended by the Health Information Technology for Economic and Clinical Health Act (“HITECH”), and its implementing regulations extensively regulate the use, disclosure, confidentiality, availability and integrity of individually identifiable health information, known as “protected health information,” and provide for a number of individual rights with respect to such information. These requirements apply to most healthcare providers, which are known as “covered entities,” including our Company. Vendors, known as “business associates,” that handle protected health information, on behalf of covered entities must also comply with most HIPAA requirements. A covered entity may be subject to penalties as a result of a business associate violating HIPAA, if the business associate is found to be an agent of the covered entity.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Covered entities must, among other things, maintain privacy and security policies, train workforce members, maintain physical, administrative, and technical safeguards, enter into confidentiality agreements with business associates, and permit individuals to access and amend their protected health information. In addition, covered entities must report breaches of unsecured (unencrypted) protected health information to affected individuals without unreasonable delay, but not to exceed 60 calendar days from the discovery date of the breach. Notification must also be made to HHS and, in certain cases involving large breaches, to the media.</w:t>
      </w:r>
    </w:p>
    <w:p>
      <w:pPr>
        <w:spacing w:after="0" w:line="188"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HIPAA violations may result in criminal penalties and significant civil penalties. Our Company is also subject to other applicable federal or state laws that are more restrictive than HIPAA, which could result in additional penalties. For example, the Federal Trade Commission uses its consumer protection authority to initiate enforcement actions against entities whose inadequate data security programs may expose consumers to fraud, identity theft and privacy intrusions. Various state laws and regulations require entities that maintain individually identifiable information (even if not health-related) to report data breaches to affected individuals and, in some cases, state regulators.</w:t>
      </w:r>
    </w:p>
    <w:p>
      <w:pPr>
        <w:spacing w:after="0" w:line="1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Health care providers and industry participants are also subject to a growing number of requirements intended to promote the interoperability and exchange of patient health information. For example, beginning April 5, 2021, health care providers and certain other entities will be subject to information blocking restrictions pursuant to the 21st Century Cures Act that prohibit practices that are likely to interfere with the access, exchange or use of electronic health information, except as required by law or specified by HHS as a reasonable and necessary activity. Violations may result in penalties or other disincentives.</w:t>
      </w:r>
    </w:p>
    <w:p>
      <w:pPr>
        <w:spacing w:after="0" w:line="18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Although we believe that we are in material compliance with the HIPAA regulations and other federal and state laws and regulations related to privacy and security, inadvertent violations may occur in the course of our business. For this and other reasons, we expect compliance with HIPAA, other privacy and security standards, and other laws and regulations impacting the exchange of health information to continue to impose significant costs on our business lines.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Environmental, Health and Safety Laws</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are subject to federal, state and local regulations governing the storage, transport, use and disposal of hazardous materials and waste products. In the event of an accident involving such hazardous materials, we could be held liable for any damages that result, and any liability could exceed the limits or fall outside the coverage of our insurance. We may not be able to maintain insurance on acceptable terms, or at all.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Public Filings</w:t>
      </w:r>
    </w:p>
    <w:p>
      <w:pPr>
        <w:spacing w:after="0" w:line="117"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 xml:space="preserve">Through our website, </w:t>
      </w:r>
      <w:r>
        <w:rPr>
          <w:rFonts w:ascii="Arial" w:cs="Arial" w:eastAsia="Arial" w:hAnsi="Arial"/>
          <w:sz w:val="17"/>
          <w:szCs w:val="17"/>
          <w:i w:val="1"/>
          <w:iCs w:val="1"/>
          <w:color w:val="auto"/>
        </w:rPr>
        <w:t>www.addus.com,</w:t>
      </w:r>
      <w:r>
        <w:rPr>
          <w:rFonts w:ascii="Arial" w:cs="Arial" w:eastAsia="Arial" w:hAnsi="Arial"/>
          <w:sz w:val="17"/>
          <w:szCs w:val="17"/>
          <w:color w:val="auto"/>
        </w:rPr>
        <w:t xml:space="preserve"> we make available, free of charge, our Annual Reports on Form 10-K, Quarterly Reports on Form 10-Q, Current Reports on Form 8-K and all amendments to those reports filed or furnished pursuant to Section 13(a) or 15(d) of the Securities Exchange Act of 1934, as amended (the “Exchange Act”) as soon as reasonably practicable after we electronically file such material with, or furnish it to, the SEC. In addition to our website, the SEC maintains an internet site that contains our reports, proxy and information statements, and other information that we file electronically with the SEC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w:t>
      </w:r>
      <w:r>
        <w:rPr>
          <w:rFonts w:ascii="Arial" w:cs="Arial" w:eastAsia="Arial" w:hAnsi="Arial"/>
          <w:sz w:val="17"/>
          <w:szCs w:val="17"/>
          <w:color w:val="auto"/>
        </w:rPr>
        <w:t xml:space="preserve"> The references to our website address in this Form 10-K do not constitute incorporation by reference of the information contained on the website and should not be considered part of this document.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i w:val="1"/>
          <w:iCs w:val="1"/>
          <w:color w:val="auto"/>
        </w:rPr>
        <w:t>Any of the risks described below, and the risks described elsewhere in this Form 10-K, could have a material adverse effect on our business and consolidated financial condition, results of operations and cash flows, cause the trading price of our common stock to decline and cause the actual outcome of matters to differ materially from our current expectations as reflected in forward-looking statements made in this Form 10-K. The risk factors described below and elsewhere in this Form 10-K are not the only risks we face. Our business and consolidated financial condition, results of operations and cash flows may also be materially adversely affected by factors that are not currently known to us, by factors that we currently consider immaterial or by factors that are not specific to us, such as general economic conditions.</w:t>
      </w:r>
    </w:p>
    <w:p>
      <w:pPr>
        <w:spacing w:after="0" w:line="178" w:lineRule="exact"/>
        <w:rPr>
          <w:sz w:val="20"/>
          <w:szCs w:val="20"/>
          <w:color w:val="auto"/>
        </w:rPr>
      </w:pPr>
    </w:p>
    <w:p>
      <w:pPr>
        <w:ind w:right="680" w:firstLine="509"/>
        <w:spacing w:after="0" w:line="308" w:lineRule="auto"/>
        <w:rPr>
          <w:sz w:val="20"/>
          <w:szCs w:val="20"/>
          <w:color w:val="auto"/>
        </w:rPr>
      </w:pPr>
      <w:r>
        <w:rPr>
          <w:rFonts w:ascii="Arial" w:cs="Arial" w:eastAsia="Arial" w:hAnsi="Arial"/>
          <w:sz w:val="17"/>
          <w:szCs w:val="17"/>
          <w:i w:val="1"/>
          <w:iCs w:val="1"/>
          <w:color w:val="auto"/>
        </w:rPr>
        <w:t>You should refer to the explanation of the qualifications and limitations on forward-looking statements under “Special Caution Concerning Forward-Looking Statements.” All forward-looking statements made by us are qualified by the risk factors described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 and External Factors</w:t>
      </w:r>
    </w:p>
    <w:p>
      <w:pPr>
        <w:spacing w:after="0" w:line="337" w:lineRule="exact"/>
        <w:rPr>
          <w:sz w:val="20"/>
          <w:szCs w:val="20"/>
          <w:color w:val="auto"/>
        </w:rPr>
      </w:pPr>
    </w:p>
    <w:p>
      <w:pPr>
        <w:ind w:left="260" w:right="580"/>
        <w:spacing w:after="0" w:line="277" w:lineRule="auto"/>
        <w:rPr>
          <w:sz w:val="20"/>
          <w:szCs w:val="20"/>
          <w:color w:val="auto"/>
        </w:rPr>
      </w:pPr>
      <w:r>
        <w:rPr>
          <w:rFonts w:ascii="Arial" w:cs="Arial" w:eastAsia="Arial" w:hAnsi="Arial"/>
          <w:sz w:val="18"/>
          <w:szCs w:val="18"/>
          <w:b w:val="1"/>
          <w:bCs w:val="1"/>
          <w:i w:val="1"/>
          <w:iCs w:val="1"/>
          <w:color w:val="auto"/>
        </w:rPr>
        <w:t>The COVID-19 pandemic could negatively affect our operations, business and financial condition, and our liquidity could also be negatively impacted, particularly if the U.S. economy remains unstable for a significant amount of time.</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On January 31, 2020, the Secretary of HHS declared a national public health emergency due to a novel coronavirus. In March 2020, the World Health Organization declared the outbreak of COVID-19, the disease caused by this novel coronavirus, a pandemic. The disease continues to spread throughout the United States and other parts of the world. The spread of COVID-19 has caused many states and cities to declare states of emergency or disaster proclamations, including the state of Texas and the city of Frisco, where we are headquartered. State and local governments, together with public health officials, have recommended and mandated precautions to mitigate the spread of the virus, including the closure of public facilities and parks, schools, restaurants, many businesses and other locations of public assembly. As a result, COVID-19 continues to affect the overall economic conditions in the United States. Although many of the restrictions have eased across the country, some areas are re-imposing closures and other restrictions, as a result of increasing rates of COVID-19 infection. There are no reliable estimates of how long the pandemic will last, how many people are likely to be affected by it or the duration or types of restrictions that will be imposed or re-imposed. For these and other reasons, we are unable to predict the long-term impact of the pandemic on our business at this time.</w:t>
      </w:r>
    </w:p>
    <w:p>
      <w:pPr>
        <w:spacing w:after="0" w:line="21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Relevant authorities have universally designated our services as “essential,” exempting our services and providers from many of the restrictions of the orders described above. However, our home health and hospice providers have experienced difficulty in accessing facility-based patients because of concerns about the spread of COVID-19, and we expect that this difficulty will continue. As front-line providers of healthcare services and personal care services, our employees that contract COVID-19 could be unable to continue to perform their duties, and we could face litigation if our employees or customers contract COVID-19 while our employees perform their duties. In addition, we have incurred and will continue to incur additional costs related to protecting the health and well-being, and meeting the needs, of our patients, employees, and contractors as we implement operational changes in response to the pandemic. Staffing, equipment, pharmaceutical and medical supplies shortages may impact our ability to schedule and treat patients. While the COVID-19 pandemic has not had a material effect on our business, financial condition and results of operations, the extent of future impact will depend on future developments that cannot be accurately predicted at this time, including the severity and transmission rate of COVID-19, the extent and effectiveness of containment actions taken, the rollout and availability of effective medical treatments and vaccines, and the impact of any mutations of the virus.</w:t>
      </w:r>
    </w:p>
    <w:p>
      <w:pPr>
        <w:spacing w:after="0" w:line="168"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If general economic conditions deteriorate or remain uncertain for an extended period of time, our liquidity and ability to repay our outstanding debt may be harmed. Furthermore, the COVID-19 pandemic has previously caused disruption in the financial markets and the businesses of financial institutions and may do so again, potentially causing a slowdown in the decision-making of these institutions. This may affect the timing on which we may obtain any additional funding and there can be no assurance that we will be able to raise additional funds on terms acceptable to us, if at all. Additionally, the economic slowdown caused by the COVID-19 pandemic poses significant risks to states’ budgets for the 2021 fiscal year, which began July 1 in most states. Depending on the severity and length of a downturn, sales tax collections and income tax withholdings could continue to be depressed in fiscal 2021 and, potentially, future fiscal years. States could face significant fiscal challenges and may have no choice but to revise their revenue forecasts and adjust their budgets for fiscal 2021 and, potentially, future fiscal years, accordingly. For example, in New York, which started its fiscal year April 1, the state comptroller recently estimated that the state would collect at least $10 billion less than originally forecasted, the first year-to-year cut since 2011. The current New York fiscal plan authorizes the state of New York to issue up to $8 billion in short-term bonds to provide funds in case of reduced revenues during the fiscal year. The state issued $1.1 billion of bonds on October 28, 2020. The New York fiscal plan also allows two state authorities to provide the state with a $3 billion line of credit in the new fiscal year. Congress could provide additional relief with additional stimulus and relief legislation, including extension of unemployment benefits and relief for states. We cannot determine the impact that COVID-19 may have on states budgets for 2021 or beyond, however, such impacts could have a material adverse effect on our financial condition, results of operations and cash flows.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The foregoing and other continued disruptions to our business as a result of the COVID-19 pandemic could result in an adverse effect on our business, result of operations, financial condition, liquidity, cash flows and our ability to service our indebtedness. Furthermore, the COVID-19 pandemic could heighten the risks in certain of the other risk factors described in this Annual Report on Form 10-K.</w:t>
      </w:r>
    </w:p>
    <w:p>
      <w:pPr>
        <w:spacing w:after="0" w:line="273" w:lineRule="exact"/>
        <w:rPr>
          <w:sz w:val="20"/>
          <w:szCs w:val="20"/>
          <w:color w:val="auto"/>
        </w:rPr>
      </w:pPr>
    </w:p>
    <w:p>
      <w:pPr>
        <w:ind w:left="260" w:right="180"/>
        <w:spacing w:after="0" w:line="263" w:lineRule="auto"/>
        <w:rPr>
          <w:sz w:val="20"/>
          <w:szCs w:val="20"/>
          <w:color w:val="auto"/>
        </w:rPr>
      </w:pPr>
      <w:r>
        <w:rPr>
          <w:rFonts w:ascii="Arial" w:cs="Arial" w:eastAsia="Arial" w:hAnsi="Arial"/>
          <w:sz w:val="18"/>
          <w:szCs w:val="18"/>
          <w:b w:val="1"/>
          <w:bCs w:val="1"/>
          <w:i w:val="1"/>
          <w:iCs w:val="1"/>
          <w:color w:val="auto"/>
        </w:rPr>
        <w:t>There can be no assurance as to the total amount of financial assistance we may receive from future stimulus legislation, if any, or that we will be able to benefit from provisions intended to increase access to resources and ease regulatory burdens for healthcare providers or that additional stimulus legislation will be enacted.</w:t>
      </w:r>
    </w:p>
    <w:p>
      <w:pPr>
        <w:spacing w:after="0" w:line="76"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response to the COVID-19 pandemic, the CARES Act, the PPPHCE Act and the CAA authorize a total of $178 billion in funding to be distributed to health care providers through the Provider Relief Fund. These funds are intended to reimburse eligible providers, including public entities and Medicare and/or Medicaid-enrolled providers and suppliers, for healthcare-related expenses or lost revenues attributable to COVID-19. The Company has acquired and may in the future acquire companies that have received funds from the Provider Relief Fund. HHS has not yet allocated or distributed all funds from the Provider Relief Fund, so the potential future impact to the Company is unclear. The Company has also received amounts from the Provider Relief Fund and utilized a portion of those funds to offset increased healthcare related expenses attributable to COVID-19 that were unreimbursed by other sources, but our ability to utilize and retain some or all of these remaining funds will depend on the magnitude, timing and nature of the impact of the COVID-19 pandemic and that the terms and conditions related to the funds received will not change or be interpreted in ways that impact our ability to comply with such terms and conditions in the future. We continue to evaluate the terms and conditions and the financial impact of funds received under the CARES Act, the Provider Relief Fund and other government relief programs. We expect that recipients of these funds will be subject to significant scrutiny by the federal government, and note that recipients of Provider Relief Fund payments are subject to audit requirements. We have structured and will continue to structure our use of these funds in accordance with the terms and conditions, but federal regulators may disagree with our interpretation of these terms and conditions and require that we repay some or all amounts received at our facilities and pay or impose other penalties.</w:t>
      </w:r>
    </w:p>
    <w:p>
      <w:pPr>
        <w:spacing w:after="0" w:line="174"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The CARES Act also makes other forms of financial assistance available to healthcare providers, including through Medicare and Medicaid payment adjustments and an expansion of the Medicare Accelerated and Advance Payment Program, which makes available advance payments of Medicare funds in order to increase cash flow to providers. Hospice and home health providers were able to request an advance or accelerated payment of up to 100% of the Medicare payment amount for a three-month period (not including Medicare Advantage payments). In addition to financial assistance, the CARES Act and related legislation include provisions intended to increase access to medical supplies and equipment and ease legal and regulatory burdens on healthcare providers, as well as certain federal income and other tax changes, including the deferral of the employer portion of Social Security payroll taxes.</w:t>
      </w:r>
    </w:p>
    <w:p>
      <w:pPr>
        <w:spacing w:after="0" w:line="195"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Many of these measures, such as flexibilities related to the provision of telehealth services, are effective only for the duration of the public health emergency. The current public health emergency determination expires April 21, 2021, but HHS has indicated it will likely extend through 2021. The HHS Secretary may choose to renew the declaration for successive 90-day periods for as long as the emergency continues to exist and may terminate the declaration whenever he determines that the public health emergency no longer exists. It is unclear for how long the public health emergency declaration will be extended. The CARES Act also includes numerous income tax provisions including changes to the net operating loss rules and business interest expense deduction rules.</w:t>
      </w:r>
    </w:p>
    <w:p>
      <w:pPr>
        <w:spacing w:after="0" w:line="19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Due to the enactment of the CARES Act, the PPPHCE Act, the CAA and other stimulus legislation, there is still a high degree of uncertainty surrounding their implementation, and the COVID-19 pandemic continues to evolve. The federal government is considering additional stimulus efforts, but we are unable to predict whether additional stimulus measures will be enacted or their impact. There can be no assurance as to the total amount of financial and other types of assistance we will receive under existing or future legislation, if any, and it is difficult to predict the impact of such legislation on our operations or how it will affect operations of our competitors. Further, there can be no assurance that the terms of the Provider Relief Fund or other programs will not change in ways that affect funding we may receive or our eligibility to participate. We continue to assess the potential impact of COVID-19 and government responses to the pandemic, including the enactment and implementation of the CARES Act, the PPPHCE Act, the CAA and other stimulus legislation, on our business, financial condition, results of operations and cash flows.</w:t>
      </w:r>
    </w:p>
    <w:p>
      <w:pPr>
        <w:spacing w:after="0" w:line="286"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b w:val="1"/>
          <w:bCs w:val="1"/>
          <w:i w:val="1"/>
          <w:iCs w:val="1"/>
          <w:color w:val="auto"/>
        </w:rPr>
        <w:t>We may be more vulnerable to the effects of a public health emergency than other businesses due to the nature of our consumers and the physical proximity required by our operations.</w:t>
      </w:r>
    </w:p>
    <w:p>
      <w:pPr>
        <w:spacing w:after="0" w:line="62"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majority of our consumers and patients are older individuals, many of whom may be more vulnerable than the general public during a pandemic or in a public health emergency due to complex medical conditions or other socioeconomic factors. Our employees are also at greater risk of contracting contagious diseases due to their increased exposure to vulnerable consumers. Our employees could also have difficulty attending to our consumers if a program of social distancing or quarantine is instituted in response to a public health emergency. In addition, the Company may expand existing internal policies in a manner that may have a similar effect. If another pandemic were to occur, or the existing COVID-19 pandemic does not abate or worsens, we could suffer significant losses to our consumer population or a reduction in the availability of our employees and, at a high cost, be required to hire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replacements for affected workers. Since December 2019, as noted above, the COVID-19 pandemic, a disease caused by a novel coronavirus, has resulted in travel disruption and affected business operations across the world, among other significant effects. According to the Centers for Disease Control and Prevention, older adults and people with certain underlying medical conditions are at a higher risk for serious illness from COVID-19. Although the impact of COVID-19 on our results of operations has been minimal, the extent to which the COVID-19 pandemic may impact our results in the longer term is uncertain. Accordingly, certain public health emergencies could have a material adverse effect on our financial condition and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229"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Our growth strategy depends on our ability to manage growing and effectively integrating operations and we may not be successful in managing this growth.</w:t>
      </w:r>
    </w:p>
    <w:p>
      <w:pPr>
        <w:spacing w:after="0" w:line="6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Our business plan calls for significant growth in business over the next several years through the expansion of our services in existing markets and the establishment of a presence in new markets. This growth has placed and continues to place significant demands on our management team, systems, internal controls and financial and professional resources. In addition, we will need to further develop our financial controls and reporting systems to accommodate our growth. This could require us to incur expenses for hiring additional qualified personnel, retaining professionals to assist in developing the appropriate control systems and expanding our information technology infrastructure. Our inability to effectively manage growth could have a material adverse effect on our financial results.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Previously completed or future acquisitions, or growth initiatives, may be unsuccessful and could expose us to unforeseen liabilities.</w:t>
      </w:r>
    </w:p>
    <w:p>
      <w:pPr>
        <w:spacing w:after="0" w:line="129"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Our growth strategy includes geographical expansion into new markets and the addition of new services in existing markets through the acquisition of local service providers. These acquisitions involve significant risks and uncertainties, including difficulties assimilating acquired personnel and other corporate cultures into our business, the potential loss of key employees or consumers of acquired providers, regulatory risks, the assumption of liabilities, exposure to unforeseen liabilities of acquired providers, and the diversion of the management team’s attention. In the past, we have made acquisitions that have not performed as expected or that we have been unable to successfully integrate with our existing operations. In addition, our due diligence review of acquired businesses may not successfully identify all potential issues. Further, following completion of an acquisition, we may not be able to maintain the growth rate, levels of revenue, earnings or operating efficiency that we and the acquired business have achieved or might achieve separately. While we continue to seek out and pursue acquisition opportunities, we are doing so with additional caution and diligence due to COVID-19 considerations. The failure to effectively integrate future acquisitions could have a material adverse impact on our operations.</w:t>
      </w:r>
    </w:p>
    <w:p>
      <w:pPr>
        <w:spacing w:after="0" w:line="166"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We have grown our business through de novo offices and we may in the future selectively open new offices in existing and new states. De novo offices involve risks, including those relating to licensing, accreditation, and payor program enrollment, hiring new personnel, establishing relationships with referral sources and delays or difficulty in installing our operating and information systems. We may not be successful in generating sufficient business activity to sustain the operating costs of such de novo operations.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may be unable to pursue acquisitions or expand into new geographic regions without obtaining additional capital or consent from our lenders.</w:t>
      </w:r>
    </w:p>
    <w:p>
      <w:pPr>
        <w:spacing w:after="0" w:line="15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At December 31, 2020 and 2019, we had cash balances of $145.1 million and $111.7 million, respectively. As of December 31, 2020 and 2019, we had $196.6 million and $43.4 million outstanding debt on our credit facility, respectively. After giving effect to the amount drawn on our credit facility, approximately $9.0 million and $10.0 million of outstanding letters of credit at December 31, 2020 and 2019 and borrowing limits based on an advanced multiple of adjusted EBITDA, we had $112.6 million and $137.4 million available for borrowing under our credit facility as of December 31, 2020 and 2019, respectively. Since our credit facility provides for borrowings based on a multiple of an EBITDA ratio, any declines in our EBITDA would result in a decrease in our available borrowings under our credit facility.</w:t>
      </w:r>
    </w:p>
    <w:p>
      <w:pPr>
        <w:spacing w:after="0" w:line="84"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cannot predict the timing, size and success of our acquisition efforts, our efforts to expand into new geographic regions or the associated capital commitments. If we do not have sufficient cash resources or availability under our credit facility, our growth could be limited unless we obtain additional equity or debt financing. In the future, we may elect to issue additional equity securities in conjunction with raising capital, completing an acquisition or expanding into a new geographic region. For example, on September 9, 2019, we completed a public offering of an aggregate 2,300,000 shares of common stock, par value $0.001 per share, including 300,000 shares of common stock sold pursuant to the exercise in full by the underwriters of their option to purchase additional shares at a public offering price of $79.50 per share (the “Public Offering”). We used approximately $130.0 million from the net proceeds of the Public Offering to fund the purchase price for our acquisition of Hospice Partners on October 1, 2019 and used the remaining net proceeds of the offering for general corporate purposes and to fund, in part, 2020 acquisitions. Such issuances could be dilutive to existing shareholders. In addition, our ability under our credit facility to consummate acquisitions is restricted if we exceed certain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Total Net Leverage Ratio (as defined in the Credit Agreement, and subject to adjustments as provided therein) thresholds, without the consent of the lenders; provided, however, in certain circumstances, in connection with a Material Acquisition (as defined in the Credit Agreement), we can elect to increase our Total Net Leverage Ratio compliance covenant for the then current fiscal quarter and the three succeeding fiscal quarters. Further, our credit facility requires, among other things, that we are in pro forma compliance with the financial covenants set forth therein and that no event of default exists before and after giving effect to any proposed acquisition. Our ability to expand in a manner consistent with historic practices may be limited if we are unable to obtain such consent from our lenders.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Timing differences in reimbursement may cause liquidity problems.</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fund operations primarily through the collection of accounts receivable, but there is a delay between the time that we provide services and the time that we receive reimbursement or payment for these services. These delays may result from such factors as changes by payors to data submission requirements, requests by fiscal intermediaries for additional data or documentation, other Medicare or Medicaid issues, or information system problems, which may adversely impact our working capital. Working capital management, including prompt and diligent billing and collection, is an important factor in our results of operations and liquidity. Our working capital management procedures may not successfully negate this risk. Delays in receiving reimbursement or payments from Medicare, Medicaid and other payors may adversely impact our working capital. Further, many of the states in which we operate are operating with budget deficits for their current fiscal year and the economic impact of the COVID-19 pandemic likely will increase state deficits. These and other states may in the future delay reimbursement, which would adversely affect our liquidity. In addition, from time to time, procedural issues require us to resubmit claims before payment is remitted, which contributes to our aged receivables. Additionally, unanticipated delays in receiving reimbursement from state programs due to changes in their policies or billing or audit procedures may adversely impact our liquidity and working capital.</w:t>
      </w:r>
    </w:p>
    <w:p>
      <w:pPr>
        <w:spacing w:after="0" w:line="300" w:lineRule="exact"/>
        <w:rPr>
          <w:sz w:val="20"/>
          <w:szCs w:val="20"/>
          <w:color w:val="auto"/>
        </w:rPr>
      </w:pPr>
    </w:p>
    <w:p>
      <w:pPr>
        <w:ind w:firstLine="562"/>
        <w:spacing w:after="0" w:line="268" w:lineRule="auto"/>
        <w:rPr>
          <w:sz w:val="20"/>
          <w:szCs w:val="20"/>
          <w:color w:val="auto"/>
        </w:rPr>
      </w:pPr>
      <w:r>
        <w:rPr>
          <w:rFonts w:ascii="Arial" w:cs="Arial" w:eastAsia="Arial" w:hAnsi="Arial"/>
          <w:sz w:val="17"/>
          <w:szCs w:val="17"/>
          <w:color w:val="auto"/>
        </w:rPr>
        <w:t>We are and have been subject to routine and periodic surveys, audits and investigations by various governmental agencies. In addition to surveys to determine compliance with the conditions of participation, CMS has engaged a number of contractors (including Medicare Administrative Contractors ("MACs"), RACs and UPICs) to conduct audits to evaluate billing practices and identify overpayments. These audits can result in recoupments by Medicare and other payors of amounts previously paid to us. In addition to audits by CMS contractors, individual states are implementing similar integrity programs using Medicaid RACs. We are unable to predict what additional government regulations, if any, affecting our business may be enacted in the future, how existing or future laws and regulations might be interpreted or whether we will be able to comply with such laws and regulations either in the markets in which we presently conduct, or wish to commence, business. In June 2019, CMS began the Review Choice Demonstration for Home Health Services in Illinois to identify and prevent fraud, reduce the number of Medicare appeals, and improve provider compliance with Medicare program requirements. The demonstration expanded to Ohio in September 2019 and to Texas in March 2020. Home health agencies may initially select from the following claims review and approval processes: pre-claim review, post-payment review, or a minimal post-payment review with a 25% payment reduction. Home health agencies that maintain high compliance levels will be eligible for additional, less burdensome options. Beginning in March 2020, CMS temporarily paused certain claims processing for the Review Choice Demonstration due to the COVID-19 pandemic, but the agency resumed its activities under the demonstration in August 2020. CMS is in the process of expanding the Review Choice Demonstration to North Carolina and Florida, but is phasing in participation due to the COVID-19 pandemic. We are currently unable to predict what impact, if any, this program may have on our result of operations or financial position.</w:t>
      </w:r>
    </w:p>
    <w:p>
      <w:pPr>
        <w:spacing w:after="0" w:line="290" w:lineRule="exact"/>
        <w:rPr>
          <w:sz w:val="20"/>
          <w:szCs w:val="20"/>
          <w:color w:val="auto"/>
        </w:rPr>
      </w:pPr>
    </w:p>
    <w:p>
      <w:pPr>
        <w:ind w:left="260" w:right="460"/>
        <w:spacing w:after="0" w:line="277" w:lineRule="auto"/>
        <w:rPr>
          <w:sz w:val="20"/>
          <w:szCs w:val="20"/>
          <w:color w:val="auto"/>
        </w:rPr>
      </w:pPr>
      <w:r>
        <w:rPr>
          <w:rFonts w:ascii="Arial" w:cs="Arial" w:eastAsia="Arial" w:hAnsi="Arial"/>
          <w:sz w:val="18"/>
          <w:szCs w:val="18"/>
          <w:b w:val="1"/>
          <w:bCs w:val="1"/>
          <w:i w:val="1"/>
          <w:iCs w:val="1"/>
          <w:color w:val="auto"/>
        </w:rPr>
        <w:t>Our revenues are concentrated in a small number of states which makes us particularly sensitive to regulatory and economic changes in those states.</w:t>
      </w:r>
    </w:p>
    <w:p>
      <w:pPr>
        <w:spacing w:after="0" w:line="62" w:lineRule="exact"/>
        <w:rPr>
          <w:sz w:val="20"/>
          <w:szCs w:val="20"/>
          <w:color w:val="auto"/>
        </w:rPr>
      </w:pPr>
    </w:p>
    <w:p>
      <w:pPr>
        <w:ind w:right="220" w:firstLine="509"/>
        <w:spacing w:after="0" w:line="273" w:lineRule="auto"/>
        <w:rPr>
          <w:sz w:val="20"/>
          <w:szCs w:val="20"/>
          <w:color w:val="auto"/>
        </w:rPr>
      </w:pPr>
      <w:r>
        <w:rPr>
          <w:rFonts w:ascii="Arial" w:cs="Arial" w:eastAsia="Arial" w:hAnsi="Arial"/>
          <w:sz w:val="17"/>
          <w:szCs w:val="17"/>
          <w:color w:val="auto"/>
        </w:rPr>
        <w:t>Our revenues are particularly sensitive to regulatory and economic changes in states in which we generate a significant portion of our revenues including Illinois, New York and New Mexico. Accordingly, any change in the current demographic, economic, competitive or regulatory conditions in these states could have an adverse effect on our business, financial condition or results of operations. Changes to the Medicaid programs in these states could also have a disproportionately adverse effect on our business, financial condition, results of operations or cash flows. Additionally, New York and Illinois have been some of the most significantly impacted areas to date by the COVID-19 pandemic, which could also have a disproportionately adverse effect on our business, financial condition, results of operations or cash flows.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Efforts to reduce the costs of the Illinois Department on Aging programs could adversely affect our service revenues and profitability.</w:t>
      </w:r>
    </w:p>
    <w:p>
      <w:pPr>
        <w:spacing w:after="0" w:line="129"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For the years ended December 31, 2020 and 2019, we derived approximately 23.0% and 25.3%, respectively, of our revenue from the Illinois Department on Aging programs. In the past, state government officials have attempted to reduce government spending by proposing changes aimed at reducing expenditures by this department. The current governor, who took office in January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2019, has continued the pursuit of cost reduction initiatives. The nature and extent of any proposed future cost reduction initiatives is unknown. If future reforms impact the eligibility of consumers for services, the number of hours authorized or otherwise restrict services provided to existing consumers, our service revenues, results of operations, financial position and growth may be adversely affected.</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Failure to renew a significant payor agreement or group of related payor agreements may materially impact our revenue.</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Each of our agreements is generally in effect for a specific term, but they are also generally terminable with 60 days’ notice. Our ability to renew or retain our agreements depends on our quality of service and reputation, as well as other factors over which we have little or no control, such as state appropriations and changes in provider eligibility requirements. Additionally, failure to satisfy any of the numerous technical renewal requirements in connection with our proposals for agreements could result in a proposal being rejected even if it contains favorable pricing terms. Failure to obtain, renew or retain agreements with major payors may negatively impact our results of operations and revenue. We can give no assurance these agreements will be renewed on commercially reasonable terms or at all.</w:t>
      </w:r>
    </w:p>
    <w:p>
      <w:pPr>
        <w:spacing w:after="0" w:line="300" w:lineRule="exact"/>
        <w:rPr>
          <w:sz w:val="20"/>
          <w:szCs w:val="20"/>
          <w:color w:val="auto"/>
        </w:rPr>
      </w:pPr>
    </w:p>
    <w:p>
      <w:pPr>
        <w:ind w:left="260" w:right="200"/>
        <w:spacing w:after="0" w:line="277" w:lineRule="auto"/>
        <w:rPr>
          <w:sz w:val="20"/>
          <w:szCs w:val="20"/>
          <w:color w:val="auto"/>
        </w:rPr>
      </w:pPr>
      <w:r>
        <w:rPr>
          <w:rFonts w:ascii="Arial" w:cs="Arial" w:eastAsia="Arial" w:hAnsi="Arial"/>
          <w:sz w:val="18"/>
          <w:szCs w:val="18"/>
          <w:b w:val="1"/>
          <w:bCs w:val="1"/>
          <w:i w:val="1"/>
          <w:iCs w:val="1"/>
          <w:color w:val="auto"/>
        </w:rPr>
        <w:t>Negative publicity or changes in public perception of our services may adversely affect our ability to receive referrals, obtain new agreements and renew existing agreements.</w:t>
      </w:r>
    </w:p>
    <w:p>
      <w:pPr>
        <w:spacing w:after="0" w:line="62"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Our success in receiving referrals, obtaining new agreements and renewing our existing agreements depends upon maintaining our reputation as a quality service provider among governmental authorities, physicians, hospitals, discharge planning departments, case managers, nursing homes, rehabilitation centers, advocacy groups, consumers and their families, other referral sources and the public. While we believe that the services that we provide are of high quality, if our quality measures, which are published online by CMS, are deemed to be not of the highest value, our reputation could be negatively affected. Negative publicity, changes in public perceptions of our services or government investigations of our operations could damage our reputation and hinder our ability to receive referrals, retain agreements or obtain new agreements. Increased government scrutiny may also contribute to an increase in compliance costs and could discourage consumers from using our services. Any of these events could have a negative effect on our business, financial condition and operating results.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may be harmed by labor relations matters.</w:t>
      </w:r>
    </w:p>
    <w:p>
      <w:pPr>
        <w:spacing w:after="0" w:line="11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We are subject to a risk of work stoppages and other labor relations matters because our hourly workforce is highly unionized. As of December 31, 2020, approximately 47.3% of our workforce was represented by the SEIU. We have numerous agreements with local SEIU affiliates which are renegotiated from time to time. These negotiations are often initiated when we receive increases in our hourly rates from various state agencies. Upon expiration of these collective bargaining agreements, we may not be able to negotiate labor agreements on satisfactory terms with these labor unions. A strike, work stoppage or other slowdown could result in a disruption of our operations and/or higher ongoing labor costs, which could adversely affect our business. Labor costs are the most significant component of our total expenditures and, therefore, an increase in the cost of labor could significantly harm our business.</w:t>
      </w:r>
    </w:p>
    <w:p>
      <w:pPr>
        <w:spacing w:after="0" w:line="303" w:lineRule="exact"/>
        <w:rPr>
          <w:sz w:val="20"/>
          <w:szCs w:val="20"/>
          <w:color w:val="auto"/>
        </w:rPr>
      </w:pPr>
    </w:p>
    <w:p>
      <w:pPr>
        <w:ind w:left="260" w:right="540"/>
        <w:spacing w:after="0" w:line="277" w:lineRule="auto"/>
        <w:rPr>
          <w:sz w:val="20"/>
          <w:szCs w:val="20"/>
          <w:color w:val="auto"/>
        </w:rPr>
      </w:pPr>
      <w:r>
        <w:rPr>
          <w:rFonts w:ascii="Arial" w:cs="Arial" w:eastAsia="Arial" w:hAnsi="Arial"/>
          <w:sz w:val="18"/>
          <w:szCs w:val="18"/>
          <w:b w:val="1"/>
          <w:bCs w:val="1"/>
          <w:i w:val="1"/>
          <w:iCs w:val="1"/>
          <w:color w:val="auto"/>
        </w:rPr>
        <w:t>If we were required to write down all or part of our goodwill and/or our intangible assets, our net earnings and net worth could be materially adversely affected.</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Goodwill and intangible assets with finite lives represent a significant portion of our assets. Goodwill represents the excess of cost over the fair market value of net assets acquired in business combinations. For example, if our market capitalization drops significantly below the amount of net equity recorded on our balance sheet, it might indicate a decline in our fair value and would require us to further evaluate whether our goodwill has been impaired. If as part of our annual review of goodwill and intangibles, we were required to write down all or a significant part of our goodwill and/or intangible assets, our net earnings and net worth could be materially adversely affected, which could affect our flexibility to obtain additional financing. In addition, if our assumptions used in preparing our valuations for purposes of impairment testing differ materially from actual future results, we may record impairment charges in the future and our financial results may be materially adversely affected. We had $469.1 million and $275.4 million of goodwill and $71.5 million and $57.1 million of intangible assets recorded on our Consolidated Balance Sheets at December 31, 2020 and 2019, respectively.</w:t>
      </w:r>
    </w:p>
    <w:p>
      <w:pPr>
        <w:spacing w:after="0" w:line="16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It is not possible at this time to determine if there will be any future impairment charge, or if there is, whether such charges would be material. We will continue to review our goodwill and other intangible assets for possible impairment. We cannot be certain that a downturn in our business or changes in market conditions will not result in an impairment of goodwill or other intangible assets and the recognition of resulting expenses in future periods, which could adversely affect our results of operations for those periods.</w:t>
      </w:r>
    </w:p>
    <w:p>
      <w:pPr>
        <w:spacing w:after="0" w:line="295"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such failure could adversely impact our business and stock price.</w:t>
      </w:r>
    </w:p>
    <w:p>
      <w:pPr>
        <w:spacing w:after="0" w:line="62"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Section 404 of the Sarbanes-Oxley Act of 2002, or the Sarbanes-Oxley Act, requires our management to report on, and requires our independent registered public accounting firm to attest to, the effectiveness of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Compliance with SEC regulations adopted pursuant to Section 404 of the Sarbanes Oxley Act requires annual management assessments of the effectiveness of our internal control over financial reporting. Compliance with Section 404(b) of the Sarbanes-Oxley Act has increased our legal and financial compliance costs making some activities more difficult, time-consuming or costly and may also place strain on our personnel, systems and resources.</w:t>
      </w:r>
    </w:p>
    <w:p>
      <w:pPr>
        <w:spacing w:after="0" w:line="149"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Accordingly, we are required to have an audit of our internal control over financial reporting. Our management previously determined that a material weakness in our internal control existed as of December 31, 2018, and that two additional material weaknesses existed as of December 31, 2019. Although each of these material weaknesses was remediated as of December 31, 2020 and management determined that our internal control over financial reporting was effective as of that date, as discussed in Item 9A of Part II of this Form 10-K, we cannot assure you that we will not identify another material weakness in the future</w:t>
      </w:r>
    </w:p>
    <w:p>
      <w:pPr>
        <w:spacing w:after="0" w:line="18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To the extent that we now or in the future have deficiencies in our internal control over financial reporting that are not remediated, our ability to accurately and timely report our financial position, results of operations, cash flows or key operating metrics could be impaired, which could result in a material misstatement in our financial statements, late filings of our annual and quarterly reports under the Exchange Act, restatements of our consolidated financial statements or other corrective disclosures, or other material adverse effects on our business, reputation, results of operations, financial condition or liquidity and could create a perception that our financial results do not fairly state our financial condition or results of operations, any of which could have an adverse effect on the value of our stock.</w:t>
      </w:r>
    </w:p>
    <w:p>
      <w:pPr>
        <w:spacing w:after="0" w:line="300" w:lineRule="exact"/>
        <w:rPr>
          <w:sz w:val="20"/>
          <w:szCs w:val="20"/>
          <w:color w:val="auto"/>
        </w:rPr>
      </w:pPr>
    </w:p>
    <w:p>
      <w:pPr>
        <w:ind w:left="260" w:right="60"/>
        <w:spacing w:after="0" w:line="277" w:lineRule="auto"/>
        <w:rPr>
          <w:sz w:val="20"/>
          <w:szCs w:val="20"/>
          <w:color w:val="auto"/>
        </w:rPr>
      </w:pPr>
      <w:r>
        <w:rPr>
          <w:rFonts w:ascii="Arial" w:cs="Arial" w:eastAsia="Arial" w:hAnsi="Arial"/>
          <w:sz w:val="18"/>
          <w:szCs w:val="18"/>
          <w:b w:val="1"/>
          <w:bCs w:val="1"/>
          <w:i w:val="1"/>
          <w:iCs w:val="1"/>
          <w:color w:val="auto"/>
        </w:rPr>
        <w:t>Compliance with changing regulations including specific program compliance, corporate governance and public disclosure will result in additional expenses and pose challenges for our management team.</w:t>
      </w:r>
    </w:p>
    <w:p>
      <w:pPr>
        <w:spacing w:after="0" w:line="62"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The state agencies that contract for our services require our compliance with various rules and regulations affecting the services we provide. We have a compliance officer who monitors and reports on our efforts for achieving the desired results. State agencies are recommending increased rules and regulations in an effort to control the growth of these programs and their overall costs. The implementation of these changes may require us to increase our efforts to remain compliant, may reduce the authorizations for services to be provided, and may result in certain consumers no longer being eligible for our services all of which may result in lower revenues and increased costs, reducing our operating performance and profitability. If we continue to serve our consumers without addressing these increased regulations we are at risk for non-compliance with program requirements and potential penalties.</w:t>
      </w:r>
    </w:p>
    <w:p>
      <w:pPr>
        <w:spacing w:after="0" w:line="164"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Dodd-Frank Wall Street Reform and Consumer Protection Act and the rules and regulations promulgated thereunder, the Sarbanes-Oxley Act and SEC regulations, have created uncertainty for public companies and significantly increased the costs and risks associated with accessing the U.S. public markets. We are committed to maintaining high standards of internal control over financial reporting, corporate governance and public disclosure. As a result, we intend to continue to invest appropriate resources to comply with evolving standards, and this investment has resulted and will likely continue to result in increased general and administrative expenses and a diversion of management time and attention from revenue-generating activities to compliance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Regulatory Risks</w:t>
      </w:r>
    </w:p>
    <w:p>
      <w:pPr>
        <w:spacing w:after="0" w:line="337"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b w:val="1"/>
          <w:bCs w:val="1"/>
          <w:i w:val="1"/>
          <w:iCs w:val="1"/>
          <w:color w:val="auto"/>
        </w:rPr>
        <w:t>Our hospice operations are subject to annual Medicare caps. If we exceed the caps, our business and consolidated financial condition, results of operations and cash flows could be materially adversely affected.</w:t>
      </w:r>
    </w:p>
    <w:p>
      <w:pPr>
        <w:spacing w:after="0" w:line="62" w:lineRule="exact"/>
        <w:rPr>
          <w:sz w:val="20"/>
          <w:szCs w:val="20"/>
          <w:color w:val="auto"/>
        </w:rPr>
      </w:pPr>
    </w:p>
    <w:p>
      <w:pPr>
        <w:ind w:right="20" w:firstLine="509"/>
        <w:spacing w:after="0" w:line="297" w:lineRule="auto"/>
        <w:rPr>
          <w:sz w:val="20"/>
          <w:szCs w:val="20"/>
          <w:color w:val="auto"/>
        </w:rPr>
      </w:pPr>
      <w:r>
        <w:rPr>
          <w:rFonts w:ascii="Arial" w:cs="Arial" w:eastAsia="Arial" w:hAnsi="Arial"/>
          <w:sz w:val="16"/>
          <w:szCs w:val="16"/>
          <w:color w:val="auto"/>
        </w:rPr>
        <w:t>Overall payments made by Medicare to each hospice provider number (generally corresponding to each of our hospice agencies) are subject to an inpatient cap and an aggregate cap, which are set each federal fiscal year. The inpatient cap limits the number of days of inpatient care to no more than 20% of total patient care days. The aggregate cap limits the amount of Medicare reimbursement a hospice may receive, based on the number of Medicare patients served. If a hospice’s Medicare payments exceed its inpatient or aggregate caps, it must repay Medicare for the excess amount. If payments received under any of our hospice provider numbers exceed these caps, we may be required to reimburse Medicare such excess amounts, which could have a material adverse effect on our business and consolidated financial condition, results of operations and cash flows.</w:t>
      </w:r>
    </w:p>
    <w:p>
      <w:pPr>
        <w:spacing w:after="0" w:line="267" w:lineRule="exact"/>
        <w:rPr>
          <w:sz w:val="20"/>
          <w:szCs w:val="20"/>
          <w:color w:val="auto"/>
        </w:rPr>
      </w:pPr>
    </w:p>
    <w:p>
      <w:pPr>
        <w:ind w:left="260" w:right="500"/>
        <w:spacing w:after="0" w:line="277" w:lineRule="auto"/>
        <w:rPr>
          <w:sz w:val="20"/>
          <w:szCs w:val="20"/>
          <w:color w:val="auto"/>
        </w:rPr>
      </w:pPr>
      <w:r>
        <w:rPr>
          <w:rFonts w:ascii="Arial" w:cs="Arial" w:eastAsia="Arial" w:hAnsi="Arial"/>
          <w:sz w:val="18"/>
          <w:szCs w:val="18"/>
          <w:b w:val="1"/>
          <w:bCs w:val="1"/>
          <w:i w:val="1"/>
          <w:iCs w:val="1"/>
          <w:color w:val="auto"/>
        </w:rPr>
        <w:t>Reductions in reimbursement and other changes to Medicare, Medicaid, and other federal, state and local medical and social programs could adversely affect our consumer caseload, units of service, revenues, gross profit and profitability.</w:t>
      </w:r>
    </w:p>
    <w:p>
      <w:pPr>
        <w:spacing w:after="0" w:line="6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 significant portion of our caseload and revenues are derived from government healthcare programs, primarily Medicare and Medicaid. For the year ended December 31, 2020, we derived approximately 56.4% of our net service revenues from state and local governmental agencies, primarily through Medicaid state programs. However, changes in government healthcare programs may decrease the reimbursement we receive or limit access to, or utilization of, our services. As federal healthcare expenditures continue to increase and state governments face budgetary shortfalls, including as a result of the COVID-19 pandemic, federal and state governments have made, and may continue to make, significant changes to the Medicare and Medicaid programs and reimbursement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received for services rendered to beneficiaries of such programs. For example, the Budget Control Act of 2011 requires automatic spending reductions to reduce the federal deficit, including Medicare spending reductions of up to 2% per fiscal year, with a uniform percentage reduction across all Medicare programs. CMS began imposing a 2% reduction on Medicare claims in April 2013, and these reductions have been extended through 2030, although the CARES Act and related stimulus legislation temporarily suspends this 2% reduction from May 1, 2020, through March 31, 2021.</w:t>
      </w:r>
    </w:p>
    <w:p>
      <w:pPr>
        <w:spacing w:after="0" w:line="15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Medicaid program, which is jointly funded by the federal and state governments, is often a state’s largest program. Governmental agencies generally condition their agreements upon a sufficient budgetary appropriation. Almost all of the states in which we operate have experienced periodic financial pressures and budgetary shortfalls due to challenging economic conditions, including as a result of COVID-19, and the rising costs of healthcare. Reductions to federal support for state Medicaid or other programs could also result in budgetary shortfalls. As a result, many states have made, are considering or may consider making changes in their Medicaid or other state and local medical and social programs, including enacting legislation designed to reduce Medicaid expenditures.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that may occur at the federal or state level to address budget deficits or otherwise contain costs include:</w:t>
      </w:r>
    </w:p>
    <w:p>
      <w:pPr>
        <w:spacing w:after="0" w:line="225" w:lineRule="exact"/>
        <w:rPr>
          <w:sz w:val="20"/>
          <w:szCs w:val="20"/>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increases in, or decreasing, reimbursement rates;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redefining eligibility standards or coverage criteria for social and medical programs or the receipt of services under those programs;</w:t>
      </w:r>
    </w:p>
    <w:p>
      <w:pPr>
        <w:spacing w:after="0" w:line="263" w:lineRule="exact"/>
        <w:rPr>
          <w:rFonts w:ascii="Arial" w:cs="Arial" w:eastAsia="Arial" w:hAnsi="Arial"/>
          <w:sz w:val="17"/>
          <w:szCs w:val="17"/>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consumer responsibility, including through increased co-payment requirements;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decreasing benefits, such as limiting the number of hours of personal care services that will be covered;</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changing reimbursement methodology and program participation eligibility;</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slowing payments to providers;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utilization of self-directed care alternatives or “all inclusive” programs;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shifting beneficiaries to managed care organizations; and</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implementing demonstration projects and alternative payment models.</w:t>
      </w:r>
    </w:p>
    <w:p>
      <w:pPr>
        <w:spacing w:after="0" w:line="25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Certain of these measures have been implemented by, or are proposed in, states in which we operate. For example, we provide support services as a fiscal intermediary to the New York Consumer Directed Personal Assistance Program (“CDPAP”), a self-directed care alternative program that allows eligible individuals who need help with activities of daily living or skilled nursing services to choose their caregivers. New York recently finalized regulations to change the reimbursement methodology for fiscal intermediaries and initiated a new Request For Offer (“RFO”) process to competitively procure CDPAP fiscal intermediaries in which we were not selected. These changes could impact our financial performance and ability to continue providing fiscal intermediary services.</w:t>
      </w:r>
    </w:p>
    <w:p>
      <w:pPr>
        <w:spacing w:after="0" w:line="192"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Additionally, New York has identified significant expenses in excess of its Medicaid budget and exceeded a cap on the state’s Medicaid growth rate that was established by New York statute. In his January 21, 2020, budget address, Governor Cuomo stated his plans to address the Medicaid shortfall with a new Medicaid Redesign Team II (“MRT”), which is tasked with restoring financial sustainability to the state’s Medicaid program, among other objectives. The MRT produced recommendations, a significant portion of which relate to long-term care services, to achieve $1.6 billion in savings for fiscal year 2021, short of its $2.5 billion target. Many of the recommended measures were enacted in the state budget, although some were deferred as a result of the COVID-19 pandemic. The New York Department of Health has proposed regulatory amendments based on the recommendations that would, among other things, limit eligibility for and access to home care services. The implementation of the MRT recommendations could affect our operations and financial performance.</w:t>
      </w:r>
    </w:p>
    <w:p>
      <w:pPr>
        <w:spacing w:after="0" w:line="19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2020, we derived approximately 37.7% of our net service revenues from services provided in Illinois, 15.1% of our net service revenues in New York (including CDPAP services) and 19.0% of our net service revenues in New Mexico. Because a substantial portion of our business is concentrated in these states, any significant reduction in expenditures that pay for our services or other significant changes in these states may have a disproportionately negative impact on our future operating results. Illinois, in particular, operated without a state budget for fiscal years 2016 and 2017. The Illinois legislature has enacted comprehensive state budgets for fiscal years 2018 through 2021. However, we cannot predict whether Illinois or other states material to our operating results will timely pass budgets in subsequent years or experience changes or other challenges that negatively impact our ability to be reimbursed for our services in a timely manner.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The ACA made significant changes to Medicare and Medicaid policy and funding, among other broad changes across the healthcare industry, promoting a shift toward value-based care, including implementation of alternative payment models. The ACA also resulted in expanded Medicaid eligibility in many states and the establishment of various demonstration projects and Medicaid programs under which states may apply to test new or existing approaches to payment and delivery of Medicaid benefits. CMS has indicated that it will look to states to drive innovation and value through such waivers and has taken steps to update program management, the waiver and state plan amendment approval process, and quality reporting, but the extent and effect of these changes remain uncertain. Future health reform efforts or efforts to repeal or make additional significant changes to the ACA will likely impact both federal and state programs.</w:t>
      </w:r>
    </w:p>
    <w:p>
      <w:pPr>
        <w:spacing w:after="0" w:line="19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changes in Medicare, Medicaid or other state and local medical and social programs result in a reduction in available funds for the services we offer or a reduction in the number of beneficiaries eligible for our services or a reduction in the number of hours or amount of services that beneficiaries eligible for our services may receive, then our revenues and profitability could be negatively impacted. Our profitability depends principally on the levels of government-mandated payment rates and our ability to manage the cost of providing services. In some cases, commercial insurance companies and other private payors rely on government payment systems to determine payment rates. As a result, changes to government healthcare programs that reduce Medicare, Medicaid or other payments may negatively impact payments from private payors, as well. Any reduction in reimbursements or imposition of copayments that dissuade the use of our services, or any reduction in reimbursement from private payors, could also materially adversely affect our profitability.</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Federal and state regulation may impair our ability to consummate acquisitions or open new agencies.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Federal laws or regulations may adversely impact our ability to acquire home health agencies or open new start-up home health agencies. For example, a Medicare regulation known as the “36 Month Rule” prohibits buyers of Medicare-certified home health agencies from assuming the Medicare billing privileges of an acquired agency if the acquired agency either enrolled in Medicare or underwent a change in majority ownership fewer than 36 months prior to the acquisition, subject to certain exceptions. Instead, the buyer must enroll the acquired home health agencies as new providers with Medicare. The 36 Month Rule can increase competition for acquisition targets that are not subject to the rule and may cause significant Medicare billing delays for the purchases of home health agencies that are subject to the rule. Further, in the past, CMS has limited enrollment of new home health agencies. If another moratorium is imposed on enrollment of new providers in a geographic area we desire to service, our ability to expand operations may be impacted.</w:t>
      </w:r>
    </w:p>
    <w:p>
      <w:pPr>
        <w:spacing w:after="0" w:line="192" w:lineRule="exact"/>
        <w:rPr>
          <w:sz w:val="20"/>
          <w:szCs w:val="20"/>
          <w:color w:val="auto"/>
        </w:rPr>
      </w:pPr>
    </w:p>
    <w:p>
      <w:pPr>
        <w:jc w:val="both"/>
        <w:ind w:right="160" w:firstLine="509"/>
        <w:spacing w:after="0" w:line="342" w:lineRule="auto"/>
        <w:rPr>
          <w:sz w:val="20"/>
          <w:szCs w:val="20"/>
          <w:color w:val="auto"/>
        </w:rPr>
      </w:pPr>
      <w:r>
        <w:rPr>
          <w:rFonts w:ascii="Arial" w:cs="Arial" w:eastAsia="Arial" w:hAnsi="Arial"/>
          <w:sz w:val="16"/>
          <w:szCs w:val="16"/>
          <w:color w:val="auto"/>
        </w:rPr>
        <w:t>Our ability to expand operations in a state will depend on our ability to obtain a state license to operate, and where required, CON approval. States may limit the number of licenses they issue. The failure to obtain any required CON or license could impair our ability to operate or expand our business.</w:t>
      </w:r>
    </w:p>
    <w:p>
      <w:pPr>
        <w:spacing w:after="0" w:line="232"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The implementation of alternative payment models and the transition of Medicaid and Medicare beneficiaries to managed care organizations may limit our market share and could adversely affect our revenues.</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Many government and commercial payors are transitioning providers to alternative payment models that are designed to promote cost-efficiency, quality and coordination of care. For example, accountable care organizations (“ACOs”) incentivize hospitals, physician groups, and other providers to organize and coordinate patient care while reducing unnecessary costs. Several states have implemented, or plan to implement, accountable care models for their Medicaid populations. If we are not included in these programs, or if ACOs establish programs that overlap with our services, we are at risk for losing market share and for a loss of our current business.</w:t>
      </w:r>
    </w:p>
    <w:p>
      <w:pPr>
        <w:spacing w:after="0" w:line="188" w:lineRule="exact"/>
        <w:rPr>
          <w:sz w:val="20"/>
          <w:szCs w:val="20"/>
          <w:color w:val="auto"/>
        </w:rPr>
      </w:pPr>
    </w:p>
    <w:p>
      <w:pPr>
        <w:ind w:right="300" w:firstLine="509"/>
        <w:spacing w:after="0" w:line="293" w:lineRule="auto"/>
        <w:rPr>
          <w:sz w:val="20"/>
          <w:szCs w:val="20"/>
          <w:color w:val="auto"/>
        </w:rPr>
      </w:pPr>
      <w:r>
        <w:rPr>
          <w:rFonts w:ascii="Arial" w:cs="Arial" w:eastAsia="Arial" w:hAnsi="Arial"/>
          <w:sz w:val="16"/>
          <w:szCs w:val="16"/>
          <w:color w:val="auto"/>
        </w:rPr>
        <w:t>We may be similarly impacted by increased enrollment of Medicare and Medicaid beneficiaries in managed care plans, resulting in a shift from traditional fee-for-service models. Under the managed Medicare program, also known as Medicare Advantage, the federal government contracts with private health insurers to provide Medicare benefits. Insurers may choose to offer supplemental benefits and impose higher plan costs on beneficiaries. Approximately one-third of Medicare beneficiaries were enrolled in a Medicare Advantage plan in 2019, a figure that continues to grow. While hospice services are currently reimbursed as a traditional fee-for-service program under Medicare Part A, hospice services may eventually be offered under Medicare Advantage plans, which could result in reduced reimbursement, limited utilization, and increased competition for managed care contracts.</w:t>
      </w:r>
    </w:p>
    <w:p>
      <w:pPr>
        <w:spacing w:after="0" w:line="164"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Enrollment in managed Medicaid plans is also growing, as states are increasingly relying on managed care organizations to deliver Medicaid program services as a strategy to control costs and manage resources. We may experience increased competition for managed care contracts due to state regulation and limitations. For instance, effective October 2018, New York limited the number of home care providers with which a managed Medicaid long-term care plan can contract. We cannot assure you that we will be successful in our efforts to be included in plan networks, that we will be able to secure favorable contracts with all or some of the managed care organizations, that our reimbursement under these programs will remain at current levels, that the authorizations for services will remain at current levels or that our profitability will remain at levels consistent with past performance. In addition, operational processes may not be well defined as a state transitions beneficiaries to managed care. For example, membership, new referrals and the related authorization for services to be provided may be delayed, which may result in delays in service delivery to</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consumers or in payment for services rendered. Difficulties with operational processes may negatively affect our revenue growth rates, cash flow and profitability for services provided.Other alternative payment models may be presented by the government and commercial payors to control costs that subject our Company to financial risk. We cannot predict at this time what effect alternative payment models may have on our Company.</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industry is highly competitive, fragmented and market-specific.</w:t>
      </w:r>
    </w:p>
    <w:p>
      <w:pPr>
        <w:spacing w:after="0" w:line="117"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We compete with personal care service providers, hospice providers, home health providers, private caregivers, larger publicly held companies, privately held companies, privately held single-site agencies, hospital-based agencies, not-for-profit organizations, community-based organizations and self-directed care programs. Some of our competitors may have greater financial, technical, political and marketing resources, name recognition or a larger number of consumers and payors than we do. In addition, some of these organizations offer more services than we do in the markets in which we operate. These competitive advantages may limit our ability to attract and retain referrals in local markets and to increase our overall market share.</w:t>
      </w:r>
    </w:p>
    <w:p>
      <w:pPr>
        <w:spacing w:after="0" w:line="16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many states, there are limited barriers to entry in providing personal care services. However, some states require entities to obtain a license before providing home care services. Licensure is generally required of agencies providing home health and hospice services, though requirements vary by state. Some states also require a provider to obtain a CON before establishing certain health services, operations or facilities. CON restrictions may reduce the level of competition in a given industry or in a particular geographic region. In addition, economic changes such as increases in minimum wage and changes in Department of Labor rules can also impact the ease of entry into a market. These factors may affect competition in the states in which we operate.</w:t>
      </w:r>
    </w:p>
    <w:p>
      <w:pPr>
        <w:spacing w:after="0" w:line="192"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Often our contracts with payors are not exclusive. Local competitors may develop strategic relationships with referral sources and payors. This could result in pricing pressures, loss of or failure to gain market share or loss of consumers or payors, any of which could harm our business. In addition, existing competitors may offer new or enhanced services that we do not provide, or be viewed by consumers as a more desirable local alternative. The introduction of new and enhanced service offerings, in combination with the development of strategic relationships by our competitors, could cause a decline in revenue, a loss of market acceptance of our services and a negative impact on our results of operations.</w:t>
      </w:r>
    </w:p>
    <w:p>
      <w:pPr>
        <w:spacing w:after="0" w:line="284" w:lineRule="exact"/>
        <w:rPr>
          <w:sz w:val="20"/>
          <w:szCs w:val="20"/>
          <w:color w:val="auto"/>
        </w:rPr>
      </w:pPr>
    </w:p>
    <w:p>
      <w:pPr>
        <w:ind w:left="260"/>
        <w:spacing w:after="0" w:line="277" w:lineRule="auto"/>
        <w:rPr>
          <w:sz w:val="20"/>
          <w:szCs w:val="20"/>
          <w:color w:val="auto"/>
        </w:rPr>
      </w:pPr>
      <w:r>
        <w:rPr>
          <w:rFonts w:ascii="Arial" w:cs="Arial" w:eastAsia="Arial" w:hAnsi="Arial"/>
          <w:sz w:val="18"/>
          <w:szCs w:val="18"/>
          <w:b w:val="1"/>
          <w:bCs w:val="1"/>
          <w:i w:val="1"/>
          <w:iCs w:val="1"/>
          <w:color w:val="auto"/>
        </w:rPr>
        <w:t>If we fail to comply with the laws and extensive regulations governing our business, we could be subject to penalties or be required to make changes to our operations, which could negatively impact our profitability.</w:t>
      </w:r>
    </w:p>
    <w:p>
      <w:pPr>
        <w:spacing w:after="0" w:line="62"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The federal government and the states in which we operate regulate our industry extensively. The laws and regulations governing our operations, along with the terms of participation in various government programs, impose certain requirements on the way in which we do business, the services we offer, and our interactions with providers and consumers. These requirements include matters related to:</w:t>
      </w:r>
    </w:p>
    <w:p>
      <w:pPr>
        <w:spacing w:after="0" w:line="184" w:lineRule="exact"/>
        <w:rPr>
          <w:sz w:val="20"/>
          <w:szCs w:val="20"/>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licensure and certification and enrollment with government programs;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eligibility for services;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appropriateness and necessity of services provided;</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adequacy and quality of services;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qualifications and training of personnel;</w:t>
      </w:r>
    </w:p>
    <w:p>
      <w:pPr>
        <w:spacing w:after="0" w:line="252" w:lineRule="exact"/>
        <w:rPr>
          <w:rFonts w:ascii="Arial" w:cs="Arial" w:eastAsia="Arial" w:hAnsi="Arial"/>
          <w:sz w:val="18"/>
          <w:szCs w:val="18"/>
          <w:color w:val="auto"/>
        </w:rPr>
      </w:pPr>
    </w:p>
    <w:p>
      <w:pPr>
        <w:ind w:left="860" w:right="120" w:hanging="366"/>
        <w:spacing w:after="0" w:line="277"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confidentiality, maintenance, data breach, identity theft, security, inoperability and refraining from information blocking, access and exchange of health-related and personal information and medical records;</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environmental protection, health and safety;</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relationships with physicians, other referral sources and recipients of referrals;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operating policies and procedures;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addition of, and changes to, facilities and services;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adequacy and manner of documentation for services provided;</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billing and coding for services;</w:t>
      </w:r>
    </w:p>
    <w:p>
      <w:pPr>
        <w:sectPr>
          <w:pgSz w:w="11900" w:h="16838" w:orient="portrait"/>
          <w:cols w:equalWidth="0" w:num="1">
            <w:col w:w="11200"/>
          </w:cols>
          <w:pgMar w:left="320" w:top="121" w:right="37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and proper handling of overpayments; and</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collection and communications with consumers.</w:t>
      </w:r>
    </w:p>
    <w:p>
      <w:pPr>
        <w:spacing w:after="0" w:line="252"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These laws include, but are not limited to the federal Anti-Kickback Statute, the federal Stark law, the federal False Claims Act, the federal Civil Monetary Penalties Law, other federal and state fraud and abuse, insurance fraud, and fee-splitting laws, which may extend to services reimbursable by any payer, including private insurers, and federal and state laws governing the security and privacy of health information.</w:t>
      </w:r>
    </w:p>
    <w:p>
      <w:pPr>
        <w:spacing w:after="0" w:line="165"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We currently have contractual relationships with current and potential referral sources and recipients, including hospitals and health systems, skilled nursing facilities and certain physicians who provide medical director and clinical services to our Company. We attempt to structure our relationships to meet applicable regulatory requirements, but we cannot provide assurance that every relationship is fully compliant.</w:t>
      </w:r>
    </w:p>
    <w:p>
      <w:pPr>
        <w:spacing w:after="0" w:line="165"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Federal and state government agencies have heightened and coordinated civil and criminal enforcement efforts throughout the healthcare industry. While we endeavor to comply with applicable laws and regulations, we cannot assure you that our practices are fully compliant or that courts or regulatory agencies will not interpret those laws and regulations in ways that will adversely affect our practices. We may also fail to discover instances of noncompliance by businesses we acquire, which could subject us to adverse consequences. The laws and regulations governing our business are subject to change, interpretations may evolve and enforcement focus may shift. These changes could subject us to allegations of impropriety or illegality, require restructuring of relationships with referral sources and recipients or otherwise require changes to our operations. Failure to comply with applicable laws and regulations could lead to civil sanctions and criminal penalties, the termination of rights to participate in federal and state healthcare programs, exclusion from federal healthcare programs, the suspension or revocation of licenses and nonpayment or delays in our ability to bill and collect for services provided, any of which could adversely affect our business, results of operations, or financial results.</w:t>
      </w:r>
    </w:p>
    <w:p>
      <w:pPr>
        <w:spacing w:after="0" w:line="166"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In addition, as a result of our participation in Medicaid, Medicare and Veterans Health Administration programs and other state and local governmental programs, and pursuant to certain of our contractual relationships, we are subject to various reviews, compliance audits and investigations by governmental authorities and other third parties to verify our compliance with these programs and agreements as well as applicable laws, regulations and conditions of participation. Each of our home care and hospice agencies must comply with the extensive conditions of participation in the Medicare program. If any of our agencies fail to meet any of the conditions of participation or coverage with respect to state licensure or our participation in Medicaid, Medicare programs, Veterans Health Administration programs and other state and local governmental programs, we may receive a notice of deficiency from the applicable surveyor or authority. Failure to implement a plan of action to correct the deficiency within the period provided by the surveyor or authority could result in civil or criminal penalties, damage to our reputation, cancellation of our agreements, suspension or revocation of our licenses, requirements to repay amounts received, disqualification from federal and state healthcare programs, deactivation or revocation of billing privileges, bars on re-enrollment and other negative consequences. These actions may adversely affect our ability to provide certain services, to receive payments from other payors and to continue to operate which could adversely affect our revenues and profitability. Additionally, we could face liability under the False Claims Act if we submit claims to Medicare or Medicaid while not in compliance with certain conditions of participation. Further, actions taken against one of our offices may subject our other offices to adverse consequences.</w:t>
      </w:r>
    </w:p>
    <w:p>
      <w:pPr>
        <w:spacing w:after="0" w:line="282" w:lineRule="exact"/>
        <w:rPr>
          <w:sz w:val="20"/>
          <w:szCs w:val="20"/>
          <w:color w:val="auto"/>
        </w:rPr>
      </w:pPr>
    </w:p>
    <w:p>
      <w:pPr>
        <w:ind w:left="260" w:right="260"/>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local laws and regulations that govern our employment practices, including minimum wage, living wage, and paid time-off requirements. Failure to comply with these laws and regulations, or changes to these laws and regulations that increase our employment-related expenses, could adversely impact our operations.</w:t>
      </w:r>
    </w:p>
    <w:p>
      <w:pPr>
        <w:spacing w:after="0" w:line="76"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are required to comply with all applicable federal, state and local laws and regulations relating to employment, including occupational safety and health requirements, wage and hour and other compensation requirements, employee benefits, providing leave and sick pay, employment insurance, proper classification of workers as employees or independent contractors, immigration and equal employment opportunity laws. These laws and regulations can vary significantly among jurisdictions and can be highly technical. Costs and expenses related to these requirements are a significant operating expense and may increase as a result of, among other things, changes in federal, state or local laws or regulations, or the interpretation thereof, requiring employers to provide specified benefits or rights to employees, increases in the minimum wage and local living wage ordinances, increases in the level of existing benefits or the lengthening of periods for which unemployment benefits are available. Additionally, the current presidential administration has signaled its support for increases in minimum wage. We may not be able to offset any increased costs and expenses. Furthermore, any failure to comply with these laws, including even a seemingly minor infraction, can result in significant penalties which could harm our reputation and have a material adverse effect on our business. The COVID-19 pandemic has increased some of these risks, with certain states modifying occupational health and safety guidelines in a manner that increases scrutiny and complexity of operations with respect to appropriate training and use in the workplace of PPE and the possibility of corresponding regulatory audit activity with respect to the adequacy of our practices and procedures. The COVID-19 pandemic has also resulted in states modifying standards associated with payment amounts and required justifications to qualify for sick leave and unemployment benefits. These modifications may result in increased operational costs to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Since our operations are concentrated in Illinois, New York and New Mexico, we are particularly sensitive to changes in laws and regulations in these states. The state of Illinois finalized its fiscal year 2020 budget with the inclusion of an appropriation to raise in-home care rates to offset the costs of previous minimum wage increases in Chicago and other areas of the state that were imposed beginning on July 1, 2018. These rates were originally set to be effective July 1, 2019, with in-home care rates to be initially increased by 10.9% to $20.28 from $18.29 to partially offset the costs of the minimum wage hikes. Rates were then further increased on January 1, 2020 by an additional 7.7% to $21.84, providing full funding for both the Chicago minimum wage increases and a statewide raise for all current in-home caregivers. On November 26, 2019, the Chicago City Council voted to approve additional increases in the Chicago minimum wage to $14 per hour beginning July 1, 2020 and to $15 per hour beginning July 1, 2021. The Company and its trade association will be looking for additional funding in the state of Illinois fiscal year 2022 budget to offset the cost of the July 1, 2021 additional minimum wage increases. The state of Illinois finalized its fiscal year 2021 budget, with in-home care rates to be increased by 7.1% to $23.40 from $21.84, effective January 1, 2021, contingent upon federal CMS approval. Although federal CMS approval was obtained by the state, as a result of on-going state revenue declines due to COVID-19 and the failure of the November 2020 referendum to revise the Illinois income tax code, on December 15, 2020, the Governor of Illinois announced a delay in the implementation of the scheduled rate increase to April 1, 2021.</w:t>
      </w:r>
    </w:p>
    <w:p>
      <w:pPr>
        <w:spacing w:after="0" w:line="179"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Our business will benefit from the rate increases noted above, but there is no assurance that additional offsetting rate increases will be adopted in Illinois for fiscal years beyond fiscal year 2021, and our financial performance will be adversely impacted for any periods in which an additional offsetting reimbursement rate increase is not in effect.</w:t>
      </w:r>
    </w:p>
    <w:p>
      <w:pPr>
        <w:spacing w:after="0" w:line="184"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civil monetary penalties, an assessment of up to three times the amount claimed and exclusion from the program.</w:t>
      </w:r>
    </w:p>
    <w:p>
      <w:pPr>
        <w:spacing w:after="0" w:line="17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Each of our subsidiaries that employ an average of at least 50 full-time employees in a calendar year are required to offer a minimum level of health coverage for 95% of our full-time employees in 2020 or be subject to an annual penalty.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business may be adversely impacted by healthcare reform efforts, including repeal of or significant modifications to the ACA.</w:t>
      </w:r>
    </w:p>
    <w:p>
      <w:pPr>
        <w:spacing w:after="0" w:line="129"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In recent years, the U.S. Congress and certain state legislatures have considered and passed a large number of laws intended to result in significant changes to the healthcare industry, including the ACA. The ACA affects how healthcare services are delivered and reimbursed through the expansion of public and private health insurance coverage, reduction of growth in Medicare and Medicaid program spending, and the establishment and expansion of programs that tie reimbursement to quality and integration. However, there is significant uncertainty regarding the future of the ACA. The law has been subject to legislative and regulatory changes and court challenges, and although the current presidential administration has indicated its intent to protect the ACA, it is possible that there may be continued changes to the ACA, its implementation or its interpretation.</w:t>
      </w:r>
    </w:p>
    <w:p>
      <w:pPr>
        <w:spacing w:after="0" w:line="272"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There is uncertainty regarding whether, when, and how the ACA will be further changed, what alternative provisions, if any, will be enacted, the timing and implementation of alternative provisions, and the impact of alternative provisions on providers as well as other healthcare industry participants. Further, the impact of the outcome of the 2020 federal election on health reform is unknown. Members of Congress have proposed expanding government-funded coverage, including proposals to expand coverage of federally-funded insurance programs as an alternative to private insurance or to establish a single payor system (such reforms are often referred to as "Medicare for All"), and some states have pursued or proposed similar measures.</w:t>
      </w:r>
    </w:p>
    <w:p>
      <w:pPr>
        <w:spacing w:after="0" w:line="16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addition, CMS has indicated that it intends to increase flexibility in state Medicaid programs, including by expanding the scope of waivers under which states may implement Medicaid expansion provisions, impose different eligibility or enrollment restrictions, or otherwise implement programs that vary from federal standards. CMS administrators have also signaled interest in changing Medicaid payment models. Other industry participants, such as private payors, may also introduce financial or delivery system reforms. We are unable to predict the nature and success of such initiatives. Healthcare reform initiatives, including changes to or repeal or invalidation of the ACA, may have an adverse effect on our business, financial condition, and operating results.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industry trend toward value-based purchasing may negatively impact our revenues.</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trend in the healthcare industry toward value-based purchasing of healthcare services is growing among both government and commercial payors. Value-based purchasing programs emphasize quality of outcome and efficiency of care provided, rather than quantity of care provided. For example, Medicare requires hospices and home health agencies to report certain quality data in order to receive full reimbursement. Failure to report quality data or poor performance may negatively impact the amount of reimbursement received. In addition, CMS publishes home health and hospice quality measure data online, through its Care Compare website,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allow consumers and others to search and compare data for Medicare-certified providers. Alongside this quality and public reporting effort, CMS currently has a value-based purchasing program affecting home health providers in a number of pilot states, whereby providers receive payment bonuses or penalties based on their achievement of specified performance measures. In January 2021, CMS announced its intent to expand this program. In the future, CMS may establish new value-based purchasing programs affecting a broader range of providers. Other initiatives aimed at improving quality and cost of care include alternative payment models, including ACOs and bundled payment arrangements. It is unclear whether alternative models will successfully coordinate care and reduce costs or whether they will decrease overall reimbursement. Additionally, commercial payors have expressed intent to shift toward value-based reimbursement arrangements.</w:t>
      </w:r>
    </w:p>
    <w:p>
      <w:pPr>
        <w:spacing w:after="0" w:line="177"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We expect value-based purchasing programs, including programs that condition reimbursement on patient outcome measures, to become more common and to involve a higher percentage of reimbursement amounts. While we believe we are adapting our business strategies to compete in a value-based reimbursement environment, we are unable at this time to predict how this trend will affect our results of operations. If we perform at a level below the outcomes demonstrated by our competitors, fail to satisfy quality data reporting requirements, are unable to meet or exceed quality performance standards under any applicable value-based purchasing program, or otherwise fail to effectively provide or coordinate the efficient delivery of quality healthcare services, our reputation in the industry may be negatively impacted, we may receive reduced reimbursement amounts and we may owe repayments to payors, causing our revenues, financial position, results of operations and cash flows to decline.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Risks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operations subject us to risk of litigation.</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Operating in the personal care services industry exposes us to an inherent risk of wrongful death, personal injury, professional malpractice and other potential claims or litigation brought by our consumers and employees. From time to time, we are subject to claims alleging that we did not properly treat or care for a consumer that we failed to follow internal or external procedures that resulted in death or harm to a consumer or that our employees mistreated our consumers, resulting in death or harm. We are also subject to claims arising out of accidents involving vehicle collisions brought by consumers whom we are transporting, from employees driving to or from home visits or other affected individuals. We may also be subject to lawsuits from patients, employees and others exposed to COVID-19 at our facilities or in connection with the services provided by our workforce in client residences and third party facilities. Our professional and general liability insurance may not cover all claims against us.</w:t>
      </w:r>
    </w:p>
    <w:p>
      <w:pPr>
        <w:spacing w:after="0" w:line="177"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In addition, regulatory agencies may initiate administrative proceedings alleging violations of statutes and regulations arising from our services and seek to impose monetary penalties on us. We could be required to pay substantial amounts to respond to regulatory investigations or, if we do not prevail, damages or penalties arising from these legal proceedings. We also are subject to potential lawsuits under the federal False Claims Act or other federal and state whistleblower statutes designed to combat fraud and abuse in our industry. This and other similar lawsuits can involve significant monetary awards or penalties which may not be covered by our insurance. If our third-party insurance coverage and self-insurance coverage reserves are not adequate to cover these claims, it could have a material adverse effect on our business, results of operations and financial condition. Even if we are successful in our defense, civil lawsuits or regulatory proceedings could distract us from running our business or irreparably damage our reputation.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insurance liability coverage may not be sufficient for our business needs.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Although we maintain insurance consistent with industry practice, the insurance we maintain may not be sufficient to satisfy all claims made against us. We cannot assure you that claims will not be made in the future in excess of the limits of our insurance, and any such claims, if successful and in excess of such limits, may have a material adverse effect on our business or assets. We utilize historical data to estimate our reserves for our insurance programs. If losses on asserted claims exceed the current insurance coverage and accrued reserves, our business, results of operations and financial condition could be adversely affected. Changes in our annual insurance costs and self-insured retention limits depend in large part on the insurance market, and insurance coverage may not continue to be available to us at commercially reasonable rates, in adequate amounts or on satisfactory terms.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Security and Privacy Risks</w:t>
      </w:r>
    </w:p>
    <w:p>
      <w:pPr>
        <w:spacing w:after="0" w:line="337" w:lineRule="exact"/>
        <w:rPr>
          <w:sz w:val="20"/>
          <w:szCs w:val="20"/>
          <w:color w:val="auto"/>
        </w:rPr>
      </w:pPr>
    </w:p>
    <w:p>
      <w:pPr>
        <w:ind w:left="260" w:right="120"/>
        <w:spacing w:after="0" w:line="277" w:lineRule="auto"/>
        <w:rPr>
          <w:sz w:val="20"/>
          <w:szCs w:val="20"/>
          <w:color w:val="auto"/>
        </w:rPr>
      </w:pPr>
      <w:r>
        <w:rPr>
          <w:rFonts w:ascii="Arial" w:cs="Arial" w:eastAsia="Arial" w:hAnsi="Arial"/>
          <w:sz w:val="18"/>
          <w:szCs w:val="18"/>
          <w:b w:val="1"/>
          <w:bCs w:val="1"/>
          <w:i w:val="1"/>
          <w:iCs w:val="1"/>
          <w:color w:val="auto"/>
        </w:rPr>
        <w:t>Our business depends on our information systems. Our operations may be disrupted if we are unable to effectively integrate, manage and maintain the security of our information systems.</w:t>
      </w:r>
    </w:p>
    <w:p>
      <w:pPr>
        <w:spacing w:after="0" w:line="62"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Our business depends on effective and secure information systems that assist us in, among other things, gathering information to improve the quality of consumer care, optimizing financial performance, adjusting consumer mix, monitoring regulatory compliance and enhancing staff efficiency. We rely on external service providers to provide continual maintenance, upgrading, and enhancement of our primary information systems used for our operational needs. The software we license for our various patient information systems supports intake, personnel scheduling, office clinical and centralized billing and receivables management in an integrated database, enabling us to standardize the care delivered across our network of offices and monitor our performance and consumer</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outcomes. To the extent providers fail to support the software or systems, or if we lose our licenses, our operations could be negatively affected. Our business also depends on a comprehensive payroll and human resources system for basic payroll functions and reporting, payroll tax reporting, managing wage assignments and garnishments. We rely on an external service provider, ADP, to provide continual maintenance, upgrading and enhancement of our primary human resource and payroll systems. To the extent that ADP fails to support the software or systems, or any of the related support services provided by them, our internal operations could be negatively affected.</w:t>
      </w:r>
    </w:p>
    <w:p>
      <w:pPr>
        <w:spacing w:after="0" w:line="188"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Our business also supports the use of EVV to collect visit submission information through our delivery of home care services. Our solution uses a combination of IVR and GPS enabled smartphones to capture time in and time out, mileage and travel time, as well as the completed care plan tasks. We license this software through CellTrak along with partnering with states who utilize other software. We rely on these providers to provide continual maintenance, enhancements, as well as security of any protected data. To the extent that our EVV vendors fail to support these processes, our internal operations could be negatively affected. Under the 21</w:t>
      </w:r>
      <w:r>
        <w:rPr>
          <w:rFonts w:ascii="Arial" w:cs="Arial" w:eastAsia="Arial" w:hAnsi="Arial"/>
          <w:sz w:val="13"/>
          <w:szCs w:val="13"/>
          <w:color w:val="auto"/>
        </w:rPr>
        <w:t>st</w:t>
      </w:r>
      <w:r>
        <w:rPr>
          <w:rFonts w:ascii="Arial" w:cs="Arial" w:eastAsia="Arial" w:hAnsi="Arial"/>
          <w:sz w:val="16"/>
          <w:szCs w:val="16"/>
          <w:color w:val="auto"/>
        </w:rPr>
        <w:t xml:space="preserve"> Century Cures Act, as amended, states had until January 1, 2020 to establish standards for EVV for Medicaid-funded personal care services. States that failed to meet this deadline could potentially lose, without an application for a good cause extension, an escalating amount of their funding. To the extent that the states fail to properly implement EVV and lose an amount of their funding or to the extent states adopt standards for EVV that are not compatible with our operations, our internal operations could be negatively affected.</w:t>
      </w:r>
    </w:p>
    <w:p>
      <w:pPr>
        <w:spacing w:after="0" w:line="165" w:lineRule="exact"/>
        <w:rPr>
          <w:sz w:val="20"/>
          <w:szCs w:val="20"/>
          <w:color w:val="auto"/>
        </w:rPr>
      </w:pPr>
    </w:p>
    <w:p>
      <w:pPr>
        <w:ind w:right="400" w:firstLine="509"/>
        <w:spacing w:after="0" w:line="342" w:lineRule="auto"/>
        <w:rPr>
          <w:sz w:val="20"/>
          <w:szCs w:val="20"/>
          <w:color w:val="auto"/>
        </w:rPr>
      </w:pPr>
      <w:r>
        <w:rPr>
          <w:rFonts w:ascii="Arial" w:cs="Arial" w:eastAsia="Arial" w:hAnsi="Arial"/>
          <w:sz w:val="16"/>
          <w:szCs w:val="16"/>
          <w:color w:val="auto"/>
        </w:rPr>
        <w:t>The COVID-19 pandemic also has led to a substantial increase in administrative employees working remotely and, consequently, accessing our system remotely. As a result, we are more dependent on our systems that facilitate remote access and potentially could experience increased risks.</w:t>
      </w:r>
    </w:p>
    <w:p>
      <w:pPr>
        <w:spacing w:after="0" w:line="124" w:lineRule="exact"/>
        <w:rPr>
          <w:sz w:val="20"/>
          <w:szCs w:val="20"/>
          <w:color w:val="auto"/>
        </w:rPr>
      </w:pPr>
    </w:p>
    <w:p>
      <w:pPr>
        <w:ind w:right="640" w:firstLine="509"/>
        <w:spacing w:after="0" w:line="259" w:lineRule="auto"/>
        <w:rPr>
          <w:sz w:val="20"/>
          <w:szCs w:val="20"/>
          <w:color w:val="auto"/>
        </w:rPr>
      </w:pPr>
      <w:r>
        <w:rPr>
          <w:rFonts w:ascii="Arial" w:cs="Arial" w:eastAsia="Arial" w:hAnsi="Arial"/>
          <w:sz w:val="18"/>
          <w:szCs w:val="18"/>
          <w:color w:val="auto"/>
        </w:rPr>
        <w:t>If we experience a reduction in the performance, reliability, or availability of our information systems, our operations and ability to process transactions and produce timely and accurate reports could be adversely affected. If we experience difficulties with the transition and integration of information systems or are unable to implement, maintain, or expand our systems properly, we could suffer from, among other things, operational disruptions, regulatory problems, and increases in administrative expenses.</w:t>
      </w:r>
    </w:p>
    <w:p>
      <w:pPr>
        <w:spacing w:after="0" w:line="187" w:lineRule="exact"/>
        <w:rPr>
          <w:sz w:val="20"/>
          <w:szCs w:val="20"/>
          <w:color w:val="auto"/>
        </w:rPr>
      </w:pPr>
    </w:p>
    <w:p>
      <w:pPr>
        <w:jc w:val="both"/>
        <w:ind w:right="160" w:firstLine="509"/>
        <w:spacing w:after="0" w:line="259" w:lineRule="auto"/>
        <w:rPr>
          <w:sz w:val="20"/>
          <w:szCs w:val="20"/>
          <w:color w:val="auto"/>
        </w:rPr>
      </w:pPr>
      <w:r>
        <w:rPr>
          <w:rFonts w:ascii="Arial" w:cs="Arial" w:eastAsia="Arial" w:hAnsi="Arial"/>
          <w:sz w:val="18"/>
          <w:szCs w:val="18"/>
          <w:color w:val="auto"/>
        </w:rPr>
        <w:t>We have full backup of our key information systems. Should our main datacenter become inoperable because of a natural disaster or terrorist acts, our operations would failover to our geographically separate disaster recovery datacenter with a quick return to operations for all sites and systems. All of our sites and branch offices have redundant connections to our primary and backup datacenters using data lines and cellular connections through VPN or MPLS.</w:t>
      </w:r>
    </w:p>
    <w:p>
      <w:pPr>
        <w:spacing w:after="0" w:line="18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key business functions for our main sites also have redundancies with key functions geographically split between our two main facilities, should one not be available due to the above mentioned scenarios.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While we believe these measures are reasonable, no system of information security is able to eliminate the risk of business disruptions.</w:t>
      </w:r>
    </w:p>
    <w:p>
      <w:pPr>
        <w:spacing w:after="0" w:line="345" w:lineRule="exact"/>
        <w:rPr>
          <w:sz w:val="20"/>
          <w:szCs w:val="20"/>
          <w:color w:val="auto"/>
        </w:rPr>
      </w:pPr>
    </w:p>
    <w:p>
      <w:pPr>
        <w:ind w:left="260" w:right="120"/>
        <w:spacing w:after="0" w:line="263" w:lineRule="auto"/>
        <w:rPr>
          <w:sz w:val="20"/>
          <w:szCs w:val="20"/>
          <w:color w:val="auto"/>
        </w:rPr>
      </w:pPr>
      <w:r>
        <w:rPr>
          <w:rFonts w:ascii="Arial" w:cs="Arial" w:eastAsia="Arial" w:hAnsi="Arial"/>
          <w:sz w:val="18"/>
          <w:szCs w:val="18"/>
          <w:b w:val="1"/>
          <w:bCs w:val="1"/>
          <w:i w:val="1"/>
          <w:iCs w:val="1"/>
          <w:color w:val="auto"/>
        </w:rPr>
        <w:t>A cyber-attack or security breach could cause a loss of confidential consumer data, give rise to remediation and other expenses, expose us to liability under HIPAA, consumer protection laws, common law and other legal theories, subject us to litigation and federal and state governmental inquiries, damage our reputation, and otherwise be disruptive to our business.</w:t>
      </w:r>
    </w:p>
    <w:p>
      <w:pPr>
        <w:spacing w:after="0" w:line="76"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rely extensively on computer systems to manage clinical and financial data, to communicate with our consumers, payors, vendors and other third parties, and to summarize and analyze our operating results. We frequently exchange clinical and financial data with third parties in connection with our routine operations and in order to meet our contractual and regulatory obligations. We are required to comply with the federal and state privacy and security laws and requirements, including HIPAA. In spite of our policies, procedures and other security measures used to protect our computer systems and data, occasionally, we have experienced breaches that have required us to notify affected consumers and the government, and we have worked with consumers and the government to resolve such issues. While these past breaches have not had a significant adverse impact on our business or results of operations, there can be no assurance that we will not be subject to additional and/or more severe cyber-attacks or security breaches in the future. Such attacks or breaches could result in loss of protected patient medical data or other information subject to privacy laws or disrupt our information technology systems or business. In addition, various states, including California, Illinois, Nevada, New York and Massachusetts, have enacted and other states are expected to enact new laws and regulations concerning privacy, data protection and information security. To the extent we are subject to such legislation, the potential effects of new legislation are often far-reaching and may require us to modify our data processing practices and policies and to incur substantial costs and expenses in an effort to comply. The recently enacted laws often provide for civil penalties for violations, as well as a private right of action for data breaches that may increase data breach litigation. In addition, COVID-19 may have an adverse impact on our information technology systems and our ability to securely preserve confidential information, including risks associated with telecommuting issues associated with our employees working remotely. If our privacy and security practices fail to comply with HIPAA and other applicable privacy and security laws and/or if we fail to satisfy applicable breach notification requirements in the event of a security breach, we could be subject to significant fines, penalties, lawsuits and reputational harm. In addition, we may be at increased risk because we outsource certain services or functions to, or have systems that interface with, third parties. Some of these third parties may store or have access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our data and may not have effective controls, processes, or practices to protect our information from attack, damage, or unauthorized access. A breach or attack, including those caused by updates and other releases, affecting any of these third parties could harm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Risks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attract and retain qualified personnel or we may incur increased costs in doing so.</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We must attract and retain qualified non-executive personnel in the markets in which we operate in order to provide our services. We compete for personnel with other providers of social and medical services as well as companies in other service-based industries. Increased competition for trained personnel or general inflationary pressures may require that we enhance our pay and benefits packages to compete effectively for such personnel. We may not be able to offset such added costs by increasing the rates we charge for our services. An increase in personnel costs could negatively impact our business. In addition, if we fail to attract and retain qualified and skilled personnel, our ability to conduct our business operations effectively would be harmed.</w:t>
      </w:r>
    </w:p>
    <w:p>
      <w:pPr>
        <w:spacing w:after="0" w:line="192"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Competition may be greater for managers, such as regional and agency directors. Our ability to attract and retain personnel depends on several factors, including our ability to provide employees with attractive assignments and competitive benefits and salaries. The loss of one or more of the members of the executive management team or the inability of a new management team to successfully execute our strategies may adversely affect our business. If we are unable to attract and retain qualified personnel, we may be unable to provide our services, the quality of our services may decline, and we could lose consumers and referral sources.</w:t>
      </w:r>
    </w:p>
    <w:p>
      <w:pPr>
        <w:spacing w:after="0" w:line="18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With the widespread adverse impacts of the COVID-19 pandemic on the hospitality and other labor-intensive industries, we continue to believe we will have an opportunity to increase our hiring of new caregivers in the long term. However, in the near term, the enhanced unemployment benefits offered by several states have suppressed the opportunity to attract this new pool of potential caregivers in these states. For example in September 2020, the state of New York announced the Lost Wages Assistance (“LWA”) program, which provides an additional $300 in weekly benefits to unemployed individuals.</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depend on the services of our executive team members.</w:t>
      </w:r>
    </w:p>
    <w:p>
      <w:pPr>
        <w:spacing w:after="0" w:line="117" w:lineRule="exact"/>
        <w:rPr>
          <w:sz w:val="20"/>
          <w:szCs w:val="20"/>
          <w:color w:val="auto"/>
        </w:rPr>
      </w:pPr>
    </w:p>
    <w:p>
      <w:pPr>
        <w:jc w:val="both"/>
        <w:ind w:right="440" w:firstLine="509"/>
        <w:spacing w:after="0" w:line="263" w:lineRule="auto"/>
        <w:rPr>
          <w:sz w:val="20"/>
          <w:szCs w:val="20"/>
          <w:color w:val="auto"/>
        </w:rPr>
      </w:pPr>
      <w:r>
        <w:rPr>
          <w:rFonts w:ascii="Arial" w:cs="Arial" w:eastAsia="Arial" w:hAnsi="Arial"/>
          <w:sz w:val="18"/>
          <w:szCs w:val="18"/>
          <w:color w:val="auto"/>
        </w:rPr>
        <w:t>Our success depends upon the continued employment of certain members of our executive team to manage several of our key functional areas, including operations, business development, accounting, finance, human resources, marketing, information systems, contracting and compliance. The departure of any member of our executive team may materially adversely affect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Indebtedness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Restrictive covenants in the agreements governing our indebtedness may adversely affect 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credit facility contains various covenants that limit our ability to take certain actions, including our ability to:</w:t>
      </w:r>
    </w:p>
    <w:p>
      <w:pPr>
        <w:spacing w:after="0" w:line="225" w:lineRule="exact"/>
        <w:rPr>
          <w:sz w:val="20"/>
          <w:szCs w:val="20"/>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create, incur, assume or suffer to exist any lien;</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subsidiaries;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consolidate, sell or otherwise dispose of all or substantially all our assets;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restricted payments, including paying dividends and making certain loans and investments;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create, incur, assume, permit to exist, or otherwise become or remain directly or indirectly liable with respect to any additional indebtedness;</w:t>
      </w:r>
    </w:p>
    <w:p>
      <w:pPr>
        <w:spacing w:after="0" w:line="275" w:lineRule="exact"/>
        <w:rPr>
          <w:rFonts w:ascii="Arial" w:cs="Arial" w:eastAsia="Arial" w:hAnsi="Arial"/>
          <w:sz w:val="16"/>
          <w:szCs w:val="16"/>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any line of additional line of business;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 our organization documents;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make a change in accounting treatment or reporting practices, change our name or change our jurisdiction of organization or formation;</w:t>
      </w:r>
    </w:p>
    <w:p>
      <w:pPr>
        <w:spacing w:after="0" w:line="263" w:lineRule="exact"/>
        <w:rPr>
          <w:rFonts w:ascii="Arial" w:cs="Arial" w:eastAsia="Arial" w:hAnsi="Arial"/>
          <w:sz w:val="17"/>
          <w:szCs w:val="17"/>
          <w:color w:val="auto"/>
        </w:rPr>
      </w:pPr>
    </w:p>
    <w:p>
      <w:pPr>
        <w:ind w:left="880" w:hanging="373"/>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any payment or prepayment of certain subordinated indebtedness;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agreements that restrict dividends and certain other payments from subsidiaries;</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a sale leaseback or similar transaction; and</w:t>
      </w:r>
    </w:p>
    <w:p>
      <w:pPr>
        <w:spacing w:after="0" w:line="252" w:lineRule="exact"/>
        <w:rPr>
          <w:rFonts w:ascii="Arial" w:cs="Arial" w:eastAsia="Arial" w:hAnsi="Arial"/>
          <w:sz w:val="18"/>
          <w:szCs w:val="18"/>
          <w:color w:val="auto"/>
        </w:rPr>
      </w:pPr>
    </w:p>
    <w:p>
      <w:pPr>
        <w:ind w:left="880" w:hanging="37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certain capital expenditures.</w:t>
      </w:r>
    </w:p>
    <w:p>
      <w:pPr>
        <w:spacing w:after="0" w:line="252"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In addition, our credit facility contains restrictive covenants and requires us to maintain specified financial ratios and satisfy other financial condition tests. Our ability to meet these restrictive covenants and financial ratios and tests may be affected by events beyond our control, and we cannot assure you that we will meet those tests.</w:t>
      </w:r>
    </w:p>
    <w:p>
      <w:pPr>
        <w:spacing w:after="0" w:line="184"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A breach of any of these covenants could result in a default under our credit facility. Upon the occurrence of an event of default under our credit facility, all amounts outstanding under our credit facility may become immediately due and payable and all commitments under our credit facility to extend further credit may be terminated. The acceleration of any such indebtedness will result in an event of default under all of our other long-term indebtedness.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potential cessation or modification of LIBOR may increase our interest expense or otherwise adversely affect us.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 substantial portion of our indebtedness under the credit facility bears interest at variable interest rates that use the London Inter-Bank Offered Rate (“LIBOR”) as a benchmark rate. On July 27, 2017, the United Kingdom’s Financial Conduct Authority, which regulates LIBOR, announced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result in the establishment of new methods of calculating LIBOR or the establishment of one or more alternative benchmark rates. Although our credit facility provides for alternative base rates, some of those alternative base rates are related to LIBOR, and the consequences of any potential cessation, modification or other reform of LIBOR cannot be predicted at this time. When LIBOR ceases to exist, we most likely will need to amend the credit facility, and we cannot predict what alternative interest rate(s) will be negotiated with our counterparties. As a result, our interest expense may increase, our ability to refinance some or all of our existing indebtedness may be impacted and our available cash flow may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337" w:lineRule="exact"/>
        <w:rPr>
          <w:sz w:val="20"/>
          <w:szCs w:val="20"/>
          <w:color w:val="auto"/>
        </w:rPr>
      </w:pPr>
    </w:p>
    <w:p>
      <w:pPr>
        <w:ind w:left="260" w:right="640"/>
        <w:spacing w:after="0" w:line="277" w:lineRule="auto"/>
        <w:rPr>
          <w:sz w:val="20"/>
          <w:szCs w:val="20"/>
          <w:color w:val="auto"/>
        </w:rPr>
      </w:pPr>
      <w:r>
        <w:rPr>
          <w:rFonts w:ascii="Arial" w:cs="Arial" w:eastAsia="Arial" w:hAnsi="Arial"/>
          <w:sz w:val="18"/>
          <w:szCs w:val="18"/>
          <w:b w:val="1"/>
          <w:bCs w:val="1"/>
          <w:i w:val="1"/>
          <w:iCs w:val="1"/>
          <w:color w:val="auto"/>
        </w:rPr>
        <w:t>Inclement weather, natural disasters, acts of terrorism, pandemics, riots, civil insurrection or social unrest, looting, protests, strikes or street demonstrations may impact our ability to provide services.</w:t>
      </w:r>
    </w:p>
    <w:p>
      <w:pPr>
        <w:spacing w:after="0" w:line="278"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Inclement weather, natural disasters, acts of terrorism, pandemics, riots, civil insurrection or social unrest, looting, protests, strikes or street demonstrations may prevent our employees from providing authorized services. We are not paid for authorized services that are not delivered due to these events. Furthermore, prolonged disruptions as a result of such events in the markets in which we operate could disrupt our relationships with consumers, patients, caregivers and employees and referral sources located in affected areas and, in the case of our corporate office, our ability to provide administrative support services, including billing and collection services. For example, one of our support centers and a number of our agencies are located in the Midwestern United States, New York and California, increasing our exposure to blizzards and other major snowstorms, ice storms, tornadoes, flooding, wildfires and earthquakes. The impact of disasters and similar events is inherently uncertain. Future inclement weather, natural disasters, acts of terrorism, pandemics, riots, civil insurrection or social unrest, looting, protests, strikes or street demonstrations may adversely affect our reputation, business and consolidated financial condition, results of operations and cash flows.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We do not own any real property. We lease administrative offices for our local branches, none of which are individually material. We lease approximately 59,000 and 106,000 square feet of office space in Downers Grove, Illinois and Frisco, Texas, respectively, which serve as our support centers. We sublease approximately 21,000 and 12,000 square feet of our office space in Downers Grove and Frisco, respectively, to a third party.</w:t>
      </w:r>
    </w:p>
    <w:p>
      <w:pPr>
        <w:spacing w:after="0" w:line="25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2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Further information with respect to this item may be found in Note 12 to the Consolidated Financial Statements in Part II, Item 8—“Financial Statements and Supplementary Data,” which is incorporated herein by reference.</w:t>
      </w:r>
    </w:p>
    <w:p>
      <w:pPr>
        <w:spacing w:after="0" w:line="27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20" w:right="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Global Market under the symbol “ADUS.”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As of December 31, 2020, 2.0% of our shares of common stock were held by our officers and directors and approximately 98.0% of our common stock was held by 296 institutional investors. As of February 19, 2021, Addus HomeCare Corporation had approximately 12,450 shareholders of its common stock, including 72 shareholders of record.</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have never paid dividends on our common stock, including in the two most recent fiscal years, and we do not intend to pay any dividends on our common stock in the foreseeable future. We currently plan to retain any earnings to support the operation, and to finance the growth, of our business rather than to pay cash dividends. Payments of any cash dividends in the future will depend on our financial condition, capital requirements, credit facility limitations, earnings, as well as other factors deemed relevant by our Board. Our credit facility restricts our ability to declare or pay any dividend or other distribution to Holdings unless no default or event of default has occurred and is continuing or would arise as a result thereof and the aggregate amount of dividends and distributions paid in any fiscal year does not exceed $7.5 million per annum.</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The following table sets forth selected financial information derived from our Consolidated Financial Statements for the periods and at the dates indicated. The information is qualified in its entirety by and should be read in conjunction with the Consolidated Financial Statements and related notes included elsewhere in this Annual Report on Form 10-K.</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center"/>
              <w:ind w:left="452"/>
              <w:spacing w:after="0"/>
              <w:rPr>
                <w:sz w:val="20"/>
                <w:szCs w:val="20"/>
                <w:color w:val="auto"/>
              </w:rPr>
            </w:pPr>
            <w:r>
              <w:rPr>
                <w:rFonts w:ascii="Arial" w:cs="Arial" w:eastAsia="Arial" w:hAnsi="Arial"/>
                <w:sz w:val="14"/>
                <w:szCs w:val="14"/>
                <w:b w:val="1"/>
                <w:bCs w:val="1"/>
                <w:color w:val="auto"/>
                <w:w w:val="92"/>
              </w:rPr>
              <w:t>For the Years Ended December 31,</w:t>
            </w: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(2)</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(2)</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87"/>
              </w:rPr>
              <w:t>2017</w:t>
            </w:r>
            <w:r>
              <w:rPr>
                <w:rFonts w:ascii="Arial" w:cs="Arial" w:eastAsia="Arial" w:hAnsi="Arial"/>
                <w:sz w:val="12"/>
                <w:szCs w:val="12"/>
                <w:b w:val="1"/>
                <w:bCs w:val="1"/>
                <w:color w:val="auto"/>
                <w:w w:val="87"/>
              </w:rPr>
              <w:t>(2)</w:t>
            </w: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12"/>
                <w:szCs w:val="12"/>
                <w:b w:val="1"/>
                <w:bCs w:val="1"/>
                <w:color w:val="auto"/>
              </w:rPr>
              <w:t>(2)</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00" w:type="dxa"/>
            <w:vAlign w:val="bottom"/>
            <w:gridSpan w:val="8"/>
          </w:tcPr>
          <w:p>
            <w:pPr>
              <w:jc w:val="center"/>
              <w:ind w:right="420"/>
              <w:spacing w:after="0" w:line="155" w:lineRule="exact"/>
              <w:rPr>
                <w:sz w:val="20"/>
                <w:szCs w:val="20"/>
                <w:color w:val="auto"/>
              </w:rPr>
            </w:pPr>
            <w:r>
              <w:rPr>
                <w:rFonts w:ascii="Arial" w:cs="Arial" w:eastAsia="Arial" w:hAnsi="Arial"/>
                <w:sz w:val="14"/>
                <w:szCs w:val="14"/>
                <w:b w:val="1"/>
                <w:bCs w:val="1"/>
                <w:color w:val="auto"/>
                <w:w w:val="93"/>
              </w:rPr>
              <w:t>(Amounts In Thousands, Except Per Share Data)</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Income Data:</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 xml:space="preserve">Net service revenues </w:t>
            </w:r>
            <w:r>
              <w:rPr>
                <w:rFonts w:ascii="Arial" w:cs="Arial" w:eastAsia="Arial" w:hAnsi="Arial"/>
                <w:sz w:val="15"/>
                <w:szCs w:val="15"/>
                <w:color w:val="auto"/>
              </w:rPr>
              <w:t>(1)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764,775</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648,791</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516,647</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425,994</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400,929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revenues</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538,538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469,553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379,843</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310,119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294,593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226,237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179,238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136,804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115,875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106,336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169,679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133,912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105,335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86,039</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8,642</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181,730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144,486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113,977</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90,622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92,686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 from continuing operations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22,827</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13,650</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(3)</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interest expense (income), net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continuing operations before income</w:t>
            </w: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41,942</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20,403</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14,336</w:t>
            </w: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(Loss) earnings from discontinued operations</w:t>
            </w: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Basic income per common share:</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income per common share:</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Diluted income per common share:</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income per common share:</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and</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potential common shares outstanding:</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11,292</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15,956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12,383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11,349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6"/>
        </w:trPr>
        <w:tc>
          <w:tcPr>
            <w:tcW w:w="49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r>
      <w:tr>
        <w:trPr>
          <w:trHeight w:val="156"/>
        </w:trPr>
        <w:tc>
          <w:tcPr>
            <w:tcW w:w="4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940" w:type="dxa"/>
            <w:vAlign w:val="bottom"/>
            <w:gridSpan w:val="7"/>
          </w:tcPr>
          <w:p>
            <w:pPr>
              <w:jc w:val="right"/>
              <w:ind w:right="190"/>
              <w:spacing w:after="0" w:line="155" w:lineRule="exact"/>
              <w:rPr>
                <w:sz w:val="20"/>
                <w:szCs w:val="20"/>
                <w:color w:val="auto"/>
              </w:rPr>
            </w:pPr>
            <w:r>
              <w:rPr>
                <w:rFonts w:ascii="Arial" w:cs="Arial" w:eastAsia="Arial" w:hAnsi="Arial"/>
                <w:sz w:val="14"/>
                <w:szCs w:val="14"/>
                <w:b w:val="1"/>
                <w:bCs w:val="1"/>
                <w:color w:val="auto"/>
                <w:w w:val="94"/>
              </w:rPr>
              <w:t>(Actual Numbers, Except Adjusted EBITDA in Thousands)</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Key Metrics: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b w:val="1"/>
                <w:bCs w:val="1"/>
                <w:color w:val="auto"/>
              </w:rPr>
              <w:t>General:</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 </w:t>
            </w:r>
            <w:r>
              <w:rPr>
                <w:rFonts w:ascii="Arial" w:cs="Arial" w:eastAsia="Arial" w:hAnsi="Arial"/>
                <w:sz w:val="15"/>
                <w:szCs w:val="15"/>
                <w:color w:val="auto"/>
              </w:rPr>
              <w:t>(4)</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76,907</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42,476</w:t>
            </w:r>
          </w:p>
        </w:tc>
        <w:tc>
          <w:tcPr>
            <w:tcW w:w="5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35,782</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30,509</w:t>
            </w: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States served at period end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Employees at period end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35,139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33,238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33,153</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26,097</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23,070</w:t>
            </w:r>
          </w:p>
        </w:tc>
        <w:tc>
          <w:tcPr>
            <w:tcW w:w="32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Operational Data:</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color w:val="auto"/>
              </w:rPr>
              <w:t>Personal Care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 xml:space="preserve">Average billable census * </w:t>
            </w:r>
            <w:r>
              <w:rPr>
                <w:rFonts w:ascii="Arial" w:cs="Arial" w:eastAsia="Arial" w:hAnsi="Arial"/>
                <w:sz w:val="15"/>
                <w:szCs w:val="15"/>
                <w:color w:val="auto"/>
              </w:rPr>
              <w:t>(5)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39,199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39,188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37,597</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35,343</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33,944</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Billable hours * </w:t>
            </w:r>
            <w:r>
              <w:rPr>
                <w:rFonts w:ascii="Arial" w:cs="Arial" w:eastAsia="Arial" w:hAnsi="Arial"/>
                <w:sz w:val="15"/>
                <w:szCs w:val="15"/>
                <w:color w:val="auto"/>
              </w:rPr>
              <w:t>(6)</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30,645</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26,934</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23,833</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23,088</w:t>
            </w: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 xml:space="preserve">Average billable hours per census per month * </w:t>
            </w:r>
            <w:r>
              <w:rPr>
                <w:rFonts w:ascii="Arial" w:cs="Arial" w:eastAsia="Arial" w:hAnsi="Arial"/>
                <w:sz w:val="15"/>
                <w:szCs w:val="15"/>
                <w:color w:val="auto"/>
              </w:rPr>
              <w:t>(6)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Billable hours per business day * </w:t>
            </w:r>
            <w:r>
              <w:rPr>
                <w:rFonts w:ascii="Arial" w:cs="Arial" w:eastAsia="Arial" w:hAnsi="Arial"/>
                <w:sz w:val="15"/>
                <w:szCs w:val="15"/>
                <w:color w:val="auto"/>
              </w:rPr>
              <w:t>(6)</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116,967</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113,915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103,195</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91,664</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88,460</w:t>
            </w:r>
          </w:p>
        </w:tc>
        <w:tc>
          <w:tcPr>
            <w:tcW w:w="32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 xml:space="preserve">Revenues per billable hour * </w:t>
            </w:r>
            <w:r>
              <w:rPr>
                <w:rFonts w:ascii="Arial" w:cs="Arial" w:eastAsia="Arial" w:hAnsi="Arial"/>
                <w:sz w:val="15"/>
                <w:szCs w:val="15"/>
                <w:color w:val="auto"/>
              </w:rPr>
              <w:t>(6)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19.50</w:t>
            </w:r>
          </w:p>
        </w:tc>
        <w:tc>
          <w:tcPr>
            <w:tcW w:w="28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18.23</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17.86</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17.35</w:t>
            </w:r>
          </w:p>
        </w:tc>
        <w:tc>
          <w:tcPr>
            <w:tcW w:w="32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Same store growth revenue % * </w:t>
            </w:r>
            <w:r>
              <w:rPr>
                <w:rFonts w:ascii="Arial" w:cs="Arial" w:eastAsia="Arial" w:hAnsi="Arial"/>
                <w:sz w:val="15"/>
                <w:szCs w:val="15"/>
                <w:color w:val="auto"/>
              </w:rPr>
              <w:t>(7)</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color w:val="auto"/>
              </w:rPr>
              <w:t>Hospice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 xml:space="preserve">Admissions * </w:t>
            </w:r>
            <w:r>
              <w:rPr>
                <w:rFonts w:ascii="Arial" w:cs="Arial" w:eastAsia="Arial" w:hAnsi="Arial"/>
                <w:sz w:val="15"/>
                <w:szCs w:val="15"/>
                <w:color w:val="auto"/>
              </w:rPr>
              <w:t>(8)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3,095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Average daily census * </w:t>
            </w:r>
            <w:r>
              <w:rPr>
                <w:rFonts w:ascii="Arial" w:cs="Arial" w:eastAsia="Arial" w:hAnsi="Arial"/>
                <w:sz w:val="15"/>
                <w:szCs w:val="15"/>
                <w:color w:val="auto"/>
              </w:rPr>
              <w:t>(9)</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 xml:space="preserve">Average length of stay * </w:t>
            </w:r>
            <w:r>
              <w:rPr>
                <w:rFonts w:ascii="Arial" w:cs="Arial" w:eastAsia="Arial" w:hAnsi="Arial"/>
                <w:sz w:val="15"/>
                <w:szCs w:val="15"/>
                <w:color w:val="auto"/>
              </w:rPr>
              <w:t>(10)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Patient days * </w:t>
            </w:r>
            <w:r>
              <w:rPr>
                <w:rFonts w:ascii="Arial" w:cs="Arial" w:eastAsia="Arial" w:hAnsi="Arial"/>
                <w:sz w:val="15"/>
                <w:szCs w:val="15"/>
                <w:color w:val="auto"/>
              </w:rPr>
              <w:t>(11)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657,172</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349,866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128,819</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 xml:space="preserve">Revenues per patient day * </w:t>
            </w:r>
            <w:r>
              <w:rPr>
                <w:rFonts w:ascii="Arial" w:cs="Arial" w:eastAsia="Arial" w:hAnsi="Arial"/>
                <w:sz w:val="15"/>
                <w:szCs w:val="15"/>
                <w:color w:val="auto"/>
              </w:rPr>
              <w:t>(12)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154.14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153.20</w:t>
            </w:r>
          </w:p>
        </w:tc>
        <w:tc>
          <w:tcPr>
            <w:tcW w:w="280" w:type="dxa"/>
            <w:vAlign w:val="bottom"/>
          </w:tcPr>
          <w:p>
            <w:pPr>
              <w:spacing w:after="0"/>
              <w:rPr>
                <w:sz w:val="19"/>
                <w:szCs w:val="19"/>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146.33</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Home Health</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Locations at period end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New admissions * </w:t>
            </w:r>
            <w:r>
              <w:rPr>
                <w:rFonts w:ascii="Arial" w:cs="Arial" w:eastAsia="Arial" w:hAnsi="Arial"/>
                <w:sz w:val="15"/>
                <w:szCs w:val="15"/>
                <w:color w:val="auto"/>
              </w:rPr>
              <w:t>(13)</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 xml:space="preserve">Recertifications * </w:t>
            </w:r>
            <w:r>
              <w:rPr>
                <w:rFonts w:ascii="Arial" w:cs="Arial" w:eastAsia="Arial" w:hAnsi="Arial"/>
                <w:sz w:val="15"/>
                <w:szCs w:val="15"/>
                <w:color w:val="auto"/>
              </w:rPr>
              <w:t>(14)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1,443</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volume * </w:t>
            </w:r>
            <w:r>
              <w:rPr>
                <w:rFonts w:ascii="Arial" w:cs="Arial" w:eastAsia="Arial" w:hAnsi="Arial"/>
                <w:sz w:val="15"/>
                <w:szCs w:val="15"/>
                <w:color w:val="auto"/>
              </w:rPr>
              <w:t>(15)</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 xml:space="preserve">Visits * </w:t>
            </w:r>
            <w:r>
              <w:rPr>
                <w:rFonts w:ascii="Arial" w:cs="Arial" w:eastAsia="Arial" w:hAnsi="Arial"/>
                <w:sz w:val="15"/>
                <w:szCs w:val="15"/>
                <w:color w:val="auto"/>
              </w:rPr>
              <w:t>(16)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118,470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108,863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53,711</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Revenues by Payor:</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color w:val="auto"/>
              </w:rPr>
              <w:t>Personal Care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State, local and other governmental programs</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5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35.3</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Commercial insurance</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b w:val="1"/>
                <w:bCs w:val="1"/>
                <w:color w:val="auto"/>
              </w:rPr>
              <w:t>Hospice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5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b w:val="1"/>
                <w:bCs w:val="1"/>
                <w:color w:val="auto"/>
              </w:rPr>
              <w:t>Home Health</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Medicare</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5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r>
      <w:tr>
        <w:trPr>
          <w:trHeight w:val="432"/>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4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55"/>
        </w:trPr>
        <w:tc>
          <w:tcPr>
            <w:tcW w:w="3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r>
      <w:tr>
        <w:trPr>
          <w:trHeight w:val="156"/>
        </w:trPr>
        <w:tc>
          <w:tcPr>
            <w:tcW w:w="3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gridSpan w:val="3"/>
          </w:tcPr>
          <w:p>
            <w:pPr>
              <w:jc w:val="right"/>
              <w:ind w:right="22"/>
              <w:spacing w:after="0" w:line="155" w:lineRule="exact"/>
              <w:rPr>
                <w:sz w:val="20"/>
                <w:szCs w:val="20"/>
                <w:color w:val="auto"/>
              </w:rPr>
            </w:pPr>
            <w:r>
              <w:rPr>
                <w:rFonts w:ascii="Arial" w:cs="Arial" w:eastAsia="Arial" w:hAnsi="Arial"/>
                <w:sz w:val="14"/>
                <w:szCs w:val="14"/>
                <w:b w:val="1"/>
                <w:bCs w:val="1"/>
                <w:color w:val="auto"/>
              </w:rPr>
              <w:t>(Amounts In Thousands)</w:t>
            </w: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Cash</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145,078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111,714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70,406</w:t>
            </w:r>
          </w:p>
        </w:tc>
        <w:tc>
          <w:tcPr>
            <w:tcW w:w="52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53,754</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8,013</w:t>
            </w:r>
          </w:p>
        </w:tc>
        <w:tc>
          <w:tcPr>
            <w:tcW w:w="32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 of allowances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132,650</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149,680</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98,316</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85,321</w:t>
            </w: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113,022</w:t>
            </w:r>
          </w:p>
        </w:tc>
        <w:tc>
          <w:tcPr>
            <w:tcW w:w="32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Goodwill and intangibles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540,621</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332,447</w:t>
            </w:r>
          </w:p>
        </w:tc>
        <w:tc>
          <w:tcPr>
            <w:tcW w:w="380" w:type="dxa"/>
            <w:vAlign w:val="bottom"/>
          </w:tcPr>
          <w:p>
            <w:pPr>
              <w:jc w:val="right"/>
              <w:ind w:right="64"/>
              <w:spacing w:after="0"/>
              <w:rPr>
                <w:sz w:val="20"/>
                <w:szCs w:val="20"/>
                <w:color w:val="auto"/>
              </w:rPr>
            </w:pPr>
            <w:r>
              <w:rPr>
                <w:rFonts w:ascii="Arial" w:cs="Arial" w:eastAsia="Arial" w:hAnsi="Arial"/>
                <w:sz w:val="14"/>
                <w:szCs w:val="14"/>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159,226</w:t>
            </w:r>
          </w:p>
        </w:tc>
        <w:tc>
          <w:tcPr>
            <w:tcW w:w="520" w:type="dxa"/>
            <w:vAlign w:val="bottom"/>
          </w:tcPr>
          <w:p>
            <w:pPr>
              <w:jc w:val="right"/>
              <w:ind w:right="202"/>
              <w:spacing w:after="0"/>
              <w:rPr>
                <w:sz w:val="20"/>
                <w:szCs w:val="20"/>
                <w:color w:val="auto"/>
              </w:rPr>
            </w:pPr>
            <w:r>
              <w:rPr>
                <w:rFonts w:ascii="Arial" w:cs="Arial" w:eastAsia="Arial" w:hAnsi="Arial"/>
                <w:sz w:val="14"/>
                <w:szCs w:val="14"/>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106,935</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87,951</w:t>
            </w:r>
          </w:p>
        </w:tc>
        <w:tc>
          <w:tcPr>
            <w:tcW w:w="32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892,582</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636,748</w:t>
            </w:r>
          </w:p>
        </w:tc>
        <w:tc>
          <w:tcPr>
            <w:tcW w:w="380" w:type="dxa"/>
            <w:vAlign w:val="bottom"/>
            <w:shd w:val="clear" w:color="auto" w:fill="CFF0FC"/>
          </w:tcPr>
          <w:p>
            <w:pPr>
              <w:jc w:val="right"/>
              <w:ind w:right="64"/>
              <w:spacing w:after="0"/>
              <w:rPr>
                <w:sz w:val="20"/>
                <w:szCs w:val="20"/>
                <w:color w:val="auto"/>
              </w:rPr>
            </w:pPr>
            <w:r>
              <w:rPr>
                <w:rFonts w:ascii="Arial" w:cs="Arial" w:eastAsia="Arial" w:hAnsi="Arial"/>
                <w:sz w:val="14"/>
                <w:szCs w:val="14"/>
                <w:color w:val="auto"/>
              </w:rPr>
              <w:t>(1)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348,094</w:t>
            </w:r>
          </w:p>
        </w:tc>
        <w:tc>
          <w:tcPr>
            <w:tcW w:w="520" w:type="dxa"/>
            <w:vAlign w:val="bottom"/>
            <w:shd w:val="clear" w:color="auto" w:fill="CFF0FC"/>
          </w:tcPr>
          <w:p>
            <w:pPr>
              <w:jc w:val="right"/>
              <w:ind w:right="202"/>
              <w:spacing w:after="0"/>
              <w:rPr>
                <w:sz w:val="20"/>
                <w:szCs w:val="20"/>
                <w:color w:val="auto"/>
              </w:rPr>
            </w:pPr>
            <w:r>
              <w:rPr>
                <w:rFonts w:ascii="Arial" w:cs="Arial" w:eastAsia="Arial" w:hAnsi="Arial"/>
                <w:sz w:val="14"/>
                <w:szCs w:val="14"/>
                <w:color w:val="auto"/>
              </w:rPr>
              <w:t>(1)</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265,719</w:t>
            </w:r>
          </w:p>
        </w:tc>
        <w:tc>
          <w:tcPr>
            <w:tcW w:w="460" w:type="dxa"/>
            <w:vAlign w:val="bottom"/>
            <w:shd w:val="clear" w:color="auto" w:fill="CFF0FC"/>
          </w:tcPr>
          <w:p>
            <w:pPr>
              <w:jc w:val="right"/>
              <w:ind w:right="159"/>
              <w:spacing w:after="0"/>
              <w:rPr>
                <w:sz w:val="20"/>
                <w:szCs w:val="20"/>
                <w:color w:val="auto"/>
              </w:rPr>
            </w:pPr>
            <w:r>
              <w:rPr>
                <w:rFonts w:ascii="Arial" w:cs="Arial" w:eastAsia="Arial" w:hAnsi="Arial"/>
                <w:sz w:val="14"/>
                <w:szCs w:val="14"/>
                <w:color w:val="auto"/>
              </w:rPr>
              <w:t>(1)</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228,740</w:t>
            </w:r>
          </w:p>
        </w:tc>
        <w:tc>
          <w:tcPr>
            <w:tcW w:w="32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Total debt, net of debt issuance costs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194,872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59,892</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17,284</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39,860</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25,013</w:t>
            </w:r>
          </w:p>
        </w:tc>
        <w:tc>
          <w:tcPr>
            <w:tcW w:w="32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518,676</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475,592</w:t>
            </w: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268,491</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170,337</w:t>
            </w: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154,674</w:t>
            </w:r>
          </w:p>
        </w:tc>
        <w:tc>
          <w:tcPr>
            <w:tcW w:w="3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944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46" w:lineRule="exact"/>
        <w:rPr>
          <w:sz w:val="20"/>
          <w:szCs w:val="20"/>
          <w:color w:val="auto"/>
        </w:rPr>
      </w:pPr>
    </w:p>
    <w:p>
      <w:pPr>
        <w:ind w:left="500" w:right="80" w:hanging="492"/>
        <w:spacing w:after="0" w:line="303" w:lineRule="auto"/>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Acquisitions completed in 2020 accounted for $12.1 million net service revenues for the year ended December 31, 2020. Acquisitions completed in 2019 accounted for $108.2 million and $55.8 million net service revenues for the years ended December 31, 2020 and 2019, respectively. Acquisitions completed in 2018 accounted for $158.1 million, $113.2 million and $75.2 million net service revenues for the years ended December 31, 2020, 2019 and 2018, respectively. Acquisitions completed in 2017 accounted for $6.9 million, $21.2 million, $20.2 million and $8.6 million net service revenues for the years ended December 31, 2020, 2019,</w:t>
      </w:r>
    </w:p>
    <w:p>
      <w:pPr>
        <w:ind w:left="500" w:right="140"/>
        <w:spacing w:after="0" w:line="270" w:lineRule="auto"/>
        <w:rPr>
          <w:rFonts w:ascii="Arial" w:cs="Arial" w:eastAsia="Arial" w:hAnsi="Arial"/>
          <w:sz w:val="14"/>
          <w:szCs w:val="14"/>
          <w:color w:val="auto"/>
        </w:rPr>
      </w:pPr>
      <w:r>
        <w:rPr>
          <w:rFonts w:ascii="Arial" w:cs="Arial" w:eastAsia="Arial" w:hAnsi="Arial"/>
          <w:sz w:val="16"/>
          <w:szCs w:val="16"/>
          <w:color w:val="auto"/>
        </w:rPr>
        <w:t>2018 and 2017, respectively. Acquisitions completed in 2016 accounted for $74.5 million, $76.2 million, $65.3 million, $58.6 million and $52.7 million net service revenues for the years ended December 31, 2020, 2019, 2018, 2017 and 2016, respectively. For the years ended December 31, 2020, 2019, 2018, 2017 and 2016, acquisitions completed during those years represented $359.8 million, $266.4 million, $160.7 million, $67.2 million and $52.7 million, respectively, of net service revenues. See Note 4 to the Notes to Consolidated Financial Statements for additional information regarding the increases in total assets and goodwill and intangibles related to acquisitions during the years ended December 31, 2020, 2019 and 2018.</w:t>
      </w:r>
    </w:p>
    <w:p>
      <w:pPr>
        <w:spacing w:after="0" w:line="189" w:lineRule="exact"/>
        <w:rPr>
          <w:rFonts w:ascii="Arial" w:cs="Arial" w:eastAsia="Arial" w:hAnsi="Arial"/>
          <w:sz w:val="14"/>
          <w:szCs w:val="14"/>
          <w:color w:val="auto"/>
        </w:rPr>
      </w:pPr>
    </w:p>
    <w:p>
      <w:pPr>
        <w:ind w:left="500" w:hanging="492"/>
        <w:spacing w:after="0" w:line="27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Certain amounts for the years ended December 31, 2019, 2018, 2017 and 2016 were reclassified in order to conform to the current year’s presentation. Loss (gain) on sale of assets and provision for doubtful accounts are included in general and administrative expenses. On January 1, 2018, we adopted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majority of what historically was classified as provision for doubtful accounts under operating expenses is now treated as an implicit price concession factored into revenues and were included in general and administrative expenses of $9.5 million and $9.2 million for the years ended December 31, 2017 and 2016, respectively.</w:t>
      </w:r>
    </w:p>
    <w:p>
      <w:pPr>
        <w:spacing w:after="0" w:line="189" w:lineRule="exact"/>
        <w:rPr>
          <w:rFonts w:ascii="Arial" w:cs="Arial" w:eastAsia="Arial" w:hAnsi="Arial"/>
          <w:sz w:val="16"/>
          <w:szCs w:val="16"/>
          <w:color w:val="auto"/>
        </w:rPr>
      </w:pPr>
    </w:p>
    <w:p>
      <w:pPr>
        <w:ind w:left="500" w:right="140" w:hanging="492"/>
        <w:spacing w:after="0" w:line="297" w:lineRule="auto"/>
        <w:tabs>
          <w:tab w:leader="none" w:pos="5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Legislation enacted in Illinois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years ended December 31, 2019, 2018 and 2016, we received $0.7 million, $2.3 million and $2.8 million in prompt payment interest. For the years ended December 31, 2020 and 2017, prompt payment interest received was immaterial.</w:t>
      </w:r>
    </w:p>
    <w:p>
      <w:pPr>
        <w:spacing w:after="0" w:line="172" w:lineRule="exact"/>
        <w:rPr>
          <w:rFonts w:ascii="Arial" w:cs="Arial" w:eastAsia="Arial" w:hAnsi="Arial"/>
          <w:sz w:val="15"/>
          <w:szCs w:val="15"/>
          <w:color w:val="auto"/>
        </w:rPr>
      </w:pPr>
    </w:p>
    <w:p>
      <w:pPr>
        <w:ind w:left="500" w:hanging="492"/>
        <w:spacing w:after="0" w:line="269"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define Adjusted EBITDA as net income before discontinued operations, net interest expense, interest income from Illinois, secondary offering costs, other non-operating income, income tax expense, depreciation and amortization, merger and acquisition expense, stock-based compensation expense, restructure and other non-recurring costs, COVID-19 expense, IRS accrual, write down of deferred tax assets and impact of the Tax Cuts and Jobs Act of 2017 (the “tax reform act”), write-off of debt issuance costs and (loss) gain on sale of assets. Adjusted EBITDA is a performance measure used by management that is not calculated in accordance with generally accepted accounting principles in the United States (“GAAP”). It should not be considered in isolation or as a substitute for net income, operating income or any other measure of financial performance calculated in accordance with GAAP. Additionally, our calculation of Adjusted EBITDA may not be comparable to similarly titled measures reported by other companies.</w:t>
      </w:r>
    </w:p>
    <w:p>
      <w:pPr>
        <w:spacing w:after="0" w:line="189"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5"/>
          <w:szCs w:val="15"/>
          <w:color w:val="auto"/>
        </w:rPr>
        <w:t>Management believes that Adjusted EBITDA is useful to investors, management and others in evaluating our operating performance for the following reasons:</w:t>
      </w:r>
    </w:p>
    <w:p>
      <w:pPr>
        <w:spacing w:after="0" w:line="138" w:lineRule="exact"/>
        <w:rPr>
          <w:rFonts w:ascii="Arial" w:cs="Arial" w:eastAsia="Arial" w:hAnsi="Arial"/>
          <w:sz w:val="16"/>
          <w:szCs w:val="16"/>
          <w:color w:val="auto"/>
        </w:rPr>
      </w:pPr>
    </w:p>
    <w:p>
      <w:pPr>
        <w:ind w:left="1260" w:right="160" w:hanging="510"/>
        <w:spacing w:after="0" w:line="271" w:lineRule="auto"/>
        <w:tabs>
          <w:tab w:leader="none" w:pos="12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By reporting Adjusted EBITDA, we believe that we provide investors with insight and consistency in our financial reporting and present a basis for comparison of our business operations between current, past and future periods. We believe that Adjusted EBITDA allows management, investors and others to evaluate and compare our core operating results, including return on capital and operating efficiencies, from period to period, by removing the impact of our capital structure (interest expense), asset base (amortization and depreciation), tax consequences, stock-based compensation expense, and other identified adjustments.</w:t>
      </w:r>
    </w:p>
    <w:p>
      <w:pPr>
        <w:spacing w:after="0" w:line="203" w:lineRule="exact"/>
        <w:rPr>
          <w:rFonts w:ascii="Arial" w:cs="Arial" w:eastAsia="Arial" w:hAnsi="Arial"/>
          <w:sz w:val="16"/>
          <w:szCs w:val="16"/>
          <w:color w:val="auto"/>
        </w:rPr>
      </w:pPr>
    </w:p>
    <w:p>
      <w:pPr>
        <w:ind w:left="1260" w:right="280" w:hanging="510"/>
        <w:spacing w:after="0" w:line="293" w:lineRule="auto"/>
        <w:tabs>
          <w:tab w:leader="none" w:pos="12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We believe that Adjusted EBITDA is a measure widely used by securities analysts, investors and others to evaluate the financial performance of other public companies.</w:t>
      </w:r>
    </w:p>
    <w:p>
      <w:pPr>
        <w:spacing w:after="0" w:line="77" w:lineRule="exact"/>
        <w:rPr>
          <w:rFonts w:ascii="Arial" w:cs="Arial" w:eastAsia="Arial" w:hAnsi="Arial"/>
          <w:sz w:val="16"/>
          <w:szCs w:val="16"/>
          <w:color w:val="auto"/>
        </w:rPr>
      </w:pPr>
    </w:p>
    <w:p>
      <w:pPr>
        <w:ind w:left="1260" w:right="180" w:hanging="510"/>
        <w:spacing w:after="0" w:line="335" w:lineRule="auto"/>
        <w:tabs>
          <w:tab w:leader="none" w:pos="12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We recorded stock-based compensation expense of $6.0 million, $5.8 million, $4.1 million, $2.5 million and $1.1 million for the years ended December 31, 2020, 2019, 2018, 2017 and 2016, respectively. By comparing our Adjusted EBITDA in different periods, our investors can evaluate our operating results without stock-based compensation expense, which is a non-cash expense which we believe is not a key measure of our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right="100" w:firstLine="509"/>
        <w:spacing w:after="0" w:line="269" w:lineRule="auto"/>
        <w:rPr>
          <w:sz w:val="20"/>
          <w:szCs w:val="20"/>
          <w:color w:val="auto"/>
        </w:rPr>
      </w:pPr>
      <w:r>
        <w:rPr>
          <w:rFonts w:ascii="Arial" w:cs="Arial" w:eastAsia="Arial" w:hAnsi="Arial"/>
          <w:sz w:val="16"/>
          <w:szCs w:val="16"/>
          <w:color w:val="auto"/>
        </w:rPr>
        <w:t>In addition, management has chosen to use Adjusted EBITDA as a performance measure because we believe that the amount of non-cash expenses, such as depreciation, amortization and stock-based compensation expense, may not directly correlate to the underlying performance of our business operations, and because such expenses can vary significantly from period to period as a result of new acquisitions, full amortization of previously acquired tangible and intangible assets or the timing of new stock-based awards, as the case may be. This facilitates internal comparisons to historical operating results, as well as external comparisons to the operating results of our competitors and other companies in the personal care services industry. Because management believes Adjusted EBITDA is useful as a performance measure, management uses Adjusted EBITDA:</w:t>
      </w:r>
    </w:p>
    <w:p>
      <w:pPr>
        <w:spacing w:after="0" w:line="86" w:lineRule="exact"/>
        <w:rPr>
          <w:sz w:val="20"/>
          <w:szCs w:val="20"/>
          <w:color w:val="auto"/>
        </w:rPr>
      </w:pPr>
    </w:p>
    <w:p>
      <w:pPr>
        <w:ind w:left="1260" w:right="40" w:hanging="510"/>
        <w:spacing w:after="0" w:line="296"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5"/>
          <w:szCs w:val="15"/>
          <w:color w:val="auto"/>
        </w:rPr>
        <w:t>as one of our primary financial measures in the day-to-day oversight of our business to allocate financial and human resources across our organization, to assess appropriate levels of marketing and other initiatives and to generally enhance the financial performance of our business;</w:t>
      </w:r>
    </w:p>
    <w:p>
      <w:pPr>
        <w:spacing w:after="0" w:line="59" w:lineRule="exact"/>
        <w:rPr>
          <w:rFonts w:ascii="Arial" w:cs="Arial" w:eastAsia="Arial" w:hAnsi="Arial"/>
          <w:sz w:val="17"/>
          <w:szCs w:val="17"/>
          <w:color w:val="auto"/>
        </w:rPr>
      </w:pPr>
    </w:p>
    <w:p>
      <w:pPr>
        <w:ind w:left="1260" w:right="40" w:hanging="510"/>
        <w:spacing w:after="0" w:line="335" w:lineRule="auto"/>
        <w:tabs>
          <w:tab w:leader="none" w:pos="1260" w:val="left"/>
        </w:tabs>
        <w:numPr>
          <w:ilvl w:val="0"/>
          <w:numId w:val="12"/>
        </w:numPr>
        <w:rPr>
          <w:rFonts w:ascii="Arial" w:cs="Arial" w:eastAsia="Arial" w:hAnsi="Arial"/>
          <w:sz w:val="16"/>
          <w:szCs w:val="16"/>
          <w:color w:val="auto"/>
        </w:rPr>
      </w:pPr>
      <w:r>
        <w:rPr>
          <w:rFonts w:ascii="Arial" w:cs="Arial" w:eastAsia="Arial" w:hAnsi="Arial"/>
          <w:sz w:val="14"/>
          <w:szCs w:val="14"/>
          <w:color w:val="auto"/>
        </w:rPr>
        <w:t>in the preparation of our annual operating budget, as well as for other planning purposes on a quarterly and annual basis, including allocations in order to implement our growth strategy, to determine appropriate levels of investments in acquisitions and to endeavor to achieve strong core operating results;</w:t>
      </w:r>
    </w:p>
    <w:p>
      <w:pPr>
        <w:spacing w:after="0" w:line="31" w:lineRule="exact"/>
        <w:rPr>
          <w:rFonts w:ascii="Arial" w:cs="Arial" w:eastAsia="Arial" w:hAnsi="Arial"/>
          <w:sz w:val="16"/>
          <w:szCs w:val="16"/>
          <w:color w:val="auto"/>
        </w:rPr>
      </w:pPr>
    </w:p>
    <w:p>
      <w:pPr>
        <w:ind w:left="1260" w:right="60" w:hanging="510"/>
        <w:spacing w:after="0" w:line="263"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to evaluate the effectiveness of business strategies, such as the allocation of resources, the mix of organic growth and acquisitive growth and adjustments to our payor mix;</w:t>
      </w:r>
    </w:p>
    <w:p>
      <w:pPr>
        <w:spacing w:after="0" w:line="84" w:lineRule="exact"/>
        <w:rPr>
          <w:rFonts w:ascii="Arial" w:cs="Arial" w:eastAsia="Arial" w:hAnsi="Arial"/>
          <w:sz w:val="18"/>
          <w:szCs w:val="18"/>
          <w:color w:val="auto"/>
        </w:rPr>
      </w:pPr>
    </w:p>
    <w:p>
      <w:pPr>
        <w:ind w:left="1260" w:hanging="510"/>
        <w:spacing w:after="0" w:line="262" w:lineRule="auto"/>
        <w:tabs>
          <w:tab w:leader="none" w:pos="12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as a means of evaluating the effectiveness of management in directing our core operating performance, which we consider to be performance that can be affected by our management in any particular period through their allocation and use of resources that affect our underlying revenue and profit-generating operations during that period;</w:t>
      </w:r>
    </w:p>
    <w:p>
      <w:pPr>
        <w:spacing w:after="0" w:line="87" w:lineRule="exact"/>
        <w:rPr>
          <w:rFonts w:ascii="Arial" w:cs="Arial" w:eastAsia="Arial" w:hAnsi="Arial"/>
          <w:sz w:val="18"/>
          <w:szCs w:val="18"/>
          <w:color w:val="auto"/>
        </w:rPr>
      </w:pPr>
    </w:p>
    <w:p>
      <w:pPr>
        <w:ind w:left="1260" w:hanging="51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for the valuation of prospective acquisitions, and to evaluate the effectiveness of integration of past acquisitions into our Company; and</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in communications with our Board concerning our financial performance.</w:t>
      </w:r>
    </w:p>
    <w:p>
      <w:pPr>
        <w:spacing w:after="0" w:line="239" w:lineRule="exact"/>
        <w:rPr>
          <w:sz w:val="20"/>
          <w:szCs w:val="20"/>
          <w:color w:val="auto"/>
        </w:rPr>
      </w:pPr>
    </w:p>
    <w:p>
      <w:pPr>
        <w:jc w:val="both"/>
        <w:ind w:right="420" w:firstLine="509"/>
        <w:spacing w:after="0" w:line="278" w:lineRule="auto"/>
        <w:rPr>
          <w:sz w:val="20"/>
          <w:szCs w:val="20"/>
          <w:color w:val="auto"/>
        </w:rPr>
      </w:pPr>
      <w:r>
        <w:rPr>
          <w:rFonts w:ascii="Arial" w:cs="Arial" w:eastAsia="Arial" w:hAnsi="Arial"/>
          <w:sz w:val="16"/>
          <w:szCs w:val="16"/>
          <w:color w:val="auto"/>
        </w:rPr>
        <w:t>Although Adjusted EBITDA is frequently used by investors and securities analysts in their evaluations of companies, Adjusted EBITDA has limitations as an analytical tool, and you should not consider it in isolation or as a substitute for analysis of our results of operations as reported under GAAP. Some of these limitations include:</w:t>
      </w:r>
    </w:p>
    <w:p>
      <w:pPr>
        <w:spacing w:after="0" w:line="76" w:lineRule="exact"/>
        <w:rPr>
          <w:sz w:val="20"/>
          <w:szCs w:val="20"/>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our cash expenditures or future requirements for capital expenditures or other contractual commitments;</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interest expense or interest income;</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other non-operating income from our investments in joint ventures;</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cash requirements for income taxes;</w:t>
      </w:r>
    </w:p>
    <w:p>
      <w:pPr>
        <w:spacing w:after="0" w:line="131" w:lineRule="exact"/>
        <w:rPr>
          <w:rFonts w:ascii="Arial" w:cs="Arial" w:eastAsia="Arial" w:hAnsi="Arial"/>
          <w:sz w:val="18"/>
          <w:szCs w:val="18"/>
          <w:color w:val="auto"/>
        </w:rPr>
      </w:pPr>
    </w:p>
    <w:p>
      <w:pPr>
        <w:ind w:left="1260" w:right="180" w:hanging="510"/>
        <w:spacing w:after="0" w:line="263"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although depreciation and amortization are non-cash charges, the assets being depreciated or amortized will often have to be replaced in the future, and Adjusted EBITDA does not reflect any cash requirements for these replacements;</w:t>
      </w:r>
    </w:p>
    <w:p>
      <w:pPr>
        <w:spacing w:after="0" w:line="83"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any mergers and acquisitions expenses;</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any stock-based compensation;</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any restructure and other non-recurring costs;</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any COVID-19 expense;</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any gains or losses on the sale of assets;</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any write down of deferred tax assets/impact of the tax reform act;</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Adjusted EBITDA does not reflect any write off of debt issuance costs; and</w:t>
      </w:r>
    </w:p>
    <w:p>
      <w:pPr>
        <w:spacing w:after="0" w:line="130" w:lineRule="exact"/>
        <w:rPr>
          <w:rFonts w:ascii="Arial" w:cs="Arial" w:eastAsia="Arial" w:hAnsi="Arial"/>
          <w:sz w:val="18"/>
          <w:szCs w:val="18"/>
          <w:color w:val="auto"/>
        </w:rPr>
      </w:pPr>
    </w:p>
    <w:p>
      <w:pPr>
        <w:ind w:left="1260" w:hanging="510"/>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239" w:lineRule="exact"/>
        <w:rPr>
          <w:sz w:val="20"/>
          <w:szCs w:val="20"/>
          <w:color w:val="auto"/>
        </w:rPr>
      </w:pPr>
    </w:p>
    <w:p>
      <w:pPr>
        <w:ind w:right="380" w:firstLine="509"/>
        <w:spacing w:after="0" w:line="278" w:lineRule="auto"/>
        <w:rPr>
          <w:sz w:val="20"/>
          <w:szCs w:val="20"/>
          <w:color w:val="auto"/>
        </w:rPr>
      </w:pPr>
      <w:r>
        <w:rPr>
          <w:rFonts w:ascii="Arial" w:cs="Arial" w:eastAsia="Arial" w:hAnsi="Arial"/>
          <w:sz w:val="16"/>
          <w:szCs w:val="16"/>
          <w:color w:val="auto"/>
        </w:rPr>
        <w:t>Management compensates for these limitations by using GAAP financial measures in addition to Adjusted EBITDA in managing the day-to-day and long-term operations of our business. We believe that consideration of Adjusted EBITDA, together with a careful review of our GAAP financial measures, is the most informed method of analyzing our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a reconciliation of net income, the most directly comparable GAAP measure, to Adjusted EBITDA: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2"/>
              </w:rPr>
              <w:t>For the Years Ended December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1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31"/>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r>
      <w:tr>
        <w:trPr>
          <w:trHeight w:val="156"/>
        </w:trPr>
        <w:tc>
          <w:tcPr>
            <w:tcW w:w="1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6"/>
          </w:tcPr>
          <w:p>
            <w:pPr>
              <w:jc w:val="center"/>
              <w:ind w:left="473"/>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9"/>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Reconciliation of net income to Adjusted EBITDA </w:t>
            </w:r>
            <w:r>
              <w:rPr>
                <w:rFonts w:ascii="Arial" w:cs="Arial" w:eastAsia="Arial" w:hAnsi="Arial"/>
                <w:sz w:val="15"/>
                <w:szCs w:val="15"/>
                <w:color w:val="auto"/>
              </w:rPr>
              <w:t>(a):</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25,237</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16,433</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11,953</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11,070</w:t>
            </w:r>
          </w:p>
        </w:tc>
        <w:tc>
          <w:tcPr>
            <w:tcW w:w="220" w:type="dxa"/>
            <w:vAlign w:val="bottom"/>
          </w:tcPr>
          <w:p>
            <w:pPr>
              <w:spacing w:after="0"/>
              <w:rPr>
                <w:sz w:val="19"/>
                <w:szCs w:val="19"/>
                <w:color w:val="auto"/>
              </w:rPr>
            </w:pPr>
          </w:p>
        </w:tc>
      </w:tr>
      <w:tr>
        <w:trPr>
          <w:trHeight w:val="215"/>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Less: loss (earnings) from discontinued operations,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1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of tax</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(97)</w:t>
            </w:r>
          </w:p>
        </w:tc>
      </w:tr>
      <w:tr>
        <w:trPr>
          <w:trHeight w:val="223"/>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25,811</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16,307</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11,806</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10,973</w:t>
            </w:r>
          </w:p>
        </w:tc>
        <w:tc>
          <w:tcPr>
            <w:tcW w:w="220" w:type="dxa"/>
            <w:vAlign w:val="bottom"/>
          </w:tcPr>
          <w:p>
            <w:pPr>
              <w:spacing w:after="0"/>
              <w:rPr>
                <w:sz w:val="19"/>
                <w:szCs w:val="19"/>
                <w:color w:val="auto"/>
              </w:rPr>
            </w:pPr>
          </w:p>
        </w:tc>
      </w:tr>
      <w:tr>
        <w:trPr>
          <w:trHeight w:val="215"/>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net, excluding write-off of debt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1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issuance costs</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220" w:type="dxa"/>
            <w:vAlign w:val="bottom"/>
            <w:shd w:val="clear" w:color="auto" w:fill="CFF0FC"/>
          </w:tcPr>
          <w:p>
            <w:pPr>
              <w:spacing w:after="0"/>
              <w:rPr>
                <w:sz w:val="20"/>
                <w:szCs w:val="20"/>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Interest income from Illinois</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(2,253)</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(2,812)</w:t>
            </w:r>
          </w:p>
        </w:tc>
      </w:tr>
      <w:tr>
        <w:trPr>
          <w:trHeight w:val="229"/>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Secondary offering costs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Other non-operating income</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r>
      <w:tr>
        <w:trPr>
          <w:trHeight w:val="215"/>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expense from continuing operations,</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1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excluding write down of deferred tax</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1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assets/impact of tax reform act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7,359</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3,363</w:t>
            </w:r>
          </w:p>
        </w:tc>
        <w:tc>
          <w:tcPr>
            <w:tcW w:w="220" w:type="dxa"/>
            <w:vAlign w:val="bottom"/>
            <w:shd w:val="clear" w:color="auto" w:fill="CFF0FC"/>
          </w:tcPr>
          <w:p>
            <w:pPr>
              <w:spacing w:after="0"/>
              <w:rPr>
                <w:sz w:val="20"/>
                <w:szCs w:val="20"/>
                <w:color w:val="auto"/>
              </w:rPr>
            </w:pPr>
          </w:p>
        </w:tc>
      </w:tr>
      <w:tr>
        <w:trPr>
          <w:trHeight w:val="230"/>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10,574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6,647</w:t>
            </w:r>
          </w:p>
        </w:tc>
        <w:tc>
          <w:tcPr>
            <w:tcW w:w="220" w:type="dxa"/>
            <w:vAlign w:val="bottom"/>
          </w:tcPr>
          <w:p>
            <w:pPr>
              <w:spacing w:after="0"/>
              <w:rPr>
                <w:sz w:val="19"/>
                <w:szCs w:val="19"/>
                <w:color w:val="auto"/>
              </w:rPr>
            </w:pPr>
          </w:p>
        </w:tc>
      </w:tr>
      <w:tr>
        <w:trPr>
          <w:trHeight w:val="229"/>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M&amp;A expenses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w:t>
            </w:r>
          </w:p>
        </w:tc>
        <w:tc>
          <w:tcPr>
            <w:tcW w:w="220" w:type="dxa"/>
            <w:vAlign w:val="bottom"/>
            <w:shd w:val="clear" w:color="auto" w:fill="CFF0FC"/>
          </w:tcPr>
          <w:p>
            <w:pPr>
              <w:spacing w:after="0"/>
              <w:rPr>
                <w:sz w:val="19"/>
                <w:szCs w:val="19"/>
                <w:color w:val="auto"/>
              </w:rPr>
            </w:pPr>
          </w:p>
        </w:tc>
      </w:tr>
      <w:tr>
        <w:trPr>
          <w:trHeight w:val="229"/>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5,766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Pr>
          <w:p>
            <w:pPr>
              <w:spacing w:after="0"/>
              <w:rPr>
                <w:sz w:val="19"/>
                <w:szCs w:val="19"/>
                <w:color w:val="auto"/>
              </w:rPr>
            </w:pPr>
          </w:p>
        </w:tc>
      </w:tr>
      <w:tr>
        <w:trPr>
          <w:trHeight w:val="230"/>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Restructure and other non-recurring costs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8,018</w:t>
            </w:r>
          </w:p>
        </w:tc>
        <w:tc>
          <w:tcPr>
            <w:tcW w:w="220" w:type="dxa"/>
            <w:vAlign w:val="bottom"/>
            <w:shd w:val="clear" w:color="auto" w:fill="CFF0FC"/>
          </w:tcPr>
          <w:p>
            <w:pPr>
              <w:spacing w:after="0"/>
              <w:rPr>
                <w:sz w:val="19"/>
                <w:szCs w:val="19"/>
                <w:color w:val="auto"/>
              </w:rPr>
            </w:pPr>
          </w:p>
        </w:tc>
      </w:tr>
      <w:tr>
        <w:trPr>
          <w:trHeight w:val="229"/>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 xml:space="preserve">COVID-19 expense, net </w:t>
            </w:r>
            <w:r>
              <w:rPr>
                <w:rFonts w:ascii="Arial" w:cs="Arial" w:eastAsia="Arial" w:hAnsi="Arial"/>
                <w:sz w:val="15"/>
                <w:szCs w:val="15"/>
                <w:color w:val="auto"/>
              </w:rPr>
              <w:t>(b)</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5"/>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Write down of deferred tax assets/impact of tax</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1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reform act </w:t>
            </w:r>
            <w:r>
              <w:rPr>
                <w:rFonts w:ascii="Arial" w:cs="Arial" w:eastAsia="Arial" w:hAnsi="Arial"/>
                <w:sz w:val="15"/>
                <w:szCs w:val="15"/>
                <w:color w:val="auto"/>
              </w:rPr>
              <w:t>(c)</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gridSpan w:val="2"/>
          </w:tcPr>
          <w:p>
            <w:pPr>
              <w:ind w:left="260"/>
              <w:spacing w:after="0"/>
              <w:rPr>
                <w:sz w:val="20"/>
                <w:szCs w:val="20"/>
                <w:color w:val="auto"/>
              </w:rPr>
            </w:pPr>
            <w:r>
              <w:rPr>
                <w:rFonts w:ascii="Arial" w:cs="Arial" w:eastAsia="Arial" w:hAnsi="Arial"/>
                <w:sz w:val="18"/>
                <w:szCs w:val="18"/>
                <w:color w:val="auto"/>
              </w:rPr>
              <w:t xml:space="preserve">Write-off of debt issuance costs </w:t>
            </w:r>
            <w:r>
              <w:rPr>
                <w:rFonts w:ascii="Arial" w:cs="Arial" w:eastAsia="Arial" w:hAnsi="Arial"/>
                <w:sz w:val="15"/>
                <w:szCs w:val="15"/>
                <w:color w:val="auto"/>
              </w:rPr>
              <w:t>(d)</w:t>
            </w: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(gain) on sale of assets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(2,467)</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76,907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58,697</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35,782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30,509</w:t>
            </w:r>
          </w:p>
        </w:tc>
        <w:tc>
          <w:tcPr>
            <w:tcW w:w="220" w:type="dxa"/>
            <w:vAlign w:val="bottom"/>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15"/>
        </w:trPr>
        <w:tc>
          <w:tcPr>
            <w:tcW w:w="1580" w:type="dxa"/>
            <w:vAlign w:val="bottom"/>
            <w:tcBorders>
              <w:bottom w:val="single" w:sz="8" w:color="auto"/>
            </w:tcBorders>
          </w:tcPr>
          <w:p>
            <w:pPr>
              <w:spacing w:after="0"/>
              <w:rPr>
                <w:sz w:val="10"/>
                <w:szCs w:val="10"/>
                <w:color w:val="auto"/>
              </w:rPr>
            </w:pPr>
          </w:p>
        </w:tc>
        <w:tc>
          <w:tcPr>
            <w:tcW w:w="3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31" w:lineRule="exact"/>
        <w:rPr>
          <w:sz w:val="20"/>
          <w:szCs w:val="20"/>
          <w:color w:val="auto"/>
        </w:rPr>
      </w:pPr>
    </w:p>
    <w:p>
      <w:pPr>
        <w:ind w:left="1200" w:right="160" w:hanging="490"/>
        <w:spacing w:after="0" w:line="293" w:lineRule="auto"/>
        <w:tabs>
          <w:tab w:leader="none" w:pos="12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selected historical Consolidated Statements of Income data for the fiscal years ended December 31, 2020, 2019, 2018, 2017 and 2016, were derived from our audited Consolidated Financial Statements.</w:t>
      </w:r>
    </w:p>
    <w:p>
      <w:pPr>
        <w:spacing w:after="0" w:line="63" w:lineRule="exact"/>
        <w:rPr>
          <w:rFonts w:ascii="Arial" w:cs="Arial" w:eastAsia="Arial" w:hAnsi="Arial"/>
          <w:sz w:val="16"/>
          <w:szCs w:val="16"/>
          <w:color w:val="auto"/>
        </w:rPr>
      </w:pPr>
    </w:p>
    <w:p>
      <w:pPr>
        <w:ind w:left="1200" w:right="360" w:hanging="490"/>
        <w:spacing w:after="0" w:line="278" w:lineRule="auto"/>
        <w:tabs>
          <w:tab w:leader="none" w:pos="12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Represents the net amount of COVID-19 expenses, approximately $7.8 million of expenses, offset by $4.9 million of temporary rate increases from certain payors in our personal care segment and $1.4 million related to the utilization of a portion of the Provider Relief Funds received in November 2020 and included in cost of service revenues on the Consolidated Statements of Income.</w:t>
      </w:r>
    </w:p>
    <w:p>
      <w:pPr>
        <w:spacing w:after="0" w:line="76" w:lineRule="exact"/>
        <w:rPr>
          <w:rFonts w:ascii="Arial" w:cs="Arial" w:eastAsia="Arial" w:hAnsi="Arial"/>
          <w:sz w:val="16"/>
          <w:szCs w:val="16"/>
          <w:color w:val="auto"/>
        </w:rPr>
      </w:pPr>
    </w:p>
    <w:p>
      <w:pPr>
        <w:ind w:left="1200" w:hanging="490"/>
        <w:spacing w:after="0"/>
        <w:tabs>
          <w:tab w:leader="none" w:pos="12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Included in income tax expense on the Consolidated Statements of Income.</w:t>
      </w:r>
    </w:p>
    <w:p>
      <w:pPr>
        <w:spacing w:after="0" w:line="167" w:lineRule="exact"/>
        <w:rPr>
          <w:rFonts w:ascii="Arial" w:cs="Arial" w:eastAsia="Arial" w:hAnsi="Arial"/>
          <w:sz w:val="16"/>
          <w:szCs w:val="16"/>
          <w:color w:val="auto"/>
        </w:rPr>
      </w:pPr>
    </w:p>
    <w:p>
      <w:pPr>
        <w:ind w:left="1200" w:hanging="490"/>
        <w:spacing w:after="0"/>
        <w:tabs>
          <w:tab w:leader="none" w:pos="12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Included in interest expense on the Consolidated Statements of Income.</w:t>
      </w:r>
    </w:p>
    <w:p>
      <w:pPr>
        <w:spacing w:after="0" w:line="167" w:lineRule="exact"/>
        <w:rPr>
          <w:rFonts w:ascii="Arial" w:cs="Arial" w:eastAsia="Arial" w:hAnsi="Arial"/>
          <w:sz w:val="16"/>
          <w:szCs w:val="16"/>
          <w:color w:val="auto"/>
        </w:rPr>
      </w:pPr>
    </w:p>
    <w:p>
      <w:pPr>
        <w:ind w:left="500" w:right="120" w:hanging="492"/>
        <w:spacing w:after="0" w:line="293"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 and is the total census divided by months in operation during the period.</w:t>
      </w:r>
    </w:p>
    <w:p>
      <w:pPr>
        <w:spacing w:after="0" w:line="63" w:lineRule="exact"/>
        <w:rPr>
          <w:rFonts w:ascii="Arial" w:cs="Arial" w:eastAsia="Arial" w:hAnsi="Arial"/>
          <w:sz w:val="16"/>
          <w:szCs w:val="16"/>
          <w:color w:val="auto"/>
        </w:rPr>
      </w:pPr>
    </w:p>
    <w:p>
      <w:pPr>
        <w:ind w:left="500" w:right="160" w:hanging="492"/>
        <w:spacing w:after="0" w:line="278"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76" w:lineRule="exact"/>
        <w:rPr>
          <w:rFonts w:ascii="Arial" w:cs="Arial" w:eastAsia="Arial" w:hAnsi="Arial"/>
          <w:sz w:val="16"/>
          <w:szCs w:val="16"/>
          <w:color w:val="auto"/>
        </w:rPr>
      </w:pPr>
    </w:p>
    <w:p>
      <w:pPr>
        <w:ind w:left="500" w:right="240" w:hanging="492"/>
        <w:spacing w:after="0" w:line="328" w:lineRule="auto"/>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spacing w:after="0" w:line="41" w:lineRule="exact"/>
        <w:rPr>
          <w:rFonts w:ascii="Arial" w:cs="Arial" w:eastAsia="Arial" w:hAnsi="Arial"/>
          <w:sz w:val="15"/>
          <w:szCs w:val="15"/>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126" w:lineRule="exact"/>
        <w:rPr>
          <w:rFonts w:ascii="Arial" w:cs="Arial" w:eastAsia="Arial" w:hAnsi="Arial"/>
          <w:sz w:val="16"/>
          <w:szCs w:val="16"/>
          <w:color w:val="auto"/>
        </w:rPr>
      </w:pPr>
    </w:p>
    <w:p>
      <w:pPr>
        <w:ind w:left="500" w:hanging="492"/>
        <w:spacing w:after="0"/>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Average daily census is total patient days divided by the number of days in the period, adjusted for patient days for acquisitions beginning on date of acquisition.</w:t>
      </w:r>
    </w:p>
    <w:p>
      <w:pPr>
        <w:spacing w:after="0" w:line="138" w:lineRule="exact"/>
        <w:rPr>
          <w:rFonts w:ascii="Arial" w:cs="Arial" w:eastAsia="Arial" w:hAnsi="Arial"/>
          <w:sz w:val="15"/>
          <w:szCs w:val="15"/>
          <w:color w:val="auto"/>
        </w:rPr>
      </w:pPr>
    </w:p>
    <w:p>
      <w:pPr>
        <w:ind w:left="500" w:right="300" w:hanging="492"/>
        <w:spacing w:after="0" w:line="293"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spacing w:after="0" w:line="63" w:lineRule="exact"/>
        <w:rPr>
          <w:rFonts w:ascii="Arial" w:cs="Arial" w:eastAsia="Arial" w:hAnsi="Arial"/>
          <w:sz w:val="16"/>
          <w:szCs w:val="16"/>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126" w:lineRule="exact"/>
        <w:rPr>
          <w:rFonts w:ascii="Arial" w:cs="Arial" w:eastAsia="Arial" w:hAnsi="Arial"/>
          <w:sz w:val="16"/>
          <w:szCs w:val="16"/>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126" w:lineRule="exact"/>
        <w:rPr>
          <w:rFonts w:ascii="Arial" w:cs="Arial" w:eastAsia="Arial" w:hAnsi="Arial"/>
          <w:sz w:val="16"/>
          <w:szCs w:val="16"/>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126" w:lineRule="exact"/>
        <w:rPr>
          <w:rFonts w:ascii="Arial" w:cs="Arial" w:eastAsia="Arial" w:hAnsi="Arial"/>
          <w:sz w:val="16"/>
          <w:szCs w:val="16"/>
          <w:color w:val="auto"/>
        </w:rPr>
      </w:pPr>
    </w:p>
    <w:p>
      <w:pPr>
        <w:ind w:left="500" w:right="160" w:hanging="492"/>
        <w:spacing w:after="0" w:line="293"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home health certification period begins with a start of care visit and continues for 60 days. If at the end of the initial certification, the patient continues to require home health services, a recertification is required. This represents the number of recertifications during the period.</w:t>
      </w:r>
    </w:p>
    <w:p>
      <w:pPr>
        <w:spacing w:after="0" w:line="63" w:lineRule="exact"/>
        <w:rPr>
          <w:rFonts w:ascii="Arial" w:cs="Arial" w:eastAsia="Arial" w:hAnsi="Arial"/>
          <w:sz w:val="16"/>
          <w:szCs w:val="16"/>
          <w:color w:val="auto"/>
        </w:rPr>
      </w:pPr>
    </w:p>
    <w:p>
      <w:pPr>
        <w:ind w:left="500" w:hanging="492"/>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ectPr>
          <w:pgSz w:w="11900" w:h="16838" w:orient="portrait"/>
          <w:cols w:equalWidth="0" w:num="1">
            <w:col w:w="11240"/>
          </w:cols>
          <w:pgMar w:left="320" w:top="121" w:right="339"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127" w:lineRule="exact"/>
        <w:rPr>
          <w:sz w:val="20"/>
          <w:szCs w:val="20"/>
          <w:color w:val="auto"/>
        </w:rPr>
      </w:pPr>
    </w:p>
    <w:p>
      <w:pPr>
        <w:ind w:left="540" w:hanging="492"/>
        <w:spacing w:after="0" w:line="268"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i w:val="1"/>
          <w:iCs w:val="1"/>
          <w:color w:val="auto"/>
        </w:rPr>
        <w:t xml:space="preserve">You should read the following discussion together with our Consolidated Financial Statements and the related notes included elsewhere in this Annual Report on Form 10-K. This discussion contains forward-looking statements about our business and operations. Our actual results may differ materially from those we currently anticipate as a result of the factors we describe under “Risk Factors” and elsewhere in this Annual Report on Form 10-K and other risks </w:t>
      </w:r>
      <w:r>
        <w:rPr>
          <w:rFonts w:ascii="Arial" w:cs="Arial" w:eastAsia="Arial" w:hAnsi="Arial"/>
          <w:sz w:val="18"/>
          <w:szCs w:val="18"/>
          <w:color w:val="auto"/>
        </w:rPr>
        <w:t>as well as other factors that are not currently known to us, that we currently consider immaterial or that are not specific to us,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economic conditions</w:t>
      </w:r>
      <w:r>
        <w:rPr>
          <w:rFonts w:ascii="Arial" w:cs="Arial" w:eastAsia="Arial" w:hAnsi="Arial"/>
          <w:sz w:val="18"/>
          <w:szCs w:val="18"/>
          <w:i w:val="1"/>
          <w:iCs w:val="1"/>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We are a home care services provider operating in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revenues accounted for 38.6%, 37.8% and 33.9% of our revenue during the years ended December 31, 2020, 2019 and 2018, respectively.</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financial results for 2020, 2019 and 2018 is provided in the table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center"/>
              <w:ind w:left="595"/>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3"/>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 – continuing operations</w:t>
            </w:r>
          </w:p>
        </w:tc>
        <w:tc>
          <w:tcPr>
            <w:tcW w:w="20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648,791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516,647</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25,811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16,307</w:t>
            </w: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(Loss) earnings from discontinued operations</w:t>
            </w:r>
          </w:p>
        </w:tc>
        <w:tc>
          <w:tcPr>
            <w:tcW w:w="1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(574)</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r>
      <w:tr>
        <w:trPr>
          <w:trHeight w:val="269"/>
        </w:trPr>
        <w:tc>
          <w:tcPr>
            <w:tcW w:w="496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33,133</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25,237</w:t>
            </w:r>
          </w:p>
        </w:tc>
        <w:tc>
          <w:tcPr>
            <w:tcW w:w="24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16,433</w:t>
            </w:r>
          </w:p>
        </w:tc>
        <w:tc>
          <w:tcPr>
            <w:tcW w:w="100" w:type="dxa"/>
            <w:vAlign w:val="bottom"/>
          </w:tcPr>
          <w:p>
            <w:pPr>
              <w:spacing w:after="0"/>
              <w:rPr>
                <w:sz w:val="23"/>
                <w:szCs w:val="23"/>
                <w:color w:val="auto"/>
              </w:rPr>
            </w:pPr>
          </w:p>
        </w:tc>
      </w:tr>
      <w:tr>
        <w:trPr>
          <w:trHeight w:val="210"/>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7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892,582</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636,748</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348,094</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29"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As of December 31, 2020, we provided our services in 22 states through approximately 214 offices. For the years ended December 31, 2020, 2019 and 2018, we served approximately 66,000, 61,000 and 57,000 discrete individuals, respectively. Our personal care segment also includes staffing services, with clients including assisted living facilities, nursing homes and hospice facilities.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On January 31, 2020, the HHS Secretary declared a national public health emergency due to a novel coronavirus. In March 2020, the World Health Organization declared the outbreak of COVID-19, the disease caused by this novel coronavirus, a pandemic. This disease continues to spread throughout the United States and other parts of the world. State and local governments, together with public health officials, have recommended and mandated precautions to mitigate the spread of the virus, including closures of and limitations on public facilities, parks, schools, restaurants, many businesses and other locations of public assembly. As a result, COVID-19 continues to affect the overall economic conditions in the United States. Although many of the restrictions have eased across the country, some areas are re-imposing closures and other restrictions as a result of increasing rates of COVID-19 infection in recent months. As vaccines are being distributed across the country, the FDA continues to facilitate the development of therapeutics to combat COVID-19 as well as provide oversight for the development of additional vaccines. There are no reliable estimates of how long the pandemic will last, how many people are likely to be affected by it or the duration or types of restrictions that will be imposed or re-imposed as the situation is continuously evolving. For these and other reasons, we are unable to predict the long-term impact of the pandemic on our business at this time.</w:t>
      </w:r>
    </w:p>
    <w:p>
      <w:pPr>
        <w:spacing w:after="0" w:line="166"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We continue to monitor the impacts on our operations, and have taken precautions intended to minimize the risk to our consumers, patients, caregivers and employees. We have created a COVID-19 Response Team that is responsible for creating and communicating policy, training and the latest COVID-19 updates to all employees. Most employees in our headquarters in Frisco, TX, and our support center in Downers’ Grove, IL, continue to work remotely, and we do not believe this arrangement has had a material impact on our ability to maintain business operations.</w:t>
      </w:r>
    </w:p>
    <w:p>
      <w:pPr>
        <w:spacing w:after="0" w:line="171"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For the year ended December 31, 2020, COVID-19 expenses were approximately $7.8 million, which were mostly offset by $4.9 million of temporary rate increases from certain payors in our personal care segment and $1.4 million related to the utilization of a portion of the Provider Relief Funds received in November 2020 and included in cost of service revenues on the Consolidated Statements of Income. As of December 31, 2020, the Company deferred the recognition of $4.2 million of payments received from payors for COVID-19 reimbursement, included within accrued expenses, which will be recognized if we incur specific expenses such as additional PPE or will be returned as stipulated if COVID-19 expenses are not incurred. Three of our primary markets, New Mexico, New York and Illinois, have been significantly affected by the pandemic, with high numbers of cases reported. However, relevant authorities have universally designated our services as “essential,” exempting our services and providers from many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restrictions described above. In addition, the impact of the travel restrictions and social distancing requirements on the Company’s operations for our consumer population has been minimal. For example, in our personal care services segment, we provide non-medical assistance with activities of daily living, primarily to persons who are at increased risk of hospitalization or institutionalization, such as the elderly, chronically ill or disabled. Most of these consumers are largely confined to their homes, and a significant number of our caregivers provide services to only one consumer, often a family member. We have implemented several new procedures to further reduce the risk of COVID-19 transmission, including a new screening process for both the caregiver and the consumer and the expansion of the use of PPE from our hospice and home health segments to include our personal care segment. We are not able to reasonably predict the total costs we will incur related to the COVID-19 pandemic, and such costs could be substantial. According to the Centers for Disease Control and Prevention, older adults and people with certain underlying medical conditions are at a higher risk for serious illness from COVID-19.</w:t>
      </w:r>
    </w:p>
    <w:p>
      <w:pPr>
        <w:spacing w:after="0" w:line="196"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Prior to the widespread impacts of COVID-19, the primary limitation on our growth had been the difficulty to attract and retain sufficient caregivers in an environment of very low unemployment rates. Under the CARES Act, all states provided 13 additional weeks of federally funded Pandemic Emergency Unemployment Assistance benefits to people who exhaust their regular state benefits, followed by additional weeks of federally funded unemployment benefits in states with high unemployment (up to 13 or 20 weeks depending on state laws) through December 31, 2020. This relief was expanded by the Continued Assistance for Unemployed Workers Act, signed into law on December 27, 2020, which provides up to 50 weeks of unemployment benefits plus an additional $300 per week in supplemental benefits. With the widespread adverse impacts of the COVID-19 pandemic on the hospitality and other labor-intensive industries, we continue to believe we will have an opportunity to increase our hiring of new caregivers in the long term. However, in the near term, the enhanced unemployment benefits offered by several states have suppressed the opportunity to attract this new pool of potential caregivers in these states. For example in September 2020, the state of New York announced the LWA program, which provides an additional $300 in weekly benefits to unemployed individuals.</w:t>
      </w:r>
    </w:p>
    <w:p>
      <w:pPr>
        <w:spacing w:after="0" w:line="18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COVID-19 pandemic has also impacted our reimbursements from payors. Although we experienced a high volume of consumers suspending their personal care services due to health concerns, many of these consumers subsequently resumed our services. This reduction was partially offset by an increase in demand for our services by patients recovering from COVID-19 who have been released from the hospital but are still suffering lingering effects of the virus.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Relief</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As a result of the COVID-19 pandemic, federal and state governments have passed legislation, promulgated regulations, and taken other administrative actions intended to assist healthcare providers in providing care to COVID-19 patients and other patients during the public health emergency. These temporary measures include relief from Medicare conditions of participation requirements for healthcare providers, relaxation of licensure requirements for healthcare professionals, relaxation of privacy restrictions for telehealth remote communications, promoting use of telehealth by expanding the scope of services for which Medicare reimbursement is available, and limited waivers of fraud and abuse laws for activities related to COVID-19 during the emergency period. The current federal public health emergency declaration expires April 21, 2021, but HHS has indicated it will likely extend through 2021. The HHS Secretary may renew the declaration for successive 90-day periods for as long as the emergency continues to exist and may terminate the declaration whenever he determines that the emergency no longer exists.</w:t>
      </w:r>
    </w:p>
    <w:p>
      <w:pPr>
        <w:spacing w:after="0" w:line="17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One of the primary sources of relief for healthcare providers is the CARES Act, which was expanded by the PPPHCE Act and the CAA. In total, the CARES Act, the PPPHCE Act and the CAA include $178 billion in funding to be distributed through the Provider Relief Fund to eligible providers, including public entities and Medicare- and/or Medicaid-enrolled providers. Provider Relief Fund payments are intended to compensate healthcare providers for lost revenues and health care related expenses incurred in response to the COVID-19 pandemic and are not required to be repaid, provided that recipients attest to and comply with certain terms and conditions, including limitations on balance billing and not using funds received from the Provider Relief Fund to reimburse expenses or losses that other sources are obligated to reimburse.</w:t>
      </w:r>
    </w:p>
    <w:p>
      <w:pPr>
        <w:spacing w:after="0" w:line="178"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April 2020, the Company received grants in an aggregate principal amount of $6.9 million, for which it did not apply, from the Provider Relief Fund as part of the automatic general distributions by HHS. The Company returned these funds in June 2020. In November 2020, the Company received grants in an aggregate principal amount of $13.7 million from the Provider Relief Fund, for which we applied. The Company utilized $1.4 million of these funds for healthcare related expenses attributable to COVID-19 that were unreimbursed by other sources in the period ended December 31, 2020 and, in accordance with the current guidance issued by HHS, expects to utilize additional funds through June 30, 2021, at which point any unused funds will be returned. We are required to properly and fully document the use of such funds in reports to HHS. The Company’s ability to utilize and retain some or all of such funds will depend on the magnitude, timing and nature of the impact of the COVID-19 pandemic, as well as the terms and conditions of the funds received. In April 2020, Queen City Hospice received grants in an aggregate principal amount of approximately $2.5 million, for which it did not apply, from the Provider Relief Fund as part of the automatic general distributions by HHS. Queen City Hospice used approximately $0.6 million of the funds for healthcare related expenses attributable to COVID-19 that were unreimbursed by other sources. Queen City Hospice intends to repay $1.9 million, which represents the remainder of the grants received but not utilized, in 2021. Commercial organizations that receive annual total awards of $750,000 or more in federal funding, including payments received through the Provider Relief Fund, are subject to federal audit requirements.</w:t>
      </w:r>
    </w:p>
    <w:p>
      <w:pPr>
        <w:spacing w:after="0" w:line="168"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In addition, the CARES Act expands the Medicare Accelerated and Advance Payment Program to increase cash flow to providers impacted by the COVID-19 pandemic. Hospice and home health providers were able to request an advance or accelerated</w:t>
      </w:r>
    </w:p>
    <w:p>
      <w:pPr>
        <w:sectPr>
          <w:pgSz w:w="11900" w:h="16838" w:orient="portrait"/>
          <w:cols w:equalWidth="0" w:num="1">
            <w:col w:w="11220"/>
          </w:cols>
          <w:pgMar w:left="320" w:top="121"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payment of up to 100% of the Medicare payment amount for a three-month period (not including Medicare Advantage payments). The Medicare Accelerated and Advance Payment Program payments are a loan that providers must pay back. Recoupment of these payments was due to begin in August, but CMS has delayed the recoupment process for these payments, based on amended repayment terms imposed by the CAA, enacted October 1, 2020, until one year after payment was issued. In April 2020, Queen City Hospice received an amount equal to $10.8 million pursuant to the Medicare Accelerated and Advance Payment Program. Queen City Hospice did not repay the funds prior to the completion of our acquisition of Queen City Hospice, however, Queen City Hospice intends to repay such funds in March 2021, prior to any CMS recoupment and before any interest accrues.</w:t>
      </w:r>
    </w:p>
    <w:p>
      <w:pPr>
        <w:spacing w:after="0" w:line="164"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The CARES Act and related legislation also include other provisions offering financial relief, for example temporarily lifting the Medicare sequester, which would have otherwise reduced payments to Medicare providers by 2%, from May 1, 2020, through March 31, 2021 (but also extending sequestration through 2030). The Medicare sequester relief resulted in an increase of $0.2 million to home health net service revenues and $1.3 million to hospice net service revenues for the year ended December 31, 2020. Additional financial relief under the CARES Act includes a temporary 6.2% increase in the FMAP intended to broadly support the solvency of state Medicaid programs.</w:t>
      </w:r>
    </w:p>
    <w:p>
      <w:pPr>
        <w:spacing w:after="0" w:line="176"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CARES Act also provides for certain federal income and other tax changes, including the deferral of the employer portion of Social Security payroll taxes.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expects to repay the $7.1 million in 2021.</w:t>
      </w:r>
    </w:p>
    <w:p>
      <w:pPr>
        <w:spacing w:after="0" w:line="18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As the COVID-19 pandemic has progressed, the federal government is considering additional stimulus measures, federal agencies continue to issue related regulations and guidance, and the public health emergency continues to evolve. We continue to assess the potential impact of COVID-19 and government responses to the pandemic, including the enactment and implementation of the CARES Act, the PPPHCE Act, the CAA and other stimulus legislation, on our business, results of operations, financial condition and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In addition to our organic growth, we have grown through acquisitions that have expanded our presence in current markets or facilitated our entry into new markets where in-home care has been moving to managed care organizations.</w:t>
      </w:r>
    </w:p>
    <w:p>
      <w:pPr>
        <w:spacing w:after="0" w:line="170"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On June 1, 2019, we completed the acquisition of VIP for approximately $29.9 million. With the purchase of VIP, we expanded our personal care services in the state of New York and into the New York City metropolitan area. We funded this acquisition through the delayed draw term loan portion of our credit facility and available cash.</w:t>
      </w:r>
    </w:p>
    <w:p>
      <w:pPr>
        <w:spacing w:after="0" w:line="184"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On August 1, 2019, we completed the acquisition of Alliance for approximately $23.5 million. Additionally, we acquired the assets of Foremost Home Care (“Foremost”) for approximately $1.4 million. We funded these acquisitions through a combination of our revolving credit facility and available cash. With the purchase of Alliance, we expanded our personal care, home health and hospice operations in the state of New Mexico. The addition of Foremost supported our growth strategy in the New York City market area.</w:t>
      </w:r>
    </w:p>
    <w:p>
      <w:pPr>
        <w:spacing w:after="0" w:line="18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On October 1, 2019, we completed the acquisition of Hospice Partners for approximately $135.6 million including the amount of acquired excess cash held by Hospice Partners at the closing of the acquisition (approximately $5.5 million). We funded the acquisition with a portion of the net proceeds of our Public Offering. With the purchase of Hospice Partners, we expanded our hospice operations through 21 locations in Idaho, Kansas, Missouri, Oregon, Texas and Virginia. Hospice Partners also launched a palliative care program in Texas in 2018.</w:t>
      </w:r>
    </w:p>
    <w:p>
      <w:pPr>
        <w:spacing w:after="0" w:line="17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On July 1, 2020, we completed the acquisition of A Plus for approximately $14.5 million, including the amount of excess cash held by A Plus at the closing of the acquisition (approximately $2.8 million), with funding provided by available cash. With the purchase of A Plus, we expanded our personal care services in the state of Montana.</w:t>
      </w:r>
    </w:p>
    <w:p>
      <w:pPr>
        <w:spacing w:after="0" w:line="184"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On November 1, 2020, we completed the acquisition of County Homemakers for approximately $15.8 million, including the amount of acquired excess cash held by County Homemakers at the closing of the acquisition (approximately $1.1 million), with funding provided by available cash. With the purchase of County Homemakers, we expanded our personal care services in the state of Pennsylvania.</w:t>
      </w:r>
    </w:p>
    <w:p>
      <w:pPr>
        <w:spacing w:after="0" w:line="184" w:lineRule="exact"/>
        <w:rPr>
          <w:sz w:val="20"/>
          <w:szCs w:val="20"/>
          <w:color w:val="auto"/>
        </w:rPr>
      </w:pPr>
    </w:p>
    <w:p>
      <w:pPr>
        <w:ind w:right="320" w:firstLine="509"/>
        <w:spacing w:after="0" w:line="275" w:lineRule="auto"/>
        <w:rPr>
          <w:sz w:val="20"/>
          <w:szCs w:val="20"/>
          <w:color w:val="auto"/>
        </w:rPr>
      </w:pPr>
      <w:r>
        <w:rPr>
          <w:rFonts w:ascii="Arial" w:cs="Arial" w:eastAsia="Arial" w:hAnsi="Arial"/>
          <w:sz w:val="17"/>
          <w:szCs w:val="17"/>
          <w:color w:val="auto"/>
        </w:rPr>
        <w:t>On December 4, 2020, we completed the acquisition of Queen City Hospice for approximately $194.8 million, including the amount of acquired excess cash held by Queen City Hospice at the closing of the acquisition (approximately $15.4 million). With the purchase of Queen City Hospice, we expanded our Hospice services in the state of Ohio. Additionally, on December 1, 2020, we completed the acquisition of SunLife Home Care for approximately $1.7 million. With the purchase of SunLife Home Care, we expanded our personal care services in the state of Arizona. We funded these acquisitions through a combination of our revolving credit facility and available cash.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Payor and Significant States</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Our payor clients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2020, 2019 and 2018, our revenue by payor and significant states by segment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1"/>
              </w:rPr>
              <w:t>Personal Care</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Net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State, local and other</w:t>
            </w:r>
          </w:p>
        </w:tc>
        <w:tc>
          <w:tcPr>
            <w:tcW w:w="3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governmental programs</w:t>
            </w:r>
          </w:p>
        </w:tc>
        <w:tc>
          <w:tcPr>
            <w:tcW w:w="520" w:type="dxa"/>
            <w:vAlign w:val="bottom"/>
            <w:gridSpan w:val="3"/>
            <w:shd w:val="clear" w:color="auto" w:fill="CFF0FC"/>
          </w:tcPr>
          <w:p>
            <w:pPr>
              <w:jc w:val="right"/>
              <w:ind w:right="44"/>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324,670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303,479</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FF0FC"/>
          </w:tcPr>
          <w:p>
            <w:pPr>
              <w:jc w:val="right"/>
              <w:ind w:right="24"/>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285,973</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287,032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239,559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173,391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Private pay</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21,765</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Commercial insurance</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9,991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Total personal care segment net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520" w:type="dxa"/>
            <w:vAlign w:val="bottom"/>
            <w:gridSpan w:val="3"/>
          </w:tcPr>
          <w:p>
            <w:pPr>
              <w:jc w:val="right"/>
              <w:ind w:right="44"/>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647,233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580,728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2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490,941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rPr>
              <w:t>Personal Care</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jc w:val="center"/>
              <w:ind w:left="756"/>
              <w:spacing w:after="0" w:line="155" w:lineRule="exact"/>
              <w:rPr>
                <w:sz w:val="20"/>
                <w:szCs w:val="20"/>
                <w:color w:val="auto"/>
              </w:rPr>
            </w:pPr>
            <w:r>
              <w:rPr>
                <w:rFonts w:ascii="Arial" w:cs="Arial" w:eastAsia="Arial" w:hAnsi="Arial"/>
                <w:sz w:val="14"/>
                <w:szCs w:val="14"/>
                <w:b w:val="1"/>
                <w:bCs w:val="1"/>
                <w:color w:val="auto"/>
                <w:w w:val="89"/>
              </w:rPr>
              <w:t>2019</w:t>
            </w:r>
          </w:p>
        </w:tc>
        <w:tc>
          <w:tcPr>
            <w:tcW w:w="9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center"/>
              <w:ind w:right="40"/>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Net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Net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restart"/>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36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288,326</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44.6</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247,524</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42.6</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232,518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New York</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115,510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108,403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65,117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86,618</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75,666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58,914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3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156,779</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24.2</w:t>
            </w:r>
          </w:p>
        </w:tc>
        <w:tc>
          <w:tcPr>
            <w:tcW w:w="3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149,135</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25.7</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134,392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Total personal care segment net</w:t>
            </w:r>
          </w:p>
        </w:tc>
        <w:tc>
          <w:tcPr>
            <w:tcW w:w="3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service revenues</w:t>
            </w:r>
          </w:p>
        </w:tc>
        <w:tc>
          <w:tcPr>
            <w:tcW w:w="52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647,233</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580,728</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490,941</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center"/>
              <w:ind w:right="200"/>
              <w:spacing w:after="0"/>
              <w:rPr>
                <w:sz w:val="20"/>
                <w:szCs w:val="20"/>
                <w:color w:val="auto"/>
              </w:rPr>
            </w:pPr>
            <w:r>
              <w:rPr>
                <w:rFonts w:ascii="Arial" w:cs="Arial" w:eastAsia="Arial" w:hAnsi="Arial"/>
                <w:sz w:val="14"/>
                <w:szCs w:val="14"/>
                <w:b w:val="1"/>
                <w:bCs w:val="1"/>
                <w:color w:val="auto"/>
                <w:w w:val="91"/>
              </w:rPr>
              <w:t>Hospice</w:t>
            </w: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92"/>
              </w:rPr>
              <w:t>% of Segment</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5"/>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94,068</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49,649</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17,652</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w w:val="99"/>
              </w:rPr>
              <w:t>Total hospice segment net service</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14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3"/>
                <w:szCs w:val="23"/>
                <w:color w:val="auto"/>
              </w:rPr>
            </w:pPr>
          </w:p>
        </w:tc>
        <w:tc>
          <w:tcPr>
            <w:tcW w:w="220" w:type="dxa"/>
            <w:vAlign w:val="bottom"/>
            <w:gridSpan w:val="2"/>
          </w:tcPr>
          <w:p>
            <w:pPr>
              <w:jc w:val="right"/>
              <w:ind w:right="4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101,297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3"/>
                <w:szCs w:val="23"/>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53,601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24"/>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18,850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42,648</w:t>
            </w: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38,790</w:t>
            </w: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18,850</w:t>
            </w: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All other states</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58,649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14,811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 by state</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101,297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gridSpan w:val="2"/>
            <w:shd w:val="clear" w:color="auto" w:fill="CFF0FC"/>
          </w:tcPr>
          <w:p>
            <w:pPr>
              <w:jc w:val="right"/>
              <w:ind w:right="44"/>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53,601</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Home Health</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12,765</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40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8"/>
                <w:szCs w:val="18"/>
                <w:color w:val="auto"/>
              </w:rPr>
              <w:t>Total home health segment net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62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4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14,462</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We derive a significant amount of our net service revenues in Illinois, which represented 37.7%, 38.2% and 45.0% of our net service revenues for the years ended December 31, 2020, 2019 and 2018, respectively.</w:t>
      </w:r>
    </w:p>
    <w:p>
      <w:pPr>
        <w:spacing w:after="0" w:line="170"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A significant amount of our revenue is derived from one payor client, the Illinois Department on Aging, the largest payor program for our Illinois personal care operations, which accounted for 23.0%, 25.3% and 31.7% of our net service revenues for the years ended December 31, 2020, 2019 and 2018, respectively.</w:t>
      </w:r>
    </w:p>
    <w:p>
      <w:pPr>
        <w:spacing w:after="0" w:line="184"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The state of Illinois finalized its fiscal year 2020 budget with the inclusion of an appropriation to raise in-home care rates to offset the costs of previous minimum wage increases in Chicago and other areas of the state that were imposed beginning on July 1, 2018. These rates were originally set to be effective July 1, 2019, with in-home care rates to be initially increased by 10.9% to $20.28 from $18.29 to partially offset the costs of the minimum wage hikes. Rates were then further increased on January 1, 2020 by an additional 7.7% to $21.84, providing full funding for both the Chicago minimum wage increases and a statewide raise for all current in-home caregivers.</w:t>
      </w:r>
    </w:p>
    <w:p>
      <w:pPr>
        <w:spacing w:after="0" w:line="188"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Illinois Department on Aging, in conjunction with Illinois’ Health Care and Family Services, announced that the new rates would become effective retroactive to July 1, 2019 for services covered by managed care organizations. On January 15, 2020, the Department on Aging announced confirmation that a one-time bonus payment would be paid to providers who have provided services to clients not enrolled in a managed care organization, for the time period of July 1, 2019 through November 30, 2019 using an updated hourly rate of $20.28. The bonus payment of $6.8 million was recognized as net service revenues as of December 31, 2019.</w:t>
      </w:r>
    </w:p>
    <w:p>
      <w:pPr>
        <w:spacing w:after="0" w:line="188"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On November 26, 2019, the Chicago City Council voted to approve additional increases in the Chicago minimum wage to $14 per hour beginning July 1, 2020 to $15 per hour beginning July 1, 2021. The Company and its trade association will be looking for additional funding in the state of Illinois fiscal year 2022 budget to offset the cost of the July 1, 2021 additional minimum wage increases.</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state of Illinois finalized its fiscal year 2021 budget, with in-home care rates to be increased by 7.1% to $23.40 from $21.84, effective January 1, 2021, contingent upon federal CMS approval. Although federal CMS approval was obtained by the state, as a result of on-going state revenue declines due to COVID-19 and the failure of the November 2020 referendum to revise the Illinois income tax code, on December 15, 2020, the Governor of Illinois announced a delay in the implementation of the scheduled rate increase to April 1, 2021.</w:t>
      </w:r>
    </w:p>
    <w:p>
      <w:pPr>
        <w:spacing w:after="0" w:line="18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Our business will benefit from the rate increases noted above, but there is no assurance that additional offsetting rate increases will be adopted in Illinois for fiscal years beyond fiscal year 2021, and our financial performance will be adversely impacted for any periods in which an additional offsetting reimbursement rate increase is not in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in Medicare and Medicaid Reimbursement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Health</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June 2019, CMS began the Review Choice Demonstration for Home Health Services in Illinois to identify and prevent fraud, reduce the number of Medicare appeals, and improve provider compliance with Medicare program requirements. The demonstration expanded to Ohio in September 2019 and to Texas in March 2020. Home health agencies may initially select from the following claims review and approval processes: pre-claim review, post-payment review, or a minimal post-payment review with a 25% payment reduction. Home health agencies that maintain high compliance levels will be eligible for additional, less burdensome options. Beginning in March 2020, CMS temporarily paused certain claims processing requirements for the Review Choice Demonstration due to the COVID-19 pandemic, but the agency resumed its activities under the demonstration in August 2020. CMS is in the process of expanding the Review Choice Demonstration to North Carolina and Florida, but is phasing in participation due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COVID-19 pandemic. We are currently unable to predict what impact, if any, this program may have on our result of operations or financial position.</w:t>
      </w:r>
    </w:p>
    <w:p>
      <w:pPr>
        <w:spacing w:after="0" w:line="237"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color w:val="auto"/>
        </w:rPr>
        <w:t>Home health services provided to Medicare beneficiaries are paid under the Medicare Home Health Prospective Payment System (“HHPPS”). Historically, the HHPPS was based on 60-day episodes of care and used a case-mix system that relied on the number of visits to determine payment. Effective January 1, 2020, CMS transitioned to 30-day periods of care within each 60-day certification of patient eligibility period for home health payments and implemented the Patient-Driven Groupings Model (“PDGM”) as part of the shift toward value-based care. The PDGM classifies patients based on clinical characteristics and other patient information into payment categories and eliminates the use of therapy service thresholds. Also effective January 1, 2020, CMS finalized a policy allowing therapy assistants to provide maintenance therapy services in the home and modified certain requirements relating to the home health plan of care.</w:t>
      </w:r>
    </w:p>
    <w:p>
      <w:pPr>
        <w:spacing w:after="0" w:line="19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CMS updates the HHPPS payment rates each calendar year. Effective January 1, 2021, HHPPS rates increased by 2.0%, which reflects a 2.3% market basket update, reduced by a multifactor productivity adjustment of 0.3 percentage points. CMS expects Medicare payments to home health agencies in 2021 to increase in the aggregate by 1.9% after accounting for the 0.1 percentage point decrease in payments to home health agencies due to changes in the rural add-on percentages also mandated by the Bipartisan Budget Act of 2018. Home health providers that do not comply with quality data reporting requirements are subject to a 2 percentage point reduction to their market basket update.</w:t>
      </w:r>
    </w:p>
    <w:p>
      <w:pPr>
        <w:spacing w:after="0" w:line="176"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Historically, CMS paid home health providers 50% to 60% of anticipated payment at the beginning of a patient’s care episode through a request for anticipated payment (“RAP”). However, to address potential program integrity risks, CMS has phased out RAP payments. In calendar year 2021, CMS will not provide any up-front payments in response to a RAP but will continue to require home health providers to submit streamlined RAPs as notice that a beneficiary is under a home health period of care. In calendar year 2022, CMS will replace the RAP with a “Notice of Admission.”</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Hospice</w:t>
      </w:r>
    </w:p>
    <w:p>
      <w:pPr>
        <w:spacing w:after="0" w:line="117" w:lineRule="exact"/>
        <w:rPr>
          <w:sz w:val="20"/>
          <w:szCs w:val="20"/>
          <w:color w:val="auto"/>
        </w:rPr>
      </w:pPr>
    </w:p>
    <w:p>
      <w:pPr>
        <w:ind w:right="260" w:firstLine="509"/>
        <w:spacing w:after="0" w:line="273" w:lineRule="auto"/>
        <w:rPr>
          <w:sz w:val="20"/>
          <w:szCs w:val="20"/>
          <w:color w:val="auto"/>
        </w:rPr>
      </w:pPr>
      <w:r>
        <w:rPr>
          <w:rFonts w:ascii="Arial" w:cs="Arial" w:eastAsia="Arial" w:hAnsi="Arial"/>
          <w:sz w:val="17"/>
          <w:szCs w:val="17"/>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2020, CMS increased hospice payment rates by 2.4%. This reflected a 2.4% market basket increase reduced by the multifactor productivity adjustment of 0.04 percentage points. Additionally, the aggregate cap, which limits the total Medicare reimbursement that a hospice may receive based on an annual per-beneficiary cap amount and the number of Medicare patients served, was updated to $30,683.93 for federal fiscal year 2021. If a hospice’s Medicare payments exceed its aggregate cap, it must repay Medicare the excess amount.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York CDPAP</w:t>
      </w:r>
    </w:p>
    <w:p>
      <w:pPr>
        <w:spacing w:after="0" w:line="117"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On February 11, 2021, the state of New York announced its initial selection of parties to enter into contracts as a Lead Fiscal Intermediary under its previously announced RFO process related to its CDPAP, in which the Company currently participates as a provider. The Company was not one of the selected entities in the initial RFO process. The announcement followed an extended RFO process first begun in 2019, with responses originally due in February 2020. It is unclear at this time whether the selected parties have the ability to fully meet the CDPAP Program needs or the timing and outcome of next steps in the process. Management believes changes are unlikely to occur during an estimated 6 to 12 month transition period and any financial impact to the Company in 2021 is expected to be immaterial. Based on its current run rate, the Company estimates that it receives approximately $52 million in annualized revenue from the program. The Company will continue to explore its options, including appeals, other arrangements under which the Company may continue to provide these services, and expense reductions to minimize any potential final impact of the RFO process.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Components of our Statements of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Service Revenues</w:t>
      </w:r>
    </w:p>
    <w:p>
      <w:pPr>
        <w:spacing w:after="0" w:line="117"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payor clients, including federal, state and local governmental agencies, managed care organizations, commercial insurers and private consumers.</w:t>
      </w:r>
    </w:p>
    <w:p>
      <w:pPr>
        <w:spacing w:after="0" w:line="149"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self-pay revenues at the estimated amounts we expect to collect.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principally using accelerated methods based upon their estimated useful lives.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Provision for Doubtful Accounts</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 xml:space="preserve">For 2018 and subsequent periods, subsequent adjustments that are determined to be the result of an adverse change in the payor’s ability to pay are recognized as provision for doubtful accounts with the adoption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majority of what historically was classified as provision for doubtful accounts under operating expenses is now treated as an implicit price concession factored into net service revenues.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For the years ended December 31, 2019 and 2018, we received $0.7 million and $2.3 million, respectively, in prompt payment interest. For the year ended December 31, 2020, prompt payment interest was immaterial. While we may be owed additional prompt payment interest, the amount, timing, and intent to provide such payments remains uncertain, and we will continue to recognize prompt payment interest income upon satisfaction of these constraints.</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Interest expense is reported in the Consolidated Statements of Income when incurred and consists of (i) interest and unused credit line fees on the credit facility evidenced by the Credit Agreement, as defined under “Liquidity and Capital Resources,” (ii) interest on our financing lease obligations and (iii) amortization and write-off of debt issuance costs.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All of our income is from domestic sources. We incur state and local taxes in states in which we operate. Our effective income tax rate was 21.0%, 22.2% and 20.1% for the years ended December 31, 2020, 2019 and 2018, respectively, compared to our federal statutory rate of 21%. Our effective income tax rates were principally due to the inclusion of state taxes and non-deductible compensation, partially offset by an excess tax benefit and the use of federal employment tax credits.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420" w:firstLine="509"/>
        <w:spacing w:after="0" w:line="257" w:lineRule="auto"/>
        <w:rPr>
          <w:sz w:val="20"/>
          <w:szCs w:val="20"/>
          <w:color w:val="auto"/>
        </w:rPr>
      </w:pPr>
      <w:r>
        <w:rPr>
          <w:rFonts w:ascii="Arial" w:cs="Arial" w:eastAsia="Arial" w:hAnsi="Arial"/>
          <w:sz w:val="18"/>
          <w:szCs w:val="18"/>
          <w:color w:val="auto"/>
        </w:rPr>
        <w:t>Effective March 1, 2013, we sold substantially all of the assets used in our then home health business (the “2013 Home Health Business”) in Arkansas, Nevada and South Carolina, and 90% of the 2013 Home Health Business in California and Illinois. Effective October 1, 2017, we sold the remaining 10% ownership interest in the 2013 Home Health Business in California and Illinois. Therefore, we have segregated the 2013 Home Health Business operating results and presented them separately as discontinued operations for all periods presented, see Note 1 to the Notes to Consolidated Financial Statements for additional information.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for the periods indicated, our consolidated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6"/>
        </w:trPr>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2"/>
              <w:spacing w:after="0" w:line="147" w:lineRule="exact"/>
              <w:rPr>
                <w:sz w:val="20"/>
                <w:szCs w:val="20"/>
                <w:color w:val="auto"/>
              </w:rPr>
            </w:pPr>
            <w:r>
              <w:rPr>
                <w:rFonts w:ascii="Arial" w:cs="Arial" w:eastAsia="Arial" w:hAnsi="Arial"/>
                <w:sz w:val="14"/>
                <w:szCs w:val="14"/>
                <w:b w:val="1"/>
                <w:bCs w:val="1"/>
                <w:color w:val="auto"/>
                <w:w w:val="91"/>
              </w:rPr>
              <w:t>Net Service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92"/>
              <w:spacing w:after="0" w:line="147" w:lineRule="exact"/>
              <w:rPr>
                <w:sz w:val="20"/>
                <w:szCs w:val="20"/>
                <w:color w:val="auto"/>
              </w:rPr>
            </w:pPr>
            <w:r>
              <w:rPr>
                <w:rFonts w:ascii="Arial" w:cs="Arial" w:eastAsia="Arial" w:hAnsi="Arial"/>
                <w:sz w:val="14"/>
                <w:szCs w:val="14"/>
                <w:b w:val="1"/>
                <w:bCs w:val="1"/>
                <w:color w:val="auto"/>
                <w:w w:val="99"/>
              </w:rPr>
              <w:t>Net Service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1"/>
        </w:trPr>
        <w:tc>
          <w:tcPr>
            <w:tcW w:w="2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Revenues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648,791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115,984</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538,538</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469,553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68,985</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r>
      <w:tr>
        <w:trPr>
          <w:trHeight w:val="223"/>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226,237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179,238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46,999</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15"/>
        </w:trPr>
        <w:tc>
          <w:tcPr>
            <w:tcW w:w="2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169,679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133,912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35,767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23"/>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181,730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144,486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37,244</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r>
      <w:tr>
        <w:trPr>
          <w:trHeight w:val="20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0"/>
        </w:trPr>
        <w:tc>
          <w:tcPr>
            <w:tcW w:w="2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44,507</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34,752</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9,755</w:t>
            </w:r>
          </w:p>
        </w:tc>
        <w:tc>
          <w:tcPr>
            <w:tcW w:w="22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23"/>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interest expense, net</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r>
      <w:tr>
        <w:trPr>
          <w:trHeight w:val="20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0"/>
        </w:trPr>
        <w:tc>
          <w:tcPr>
            <w:tcW w:w="28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before income taxes</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41,942</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8,772</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30"/>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r>
      <w:tr>
        <w:trPr>
          <w:trHeight w:val="20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0"/>
        </w:trPr>
        <w:tc>
          <w:tcPr>
            <w:tcW w:w="2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25,811</w:t>
            </w:r>
          </w:p>
        </w:tc>
        <w:tc>
          <w:tcPr>
            <w:tcW w:w="2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7,322</w:t>
            </w:r>
          </w:p>
        </w:tc>
        <w:tc>
          <w:tcPr>
            <w:tcW w:w="22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5"/>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30"/>
        </w:trPr>
        <w:tc>
          <w:tcPr>
            <w:tcW w:w="2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20"/>
                <w:szCs w:val="20"/>
                <w:color w:val="auto"/>
              </w:rPr>
            </w:pPr>
          </w:p>
        </w:tc>
      </w:tr>
      <w:tr>
        <w:trPr>
          <w:trHeight w:val="223"/>
        </w:trPr>
        <w:tc>
          <w:tcPr>
            <w:tcW w:w="286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2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Net service revenues increased by 17.9% to $764.8 million for the year ended December 31, 2020 compared to $648.8 million in 2019. The increase was due to an increase in same store growth of 5.9% and an 8.1% increase in revenues per billable hour for the year ended December 31, 2020 in our personal care segment. In addition, net service revenue increased by $47.7 million and $1.8 million from our hospice and home health segments, respectively, for the year ended December 31, 2020 compared to 2019. The increase in our hospice segment was primarily due to an increase in average daily census, partially attributed to the acquisitions of Alliance on August 1, 2019 and Hospice Partners on October 1, 2019. The increase in our home health segment was primarily due to an increase in total visits partially related to the acquisition of Alliance on August 1, 2019.</w:t>
      </w:r>
    </w:p>
    <w:p>
      <w:pPr>
        <w:spacing w:after="0" w:line="178"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Gross profit, expressed as a percentage of net service revenues, increased to 29.6% for the year ended December 31, 2020, from 27.6% in 2019. The increase was mainly attributed to the full-year effect in 2020 of the acquisition of our relatively higher margin hospice segment businesses in 2019.</w:t>
      </w:r>
    </w:p>
    <w:p>
      <w:pPr>
        <w:spacing w:after="0" w:line="12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General and administrative expenses increased to $169.7 million for the year ended December 31, 2020 compared to $133.9 million in 2019. The increase in general and administrative expenses was primarily due to acquisitions that resulted in an increase in administrative employee wages, taxes and benefit costs of $24.0 million, an increase in data processing of $1.9 million and an increase in rent expense of $3.1 million. In addition, professional fees increased by $3.9 million for the year ended December 31, 2020 compared to 2019. General and administrative expenses, expressed as a percentage of net service revenues increased to 22.2% for 2020, from 20.6% in 2019. The increase was primarily due to an increase in administrative employee wages, taxes and benefit costs.</w:t>
      </w:r>
    </w:p>
    <w:p>
      <w:pPr>
        <w:spacing w:after="0" w:line="192" w:lineRule="exact"/>
        <w:rPr>
          <w:sz w:val="20"/>
          <w:szCs w:val="20"/>
          <w:color w:val="auto"/>
        </w:rPr>
      </w:pPr>
    </w:p>
    <w:p>
      <w:pPr>
        <w:ind w:right="260" w:firstLine="509"/>
        <w:spacing w:after="0" w:line="342" w:lineRule="auto"/>
        <w:rPr>
          <w:sz w:val="20"/>
          <w:szCs w:val="20"/>
          <w:color w:val="auto"/>
        </w:rPr>
      </w:pPr>
      <w:r>
        <w:rPr>
          <w:rFonts w:ascii="Arial" w:cs="Arial" w:eastAsia="Arial" w:hAnsi="Arial"/>
          <w:sz w:val="16"/>
          <w:szCs w:val="16"/>
          <w:color w:val="auto"/>
        </w:rPr>
        <w:t>Depreciation and amortization increased to $12.1 million for the year ended December 31, 2020 from $10.6 million in 2019, primarily due to the increase of intangible asset amortization related to the full-year effect in 2020 of our fiscal year 2019 acquisitions and fiscal year 2020 acquisitions.</w:t>
      </w:r>
    </w:p>
    <w:p>
      <w:pPr>
        <w:spacing w:after="0" w:line="124"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auto"/>
        </w:rPr>
        <w:t>All of our income is from domestic sources. We incur state and local taxes in states in which we operate. For the years ended December 31, 2020 and 2019, our federal statutory rate was 21.0%. The effective income tax rate was 21.0% and 22.2% for the years ended December 31, 2020 and 2019, respectively, compared to our federal statutory rate of 21%. Our effective income tax rates was principally due to the inclusion of state taxes and non-deductible compensation, partially offset by an excess tax benefit and the use of federal employment tax credits. The excess tax benefit is a discrete item, related to the vesting of equity shares, which requires us to recognize the benefit fully in the period.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4"/>
                <w:szCs w:val="14"/>
                <w:b w:val="1"/>
                <w:bCs w:val="1"/>
                <w:color w:val="auto"/>
                <w:w w:val="92"/>
              </w:rPr>
              <w:t>For the Years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center"/>
              <w:ind w:left="571"/>
              <w:spacing w:after="0" w:line="155" w:lineRule="exact"/>
              <w:rPr>
                <w:sz w:val="20"/>
                <w:szCs w:val="20"/>
                <w:color w:val="auto"/>
              </w:rPr>
            </w:pPr>
            <w:r>
              <w:rPr>
                <w:rFonts w:ascii="Arial" w:cs="Arial" w:eastAsia="Arial" w:hAnsi="Arial"/>
                <w:sz w:val="14"/>
                <w:szCs w:val="14"/>
                <w:b w:val="1"/>
                <w:bCs w:val="1"/>
                <w:color w:val="auto"/>
                <w:w w:val="89"/>
              </w:rPr>
              <w:t>2019</w:t>
            </w:r>
          </w:p>
        </w:tc>
        <w:tc>
          <w:tcPr>
            <w:tcW w:w="8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600"/>
              <w:spacing w:after="0" w:line="155" w:lineRule="exact"/>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Personal Care Segment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80" w:type="dxa"/>
            <w:vAlign w:val="bottom"/>
            <w:gridSpan w:val="11"/>
          </w:tcPr>
          <w:p>
            <w:pPr>
              <w:jc w:val="center"/>
              <w:ind w:left="594"/>
              <w:spacing w:after="0" w:line="155" w:lineRule="exact"/>
              <w:rPr>
                <w:sz w:val="20"/>
                <w:szCs w:val="20"/>
                <w:color w:val="auto"/>
              </w:rPr>
            </w:pPr>
            <w:r>
              <w:rPr>
                <w:rFonts w:ascii="Arial" w:cs="Arial" w:eastAsia="Arial" w:hAnsi="Arial"/>
                <w:sz w:val="14"/>
                <w:szCs w:val="14"/>
                <w:b w:val="1"/>
                <w:bCs w:val="1"/>
                <w:color w:val="auto"/>
                <w:w w:val="90"/>
              </w:rPr>
              <w:t>(Amounts in Thousands, Except Percentages)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Net service revenues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647,233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580,728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66,505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480,191</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432,413</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47,778</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167,042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148,315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60,468</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56,887</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106,574</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91,428</w:t>
            </w:r>
          </w:p>
        </w:tc>
        <w:tc>
          <w:tcPr>
            <w:tcW w:w="220" w:type="dxa"/>
            <w:vAlign w:val="bottom"/>
            <w:tcBorders>
              <w:bottom w:val="single" w:sz="8" w:color="CFF0FC"/>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15,146</w:t>
            </w:r>
          </w:p>
        </w:tc>
        <w:tc>
          <w:tcPr>
            <w:tcW w:w="2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580" w:type="dxa"/>
            <w:vAlign w:val="bottom"/>
            <w:shd w:val="clear" w:color="auto" w:fill="CFF0FC"/>
          </w:tcPr>
          <w:p>
            <w:pPr>
              <w:spacing w:after="0"/>
              <w:rPr>
                <w:sz w:val="18"/>
                <w:szCs w:val="18"/>
                <w:color w:val="auto"/>
              </w:rPr>
            </w:pPr>
          </w:p>
        </w:tc>
        <w:tc>
          <w:tcPr>
            <w:tcW w:w="2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Business Metrics (Actual Numbers, Except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ind w:left="140"/>
              <w:spacing w:after="0"/>
              <w:rPr>
                <w:sz w:val="20"/>
                <w:szCs w:val="20"/>
                <w:color w:val="auto"/>
              </w:rPr>
            </w:pPr>
            <w:r>
              <w:rPr>
                <w:rFonts w:ascii="Arial" w:cs="Arial" w:eastAsia="Arial" w:hAnsi="Arial"/>
                <w:sz w:val="18"/>
                <w:szCs w:val="18"/>
                <w:b w:val="1"/>
                <w:bCs w:val="1"/>
                <w:color w:val="auto"/>
              </w:rPr>
              <w:t>Billable Hours 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 xml:space="preserve">Average billable census * </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39,199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39,188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Billable hours * </w:t>
            </w:r>
            <w:r>
              <w:rPr>
                <w:rFonts w:ascii="Arial" w:cs="Arial" w:eastAsia="Arial" w:hAnsi="Arial"/>
                <w:sz w:val="15"/>
                <w:szCs w:val="15"/>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29,732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 xml:space="preserve">Average billable hours per census per month *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Billable hours per business day * </w:t>
            </w:r>
            <w:r>
              <w:rPr>
                <w:rFonts w:ascii="Arial" w:cs="Arial" w:eastAsia="Arial" w:hAnsi="Arial"/>
                <w:sz w:val="15"/>
                <w:szCs w:val="15"/>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113,915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 xml:space="preserve">Revenues per billable hour * </w:t>
            </w:r>
            <w:r>
              <w:rPr>
                <w:rFonts w:ascii="Arial" w:cs="Arial" w:eastAsia="Arial" w:hAnsi="Arial"/>
                <w:sz w:val="15"/>
                <w:szCs w:val="15"/>
                <w:color w:val="auto"/>
              </w:rPr>
              <w:t>(2)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Same store growth revenue % * </w:t>
            </w:r>
            <w:r>
              <w:rPr>
                <w:rFonts w:ascii="Arial" w:cs="Arial" w:eastAsia="Arial" w:hAnsi="Arial"/>
                <w:sz w:val="15"/>
                <w:szCs w:val="15"/>
                <w:color w:val="auto"/>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Segment Revenue by Payor</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tcPr>
          <w:p>
            <w:pPr>
              <w:spacing w:after="0"/>
              <w:rPr>
                <w:sz w:val="20"/>
                <w:szCs w:val="20"/>
                <w:color w:val="auto"/>
              </w:rPr>
            </w:pPr>
            <w:r>
              <w:rPr>
                <w:rFonts w:ascii="Arial" w:cs="Arial" w:eastAsia="Arial" w:hAnsi="Arial"/>
                <w:sz w:val="18"/>
                <w:szCs w:val="18"/>
                <w:color w:val="auto"/>
              </w:rPr>
              <w:t>State, local and other governmental programs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324,670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303,479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287,032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239,559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Private pay</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20,398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21,765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insurance</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9,204</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6,721</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segment net service revenues</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647,233</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580,728</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Segment Revenue by Significant States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288,326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247,524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York</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115,510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86,618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75,666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 states</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156,779</w:t>
            </w:r>
          </w:p>
        </w:tc>
        <w:tc>
          <w:tcPr>
            <w:tcW w:w="20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149,135</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 segment net service revenues</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647,233</w:t>
            </w: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580,728</w:t>
            </w: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80" w:type="dxa"/>
            <w:vAlign w:val="bottom"/>
            <w:tcBorders>
              <w:bottom w:val="single" w:sz="8" w:color="auto"/>
            </w:tcBorders>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00" w:right="120" w:hanging="492"/>
        <w:spacing w:after="0" w:line="290"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Average billable census is the number of unique clients receiving a billable service during the year and is the total census divided by months in operation during the period.</w:t>
      </w:r>
    </w:p>
    <w:p>
      <w:pPr>
        <w:ind w:left="500" w:right="160" w:hanging="492"/>
        <w:spacing w:after="0" w:line="278"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hours, divided by billable hours.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ind w:left="500" w:right="440" w:hanging="492"/>
        <w:spacing w:after="0" w:line="332" w:lineRule="auto"/>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w:t>
      </w:r>
    </w:p>
    <w:p>
      <w:pPr>
        <w:ind w:left="500" w:hanging="492"/>
        <w:spacing w:after="0" w:line="268"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188"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derive a significant amount of our net service revenues from operations in Illinois, which represented 44.6% and 42.6% of our net service revenues for the years ended December 31, 2020 and 2019, respectively. Net service revenues from state, local and other governmental programs accounted for 50.2% and 52.2% of net service revenues for the years ended December 31, 2020 and 2019, respectively. Managed care organizations accounted for</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44.3% and 41.3% of net service revenues for the years ended December 31, 2020 and 2019, respectively, with commercial insurance, private pay and other payors accounting for the remainder of net service revenues. One payor client, the Illinois Department on Aging, accounted for 23.0% and 25.3% of net service revenues for the years ended December 31, 2020 and 2019, respectively.</w:t>
      </w:r>
    </w:p>
    <w:p>
      <w:pPr>
        <w:spacing w:after="0" w:line="190" w:lineRule="exact"/>
        <w:rPr>
          <w:sz w:val="20"/>
          <w:szCs w:val="20"/>
          <w:color w:val="auto"/>
        </w:rPr>
      </w:pPr>
    </w:p>
    <w:p>
      <w:pPr>
        <w:ind w:right="480" w:firstLine="509"/>
        <w:spacing w:after="0" w:line="259" w:lineRule="auto"/>
        <w:rPr>
          <w:sz w:val="20"/>
          <w:szCs w:val="20"/>
          <w:color w:val="auto"/>
        </w:rPr>
      </w:pPr>
      <w:r>
        <w:rPr>
          <w:rFonts w:ascii="Arial" w:cs="Arial" w:eastAsia="Arial" w:hAnsi="Arial"/>
          <w:sz w:val="18"/>
          <w:szCs w:val="18"/>
          <w:color w:val="auto"/>
        </w:rPr>
        <w:t>Net service revenues increased by 11.5% for the year ended December 31, 2020 compared to the year ended December 31, 2019. Net service revenues increased primarily as a result of an increase in same store sales of 5.9% and an increase in revenues per billable hour of 8.1%. Revenue per billable hours increased for the year ended December 31, 2020 compared to the year ended December 31, 2019, mainly attributed to rate increases discussed above.</w:t>
      </w:r>
    </w:p>
    <w:p>
      <w:pPr>
        <w:spacing w:after="0" w:line="18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Gross profit, expressed as a percentage of net service revenues, increased from 25.5% for the year ended December 31, 2019 to 25.8% for the year ended December 31, 2020 due to a decrease in direct service employee wages, taxes and benefit costs of 0.4%.</w:t>
      </w:r>
    </w:p>
    <w:p>
      <w:pPr>
        <w:spacing w:after="0" w:line="170"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General and administrative expenses increased by approximately $3.6 million for the year ended December 31, 2020. The increase in general and administrative expenses was primarily due to acquisitions that resulted in a $4.5 million increase in administrative employee wages, taxes and benefit costs for the year ended December 31, 2020.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Hospice Segment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For the Years Ended December 31,</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680"/>
              <w:spacing w:after="0" w:line="155" w:lineRule="exact"/>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Hospice Segment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vMerge w:val="continue"/>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980" w:type="dxa"/>
            <w:vAlign w:val="bottom"/>
            <w:gridSpan w:val="10"/>
          </w:tcPr>
          <w:p>
            <w:pPr>
              <w:jc w:val="right"/>
              <w:ind w:right="30"/>
              <w:spacing w:after="0" w:line="155" w:lineRule="exact"/>
              <w:rPr>
                <w:sz w:val="20"/>
                <w:szCs w:val="20"/>
                <w:color w:val="auto"/>
              </w:rPr>
            </w:pPr>
            <w:r>
              <w:rPr>
                <w:rFonts w:ascii="Arial" w:cs="Arial" w:eastAsia="Arial" w:hAnsi="Arial"/>
                <w:sz w:val="14"/>
                <w:szCs w:val="14"/>
                <w:b w:val="1"/>
                <w:bCs w:val="1"/>
                <w:color w:val="auto"/>
                <w:w w:val="92"/>
              </w:rPr>
              <w:t>(Amounts in Thousands, Except Percentages)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Net service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101,297</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53,601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47,696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47,197</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27,203</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26,398</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27,702</w:t>
            </w: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25,394</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12,399</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operating income</w:t>
            </w: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28,706</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13,999</w:t>
            </w:r>
          </w:p>
        </w:tc>
        <w:tc>
          <w:tcPr>
            <w:tcW w:w="200" w:type="dxa"/>
            <w:vAlign w:val="bottom"/>
            <w:tcBorders>
              <w:bottom w:val="single" w:sz="8" w:color="CFF0FC"/>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14,707</w:t>
            </w:r>
          </w:p>
        </w:tc>
        <w:tc>
          <w:tcPr>
            <w:tcW w:w="2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158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Business Metrics (Actual Numbers)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Admissions * </w:t>
            </w:r>
            <w:r>
              <w:rPr>
                <w:rFonts w:ascii="Arial" w:cs="Arial" w:eastAsia="Arial" w:hAnsi="Arial"/>
                <w:sz w:val="15"/>
                <w:szCs w:val="15"/>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3,095</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Average daily census * </w:t>
            </w:r>
            <w:r>
              <w:rPr>
                <w:rFonts w:ascii="Arial" w:cs="Arial" w:eastAsia="Arial" w:hAnsi="Arial"/>
                <w:sz w:val="15"/>
                <w:szCs w:val="15"/>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Average length of stay * </w:t>
            </w:r>
            <w:r>
              <w:rPr>
                <w:rFonts w:ascii="Arial" w:cs="Arial" w:eastAsia="Arial" w:hAnsi="Arial"/>
                <w:sz w:val="15"/>
                <w:szCs w:val="15"/>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Patient days * </w:t>
            </w:r>
            <w:r>
              <w:rPr>
                <w:rFonts w:ascii="Arial" w:cs="Arial" w:eastAsia="Arial" w:hAnsi="Arial"/>
                <w:sz w:val="15"/>
                <w:szCs w:val="15"/>
                <w:color w:val="auto"/>
              </w:rPr>
              <w:t>(4)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657,172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349,866</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307,306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Revenue per patient day * </w:t>
            </w:r>
            <w:r>
              <w:rPr>
                <w:rFonts w:ascii="Arial" w:cs="Arial" w:eastAsia="Arial" w:hAnsi="Arial"/>
                <w:sz w:val="15"/>
                <w:szCs w:val="15"/>
                <w:color w:val="auto"/>
              </w:rPr>
              <w:t>(5)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153.20</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Segment Revenue by Payor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Medicare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94,068</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49,649</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Managed care organizations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4,931</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2,768</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segment net service revenues</w:t>
            </w: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101,297</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53,601</w:t>
            </w:r>
          </w:p>
        </w:tc>
        <w:tc>
          <w:tcPr>
            <w:tcW w:w="200" w:type="dxa"/>
            <w:vAlign w:val="bottom"/>
            <w:tcBorders>
              <w:bottom w:val="single" w:sz="8" w:color="CFF0FC"/>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Segment revenue by significant states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Mexico</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42,648</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38,790</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All other states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58,649</w:t>
            </w:r>
          </w:p>
        </w:tc>
        <w:tc>
          <w:tcPr>
            <w:tcW w:w="1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14,811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segment net service revenues</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101,297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referral process and new patients on service during the period.</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Average daily census is total patient days divided by the number of days in the period, adjusted for patient days for acquisitions beginning on date of acquisition.</w:t>
      </w:r>
    </w:p>
    <w:p>
      <w:pPr>
        <w:spacing w:after="0" w:line="70" w:lineRule="exact"/>
        <w:rPr>
          <w:rFonts w:ascii="Arial" w:cs="Arial" w:eastAsia="Arial" w:hAnsi="Arial"/>
          <w:sz w:val="15"/>
          <w:szCs w:val="15"/>
          <w:color w:val="auto"/>
        </w:rPr>
      </w:pPr>
    </w:p>
    <w:p>
      <w:pPr>
        <w:ind w:left="500" w:right="300" w:hanging="492"/>
        <w:spacing w:after="0" w:line="290"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Average length of stay is the average number of days a patient is on service, calculated upon discharge, and is total patient days divided by total discharges in the period.</w:t>
      </w: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Patient days is days of service for all patients in the period.</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Revenue per patient day is hospice revenue divided by the number of patient days in the period.</w:t>
      </w:r>
    </w:p>
    <w:p>
      <w:pPr>
        <w:spacing w:after="0" w:line="59" w:lineRule="exact"/>
        <w:rPr>
          <w:sz w:val="20"/>
          <w:szCs w:val="20"/>
          <w:color w:val="auto"/>
        </w:rPr>
      </w:pPr>
    </w:p>
    <w:p>
      <w:pPr>
        <w:ind w:left="500" w:hanging="492"/>
        <w:spacing w:after="0" w:line="268"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228" w:lineRule="exact"/>
        <w:rPr>
          <w:sz w:val="20"/>
          <w:szCs w:val="20"/>
          <w:color w:val="auto"/>
        </w:rPr>
      </w:pPr>
    </w:p>
    <w:p>
      <w:pPr>
        <w:jc w:val="both"/>
        <w:ind w:right="240" w:firstLine="509"/>
        <w:spacing w:after="0" w:line="257" w:lineRule="auto"/>
        <w:rPr>
          <w:sz w:val="20"/>
          <w:szCs w:val="20"/>
          <w:color w:val="auto"/>
        </w:rPr>
      </w:pPr>
      <w:r>
        <w:rPr>
          <w:rFonts w:ascii="Arial" w:cs="Arial" w:eastAsia="Arial" w:hAnsi="Arial"/>
          <w:sz w:val="18"/>
          <w:szCs w:val="18"/>
          <w:color w:val="auto"/>
        </w:rPr>
        <w:t>Hospice generates revenue by providing care to patients with a life expectancy of six months or less, as well as related services for their families. Net service revenues from Medicare accounted for 92.9% and 92.6% and managed care organizations accounted for 4.9% and 5.2% for the years ended December 31, 2020 and 2019, respectively. Net service revenues increased by $47.7 million for the year ended December 31, 2020 compared to the year ended December 31, 2019 primarily due to an increase in average daily census, partially attributed to the acquisitions of Alliance on August 1, 2019 and Hospice Partners on October 1, 2019.</w:t>
      </w:r>
    </w:p>
    <w:p>
      <w:pPr>
        <w:spacing w:after="0" w:line="188" w:lineRule="exact"/>
        <w:rPr>
          <w:sz w:val="20"/>
          <w:szCs w:val="20"/>
          <w:color w:val="auto"/>
        </w:rPr>
      </w:pPr>
    </w:p>
    <w:p>
      <w:pPr>
        <w:ind w:right="940" w:firstLine="509"/>
        <w:spacing w:after="0" w:line="308" w:lineRule="auto"/>
        <w:rPr>
          <w:sz w:val="20"/>
          <w:szCs w:val="20"/>
          <w:color w:val="auto"/>
        </w:rPr>
      </w:pPr>
      <w:r>
        <w:rPr>
          <w:rFonts w:ascii="Arial" w:cs="Arial" w:eastAsia="Arial" w:hAnsi="Arial"/>
          <w:sz w:val="17"/>
          <w:szCs w:val="17"/>
          <w:color w:val="auto"/>
        </w:rPr>
        <w:t>Gross profit, expressed as a percentage of net service revenues was 53.4% and 49.2% for the years ended December 31, 2020 and 2019, respectively. The increase in gross profit as a percentage of net service revenues was partially due to a decrease of</w:t>
      </w: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pharmacy costs of 0.6%, direct service employee wages, taxes and benefit costs of 0.3%, medical equipment of 0.6%, direct service supply costs of 0.4% and other direct expenses related to acquisition synergies.</w:t>
      </w:r>
    </w:p>
    <w:p>
      <w:pPr>
        <w:spacing w:after="0" w:line="17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was 25.1% and 23.2% for the years ended December 31, 2020 and 2019, respectively. The increase in general and administrative expenses was primarily due to acquisitions that resulted in a $10.9 million increase in administrative employee wages, taxes and benefit costs and a $0.9 million increase in rent expenses for the year ended December 31, 2020.</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3"/>
              </w:rPr>
              <w:t>For the Years Ended December 31,</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660"/>
              <w:spacing w:after="0" w:line="155" w:lineRule="exact"/>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Home Health Segment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60" w:type="dxa"/>
            <w:vAlign w:val="bottom"/>
            <w:gridSpan w:val="9"/>
          </w:tcPr>
          <w:p>
            <w:pPr>
              <w:jc w:val="center"/>
              <w:spacing w:after="0" w:line="155" w:lineRule="exact"/>
              <w:rPr>
                <w:sz w:val="20"/>
                <w:szCs w:val="20"/>
                <w:color w:val="auto"/>
              </w:rPr>
            </w:pPr>
            <w:r>
              <w:rPr>
                <w:rFonts w:ascii="Arial" w:cs="Arial" w:eastAsia="Arial" w:hAnsi="Arial"/>
                <w:sz w:val="14"/>
                <w:szCs w:val="14"/>
                <w:b w:val="1"/>
                <w:bCs w:val="1"/>
                <w:color w:val="auto"/>
                <w:w w:val="90"/>
              </w:rPr>
              <w:t>(Amounts in Thousands, Except Percentages)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Results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Net service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16,245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14,462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1,783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11,150</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9,937</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w:t>
            </w:r>
          </w:p>
        </w:tc>
        <w:tc>
          <w:tcPr>
            <w:tcW w:w="2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200" w:type="dxa"/>
            <w:vAlign w:val="bottom"/>
            <w:tcBorders>
              <w:bottom w:val="single" w:sz="8" w:color="CFF0FC"/>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158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Business Metrics (Actual Numbers)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Locations at period end</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 xml:space="preserve">New admissions * </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3,347</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Recertifications * </w:t>
            </w:r>
            <w:r>
              <w:rPr>
                <w:rFonts w:ascii="Arial" w:cs="Arial" w:eastAsia="Arial" w:hAnsi="Arial"/>
                <w:sz w:val="15"/>
                <w:szCs w:val="15"/>
                <w:color w:val="auto"/>
              </w:rPr>
              <w:t>(2)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 xml:space="preserve">Total volume * </w:t>
            </w:r>
            <w:r>
              <w:rPr>
                <w:rFonts w:ascii="Arial" w:cs="Arial" w:eastAsia="Arial" w:hAnsi="Arial"/>
                <w:sz w:val="15"/>
                <w:szCs w:val="15"/>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Visits * </w:t>
            </w:r>
            <w:r>
              <w:rPr>
                <w:rFonts w:ascii="Arial" w:cs="Arial" w:eastAsia="Arial" w:hAnsi="Arial"/>
                <w:sz w:val="15"/>
                <w:szCs w:val="15"/>
                <w:color w:val="auto"/>
              </w:rPr>
              <w:t>(4)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118,470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108,863</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Segment Revenue by Payor</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Medicare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12,765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11,218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Managed care organizations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segment net service revenues</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Segment revenue by significant states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16,245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14,462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segment net service revenues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new patients during the period.</w:t>
      </w:r>
    </w:p>
    <w:p>
      <w:pPr>
        <w:spacing w:after="0" w:line="59" w:lineRule="exact"/>
        <w:rPr>
          <w:rFonts w:ascii="Arial" w:cs="Arial" w:eastAsia="Arial" w:hAnsi="Arial"/>
          <w:sz w:val="16"/>
          <w:szCs w:val="16"/>
          <w:color w:val="auto"/>
        </w:rPr>
      </w:pPr>
    </w:p>
    <w:p>
      <w:pPr>
        <w:ind w:left="500" w:right="160" w:hanging="492"/>
        <w:spacing w:after="0" w:line="290"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home health certification period begins with a start of care visit and continues for 60 days. If at the end of the initial certification, the patient continues to require home health services, a recertification is required. This represents the number of recertifications during the period.</w:t>
      </w: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volume is total admissions and total recertifications in the period.</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number of services to patients in the period.</w:t>
      </w:r>
    </w:p>
    <w:p>
      <w:pPr>
        <w:spacing w:after="0" w:line="59" w:lineRule="exact"/>
        <w:rPr>
          <w:sz w:val="20"/>
          <w:szCs w:val="20"/>
          <w:color w:val="auto"/>
        </w:rPr>
      </w:pPr>
    </w:p>
    <w:p>
      <w:pPr>
        <w:ind w:left="500" w:hanging="492"/>
        <w:spacing w:after="0" w:line="268"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similarly-titled performance indicators used by other companies.</w:t>
      </w:r>
    </w:p>
    <w:p>
      <w:pPr>
        <w:spacing w:after="0" w:line="228"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Home health generates revenue by providing home health services on a short-term, intermittent or episodic basis to individuals, generally to treat an illness or injury. Net service revenues from Medicare accounted for 78.6% and 77.6% and managed care organizations accounted for 19.6% and 20.3% for the years ended December 31, 2020 and 2019, respectively. Net service revenues</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increased by $1.8 million for the year ended December 31, 2020 compared to the year ended December 31, 2019. Revenue increased primarily due to an increase in total visits partially related to the acquisition of Alliance on August 1, 2019.</w:t>
      </w:r>
    </w:p>
    <w:p>
      <w:pPr>
        <w:spacing w:after="0" w:line="170"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Gross profit, expressed as a percentage of net service revenues was 31.4% and 31.3% for the years ended December 31, 2020 and 2019, respectively. The increase in gross profit as a percentage of net service revenues was due to a decrease in mileage of 0.8%, partially offset by an increase of direct service supplies of 0.5% and direct employee wages, taxes and benefit costs of 0.1% for the year ended December 31, 2020.</w:t>
      </w:r>
    </w:p>
    <w:p>
      <w:pPr>
        <w:spacing w:after="0" w:line="16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home health segment’s general and administrative expenses consist of administrative employee wages, taxes and benefit costs, rent, information technology and office expenses. General and administrative expenses, expressed as a percentage of net service revenues was 23.2% and 22.2% for the years ended December 31, 2020 and 2019, respectively. The increase in general and administrative expenses was primarily due to acquisitions that resulted in a $0.6 million increase in administrative employee wages, taxes and benefit costs for the year ended December 31, 2020.</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For the comparison of fiscal years 2019 and 2018, refer to Part II, Item 7—“Results of Operations” on Form 10-K for our fiscal year ended December 31, 2019, filed with the SEC on August 10, 2020 under the subheading—“Year Ended December 31, 2019 Compared to Year Ended December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Our primary sources of liquidity are cash on hand and cash from operations and borrowings under our credit facility. At December 31, 2020 and 2019, we had cash balances of $145.1 million and $111.7 million, respectively.</w:t>
      </w:r>
    </w:p>
    <w:p>
      <w:pPr>
        <w:spacing w:after="0" w:line="170"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We drew approximately $135.0 million on the revolver portion of our credit facility to fund, in part, the acquisition of Queen City Hospice on December 4, 2020. At December 31, 2020, we had a total of $178.5 million in revolving loans, with an interest rate of 1.90%, and $18.1 million of term loans, with an interest rate of 1.90%, outstanding on our credit facility. After giving effect to the amount drawn on our credit facility, approximately $9.0 million of outstanding letters of credit and borrowing limits based on an advance multiple of adjusted EBITDA (as defined in the Credit Agreement), we had $112.6 million available for borrowing under our credit facility.</w:t>
      </w:r>
    </w:p>
    <w:p>
      <w:pPr>
        <w:spacing w:after="0" w:line="188"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During the year ended December 31, 2019, the Company drew approximately $23.5 million on the revolver portion of its credit facility to fund, in part, the purchase price for the Alliance acquisition on August 1, 2019. Additionally, the Company drew $19.6 million under the delayed draw term loan portion of its credit facility to fund, in part, the acquisition of VIP on June 1, 2019. At December 31, 2019, we had a total of $43.4 million revolving credit loans, with an interest rate of 3.44%, and $18.9 million of term loans, with an interest rate of 3.45%, outstanding on our credit facility. After giving effect to the amount drawn on our credit facility, approximately $10.0 million of outstanding letters of credit and borrowing limits based on an advance multiple of adjusted EBITDA (as defined in the Credit Agreement), we had $191.4 million available for borrowing under our credit loan facility.</w:t>
      </w:r>
    </w:p>
    <w:p>
      <w:pPr>
        <w:spacing w:after="0" w:line="164" w:lineRule="exact"/>
        <w:rPr>
          <w:sz w:val="20"/>
          <w:szCs w:val="20"/>
          <w:color w:val="auto"/>
        </w:rPr>
      </w:pPr>
    </w:p>
    <w:p>
      <w:pPr>
        <w:ind w:right="220" w:firstLine="509"/>
        <w:spacing w:after="0" w:line="273" w:lineRule="auto"/>
        <w:rPr>
          <w:sz w:val="20"/>
          <w:szCs w:val="20"/>
          <w:color w:val="auto"/>
        </w:rPr>
      </w:pPr>
      <w:r>
        <w:rPr>
          <w:rFonts w:ascii="Arial" w:cs="Arial" w:eastAsia="Arial" w:hAnsi="Arial"/>
          <w:sz w:val="17"/>
          <w:szCs w:val="17"/>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 The open receivable balance from the Illinois Department on Aging decreased by $16.4 million from $37.6 million as of December 31, 2019 to $21.2 million as of December 31, 2020. As discussed in Part I, Item 1—“Business” hereof, the state of Illinois finalized its fiscal year 2021 budget with the inclusion of an appropriation to raise in-home care rates to offset previous minimum wage increases by the Chicago City Counsel.</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economic slowdown caused by the COVID-19 pandemic poses significant risks to states’ budgets for the 2021 fiscal year, which began July 1 in most states. Depending on the severity and length of a downturn, sales tax collections and income tax withholdings could continue to be depressed in fiscal 2021 and, potentially, future fiscal years. States could face significant fiscal challenges and may have no choice but to revise their revenue forecasts and adjust their budgets for fiscal 2021 and, potentially, future fiscal years, accordingly. Indeed, Illinois, New York and New Mexico, our top three markets, have revised revenue estimates down for the 2021 fiscal year. For example, in New York, which started its fiscal year April 1, the state comptroller recently estimated that the state would collect at least $10 billion less than originally forecasted, the first year-to-year cut since 2011. The current New York fiscal plan authorizes the state of New York to issue up to $8 billion in short-term bonds to provide funds in case of reduced revenues during the fiscal year. The state issued $1.1 billion of bonds on October 28, 2020. The New York fiscal plan also allows two state authorities to provide the state with a $3 billion line of credit in the new fiscal year. Congress could provide additional relief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additional stimulus and relief legislation, including extension of unemployment benefits and relief for states. We cannot determine the impact that COVID-19 may have on states budgets for 2021 or beyond, however, such impacts could have a material adverse effect on our financial condition, results of operations and cash flows.</w:t>
      </w:r>
    </w:p>
    <w:p>
      <w:pPr>
        <w:spacing w:after="0" w:line="184"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At December 31, 2020, we had $145.1 million of cash on hand and $112.6 million of available, unused committed capacity under our credit facility. Our credit facility requires us to maintain a total net leverage ratio not exceeding 3.75:1.00. At December 31, 2020,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The COVID-19 pandemic has resulted in, and may continue to result in, significant disruption of financial and capital markets, and there can be no assurance that we will be able to raise additional funds on terms acceptable to us, if at all.</w:t>
      </w:r>
    </w:p>
    <w:p>
      <w:pPr>
        <w:spacing w:after="0" w:line="178"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April 2020, the Company received grants in an aggregate principal amount of $6.9 million, for which it did not apply, from the Provider Relief Fund as part of the automatic general distributions by HHS. The Company returned these funds in June 2020. In November 2020, the Company received grants in an aggregate principal amount of $13.7 million from the Provider Relief Fund, for which we applied. The Company utilized $1.4 million of these funds for healthcare related expenses attributable to COVID-19 that were unreimbursed by other sources in the period ended December 31, 2020 and, in accordance with the current guidance issued by HHS, expects to utilize additional funds through June 30, 2021, at which point any unused funds will be returned. We are required to properly and fully document the use of such funds in reports to HHS. The Company’s ability to utilize and retain some or all of such funds will depend on the magnitude, timing and nature of the impact of the COVID-19 pandemic, as well as the terms and conditions of the funds received. In April 2020, Queen City Hospice received grants in an aggregate principal amount of approximately $2.5 million, for which it did not apply, from the Provider Relief Fund as part of the automatic general distributions by HHS. Queen City Hospice utilized approximately $0.6 million of the funds for healthcare related expenses attributable to COVID-19 that were unreimbursed by other sources. Queen City Hospice intends to repay $1.9 million, which represents the remainder of the grants received but not utilized, in 2021. Commercial organizations that receive annual total awards of $750,000 or more in federal funding, including payments received through the Provider Relief Fund, are subject to federal audit requirements.</w:t>
      </w:r>
    </w:p>
    <w:p>
      <w:pPr>
        <w:spacing w:after="0" w:line="168"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In addition, the CARES Act expands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pay back. Recoupment of these payments was due to begin in August, but CMS has delayed the recoupment process for these payments, based on amended repayment terms imposed by the CAA, enacted October 1, 2020, until one year after payment was issued. In April 2020, Queen City Hospice received an amount equal to $10.8 million pursuant to the Medicare Accelerated and Advance Payment Program. Queen City Hospice did not repay the funds prior to the completion of our acquisition of Queen City Hospice, however, Queen City Hospice intends to repay such funds in March 2021, prior to any CMS recoupment and before any interest accrues.</w:t>
      </w:r>
    </w:p>
    <w:p>
      <w:pPr>
        <w:spacing w:after="0" w:line="178"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The CARES Act and related legislation also include other provisions offering financial relief, for example temporarily lifting the Medicare sequester, which would have otherwise reduced payments to Medicare providers by 2%, from May 1, 2020, through March 31, 2021 (but also extending sequestration through 2030). The Medicare sequester relief resulted in an increase of $0.2 million to home health net service revenues and $1.3 million to hospice net service revenues for the year ended December 31, 2020. Additional financial relief under the CARES Act includes a temporary 6.2% increase in the FMAP intended to broadly support the solvency of state Medicaid programs.</w:t>
      </w:r>
    </w:p>
    <w:p>
      <w:pPr>
        <w:spacing w:after="0" w:line="176"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 xml:space="preserve">The impact of the COVID-19 pandemic is fluid and continues to evolve, and, therefore, we cannot currently predict with certainty the extent to which our business, results of operations, financial condition or liquidity will ultimately be impacted. Given the dynamic nature of these circumstances, the related financial effect cannot be reasonably estimated at this time but is not expected to materially adversely impact our business. See Part I, Item 1A —“Risk Factors — </w:t>
      </w:r>
      <w:r>
        <w:rPr>
          <w:rFonts w:ascii="Arial" w:cs="Arial" w:eastAsia="Arial" w:hAnsi="Arial"/>
          <w:sz w:val="16"/>
          <w:szCs w:val="16"/>
          <w:i w:val="1"/>
          <w:iCs w:val="1"/>
          <w:color w:val="auto"/>
        </w:rPr>
        <w:t>The COVID-19 pandemic could negatively affect our operations, business and financial condition, and our liquidity could also be</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negatively impacted, particularly if the U.S. economy remains unstable for a significant amount of time</w:t>
      </w:r>
      <w:r>
        <w:rPr>
          <w:rFonts w:ascii="Arial" w:cs="Arial" w:eastAsia="Arial" w:hAnsi="Arial"/>
          <w:sz w:val="16"/>
          <w:szCs w:val="16"/>
          <w:color w:val="auto"/>
        </w:rPr>
        <w:t>” of this Annual Report on Form 10-K.</w:t>
      </w:r>
    </w:p>
    <w:p>
      <w:pPr>
        <w:spacing w:after="0" w:line="269"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7"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On September 9, 2019, we completed a public offering of an aggregate 2,300,000 shares of common stock, par value $0.001 per share, including 300,000 shares of common stock sold pursuant to the exercise in full by the underwriters of their option to purchase additional shares, at a public offering price of $79.50 per share (the “Public Offering”). We received net proceeds of approximately $172.9 million, after deducting underwriting discounts and estimated offering expenses of approximately $9.9 million, in connection with the completion of the Public Offering. We used approximately $130.0 million from the net proceeds of the offering to fund the purchase price for our acquisition of Hospice Partners on October 1, 2019 and used any remaining net proceeds of the offering for general corporate purposes, and to fund, in part, 2020 acquisitions.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On August 20, 2018, we, together with Eos Capital Partners III, L.P. (the “Selling Stockholder”) completed a secondary public offering of an aggregate 2,100,000 shares of common stock, par value $0.001 per share at a purchase price per share to the public of $59.00 (the “2018 Public Offering Price”). Pursuant to the terms and conditions of the Underwriting Agreement, 1,075,267 shares of common stock were issued and sold by us (the “Primary Shares”) and 1,024,733 shares of Common Stock were sold by the Selling Stockholder (the “Secondary Shares”). Net proceeds of approximately $59.1 million were received by us from the sale of 1,075,267 Primary Shares. On August 22, 2018, the underwriters exercised their full over-allotment option in connection with the offering and, as a result, we issued and sold an additional 315,000 shares of common stock to the underwriters at the 2018 Public Offering Price, less the underwriting discount. The over-allotment resulted in additional net proceeds to us of approximately $17.5 million. We used the proceeds received from this offering for general corporate purposes, and to pay down the $102.6 million of our delayed term loan discussed above in connection with the amendment and restatement of our credit facility. We did not receive any of the proceeds from the sale of the Secondary Shares. The secondary offering resulted in an increase to additional paid in capital of approximately $76.6 million, net of issuance costs of $5.4 million, on our Consolidated Balance Sheets at December 31, 2018.</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On October 31, 2018, we entered into the Amended and Restated Credit Agreement, dated as of October 31, 2018, with certain lenders and Capital One, National Association, as a lender and as agent for all lenders (as amended by the Amendment (as hereinafter defined), the “Credit Agreement”). This credit facility totaled $269.6 million, inclusive of a $250.0 million revolving loan and a $19.6 million delayed draw term loan and is evidenced by the Credit Agreement. This credit facility amended and restated our existing senior secured credit facility totaling $250.0 million. As used throughout this Annual Report on Form 10-K, “credit facility” shall mean the credit facility evidenced by the Credit Agreement.</w:t>
      </w:r>
    </w:p>
    <w:p>
      <w:pPr>
        <w:spacing w:after="0" w:line="176"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The maturity of this credit facility is May 8, 2023. Interest on this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we can elect to increase our Total Net Leverage Ratio compliance covenant to 4.25:1.00 for the then current fiscal quarter and the three succeeding fiscal quarters. In connection with this credit facility, we incurred approximately $0.9 million of debt issuance costs.</w:t>
      </w:r>
    </w:p>
    <w:p>
      <w:pPr>
        <w:spacing w:after="0" w:line="168"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our and the other credit parties’ current and future tangible and intangible assets, including the shares of stock of the borrower and subsidiaries. The Credit Agreement contains affirmative and negative covenants customary for credit facilities of this type, including limitations on us with respect to liens, indebtedness, guaranties, investments, distributions, mergers and acquisitions and dispositions of assets.</w:t>
      </w:r>
    </w:p>
    <w:p>
      <w:pPr>
        <w:spacing w:after="0" w:line="188"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pay a fee ranging from 0.20% to 0.35% based on the applicable senior net leverage ratio times the unused portion of the revolving loan portion of the credit facility.</w:t>
      </w:r>
    </w:p>
    <w:p>
      <w:pPr>
        <w:spacing w:after="0" w:line="170"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 $7.5 million in any year absent of an event of default, plus limited exceptions for tax and administrative distributions), a restriction on the ability to consummate acquisitions (without the consent of the lenders) under our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66"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On September 12, 2019, we entered into a First Amendment (the “Amendment”) to our Credit Agreement. The Amendment increased our credit facility by $50.0 million in incremental revolving loans, for an aggregate $300.0 million in revolving loans. The Amendment provides that future incremental loans may be for term loans or an increase to the revolving loan commitments. The Amendment further provides that the proceeds of the incremental revolving loan commitments may be used for, among other things, general corporate purposes. In connection with this Amendment, we incurred approximately $0.4 million of debt issuance costs.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2020, we were in compliance with our financial covenants under the Credit Agreement.</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historical changes in our cash flows for the years ended December 31, 2020, 2019 and 2018:</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109,411</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(214,236)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(188,697)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117" w:lineRule="exact"/>
        <w:rPr>
          <w:sz w:val="20"/>
          <w:szCs w:val="20"/>
          <w:color w:val="auto"/>
        </w:rPr>
      </w:pPr>
    </w:p>
    <w:p>
      <w:pPr>
        <w:ind w:right="320" w:firstLine="509"/>
        <w:spacing w:after="0" w:line="257" w:lineRule="auto"/>
        <w:rPr>
          <w:sz w:val="20"/>
          <w:szCs w:val="20"/>
          <w:color w:val="auto"/>
        </w:rPr>
      </w:pPr>
      <w:r>
        <w:rPr>
          <w:rFonts w:ascii="Arial" w:cs="Arial" w:eastAsia="Arial" w:hAnsi="Arial"/>
          <w:sz w:val="18"/>
          <w:szCs w:val="18"/>
          <w:color w:val="auto"/>
        </w:rPr>
        <w:t>Net cash provided by operating activities was $109.4 million for the year ended December 31, 2020, compared to $12.0 million in 2019 due to changes in accounts receivable primarily related to the growth in revenue, a decrease in days sales outstanding (“DSO”) during the year ended December 31, 2020 compared to 2019, as described below and $19.4 million of government stimulus advances received during 2020, net of acquisition activities. The related receivables due from the Illinois Department on Aging represented 15.9% and 25.1% of net accounts receivable at December 31, 2020 and 2019, respectively.</w:t>
      </w:r>
    </w:p>
    <w:p>
      <w:pPr>
        <w:spacing w:after="0" w:line="188"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Net cash used in investing activities was $214.2 million for the year ended December 31, 2020, compared to $188.7 million for the year ended December 31, 2019. Our investing activities for the year ended December 31, 2020 primarily consisted of $194.8 million for the acquisition of Queen City Hospice, $15.8 million for the acquisition of County Homemakers, $14.5 million for the acquisition of A Plus and $6.8 million in purchases of property and equipment primarily related to our ongoing investments in our technology infrastructure and investments in expanding our corporate office. Our investing activities for the year ended December 31, 2019 consisted of $135.6 million for the acquisition of Hospice Partners, $29.9 million for the acquisition of VIP, $23.5 million for the acquisition of Alliance and $4.6 million in purchases of property and equipment primarily related to our ongoing investments in our technology infrastructure.</w:t>
      </w:r>
    </w:p>
    <w:p>
      <w:pPr>
        <w:spacing w:after="0" w:line="19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Net cash provided by financing activities was $138.2 million for the year ended December 31, 2020 compared to $218.0 million for the year ended December 31, 2019. Our financing activities for the year ended December 31, 2020 primarily related to borrowings of approximately $135.0 million on the revolver portion of our credit facility to fund, in part, the Queen City Hospice acquisition and $3.9 million in cash received from the exercise of stock options. Our financing activities for the year ended December 31, 2019 primarily related to net proceeds from our Public Offering of $172.9 million, borrowings of approximately $23.5 million on the revolver portion of our credit facility to fund the Alliance acquisition, borrowings of $19.6 million on the delayed draw term loan portion of our credit facility to fund, in part, the VIP acquisition and $3.2 million in cash received from the exercise of stock options.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Year Ended December 31, 2019 Compared to Year Ended December 31, 2018</w:t>
      </w:r>
    </w:p>
    <w:p>
      <w:pPr>
        <w:spacing w:after="0" w:line="117"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auto"/>
        </w:rPr>
        <w:t>For the comparison of fiscal years 2019 and 2018, refer to Part II, Item 7—“Liquidity and Capital Resources” on Form 10-K for our fiscal year ended December 31, 2019, filed with the SEC on August 10, 2020 under the subheading—“Year Ended December 31, 2019 Compared to Year Ended December 31, 2018.”</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Outstanding Accounts Receivable</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Gross accounts receivable as of December 31, 2020 and 2019 were $133.4 million and $150.6 million, respectively. Outstanding accounts receivable, net of the allowance for doubtful accounts, decreased by $17.0 million as of December 31, 2020 compared to December 31, 2019. This decrease is related to the decrease in DSO as described below. Accounts receivable for the Illinois Department on Aging decreased approximately $16.4 million during the year ended December 31, 2020.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92"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We calculate our DSO by taking the accounts receivable outstanding net of the allowance for doubtful accounts divided by the net service revenues for the last quarter, multiplied by the number of days in that quarter. Our DSOs were 61, 72 and 65 days at December 31, 2020, 2019 and 2018, respectively. The DSOs for our largest payor, the Illinois Department on Aging, at December 31, 2020, 2019 and 2018 were 46, 78 and 51 days, respectively. We may not receive payments on a consistent basis in the near term and our DSOs and the DSO for the Illinois Department on Aging may increase despite the state of Illinois’s enactment of state budgets for fiscal years 2020 and 2021.</w:t>
      </w:r>
    </w:p>
    <w:p>
      <w:pPr>
        <w:spacing w:after="0" w:line="176"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economic slowdown caused by the COVID-19 pandemic poses significant risks to states’ budgets for the 2021 fiscal year, which began July 1 in most states. Depending on the severity and length of a downturn, sales tax collections and income tax</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withholdings could continue to be depressed in fiscal 2021 and, potentially, future fiscal years. States could face significant fiscal challenges and may have no choice but to revise their revenue forecasts and adjust their budgets for fiscal 2021 and, potentially, future fiscal years, accordingly. For example, in New York, which started its fiscal year April 1, the state comptroller recently estimated that the state would collect at least $10 billion less than originally forecasted, the first year-to-year cut since 2011. The current New York fiscal plan authorizes the state of New York to issue up to $8 billion in short-term bonds to provide funds in case of reduced revenues during the fiscal year. The state issued $1.1 billion of bonds on October 28, 2020. The New York fiscal plan also allows two state authorities to provide the state with a $3 billion line of credit in the new fiscal year. Congress could provide additional relief with additional stimulus and relief legislation, including extension of unemployment benefits and relief for states. While we cannot determine the impact that COVID-19 may have on states budgets for 2021 or beyond, such impacts could have a material adverse effect on our financial condition, results of operations and cash flows.</w:t>
      </w: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we did not have any off-balance sheet guarantees or arrangements with unconsolidated entities.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jc w:val="both"/>
        <w:ind w:right="400" w:firstLine="509"/>
        <w:spacing w:after="0" w:line="263" w:lineRule="auto"/>
        <w:rPr>
          <w:sz w:val="20"/>
          <w:szCs w:val="20"/>
          <w:color w:val="auto"/>
        </w:rPr>
      </w:pPr>
      <w:r>
        <w:rPr>
          <w:rFonts w:ascii="Arial" w:cs="Arial" w:eastAsia="Arial" w:hAnsi="Arial"/>
          <w:sz w:val="18"/>
          <w:szCs w:val="18"/>
          <w:color w:val="auto"/>
        </w:rPr>
        <w:t>The discussion and analysis of our financial condition and results of operations are based on our Consolidated Financial Statements prepared in accordance with GAAP. The preparation of the financial statements requires us to make estimates and assumptions that affect the reported amounts of assets and liabilities, revenues and expense and related disclosures.</w:t>
      </w:r>
    </w:p>
    <w:p>
      <w:pPr>
        <w:spacing w:after="0" w:line="184"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Our significant accounting policies are described in Note 1 to the Notes to Consolidated Financial Statements. 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base our estimates and judgments on historical experience and other sources and factors that we believe to be reasonable under the circumstances, however, actual results may differ from these estimates. Our critical accounting policies requiring estimates, assumptions and judgments that we believe have the most significant impact on our consolidated financial statements are described below.</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20" w:firstLine="254"/>
        <w:spacing w:after="0" w:line="284" w:lineRule="auto"/>
        <w:rPr>
          <w:sz w:val="20"/>
          <w:szCs w:val="20"/>
          <w:color w:val="auto"/>
        </w:rPr>
      </w:pPr>
      <w:r>
        <w:rPr>
          <w:rFonts w:ascii="Arial" w:cs="Arial" w:eastAsia="Arial" w:hAnsi="Arial"/>
          <w:sz w:val="16"/>
          <w:szCs w:val="16"/>
          <w:color w:val="auto"/>
        </w:rPr>
        <w:t>Under business combination accounting, assets and liabilities are generally recognized at their fair values and the difference between the consideration transferred, excluding transaction costs, and the fair values of the assets and liabilities is recognized as goodwill. The Company’s significant identifiable intangible assets consist of customer and referral relationships, trade names and trademarks and state licenses.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estimates the fair values of the trade names using the relief-from-royalty method, which requires assumptions such as the long-term growth rates of future revenues, the relief from royalty rate for such revenue, the tax rate and the discount rate. The Company estimates the fair value of existing indefinite-lived state licenses based on a 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The Company estimates the fair value of existing finite-lived state licenses based on a method of analyzing the definite revenue streams with the license and without the license, which involves estimating revenues and expenses, estimated time to build up to a current revenue base, which is market specific, and the non-licensed revenue allocation, revenue growth rates, discount rate and tax amortization benefits. The Company estimates the fair value of customer and referral relationships based on a multi-period excess earnings method, which involves identifying revenue streams associated with the assets, estimating the attrition rates based upon historical financial data, expenses and cash flows associated with the assets, contributory asset charges, rates of return for specific assets, growth rates, discount rate and tax amortization benefits. The Company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competition for each non-competition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 xml:space="preserve">The carrying value of our goodwill is the excess of the purchase price over the fair value of the net assets acquired from various acquisitions. In accordance with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use a qualitative test to determine whether impairment has occurred. Additionally, it is our policy to update the fair value calculation of our reporting units and perform the quantitative goodwill impairment test on a periodic basis. The goodwill impairment test involves comparing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For the years ended December 31, 2020, 2019 and 2018, we performed the quantitative analysis to evaluate whether an impairment occurred. Based on the totality of the information available, we concluded that it was more likely than not that the estimated fair values were greater than the carrying values of the reporting units. For the fiscal year 2020 impairment test, the fair value of the reporting units exceeded their respective carrying values by at least 90% (commonly referred to as “headroom”). We concluded that there were no impairments for the years ended December 31, 2020, 2019 or 2018. As of December 31, 2020 and 2019, goodwill was $469.1 million and $275.4 million, respectively, included in our Consolidated Balance Sheets.</w:t>
      </w:r>
    </w:p>
    <w:p>
      <w:pPr>
        <w:spacing w:after="0" w:line="186"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 xml:space="preserve">Our identifiable intangible assets consist of customer and referral relationships, trade names, trademarks, state licenses and non-competition agreements. Definite-lived intangible assets are amortized using straight-line and accelerated methods based upon the estimated useful lives of the respective assets, which range from one to twenty-five years, and assessed for impairment whenever events or changes in circumstances indicate that the carrying amount may not be recoverable. Customer and referral relationships are amortized systematically over the periods of expected economic benefit, which range from five to ten years. We would recognize an impairment loss when the estimated future non-discounted cash flows associated with the intangible asset are less than the carrying value. An impairment charge would then be recorded for the excess of the carrying value over the fair value. We estimate the fair value of these intangible assets using the income approach. In accordance with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intangible assets with indefinite useful lives are not amortized.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2020, 2019 or 2018. As of December 31, 2020 and 2019, intangibles, net of accumulated amortization, was $71.5 million and $57.1 million, respectively, included in our Consolidated Balance Sheets. Amortization of intangible assets is reported in the statement of income caption, “Depreciation and amortization” and not included in the income statement caption cost of service revenues.</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 Accounts Receivable and Allowances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Net service revenue is recognized at the amount that reflects the consideration the Company expects to receive in exchange for providing services directly to consumers. Receipts are from federal, state and local governmental agencies, managed care organizations, commercial insurers and private consumers for services rendered. The Company assesses the consumers' ability to pay at the time of their admission based on the Company's verification of the customer's insurance coverage under the Medicare, Medicaid, and other commercial or managed care insurance programs. Laws and regulations governing the governmental programs in which we participate are complex and subject to interpretation. Net service revenues related to uninsured accounts, or self-pay, is recorded net of implicit price concessions estimated based on historical collection experience to reduce revenue to the estimated amount we expect to collect. Amounts collected from all sources may be less than amounts billed due to implicit price concessions resulting from client eligibility issues, insufficient or incomplete documentation, services at levels other than authorized, pricing differences and other reasons unrelated to credit risk. We monitor our net service revenues and collections from these sources and record any necessary adjustment to net service revenues based upon management’s assessment of historical write offs and expected net collections, business and economic conditions, trends in federal, state and private employer health care coverage and other collection indicators.</w:t>
      </w:r>
    </w:p>
    <w:p>
      <w:pPr>
        <w:spacing w:after="0" w:line="18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Accounts receivable is reduced to the amount expected to be collected in future periods for services rendered to customers prior to the balance sheet date.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Collection of net service revenues we expect to receive is normally a function of providing complete and correct billing information to the payors within the various filing deadlines. The evaluation of these historical and other factors involves complex, subjective judgments impacting the determination of the implicit price concession assumption. In addition, we compare our cash collections to recorded net service revenues and evaluate our historical allowances, including implicit price concessions, based upon the ultimate resolution of the accounts receivable balance.</w:t>
      </w:r>
    </w:p>
    <w:p>
      <w:pPr>
        <w:spacing w:after="0" w:line="178"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Prior to 2018, we established an allowance for doubtful accounts to the extent it was probable that a portion or all of a particular account would not be collected. We established a provision for doubtful accounts primarily by reviewing the creditworthiness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significant customers and through evaluations over the collectability of the receivables. An allowance for doubtful accounts was maintained at a level that our management believed was sufficient to cover potential losses.</w:t>
      </w:r>
    </w:p>
    <w:p>
      <w:pPr>
        <w:spacing w:after="0" w:line="170"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 xml:space="preserve">With the modified retrospective adoption of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in 2018 subsequent adjustments that are determined to be the result of an adverse change in the payor’s ability to pay are recognized as provision for doubtful accounts. The majority of what historically was classified as provision for doubtful accounts under operating expenses is now treated as an implicit price concession factored into the determination of net service revenues discussed above. Our collection procedures include review of account aging and direct contact with our payors. We have historically not used collection agencies. An uncollectible amount is written off to the allowance account after reasonable collection efforts have been exhausted. As of December 31, 2020 and 2019, the allowance for doubtful accounts balance was $1.0 million and $1.0 million, respectively, which is included in accounts receivable, net of allowances on our Consolidated Balance Sheets.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 to the Notes to Consolidated Financial Statements for further discussion.</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jc w:val="both"/>
        <w:ind w:right="20" w:firstLine="509"/>
        <w:spacing w:after="0" w:line="342" w:lineRule="auto"/>
        <w:rPr>
          <w:sz w:val="20"/>
          <w:szCs w:val="20"/>
          <w:color w:val="auto"/>
        </w:rPr>
      </w:pPr>
      <w:r>
        <w:rPr>
          <w:rFonts w:ascii="Arial" w:cs="Arial" w:eastAsia="Arial" w:hAnsi="Arial"/>
          <w:sz w:val="16"/>
          <w:szCs w:val="16"/>
          <w:color w:val="auto"/>
        </w:rPr>
        <w:t>We had outstanding letters of credit of $9.0 million at December 31, 2020. These standby letters of credit benefit our third-party insurer for our high deductible workers’ compensation insurance program. The amount of the letters of credit is negotiated annually in conjunction with the insurance renewals.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contractual obligations as of December 31,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35"/>
              <w:spacing w:after="0"/>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center"/>
              <w:ind w:right="195"/>
              <w:spacing w:after="0"/>
              <w:rPr>
                <w:sz w:val="20"/>
                <w:szCs w:val="20"/>
                <w:color w:val="auto"/>
              </w:rPr>
            </w:pPr>
            <w:r>
              <w:rPr>
                <w:rFonts w:ascii="Arial" w:cs="Arial" w:eastAsia="Arial" w:hAnsi="Arial"/>
                <w:sz w:val="14"/>
                <w:szCs w:val="14"/>
                <w:b w:val="1"/>
                <w:bCs w:val="1"/>
                <w:color w:val="auto"/>
                <w:w w:val="98"/>
              </w:rPr>
              <w:t>1-3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55"/>
              <w:spacing w:after="0"/>
              <w:rPr>
                <w:sz w:val="20"/>
                <w:szCs w:val="20"/>
                <w:color w:val="auto"/>
              </w:rPr>
            </w:pPr>
            <w:r>
              <w:rPr>
                <w:rFonts w:ascii="Arial" w:cs="Arial" w:eastAsia="Arial" w:hAnsi="Arial"/>
                <w:sz w:val="14"/>
                <w:szCs w:val="14"/>
                <w:b w:val="1"/>
                <w:bCs w:val="1"/>
                <w:color w:val="auto"/>
              </w:rPr>
              <w:t>3-5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More than</w:t>
            </w:r>
          </w:p>
        </w:tc>
      </w:tr>
      <w:tr>
        <w:trPr>
          <w:trHeight w:val="171"/>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00" w:type="dxa"/>
            <w:vAlign w:val="bottom"/>
          </w:tcPr>
          <w:p>
            <w:pPr>
              <w:jc w:val="right"/>
              <w:ind w:right="315"/>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Years</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75"/>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5 Years</w:t>
            </w:r>
          </w:p>
        </w:tc>
      </w:tr>
      <w:tr>
        <w:trPr>
          <w:trHeight w:val="156"/>
        </w:trPr>
        <w:tc>
          <w:tcPr>
            <w:tcW w:w="15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4"/>
          </w:tcPr>
          <w:p>
            <w:pPr>
              <w:jc w:val="center"/>
              <w:ind w:left="19"/>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15"/>
        </w:trPr>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Revolving loan under the amended and</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restated credit facility, 1.90% due 2023</w:t>
            </w:r>
          </w:p>
        </w:tc>
        <w:tc>
          <w:tcPr>
            <w:tcW w:w="7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178,458</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178,458</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3400" w:type="dxa"/>
            <w:vAlign w:val="bottom"/>
            <w:gridSpan w:val="2"/>
          </w:tcPr>
          <w:p>
            <w:pPr>
              <w:spacing w:after="0"/>
              <w:rPr>
                <w:sz w:val="20"/>
                <w:szCs w:val="20"/>
                <w:color w:val="auto"/>
              </w:rPr>
            </w:pPr>
            <w:r>
              <w:rPr>
                <w:rFonts w:ascii="Arial" w:cs="Arial" w:eastAsia="Arial" w:hAnsi="Arial"/>
                <w:sz w:val="18"/>
                <w:szCs w:val="18"/>
                <w:color w:val="auto"/>
              </w:rPr>
              <w:t>Term loan under the amended and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400" w:type="dxa"/>
            <w:vAlign w:val="bottom"/>
            <w:gridSpan w:val="2"/>
          </w:tcPr>
          <w:p>
            <w:pPr>
              <w:ind w:left="140"/>
              <w:spacing w:after="0"/>
              <w:rPr>
                <w:sz w:val="20"/>
                <w:szCs w:val="20"/>
                <w:color w:val="auto"/>
              </w:rPr>
            </w:pPr>
            <w:r>
              <w:rPr>
                <w:rFonts w:ascii="Arial" w:cs="Arial" w:eastAsia="Arial" w:hAnsi="Arial"/>
                <w:sz w:val="18"/>
                <w:szCs w:val="18"/>
                <w:color w:val="auto"/>
              </w:rPr>
              <w:t>restated credit facility, 1.90% due 2023</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18,130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17,150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payable on revolving and</w:t>
            </w: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34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term loans </w:t>
            </w:r>
            <w:r>
              <w:rPr>
                <w:rFonts w:ascii="Arial" w:cs="Arial" w:eastAsia="Arial" w:hAnsi="Arial"/>
                <w:sz w:val="15"/>
                <w:szCs w:val="15"/>
                <w:color w:val="auto"/>
              </w:rPr>
              <w:t>(1)</w:t>
            </w:r>
          </w:p>
        </w:tc>
        <w:tc>
          <w:tcPr>
            <w:tcW w:w="4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11,219</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4,923</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34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Operating leases</w:t>
            </w:r>
          </w:p>
        </w:tc>
        <w:tc>
          <w:tcPr>
            <w:tcW w:w="4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51,931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15,984</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16,514</w:t>
            </w:r>
          </w:p>
        </w:tc>
        <w:tc>
          <w:tcPr>
            <w:tcW w:w="12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259,738</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16,584</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217,888</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1580" w:type="dxa"/>
            <w:vAlign w:val="bottom"/>
            <w:tcBorders>
              <w:bottom w:val="single" w:sz="8" w:color="auto"/>
            </w:tcBorders>
          </w:tcPr>
          <w:p>
            <w:pPr>
              <w:spacing w:after="0"/>
              <w:rPr>
                <w:sz w:val="8"/>
                <w:szCs w:val="8"/>
                <w:color w:val="auto"/>
              </w:rPr>
            </w:pPr>
          </w:p>
        </w:tc>
        <w:tc>
          <w:tcPr>
            <w:tcW w:w="1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31" w:lineRule="exact"/>
        <w:rPr>
          <w:sz w:val="20"/>
          <w:szCs w:val="20"/>
          <w:color w:val="auto"/>
        </w:rPr>
      </w:pPr>
    </w:p>
    <w:p>
      <w:pPr>
        <w:ind w:left="500" w:right="360" w:hanging="492"/>
        <w:spacing w:after="0" w:line="278"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described in Note 8 to the Notes to Consolidated Financial Statements, interest on borrowings under the revolving and term loan are variable. The calculated interest payable amounts above use actual rates available through January 2021 and assumes the January rates of 1.90%, respectively, are for all future interest payable on revolving and term loans.</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7"/>
          <w:szCs w:val="17"/>
          <w:color w:val="auto"/>
        </w:rPr>
        <w:t>Inflation in the past several years in the United States has been modest. Future inflation would have mostly negative impacts on our business. Rising price levels might allow us to increase our fees to private pay clients, but would cause our operating costs, particularly the wages we pay our caregivers, to increase. Further, our ability to realize rate increases from government programs might be limited despite inflation.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are exposed to market risk associated with changes in interest rates on our variable rate long-term debt, including, without limitation, the potential impact of the discontinuation or modification of LIBOR. As of December 31, 2020, we had outstanding borrowings of approximately $196.6 million on our credit facility, all of which was subject to variable interest rates. As of December 31, 2019, we had outstanding borrowings of approximately $62.3 million on our credit facility, all of which was subject to variable interest rates. If the variable rates on this debt were 100 basis points higher than the rate applicable to the borrowing during the year ended December 31, 2020, our net income would have decreased by $0.6 million, or $0.04 per diluted share. We do not currently have any derivative or hedging arrangements, or other known exposures, to changes in interest rates.</w:t>
      </w: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440" w:firstLine="509"/>
        <w:spacing w:after="0" w:line="342" w:lineRule="auto"/>
        <w:rPr>
          <w:sz w:val="20"/>
          <w:szCs w:val="20"/>
          <w:color w:val="auto"/>
        </w:rPr>
      </w:pPr>
      <w:r>
        <w:rPr>
          <w:rFonts w:ascii="Arial" w:cs="Arial" w:eastAsia="Arial" w:hAnsi="Arial"/>
          <w:sz w:val="16"/>
          <w:szCs w:val="16"/>
          <w:color w:val="auto"/>
        </w:rPr>
        <w:t>Our Consolidated Financial Statements together with the related Notes to Consolidated Financial Statements and the report of our independent registered public accounting firm, are set forth on the pages indicated in Part IV, Item 15—“Exhibits and Financial Statement Schedules.”</w:t>
      </w:r>
    </w:p>
    <w:p>
      <w:pPr>
        <w:spacing w:after="0" w:line="2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conducted an evaluation of our disclosure controls and procedures, as such term is defined under Rule 13a-15(e) promulgated under the Securities Exchange Act of 1934, as amended (the “Exchange Act”). Disclosure controls and procedures include, without limitation, controls and procedures designed to ensure that information required to be disclosed by an issuer in the reports that it files or submits under the Exchange Act is recorded, processed, summarized and reported, within the time periods specified in the SEC’s rules and forms, and that such information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2"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December 31, 2020.</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Remediation of Previously Reported Material Weaknesses</w:t>
      </w:r>
    </w:p>
    <w:p>
      <w:pPr>
        <w:spacing w:after="0" w:line="117" w:lineRule="exact"/>
        <w:rPr>
          <w:sz w:val="20"/>
          <w:szCs w:val="20"/>
          <w:color w:val="auto"/>
        </w:rPr>
      </w:pPr>
    </w:p>
    <w:p>
      <w:pPr>
        <w:ind w:right="180" w:firstLine="254"/>
        <w:spacing w:after="0" w:line="301" w:lineRule="auto"/>
        <w:rPr>
          <w:sz w:val="20"/>
          <w:szCs w:val="20"/>
          <w:color w:val="auto"/>
        </w:rPr>
      </w:pPr>
      <w:r>
        <w:rPr>
          <w:rFonts w:ascii="Arial" w:cs="Arial" w:eastAsia="Arial" w:hAnsi="Arial"/>
          <w:sz w:val="16"/>
          <w:szCs w:val="16"/>
          <w:color w:val="auto"/>
        </w:rPr>
        <w:t>As previously described in Part II, Item 9A of our Annual Report on Form 10-K for the fiscal year ended December 31, 2019, we determined that we had material weaknesses in our internal control over financial reporting. These material weaknesses primarily related to 1) the overall design and implementation of an effective risk assessment, 2) controls over the review and approval of hours worked and billed, and 3) controls over the accuracy of the implicit price concession assumption used in the estimation of the recoverability of unadjudicated net service revenues (accounts receivable, net).</w:t>
      </w:r>
    </w:p>
    <w:p>
      <w:pPr>
        <w:spacing w:after="0" w:line="265" w:lineRule="exact"/>
        <w:rPr>
          <w:sz w:val="20"/>
          <w:szCs w:val="20"/>
          <w:color w:val="auto"/>
        </w:rPr>
      </w:pPr>
    </w:p>
    <w:p>
      <w:pPr>
        <w:ind w:right="300" w:firstLine="254"/>
        <w:spacing w:after="0" w:line="263" w:lineRule="auto"/>
        <w:rPr>
          <w:sz w:val="20"/>
          <w:szCs w:val="20"/>
          <w:color w:val="auto"/>
        </w:rPr>
      </w:pPr>
      <w:r>
        <w:rPr>
          <w:rFonts w:ascii="Arial" w:cs="Arial" w:eastAsia="Arial" w:hAnsi="Arial"/>
          <w:sz w:val="18"/>
          <w:szCs w:val="18"/>
          <w:color w:val="auto"/>
        </w:rPr>
        <w:t>Our management began a remediation plan to address the material weaknesses as soon as they were identified. Because the reliability of the internal control process requires repeatable execution, the successful remediation of these material weaknesses required review and evidence of operating effectiveness prior to concluding that the controls were effective.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year ended December 31, 2020, we implemented the following changes to our internal control over financial reporting:</w:t>
      </w:r>
    </w:p>
    <w:p>
      <w:pPr>
        <w:spacing w:after="0" w:line="225" w:lineRule="exact"/>
        <w:rPr>
          <w:sz w:val="20"/>
          <w:szCs w:val="20"/>
          <w:color w:val="auto"/>
        </w:rPr>
      </w:pPr>
    </w:p>
    <w:p>
      <w:pPr>
        <w:ind w:left="740" w:right="60" w:hanging="368"/>
        <w:spacing w:after="0" w:line="274" w:lineRule="auto"/>
        <w:tabs>
          <w:tab w:leader="none" w:pos="7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Identified dedicated internal resources, supplemented with third-party specialists, to assist with formalizing a robust and detailed risk assessment plan, including identifying and assessing those risks commensurate with the significant changes within our Company.</w:t>
      </w:r>
    </w:p>
    <w:p>
      <w:pPr>
        <w:ind w:left="740" w:hanging="368"/>
        <w:spacing w:after="0" w:line="253"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Implemented enhancements to the design of control activities related to the review and approval of hours worked and billed, including obtaining and reviewing the Service Organization Control 1 Type 2 (“SOC 1 Type 2”) report from our preferred electronic visit verification (“EVV”) vendor. Additionally, we enhanced existing controls to increase our level of precision of review of hours worked and billed and implemented new controls within the payroll process.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740" w:right="60" w:hanging="368"/>
        <w:spacing w:after="0" w:line="263"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Implemented enhancements to the design of control activities over the accuracy of the implicit price concession assumption used in the estimate of recoverability of unadjudicated net service revenues, including additional analysis related to aged accounts receivable and using cash collection data to validate the recoverability.</w:t>
      </w:r>
    </w:p>
    <w:p>
      <w:pPr>
        <w:spacing w:after="0" w:line="184" w:lineRule="exact"/>
        <w:rPr>
          <w:sz w:val="20"/>
          <w:szCs w:val="20"/>
          <w:color w:val="auto"/>
        </w:rPr>
      </w:pPr>
    </w:p>
    <w:p>
      <w:pPr>
        <w:ind w:right="60" w:firstLine="255"/>
        <w:spacing w:after="0" w:line="277" w:lineRule="auto"/>
        <w:rPr>
          <w:sz w:val="20"/>
          <w:szCs w:val="20"/>
          <w:color w:val="auto"/>
        </w:rPr>
      </w:pPr>
      <w:r>
        <w:rPr>
          <w:rFonts w:ascii="Arial" w:cs="Arial" w:eastAsia="Arial" w:hAnsi="Arial"/>
          <w:sz w:val="18"/>
          <w:szCs w:val="18"/>
          <w:color w:val="auto"/>
        </w:rPr>
        <w:t>We have completed execution of our remediation plan and successfully remediated the material weaknesses in internal control over financial reporting described above as of December 31, 2020.</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firstLine="255"/>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Because of its inherent limitations, internal control over financial reporting may not prevent or detect misstatements. Under the supervision and with the participation of our management, including our Chief Executive Officer and Chief Financial Officer, we conducted an assessment of the effectiveness of our internal control over financial reporting based on the framework in Internal Control — Integrated Framework issued by the Committee of Sponsoring Organizations of the Treadway Commission (2013 framework). Based on our assessment under the framework in Internal Control — Integrated Framework, our management concluded that our internal control over financial reporting was effective as of December 31, 2020.</w:t>
      </w:r>
    </w:p>
    <w:p>
      <w:pPr>
        <w:spacing w:after="0" w:line="56" w:lineRule="exact"/>
        <w:rPr>
          <w:sz w:val="20"/>
          <w:szCs w:val="20"/>
          <w:color w:val="auto"/>
        </w:rPr>
      </w:pPr>
    </w:p>
    <w:p>
      <w:pPr>
        <w:ind w:right="40" w:firstLine="468"/>
        <w:spacing w:after="0" w:line="279" w:lineRule="auto"/>
        <w:rPr>
          <w:sz w:val="20"/>
          <w:szCs w:val="20"/>
          <w:color w:val="auto"/>
        </w:rPr>
      </w:pPr>
      <w:r>
        <w:rPr>
          <w:rFonts w:ascii="Arial" w:cs="Arial" w:eastAsia="Arial" w:hAnsi="Arial"/>
          <w:sz w:val="17"/>
          <w:szCs w:val="17"/>
          <w:color w:val="auto"/>
        </w:rPr>
        <w:t>Under SEC Staff guidance, companies are permitted to exclude acquisitions from their first assessment of internal control over financial reporting which covers the period in which such acquisition was completed. We excluded A Plus Health Care, Inc., County Homemakers and Queen City Hospice, each of which are wholly-owned subsidiaries, from our assessment of internal control over financial reporting as of December 31, 2020 because they were acquired in purchase business combinations on July 1, 2020, November 1, 2020 and December 1, 2020, respectively.</w:t>
      </w:r>
    </w:p>
    <w:p>
      <w:pPr>
        <w:spacing w:after="0" w:line="63" w:lineRule="exact"/>
        <w:rPr>
          <w:sz w:val="20"/>
          <w:szCs w:val="20"/>
          <w:color w:val="auto"/>
        </w:rPr>
      </w:pPr>
    </w:p>
    <w:p>
      <w:pPr>
        <w:ind w:left="740" w:right="340" w:hanging="368"/>
        <w:spacing w:after="0" w:line="258"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Plus Health Care, Inc. represented 0.6% of our revenues and 2.2% of our operating income, respectively for the year ended December 31, 2020.</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County Homemakers represented 0.3% of our revenues and 0.5% of our operating income, respectively for the year ended December 31, 2020.</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Queen City Hospice represented 0.6% of our revenues and (1.4)% of our operating income, respectively for the year ended December 31, 2020.</w:t>
      </w:r>
    </w:p>
    <w:p>
      <w:pPr>
        <w:spacing w:after="0" w:line="261" w:lineRule="exact"/>
        <w:rPr>
          <w:sz w:val="20"/>
          <w:szCs w:val="20"/>
          <w:color w:val="auto"/>
        </w:rPr>
      </w:pPr>
    </w:p>
    <w:p>
      <w:pPr>
        <w:ind w:right="300" w:firstLine="468"/>
        <w:spacing w:after="0" w:line="263" w:lineRule="auto"/>
        <w:rPr>
          <w:sz w:val="20"/>
          <w:szCs w:val="20"/>
          <w:color w:val="auto"/>
        </w:rPr>
      </w:pPr>
      <w:r>
        <w:rPr>
          <w:rFonts w:ascii="Arial" w:cs="Arial" w:eastAsia="Arial" w:hAnsi="Arial"/>
          <w:sz w:val="18"/>
          <w:szCs w:val="18"/>
          <w:color w:val="auto"/>
        </w:rPr>
        <w:t>The effectiveness of our internal control over financial reporting as of December 31, 2020 has been audited by PricewaterhouseCoopers LLP, an independent registered public accounting firm, as stated in its report which appears within Part IV, Item 15—“Exhibits and Financial Statement Schedules.”.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December 31, 2020 that have materially affected, or are reasonably likely to materially affect, our internal control over financial reporting.</w:t>
      </w:r>
    </w:p>
    <w:p>
      <w:pPr>
        <w:spacing w:after="0" w:line="2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Certain information required by Part III is omitted from this Annual Report on Form 10-K as we intend to file our definitive Proxy Statement for the 2021 Annual Meeting of Stockholders pursuant to Regulation 14A of the Exchange Act not later than 120 days after the end of the fiscal year covered by this Annual Report, and certain information included in the Proxy Statement is incorporated herein by reference.</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2021 Proxy Statement to be filed with the SEC not later than 120 days after the end of the fiscal year ended December 31, 2020.</w:t>
      </w:r>
    </w:p>
    <w:p>
      <w:pPr>
        <w:spacing w:after="0" w:line="170"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have adopted a Code of Business Conduct and Ethics (“Code of Conduct”) that is applicable to all of our employees, officers and members of our Board of Directors, and our subsidiaries. The Code of Conduct addresses, among other things, legal compliance, conflicts of interest, corporate opportunities, protection and proper use of Company assets, confidential and proprietary information, integrity of records, compliance with accounting principles and relations with government agencies. A copy of the current version of our Code of Conduct is available in the Investors—Corporate Governance section of our internet website located at www.addus.com. A copy of the Code of Conduct is also available in print, free of charge, to any stockholder who requests it by writing to Addus HomeCare Corporation, 6303 Cowboys Way, Suite 600, Frisco, TX 75034. We intend to post amendments to or waivers from, if any, our Code of Conduct at this location on our website, in each case to the extent such amendment or waiver would otherwise require the filing of a Current Report on Form 8-K pursuant to Item 5.05 thereof.</w:t>
      </w:r>
    </w:p>
    <w:p>
      <w:pPr>
        <w:spacing w:after="0" w:line="28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4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2021 Proxy Statement to be filed with the SEC not later than 120 days after the end of the fiscal year ended December 31, 2020.</w:t>
      </w:r>
    </w:p>
    <w:p>
      <w:pPr>
        <w:spacing w:after="0" w:line="200" w:lineRule="exact"/>
        <w:rPr>
          <w:sz w:val="20"/>
          <w:szCs w:val="20"/>
          <w:color w:val="auto"/>
        </w:rPr>
      </w:pPr>
    </w:p>
    <w:p>
      <w:pPr>
        <w:spacing w:after="0" w:line="290" w:lineRule="exact"/>
        <w:rPr>
          <w:sz w:val="20"/>
          <w:szCs w:val="20"/>
          <w:color w:val="auto"/>
        </w:rPr>
      </w:pPr>
    </w:p>
    <w:p>
      <w:pPr>
        <w:ind w:left="1020" w:right="3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274"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2021 Proxy Statement to be filed with the SEC not later than 120 days after the end of the fiscal year ended December 31, 2020.</w:t>
      </w:r>
    </w:p>
    <w:p>
      <w:pPr>
        <w:spacing w:after="0" w:line="3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2021 Proxy Statement to be filed with the SEC not later than 120 days after the end of the fiscal year ended December 31, 2020.</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2021 Proxy Statement to be filed with the SEC not later than 120 days after the end of the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880" w:right="160" w:hanging="373"/>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 (2) The Financial Statements listed on the index on page F-1 following are included herein. All schedules are omitted, either because they are not applicable or because the required information is shown in the financial statements or the notes thereto.</w:t>
      </w:r>
    </w:p>
    <w:p>
      <w:pPr>
        <w:spacing w:after="0" w:line="170" w:lineRule="exact"/>
        <w:rPr>
          <w:rFonts w:ascii="Arial" w:cs="Arial" w:eastAsia="Arial" w:hAnsi="Arial"/>
          <w:sz w:val="18"/>
          <w:szCs w:val="18"/>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40" w:type="dxa"/>
            <w:vAlign w:val="bottom"/>
            <w:gridSpan w:val="20"/>
          </w:tcPr>
          <w:p>
            <w:pPr>
              <w:jc w:val="center"/>
              <w:ind w:right="22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gridSpan w:val="20"/>
          </w:tcPr>
          <w:p>
            <w:pPr>
              <w:ind w:left="2920"/>
              <w:spacing w:after="0"/>
              <w:rPr>
                <w:sz w:val="20"/>
                <w:szCs w:val="20"/>
                <w:color w:val="auto"/>
              </w:rPr>
            </w:pPr>
            <w:r>
              <w:rPr>
                <w:rFonts w:ascii="Arial" w:cs="Arial" w:eastAsia="Arial" w:hAnsi="Arial"/>
                <w:sz w:val="18"/>
                <w:szCs w:val="18"/>
                <w:b w:val="1"/>
                <w:bCs w:val="1"/>
                <w:color w:val="auto"/>
              </w:rPr>
              <w:t>Description of Document</w:t>
            </w:r>
          </w:p>
        </w:tc>
      </w:tr>
      <w:tr>
        <w:trPr>
          <w:trHeight w:val="290"/>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040" w:type="dxa"/>
            <w:vAlign w:val="bottom"/>
            <w:tcBorders>
              <w:bottom w:val="single" w:sz="8" w:color="0000EE"/>
            </w:tcBorders>
            <w:gridSpan w:val="20"/>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Amended and Restated Certificate of Incorporation of Addus HomeCare Corporation dated as of October 27, 2009 (filed on November 20,</w:t>
              </w:r>
            </w:hyperlink>
          </w:p>
        </w:tc>
        <w:tc>
          <w:tcPr>
            <w:tcW w:w="28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2009 as Exhibit 3.1 to Addus HomeCare Corporation’s Quarterly Report on Form 10-Q (File No. 001-34504) and incorporated by reference</w:t>
              </w:r>
            </w:hyperlink>
          </w:p>
        </w:tc>
        <w:tc>
          <w:tcPr>
            <w:tcW w:w="240" w:type="dxa"/>
            <w:vAlign w:val="bottom"/>
            <w:gridSpan w:val="4"/>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5"/>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herein).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940" w:type="dxa"/>
            <w:vAlign w:val="bottom"/>
            <w:tcBorders>
              <w:bottom w:val="single" w:sz="8" w:color="0000EE"/>
            </w:tcBorders>
            <w:gridSpan w:val="17"/>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Amended and Restated Bylaws of Addus HomeCare Corporation, as amended by the First Amendment to Amended and Restated Bylaws</w:t>
              </w:r>
            </w:hyperlink>
          </w:p>
        </w:tc>
        <w:tc>
          <w:tcPr>
            <w:tcW w:w="38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5"/>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(filed on May 9, 2013 as Exhibit 3.2 to the Company’s Quarterly Report on Form 10-Q (File No. 001-34504) and incorporated by reference</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herein).</w:t>
              </w:r>
            </w:hyperlink>
          </w:p>
        </w:tc>
        <w:tc>
          <w:tcPr>
            <w:tcW w:w="240" w:type="dxa"/>
            <w:vAlign w:val="bottom"/>
            <w:gridSpan w:val="4"/>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320" w:type="dxa"/>
            <w:vAlign w:val="bottom"/>
            <w:gridSpan w:val="25"/>
          </w:tcPr>
          <w:p>
            <w:pPr>
              <w:spacing w:after="0"/>
              <w:rPr>
                <w:rFonts w:ascii="Arial" w:cs="Arial" w:eastAsia="Arial" w:hAnsi="Arial"/>
                <w:sz w:val="18"/>
                <w:szCs w:val="18"/>
                <w:color w:val="0000EE"/>
                <w:w w:val="98"/>
              </w:rPr>
            </w:pPr>
            <w:hyperlink r:id="rId86">
              <w:r>
                <w:rPr>
                  <w:rFonts w:ascii="Arial" w:cs="Arial" w:eastAsia="Arial" w:hAnsi="Arial"/>
                  <w:sz w:val="18"/>
                  <w:szCs w:val="18"/>
                  <w:color w:val="0000EE"/>
                  <w:w w:val="98"/>
                </w:rPr>
                <w:t>Form of Common Stock Certificate (filed on October 2, 2009 as Exhibit 4.1 to Amendment No. 4 to Addus HomeCare Corporation’s</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Registration Statement on Form S-1 (File No. 333-160634) and incorporated by reference herein).</w:t>
              </w:r>
            </w:hyperlink>
          </w:p>
        </w:tc>
        <w:tc>
          <w:tcPr>
            <w:tcW w:w="2520" w:type="dxa"/>
            <w:vAlign w:val="bottom"/>
            <w:tcBorders>
              <w:top w:val="single" w:sz="8" w:color="0000EE"/>
            </w:tcBorders>
            <w:gridSpan w:val="3"/>
          </w:tcPr>
          <w:p>
            <w:pPr>
              <w:spacing w:after="0"/>
              <w:rPr>
                <w:sz w:val="17"/>
                <w:szCs w:val="17"/>
                <w:color w:val="auto"/>
              </w:rPr>
            </w:pPr>
          </w:p>
        </w:tc>
        <w:tc>
          <w:tcPr>
            <w:tcW w:w="740" w:type="dxa"/>
            <w:vAlign w:val="bottom"/>
            <w:gridSpan w:val="13"/>
          </w:tcPr>
          <w:p>
            <w:pPr>
              <w:spacing w:after="0"/>
              <w:rPr>
                <w:sz w:val="17"/>
                <w:szCs w:val="17"/>
                <w:color w:val="auto"/>
              </w:rPr>
            </w:pPr>
          </w:p>
        </w:tc>
      </w:tr>
      <w:tr>
        <w:trPr>
          <w:trHeight w:val="3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9940" w:type="dxa"/>
            <w:vAlign w:val="bottom"/>
            <w:tcBorders>
              <w:bottom w:val="single" w:sz="8" w:color="0000EE"/>
            </w:tcBorders>
            <w:gridSpan w:val="17"/>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Description of Securities of Addus HomeCare Corporation Registered under Section 12 of the Exchange Act (filed on August 10, 2020 as</w:t>
              </w:r>
            </w:hyperlink>
          </w:p>
        </w:tc>
        <w:tc>
          <w:tcPr>
            <w:tcW w:w="380" w:type="dxa"/>
            <w:vAlign w:val="bottom"/>
            <w:gridSpan w:val="8"/>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25"/>
          </w:tcPr>
          <w:p>
            <w:pPr>
              <w:spacing w:after="0"/>
              <w:rPr>
                <w:rFonts w:ascii="Arial" w:cs="Arial" w:eastAsia="Arial" w:hAnsi="Arial"/>
                <w:sz w:val="18"/>
                <w:szCs w:val="18"/>
                <w:u w:val="single" w:color="auto"/>
                <w:color w:val="0000EE"/>
                <w:w w:val="95"/>
              </w:rPr>
            </w:pPr>
            <w:hyperlink r:id="rId87">
              <w:r>
                <w:rPr>
                  <w:rFonts w:ascii="Arial" w:cs="Arial" w:eastAsia="Arial" w:hAnsi="Arial"/>
                  <w:sz w:val="18"/>
                  <w:szCs w:val="18"/>
                  <w:u w:val="single" w:color="auto"/>
                  <w:color w:val="0000EE"/>
                  <w:w w:val="95"/>
                </w:rPr>
                <w:t>Exhibit 4.2 to Addus HomeCare Corporation’s Annual Report on Form 10-K (File No. 001-34504) and incorporated by reference herein).</w:t>
              </w:r>
            </w:hyperlink>
          </w:p>
        </w:tc>
      </w:tr>
      <w:tr>
        <w:trPr>
          <w:trHeight w:val="297"/>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920" w:type="dxa"/>
            <w:vAlign w:val="bottom"/>
            <w:tcBorders>
              <w:bottom w:val="single" w:sz="8" w:color="0000EE"/>
            </w:tcBorders>
            <w:gridSpan w:val="16"/>
          </w:tcPr>
          <w:p>
            <w:pP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Separation and General Release Agreement, dated as of September 20, 2009, between Addus HealthCare, Inc. and W. Andrew Wright, III</w:t>
              </w:r>
            </w:hyperlink>
          </w:p>
        </w:tc>
        <w:tc>
          <w:tcPr>
            <w:tcW w:w="400" w:type="dxa"/>
            <w:vAlign w:val="bottom"/>
            <w:gridSpan w:val="9"/>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5"/>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(filed on September 21, 2009 as Exhibit 10.1(b) to Amendment No. 2 to Addus HomeCare Corporation’s Registration Statement on Form S-1</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(File No. 333-160634) and incorporated by reference herein).*</w:t>
              </w:r>
            </w:hyperlink>
          </w:p>
        </w:tc>
        <w:tc>
          <w:tcPr>
            <w:tcW w:w="120" w:type="dxa"/>
            <w:vAlign w:val="bottom"/>
            <w:gridSpan w:val="2"/>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020" w:type="dxa"/>
            <w:vAlign w:val="bottom"/>
            <w:tcBorders>
              <w:bottom w:val="single" w:sz="8" w:color="0000EE"/>
            </w:tcBorders>
            <w:gridSpan w:val="19"/>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Addus HealthCare, Inc. Home Health and Home Care Division Vice President and Regional Director Bonus Plan (filed on July 17, 2009 as</w:t>
              </w:r>
            </w:hyperlink>
          </w:p>
        </w:tc>
        <w:tc>
          <w:tcPr>
            <w:tcW w:w="300" w:type="dxa"/>
            <w:vAlign w:val="bottom"/>
            <w:gridSpan w:val="6"/>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5"/>
          </w:tcPr>
          <w:p>
            <w:pPr>
              <w:spacing w:after="0" w:line="196"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Exhibit 10.10 to Addus HomeCare Corporation’s Registration Statement on Form S-1 (File No. 333-160634) and incorporated by reference</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herein).*</w:t>
              </w:r>
            </w:hyperlink>
          </w:p>
        </w:tc>
        <w:tc>
          <w:tcPr>
            <w:tcW w:w="9400" w:type="dxa"/>
            <w:vAlign w:val="bottom"/>
            <w:tcBorders>
              <w:top w:val="single" w:sz="8" w:color="0000EE"/>
            </w:tcBorders>
            <w:gridSpan w:val="17"/>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3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320" w:type="dxa"/>
            <w:vAlign w:val="bottom"/>
            <w:gridSpan w:val="25"/>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Addus HealthCare, Inc. Support Center Vice President and Department Director Bonus Plan (filed on July 17, 2009 as Exhibit 10.11 to Addus</w:t>
              </w:r>
            </w:hyperlink>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20" w:type="dxa"/>
            <w:vAlign w:val="bottom"/>
            <w:tcBorders>
              <w:top w:val="single" w:sz="8" w:color="0000EE"/>
            </w:tcBorders>
            <w:gridSpan w:val="24"/>
          </w:tcPr>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HomeCare Corporation’s Registration Statement on Form S-1 (File No. 333-160634) and incorporated by reference herein).*</w:t>
              </w:r>
            </w:hyperlink>
          </w:p>
        </w:tc>
        <w:tc>
          <w:tcPr>
            <w:tcW w:w="100" w:type="dxa"/>
            <w:vAlign w:val="bottom"/>
          </w:tcPr>
          <w:p>
            <w:pPr>
              <w:spacing w:after="0"/>
              <w:rPr>
                <w:sz w:val="20"/>
                <w:szCs w:val="20"/>
                <w:color w:val="auto"/>
              </w:rPr>
            </w:pPr>
          </w:p>
        </w:tc>
      </w:tr>
      <w:tr>
        <w:trPr>
          <w:trHeight w:val="297"/>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400" w:type="dxa"/>
            <w:vAlign w:val="bottom"/>
            <w:tcBorders>
              <w:bottom w:val="single" w:sz="8" w:color="0000EE"/>
            </w:tcBorders>
            <w:gridSpan w:val="11"/>
          </w:tcPr>
          <w:p>
            <w:pPr>
              <w:spacing w:after="0"/>
              <w:rPr>
                <w:rFonts w:ascii="Arial" w:cs="Arial" w:eastAsia="Arial" w:hAnsi="Arial"/>
                <w:sz w:val="18"/>
                <w:szCs w:val="18"/>
                <w:color w:val="0000EE"/>
                <w:w w:val="91"/>
              </w:rPr>
            </w:pPr>
            <w:hyperlink r:id="rId91">
              <w:r>
                <w:rPr>
                  <w:rFonts w:ascii="Arial" w:cs="Arial" w:eastAsia="Arial" w:hAnsi="Arial"/>
                  <w:sz w:val="18"/>
                  <w:szCs w:val="18"/>
                  <w:color w:val="0000EE"/>
                  <w:w w:val="91"/>
                </w:rPr>
                <w:t>Addus Holding Corporation 2006 Stock Incentive Plan (filed on July 17, 2009 as Exhibit 10.12 to Addus HomeCare Corporation’s</w:t>
              </w:r>
            </w:hyperlink>
          </w:p>
        </w:tc>
        <w:tc>
          <w:tcPr>
            <w:tcW w:w="920" w:type="dxa"/>
            <w:vAlign w:val="bottom"/>
            <w:gridSpan w:val="1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5"/>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Registration Statement on Form S-1 (File No. 333-160634) and incorporated by reference herein).*</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0320" w:type="dxa"/>
            <w:vAlign w:val="bottom"/>
            <w:gridSpan w:val="25"/>
          </w:tcPr>
          <w:p>
            <w:pPr>
              <w:spacing w:after="0"/>
              <w:rPr>
                <w:rFonts w:ascii="Arial" w:cs="Arial" w:eastAsia="Arial" w:hAnsi="Arial"/>
                <w:sz w:val="18"/>
                <w:szCs w:val="18"/>
                <w:color w:val="0000EE"/>
                <w:w w:val="96"/>
              </w:rPr>
            </w:pPr>
            <w:hyperlink r:id="rId92">
              <w:r>
                <w:rPr>
                  <w:rFonts w:ascii="Arial" w:cs="Arial" w:eastAsia="Arial" w:hAnsi="Arial"/>
                  <w:sz w:val="18"/>
                  <w:szCs w:val="18"/>
                  <w:color w:val="0000EE"/>
                  <w:w w:val="96"/>
                </w:rPr>
                <w:t>Director Form of Non-Qualified Stock Option Certificate under the 2006 Stock Incentive Plan (filed on July 17, 2009 as Exhibit 10.13 to</w:t>
              </w:r>
            </w:hyperlink>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Borders>
              <w:top w:val="single" w:sz="8" w:color="0000EE"/>
            </w:tcBorders>
            <w:gridSpan w:val="15"/>
          </w:tcPr>
          <w:p>
            <w:pPr>
              <w:spacing w:after="0"/>
              <w:rPr>
                <w:rFonts w:ascii="Arial" w:cs="Arial" w:eastAsia="Arial" w:hAnsi="Arial"/>
                <w:sz w:val="18"/>
                <w:szCs w:val="18"/>
                <w:u w:val="single" w:color="auto"/>
                <w:color w:val="0000EE"/>
                <w:w w:val="94"/>
              </w:rPr>
            </w:pPr>
            <w:hyperlink r:id="rId92">
              <w:r>
                <w:rPr>
                  <w:rFonts w:ascii="Arial" w:cs="Arial" w:eastAsia="Arial" w:hAnsi="Arial"/>
                  <w:sz w:val="18"/>
                  <w:szCs w:val="18"/>
                  <w:u w:val="single" w:color="auto"/>
                  <w:color w:val="0000EE"/>
                  <w:w w:val="94"/>
                </w:rPr>
                <w:t>Addus HomeCare Corporation’s Registration Statement on Form S-1 (File No. 333-160634) and incorporated by reference herein).*</w:t>
              </w:r>
            </w:hyperlink>
          </w:p>
        </w:tc>
        <w:tc>
          <w:tcPr>
            <w:tcW w:w="460" w:type="dxa"/>
            <w:vAlign w:val="bottom"/>
            <w:gridSpan w:val="10"/>
          </w:tcPr>
          <w:p>
            <w:pPr>
              <w:spacing w:after="0"/>
              <w:rPr>
                <w:sz w:val="20"/>
                <w:szCs w:val="20"/>
                <w:color w:val="auto"/>
              </w:rPr>
            </w:pPr>
          </w:p>
        </w:tc>
      </w:tr>
      <w:tr>
        <w:trPr>
          <w:trHeight w:val="297"/>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10320" w:type="dxa"/>
            <w:vAlign w:val="bottom"/>
            <w:gridSpan w:val="25"/>
          </w:tcPr>
          <w:p>
            <w:pPr>
              <w:spacing w:after="0"/>
              <w:rPr>
                <w:rFonts w:ascii="Arial" w:cs="Arial" w:eastAsia="Arial" w:hAnsi="Arial"/>
                <w:sz w:val="18"/>
                <w:szCs w:val="18"/>
                <w:color w:val="0000EE"/>
                <w:w w:val="95"/>
              </w:rPr>
            </w:pPr>
            <w:hyperlink r:id="rId93">
              <w:r>
                <w:rPr>
                  <w:rFonts w:ascii="Arial" w:cs="Arial" w:eastAsia="Arial" w:hAnsi="Arial"/>
                  <w:sz w:val="18"/>
                  <w:szCs w:val="18"/>
                  <w:color w:val="0000EE"/>
                  <w:w w:val="95"/>
                </w:rPr>
                <w:t>Executive Form of Non-Qualified Stock Option Certificate under the 2006 Stock Incentive Plan (filed on July 17, 2009 as Exhibit 10.14 to</w:t>
              </w:r>
            </w:hyperlink>
          </w:p>
        </w:tc>
      </w:tr>
      <w:tr>
        <w:trPr>
          <w:trHeight w:val="237"/>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tcBorders>
              <w:top w:val="single" w:sz="8" w:color="0000EE"/>
            </w:tcBorders>
            <w:gridSpan w:val="18"/>
          </w:tcPr>
          <w:p>
            <w:pPr>
              <w:spacing w:after="0"/>
              <w:rPr>
                <w:rFonts w:ascii="Arial" w:cs="Arial" w:eastAsia="Arial" w:hAnsi="Arial"/>
                <w:sz w:val="18"/>
                <w:szCs w:val="18"/>
                <w:u w:val="single" w:color="auto"/>
                <w:color w:val="0000EE"/>
                <w:w w:val="95"/>
              </w:rPr>
            </w:pPr>
            <w:hyperlink r:id="rId93">
              <w:r>
                <w:rPr>
                  <w:rFonts w:ascii="Arial" w:cs="Arial" w:eastAsia="Arial" w:hAnsi="Arial"/>
                  <w:sz w:val="18"/>
                  <w:szCs w:val="18"/>
                  <w:u w:val="single" w:color="auto"/>
                  <w:color w:val="0000EE"/>
                  <w:w w:val="95"/>
                </w:rPr>
                <w:t>Addus HomeCare Corporation’s Registration Statement on Form S-1 (File No. 333-160634) and incorporated by reference herein).*</w:t>
              </w:r>
            </w:hyperlink>
          </w:p>
        </w:tc>
        <w:tc>
          <w:tcPr>
            <w:tcW w:w="340" w:type="dxa"/>
            <w:vAlign w:val="bottom"/>
            <w:gridSpan w:val="7"/>
          </w:tcPr>
          <w:p>
            <w:pPr>
              <w:spacing w:after="0"/>
              <w:rPr>
                <w:sz w:val="20"/>
                <w:szCs w:val="20"/>
                <w:color w:val="auto"/>
              </w:rPr>
            </w:pPr>
          </w:p>
        </w:tc>
      </w:tr>
      <w:tr>
        <w:trPr>
          <w:trHeight w:val="297"/>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320" w:type="dxa"/>
            <w:vAlign w:val="bottom"/>
            <w:gridSpan w:val="25"/>
          </w:tcPr>
          <w:p>
            <w:pPr>
              <w:spacing w:after="0"/>
              <w:rPr>
                <w:rFonts w:ascii="Arial" w:cs="Arial" w:eastAsia="Arial" w:hAnsi="Arial"/>
                <w:sz w:val="18"/>
                <w:szCs w:val="18"/>
                <w:color w:val="0000EE"/>
                <w:w w:val="94"/>
              </w:rPr>
            </w:pPr>
            <w:hyperlink r:id="rId94">
              <w:r>
                <w:rPr>
                  <w:rFonts w:ascii="Arial" w:cs="Arial" w:eastAsia="Arial" w:hAnsi="Arial"/>
                  <w:sz w:val="18"/>
                  <w:szCs w:val="18"/>
                  <w:color w:val="0000EE"/>
                  <w:w w:val="94"/>
                </w:rPr>
                <w:t>Form of Indemnification Agreement (filed on July 17, 2009 as Exhibit 10.16 to Addus HomeCare Corporation’s Registration Statement on</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Form S-1 (File No. 333-160634) and incorporated by reference herein).</w:t>
              </w:r>
            </w:hyperlink>
          </w:p>
        </w:tc>
        <w:tc>
          <w:tcPr>
            <w:tcW w:w="340" w:type="dxa"/>
            <w:vAlign w:val="bottom"/>
            <w:gridSpan w:val="7"/>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17"/>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820" w:type="dxa"/>
            <w:vAlign w:val="bottom"/>
            <w:tcBorders>
              <w:bottom w:val="single" w:sz="8" w:color="0000EE"/>
            </w:tcBorders>
            <w:gridSpan w:val="14"/>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License Agreement for Horizon Homecare Software, dated March 24, 2006, between McKesson Information Solutions, LLC and Addus</w:t>
              </w:r>
            </w:hyperlink>
          </w:p>
        </w:tc>
        <w:tc>
          <w:tcPr>
            <w:tcW w:w="500" w:type="dxa"/>
            <w:vAlign w:val="bottom"/>
            <w:gridSpan w:val="11"/>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5"/>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HealthCare, Inc. (filed on August 26, 2009 as Exhibit 10.17 to Amendment No. 1 to Addus HomeCare Corporation’s Registration Statement</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on Form S-1 (File No. 333-160634) and incorporated by reference herein).</w:t>
              </w:r>
            </w:hyperlink>
          </w:p>
        </w:tc>
        <w:tc>
          <w:tcPr>
            <w:tcW w:w="220" w:type="dxa"/>
            <w:vAlign w:val="bottom"/>
            <w:gridSpan w:val="3"/>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r>
      <w:tr>
        <w:trPr>
          <w:trHeight w:val="318"/>
        </w:trPr>
        <w:tc>
          <w:tcPr>
            <w:tcW w:w="800" w:type="dxa"/>
            <w:vAlign w:val="bottom"/>
          </w:tcPr>
          <w:p>
            <w:pPr>
              <w:jc w:val="right"/>
              <w:ind w:right="29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320" w:type="dxa"/>
            <w:vAlign w:val="bottom"/>
            <w:gridSpan w:val="25"/>
          </w:tcPr>
          <w:p>
            <w:pPr>
              <w:spacing w:after="0"/>
              <w:rPr>
                <w:rFonts w:ascii="Arial" w:cs="Arial" w:eastAsia="Arial" w:hAnsi="Arial"/>
                <w:sz w:val="18"/>
                <w:szCs w:val="18"/>
                <w:color w:val="0000EE"/>
                <w:w w:val="99"/>
              </w:rPr>
            </w:pPr>
            <w:hyperlink r:id="rId96">
              <w:r>
                <w:rPr>
                  <w:rFonts w:ascii="Arial" w:cs="Arial" w:eastAsia="Arial" w:hAnsi="Arial"/>
                  <w:sz w:val="18"/>
                  <w:szCs w:val="18"/>
                  <w:color w:val="0000EE"/>
                  <w:w w:val="99"/>
                </w:rPr>
                <w:t>Contract Supplement to License Agreement No. C0608555, dated March 24, 2006 (filed on August 26, 2009 as Exhibit 10.17(a) to</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120" w:type="dxa"/>
            <w:vAlign w:val="bottom"/>
            <w:gridSpan w:val="6"/>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600" w:type="dxa"/>
            <w:vAlign w:val="bottom"/>
            <w:gridSpan w:val="12"/>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5"/>
          </w:tcPr>
          <w:p>
            <w:pPr>
              <w:spacing w:after="0" w:line="196" w:lineRule="exact"/>
              <w:rPr>
                <w:rFonts w:ascii="Arial" w:cs="Arial" w:eastAsia="Arial" w:hAnsi="Arial"/>
                <w:sz w:val="18"/>
                <w:szCs w:val="18"/>
                <w:color w:val="0000EE"/>
                <w:w w:val="96"/>
              </w:rPr>
            </w:pPr>
            <w:hyperlink r:id="rId96">
              <w:r>
                <w:rPr>
                  <w:rFonts w:ascii="Arial" w:cs="Arial" w:eastAsia="Arial" w:hAnsi="Arial"/>
                  <w:sz w:val="18"/>
                  <w:szCs w:val="18"/>
                  <w:color w:val="0000EE"/>
                  <w:w w:val="96"/>
                </w:rPr>
                <w:t>Amendment No. 1 to Addus HomeCare Corporation’s Registration Statement on Form S-1 (File No. 333-160634) and incorporated by</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reference herein).</w:t>
              </w:r>
            </w:hyperlink>
          </w:p>
        </w:tc>
        <w:tc>
          <w:tcPr>
            <w:tcW w:w="8440" w:type="dxa"/>
            <w:vAlign w:val="bottom"/>
            <w:tcBorders>
              <w:top w:val="single" w:sz="8" w:color="0000EE"/>
            </w:tcBorders>
            <w:gridSpan w:val="8"/>
          </w:tcPr>
          <w:p>
            <w:pPr>
              <w:spacing w:after="0"/>
              <w:rPr>
                <w:sz w:val="17"/>
                <w:szCs w:val="17"/>
                <w:color w:val="auto"/>
              </w:rPr>
            </w:pPr>
          </w:p>
        </w:tc>
        <w:tc>
          <w:tcPr>
            <w:tcW w:w="600" w:type="dxa"/>
            <w:vAlign w:val="bottom"/>
            <w:gridSpan w:val="12"/>
          </w:tcPr>
          <w:p>
            <w:pPr>
              <w:spacing w:after="0"/>
              <w:rPr>
                <w:sz w:val="17"/>
                <w:szCs w:val="17"/>
                <w:color w:val="auto"/>
              </w:rPr>
            </w:pPr>
          </w:p>
        </w:tc>
      </w:tr>
      <w:tr>
        <w:trPr>
          <w:trHeight w:val="318"/>
        </w:trPr>
        <w:tc>
          <w:tcPr>
            <w:tcW w:w="800" w:type="dxa"/>
            <w:vAlign w:val="bottom"/>
          </w:tcPr>
          <w:p>
            <w:pPr>
              <w:jc w:val="right"/>
              <w:ind w:right="21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320" w:type="dxa"/>
            <w:vAlign w:val="bottom"/>
            <w:gridSpan w:val="25"/>
          </w:tcPr>
          <w:p>
            <w:pPr>
              <w:spacing w:after="0"/>
              <w:rPr>
                <w:rFonts w:ascii="Arial" w:cs="Arial" w:eastAsia="Arial" w:hAnsi="Arial"/>
                <w:sz w:val="18"/>
                <w:szCs w:val="18"/>
                <w:color w:val="0000EE"/>
                <w:w w:val="99"/>
              </w:rPr>
            </w:pPr>
            <w:hyperlink r:id="rId97">
              <w:r>
                <w:rPr>
                  <w:rFonts w:ascii="Arial" w:cs="Arial" w:eastAsia="Arial" w:hAnsi="Arial"/>
                  <w:sz w:val="18"/>
                  <w:szCs w:val="18"/>
                  <w:color w:val="0000EE"/>
                  <w:w w:val="99"/>
                </w:rPr>
                <w:t>Contract Supplement to License Agreement No. 00608555, dated March 28, 2006 (filed on August 26, 2009 as Exhibit 10.17(b) to</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8140" w:type="dxa"/>
            <w:vAlign w:val="bottom"/>
            <w:gridSpan w:val="7"/>
            <w:shd w:val="clear" w:color="auto" w:fill="0000EE"/>
          </w:tcPr>
          <w:p>
            <w:pPr>
              <w:spacing w:after="0" w:line="20" w:lineRule="exact"/>
              <w:rPr>
                <w:sz w:val="1"/>
                <w:szCs w:val="1"/>
                <w:color w:val="auto"/>
              </w:rPr>
            </w:pPr>
          </w:p>
        </w:tc>
        <w:tc>
          <w:tcPr>
            <w:tcW w:w="920" w:type="dxa"/>
            <w:vAlign w:val="bottom"/>
            <w:gridSpan w:val="14"/>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25"/>
          </w:tcPr>
          <w:p>
            <w:pPr>
              <w:spacing w:after="0" w:line="196" w:lineRule="exact"/>
              <w:rPr>
                <w:rFonts w:ascii="Arial" w:cs="Arial" w:eastAsia="Arial" w:hAnsi="Arial"/>
                <w:sz w:val="18"/>
                <w:szCs w:val="18"/>
                <w:color w:val="0000EE"/>
                <w:w w:val="96"/>
              </w:rPr>
            </w:pPr>
            <w:hyperlink r:id="rId97">
              <w:r>
                <w:rPr>
                  <w:rFonts w:ascii="Arial" w:cs="Arial" w:eastAsia="Arial" w:hAnsi="Arial"/>
                  <w:sz w:val="18"/>
                  <w:szCs w:val="18"/>
                  <w:color w:val="0000EE"/>
                  <w:w w:val="96"/>
                </w:rPr>
                <w:t>Amendment No. 1 to Addus HomeCare Corporation’s Registration Statement on Form S-1 (File No. 333-160634) and incorporated by</w:t>
              </w:r>
            </w:hyperlink>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reference herein).</w:t>
              </w:r>
            </w:hyperlink>
          </w:p>
        </w:tc>
        <w:tc>
          <w:tcPr>
            <w:tcW w:w="600" w:type="dxa"/>
            <w:vAlign w:val="bottom"/>
            <w:gridSpan w:val="12"/>
          </w:tcPr>
          <w:p>
            <w:pPr>
              <w:spacing w:after="0"/>
              <w:rPr>
                <w:sz w:val="17"/>
                <w:szCs w:val="17"/>
                <w:color w:val="auto"/>
              </w:rPr>
            </w:pPr>
          </w:p>
        </w:tc>
      </w:tr>
      <w:tr>
        <w:trPr>
          <w:trHeight w:val="452"/>
        </w:trPr>
        <w:tc>
          <w:tcPr>
            <w:tcW w:w="8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240" w:type="dxa"/>
            <w:vAlign w:val="bottom"/>
            <w:tcBorders>
              <w:top w:val="single" w:sz="8" w:color="0000EE"/>
            </w:tcBorders>
            <w:gridSpan w:val="3"/>
          </w:tcPr>
          <w:p>
            <w:pPr>
              <w:spacing w:after="0"/>
              <w:rPr>
                <w:sz w:val="24"/>
                <w:szCs w:val="24"/>
                <w:color w:val="auto"/>
              </w:rPr>
            </w:pPr>
          </w:p>
        </w:tc>
        <w:tc>
          <w:tcPr>
            <w:tcW w:w="3880" w:type="dxa"/>
            <w:vAlign w:val="bottom"/>
            <w:gridSpan w:val="3"/>
          </w:tcPr>
          <w:p>
            <w:pPr>
              <w:jc w:val="right"/>
              <w:ind w:right="34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10.11</w:t>
            </w:r>
          </w:p>
        </w:tc>
        <w:tc>
          <w:tcPr>
            <w:tcW w:w="9740" w:type="dxa"/>
            <w:vAlign w:val="bottom"/>
            <w:tcBorders>
              <w:bottom w:val="single" w:sz="8" w:color="0000EE"/>
            </w:tcBorders>
            <w:gridSpan w:val="15"/>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Amendment to License Agreement No. C0608555, dated March  28, 2006, between McKesson Information Solutions LLC and Addus</w:t>
              </w:r>
            </w:hyperlink>
          </w:p>
        </w:tc>
        <w:tc>
          <w:tcPr>
            <w:tcW w:w="580" w:type="dxa"/>
            <w:vAlign w:val="bottom"/>
            <w:gridSpan w:val="1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31"/>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HealthCare, Inc. (filed on August 26, 2009 as Exhibit 10.17(c) to Amendment No. 1 to Addus HomeCare Corporation’s Registration Statement</w:t>
              </w:r>
            </w:hyperlink>
          </w:p>
        </w:tc>
      </w:tr>
      <w:tr>
        <w:trPr>
          <w:trHeight w:val="196"/>
        </w:trPr>
        <w:tc>
          <w:tcPr>
            <w:tcW w:w="920" w:type="dxa"/>
            <w:vAlign w:val="bottom"/>
          </w:tcPr>
          <w:p>
            <w:pPr>
              <w:spacing w:after="0"/>
              <w:rPr>
                <w:sz w:val="17"/>
                <w:szCs w:val="17"/>
                <w:color w:val="auto"/>
              </w:rPr>
            </w:pPr>
          </w:p>
        </w:tc>
        <w:tc>
          <w:tcPr>
            <w:tcW w:w="103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on Form S-1 (File No. 333-160634) and incorporated by reference herein).</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10.12</w:t>
            </w:r>
          </w:p>
        </w:tc>
        <w:tc>
          <w:tcPr>
            <w:tcW w:w="10320" w:type="dxa"/>
            <w:vAlign w:val="bottom"/>
            <w:gridSpan w:val="31"/>
          </w:tcPr>
          <w:p>
            <w:pPr>
              <w:spacing w:after="0"/>
              <w:rPr>
                <w:rFonts w:ascii="Arial" w:cs="Arial" w:eastAsia="Arial" w:hAnsi="Arial"/>
                <w:sz w:val="18"/>
                <w:szCs w:val="18"/>
                <w:color w:val="0000EE"/>
                <w:w w:val="95"/>
              </w:rPr>
            </w:pPr>
            <w:hyperlink r:id="rId101">
              <w:r>
                <w:rPr>
                  <w:rFonts w:ascii="Arial" w:cs="Arial" w:eastAsia="Arial" w:hAnsi="Arial"/>
                  <w:sz w:val="18"/>
                  <w:szCs w:val="18"/>
                  <w:color w:val="0000EE"/>
                  <w:w w:val="95"/>
                </w:rPr>
                <w:t>Form of Addus HomeCare Corporation 2009 Stock Incentive Plan (filed on September 21, 2009 as Exhibit 10.20 to Amendment No. 2 to</w:t>
              </w:r>
            </w:hyperlink>
          </w:p>
        </w:tc>
      </w:tr>
      <w:tr>
        <w:trPr>
          <w:trHeight w:val="237"/>
        </w:trPr>
        <w:tc>
          <w:tcPr>
            <w:tcW w:w="920" w:type="dxa"/>
            <w:vAlign w:val="bottom"/>
          </w:tcPr>
          <w:p>
            <w:pPr>
              <w:spacing w:after="0"/>
              <w:rPr>
                <w:sz w:val="20"/>
                <w:szCs w:val="20"/>
                <w:color w:val="auto"/>
              </w:rPr>
            </w:pPr>
          </w:p>
        </w:tc>
        <w:tc>
          <w:tcPr>
            <w:tcW w:w="9880" w:type="dxa"/>
            <w:vAlign w:val="bottom"/>
            <w:tcBorders>
              <w:top w:val="single" w:sz="8" w:color="0000EE"/>
            </w:tcBorders>
            <w:gridSpan w:val="18"/>
          </w:tcPr>
          <w:p>
            <w:pPr>
              <w:spacing w:after="0"/>
              <w:rPr>
                <w:rFonts w:ascii="Arial" w:cs="Arial" w:eastAsia="Arial" w:hAnsi="Arial"/>
                <w:sz w:val="18"/>
                <w:szCs w:val="18"/>
                <w:u w:val="single" w:color="auto"/>
                <w:color w:val="0000EE"/>
                <w:w w:val="94"/>
              </w:rPr>
            </w:pPr>
            <w:hyperlink r:id="rId101">
              <w:r>
                <w:rPr>
                  <w:rFonts w:ascii="Arial" w:cs="Arial" w:eastAsia="Arial" w:hAnsi="Arial"/>
                  <w:sz w:val="18"/>
                  <w:szCs w:val="18"/>
                  <w:u w:val="single" w:color="auto"/>
                  <w:color w:val="0000EE"/>
                  <w:w w:val="94"/>
                </w:rPr>
                <w:t>Addus HomeCare Corporation’s Registration Statement on Form S-1 (File No. 333-160634) and incorporated by reference herein).*</w:t>
              </w:r>
            </w:hyperlink>
          </w:p>
        </w:tc>
        <w:tc>
          <w:tcPr>
            <w:tcW w:w="440" w:type="dxa"/>
            <w:vAlign w:val="bottom"/>
            <w:gridSpan w:val="13"/>
          </w:tcPr>
          <w:p>
            <w:pPr>
              <w:spacing w:after="0"/>
              <w:rPr>
                <w:sz w:val="20"/>
                <w:szCs w:val="20"/>
                <w:color w:val="auto"/>
              </w:rPr>
            </w:pPr>
          </w:p>
        </w:tc>
      </w:tr>
      <w:tr>
        <w:trPr>
          <w:trHeight w:val="29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10.13</w:t>
            </w:r>
          </w:p>
        </w:tc>
        <w:tc>
          <w:tcPr>
            <w:tcW w:w="10000" w:type="dxa"/>
            <w:vAlign w:val="bottom"/>
            <w:tcBorders>
              <w:bottom w:val="single" w:sz="8" w:color="0000EE"/>
            </w:tcBorders>
            <w:gridSpan w:val="20"/>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Nonqualified Stock Option Award Agreement pursuant to the 2009 Stock Incentive Plan (filed on September  21, 2009 as Exhibit</w:t>
              </w:r>
            </w:hyperlink>
          </w:p>
        </w:tc>
        <w:tc>
          <w:tcPr>
            <w:tcW w:w="32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4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20(a)</w:t>
              </w:r>
              <w:r>
                <w:rPr>
                  <w:rFonts w:ascii="Arial" w:cs="Arial" w:eastAsia="Arial" w:hAnsi="Arial"/>
                  <w:sz w:val="18"/>
                  <w:szCs w:val="18"/>
                  <w:color w:val="0000EE"/>
                  <w:w w:val="91"/>
                </w:rPr>
                <w:t xml:space="preserve"> to Amendment No. 2 to Addus HomeCare Corporation’s Registration Statement on Form S-1 (File No. 333-160634) and</w:t>
              </w:r>
            </w:hyperlink>
          </w:p>
        </w:tc>
        <w:tc>
          <w:tcPr>
            <w:tcW w:w="880" w:type="dxa"/>
            <w:vAlign w:val="bottom"/>
            <w:gridSpan w:val="1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incorporated by reference herein).*</w:t>
              </w:r>
            </w:hyperlink>
          </w:p>
        </w:tc>
        <w:tc>
          <w:tcPr>
            <w:tcW w:w="7780" w:type="dxa"/>
            <w:vAlign w:val="bottom"/>
            <w:gridSpan w:val="27"/>
          </w:tcPr>
          <w:p>
            <w:pPr>
              <w:spacing w:after="0"/>
              <w:rPr>
                <w:sz w:val="17"/>
                <w:szCs w:val="17"/>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10.14</w:t>
            </w:r>
          </w:p>
        </w:tc>
        <w:tc>
          <w:tcPr>
            <w:tcW w:w="10100" w:type="dxa"/>
            <w:vAlign w:val="bottom"/>
            <w:tcBorders>
              <w:bottom w:val="single" w:sz="8" w:color="0000EE"/>
            </w:tcBorders>
            <w:gridSpan w:val="23"/>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Form of Restricted Stock Award Agreement pursuant to the 2009 Stock Incentive Plan (filed on September  21, 2009 as Exhibit 10.20(b) to</w:t>
              </w:r>
            </w:hyperlink>
          </w:p>
        </w:tc>
        <w:tc>
          <w:tcPr>
            <w:tcW w:w="22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31"/>
          </w:tcPr>
          <w:p>
            <w:pPr>
              <w:spacing w:after="0" w:line="196" w:lineRule="exact"/>
              <w:rPr>
                <w:rFonts w:ascii="Arial" w:cs="Arial" w:eastAsia="Arial" w:hAnsi="Arial"/>
                <w:sz w:val="18"/>
                <w:szCs w:val="18"/>
                <w:color w:val="0000EE"/>
                <w:w w:val="96"/>
              </w:rPr>
            </w:pPr>
            <w:hyperlink r:id="rId103">
              <w:r>
                <w:rPr>
                  <w:rFonts w:ascii="Arial" w:cs="Arial" w:eastAsia="Arial" w:hAnsi="Arial"/>
                  <w:sz w:val="18"/>
                  <w:szCs w:val="18"/>
                  <w:color w:val="0000EE"/>
                  <w:w w:val="96"/>
                </w:rPr>
                <w:t>Amendment No. 2 to Addus HomeCare Corporation’s Registration Statement on Form S-1 (File No. 333-160634) and incorporated by</w:t>
              </w:r>
            </w:hyperlink>
          </w:p>
        </w:tc>
      </w:tr>
      <w:tr>
        <w:trPr>
          <w:trHeight w:val="196"/>
        </w:trPr>
        <w:tc>
          <w:tcPr>
            <w:tcW w:w="9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reference herein).*</w:t>
              </w:r>
            </w:hyperlink>
          </w:p>
        </w:tc>
        <w:tc>
          <w:tcPr>
            <w:tcW w:w="8320" w:type="dxa"/>
            <w:vAlign w:val="bottom"/>
            <w:tcBorders>
              <w:top w:val="single" w:sz="8" w:color="0000EE"/>
            </w:tcBorders>
            <w:gridSpan w:val="11"/>
          </w:tcPr>
          <w:p>
            <w:pPr>
              <w:spacing w:after="0"/>
              <w:rPr>
                <w:sz w:val="17"/>
                <w:szCs w:val="17"/>
                <w:color w:val="auto"/>
              </w:rPr>
            </w:pPr>
          </w:p>
        </w:tc>
        <w:tc>
          <w:tcPr>
            <w:tcW w:w="640" w:type="dxa"/>
            <w:vAlign w:val="bottom"/>
            <w:gridSpan w:val="18"/>
          </w:tcPr>
          <w:p>
            <w:pPr>
              <w:spacing w:after="0"/>
              <w:rPr>
                <w:sz w:val="17"/>
                <w:szCs w:val="17"/>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10.15</w:t>
            </w:r>
          </w:p>
        </w:tc>
        <w:tc>
          <w:tcPr>
            <w:tcW w:w="10100" w:type="dxa"/>
            <w:vAlign w:val="bottom"/>
            <w:tcBorders>
              <w:bottom w:val="single" w:sz="8" w:color="0000EE"/>
            </w:tcBorders>
            <w:gridSpan w:val="23"/>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The Executive Nonqualified “Excess” Plan Adoption Agreement, by Addus HealthCare, Inc., dated April 1, 2012 (filed on April 5, 2012 as</w:t>
              </w:r>
            </w:hyperlink>
          </w:p>
        </w:tc>
        <w:tc>
          <w:tcPr>
            <w:tcW w:w="220" w:type="dxa"/>
            <w:vAlign w:val="bottom"/>
            <w:gridSpan w:val="8"/>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10320" w:type="dxa"/>
            <w:vAlign w:val="bottom"/>
            <w:gridSpan w:val="31"/>
          </w:tcPr>
          <w:p>
            <w:pPr>
              <w:spacing w:after="0"/>
              <w:rPr>
                <w:rFonts w:ascii="Arial" w:cs="Arial" w:eastAsia="Arial" w:hAnsi="Arial"/>
                <w:sz w:val="18"/>
                <w:szCs w:val="18"/>
                <w:u w:val="single" w:color="auto"/>
                <w:color w:val="0000EE"/>
                <w:w w:val="94"/>
              </w:rPr>
            </w:pPr>
            <w:hyperlink r:id="rId104">
              <w:r>
                <w:rPr>
                  <w:rFonts w:ascii="Arial" w:cs="Arial" w:eastAsia="Arial" w:hAnsi="Arial"/>
                  <w:sz w:val="18"/>
                  <w:szCs w:val="18"/>
                  <w:u w:val="single" w:color="auto"/>
                  <w:color w:val="0000EE"/>
                  <w:w w:val="94"/>
                </w:rPr>
                <w:t>Exhibit 99.1 to Addus HomeCare Corporation’s Current Report on Form 8-K (File No. 001-34504) and incorporated by reference herein).*</w:t>
              </w:r>
            </w:hyperlink>
          </w:p>
        </w:tc>
      </w:tr>
      <w:tr>
        <w:trPr>
          <w:trHeight w:val="29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10.16</w:t>
            </w:r>
          </w:p>
        </w:tc>
        <w:tc>
          <w:tcPr>
            <w:tcW w:w="10320" w:type="dxa"/>
            <w:vAlign w:val="bottom"/>
            <w:gridSpan w:val="31"/>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The Executive Nonqualified Excess Plan Document (filed on April 5, 2012 as Exhibit 99.2 to Addus HomeCare Corporation’s Current Report</w:t>
              </w:r>
            </w:hyperlink>
          </w:p>
        </w:tc>
      </w:tr>
      <w:tr>
        <w:trPr>
          <w:trHeight w:val="196"/>
        </w:trPr>
        <w:tc>
          <w:tcPr>
            <w:tcW w:w="92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on Form 8-K (File No. 001-34504) and incorporated herein by reference).*</w:t>
              </w:r>
            </w:hyperlink>
          </w:p>
        </w:tc>
        <w:tc>
          <w:tcPr>
            <w:tcW w:w="4820" w:type="dxa"/>
            <w:vAlign w:val="bottom"/>
            <w:tcBorders>
              <w:top w:val="single" w:sz="8" w:color="0000EE"/>
            </w:tcBorders>
            <w:gridSpan w:val="17"/>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10.17</w:t>
            </w:r>
          </w:p>
        </w:tc>
        <w:tc>
          <w:tcPr>
            <w:tcW w:w="9820" w:type="dxa"/>
            <w:vAlign w:val="bottom"/>
            <w:tcBorders>
              <w:bottom w:val="single" w:sz="8" w:color="0000EE"/>
            </w:tcBorders>
            <w:gridSpan w:val="16"/>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Asset Purchase Agreement, dated as of February 7, 2013, by and among Addus HealthCare, Inc., its subsidiaries identified therein, LHC</w:t>
              </w:r>
            </w:hyperlink>
          </w:p>
        </w:tc>
        <w:tc>
          <w:tcPr>
            <w:tcW w:w="500" w:type="dxa"/>
            <w:vAlign w:val="bottom"/>
            <w:gridSpan w:val="1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Group, Inc. and its subsidiaries identified therein (filed on March 6, 2013 as Exhibit 99.1 to Addus HomeCare Corporation’s Current Report on</w:t>
              </w:r>
            </w:hyperlink>
          </w:p>
        </w:tc>
      </w:tr>
      <w:tr>
        <w:trPr>
          <w:trHeight w:val="196"/>
        </w:trPr>
        <w:tc>
          <w:tcPr>
            <w:tcW w:w="920" w:type="dxa"/>
            <w:vAlign w:val="bottom"/>
          </w:tcPr>
          <w:p>
            <w:pPr>
              <w:spacing w:after="0"/>
              <w:rPr>
                <w:sz w:val="17"/>
                <w:szCs w:val="17"/>
                <w:color w:val="auto"/>
              </w:rPr>
            </w:pPr>
          </w:p>
        </w:tc>
        <w:tc>
          <w:tcPr>
            <w:tcW w:w="10320" w:type="dxa"/>
            <w:vAlign w:val="bottom"/>
            <w:gridSpan w:val="31"/>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Form 8-K (File No. 001-34504) and incorporated by reference herein).</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10.18</w:t>
            </w:r>
          </w:p>
        </w:tc>
        <w:tc>
          <w:tcPr>
            <w:tcW w:w="10320" w:type="dxa"/>
            <w:vAlign w:val="bottom"/>
            <w:gridSpan w:val="31"/>
          </w:tcPr>
          <w:p>
            <w:pPr>
              <w:spacing w:after="0"/>
              <w:rPr>
                <w:rFonts w:ascii="Arial" w:cs="Arial" w:eastAsia="Arial" w:hAnsi="Arial"/>
                <w:sz w:val="18"/>
                <w:szCs w:val="18"/>
                <w:color w:val="0000EE"/>
                <w:w w:val="99"/>
              </w:rPr>
            </w:pPr>
            <w:hyperlink r:id="rId107">
              <w:r>
                <w:rPr>
                  <w:rFonts w:ascii="Arial" w:cs="Arial" w:eastAsia="Arial" w:hAnsi="Arial"/>
                  <w:sz w:val="18"/>
                  <w:szCs w:val="18"/>
                  <w:color w:val="0000EE"/>
                  <w:w w:val="99"/>
                </w:rPr>
                <w:t>Employment and Non-Competition Agreement, effective December 15, 2014, by and between Addus HealthCare, Inc. and Maxine</w:t>
              </w:r>
            </w:hyperlink>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0" w:type="dxa"/>
            <w:vAlign w:val="bottom"/>
            <w:gridSpan w:val="4"/>
            <w:shd w:val="clear" w:color="auto" w:fill="0000EE"/>
          </w:tcPr>
          <w:p>
            <w:pPr>
              <w:spacing w:after="0" w:line="20" w:lineRule="exact"/>
              <w:rPr>
                <w:sz w:val="1"/>
                <w:szCs w:val="1"/>
                <w:color w:val="auto"/>
              </w:rPr>
            </w:pPr>
          </w:p>
        </w:tc>
        <w:tc>
          <w:tcPr>
            <w:tcW w:w="34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320" w:type="dxa"/>
            <w:vAlign w:val="bottom"/>
            <w:gridSpan w:val="31"/>
          </w:tcPr>
          <w:p>
            <w:pPr>
              <w:spacing w:after="0" w:line="196" w:lineRule="exact"/>
              <w:rPr>
                <w:rFonts w:ascii="Arial" w:cs="Arial" w:eastAsia="Arial" w:hAnsi="Arial"/>
                <w:sz w:val="18"/>
                <w:szCs w:val="18"/>
                <w:color w:val="0000EE"/>
                <w:w w:val="95"/>
              </w:rPr>
            </w:pPr>
            <w:hyperlink r:id="rId107">
              <w:r>
                <w:rPr>
                  <w:rFonts w:ascii="Arial" w:cs="Arial" w:eastAsia="Arial" w:hAnsi="Arial"/>
                  <w:sz w:val="18"/>
                  <w:szCs w:val="18"/>
                  <w:color w:val="0000EE"/>
                  <w:w w:val="95"/>
                </w:rPr>
                <w:t>Hochhauser (filed on December 15, 2014 as Exhibit 99.1 to Addus HomeCare Corporation’s Current Report on Form 8-K (File No. 001-</w:t>
              </w:r>
            </w:hyperlink>
          </w:p>
        </w:tc>
      </w:tr>
      <w:tr>
        <w:trPr>
          <w:trHeight w:val="196"/>
        </w:trPr>
        <w:tc>
          <w:tcPr>
            <w:tcW w:w="920" w:type="dxa"/>
            <w:vAlign w:val="bottom"/>
          </w:tcPr>
          <w:p>
            <w:pPr>
              <w:spacing w:after="0"/>
              <w:rPr>
                <w:sz w:val="17"/>
                <w:szCs w:val="17"/>
                <w:color w:val="auto"/>
              </w:rPr>
            </w:pPr>
          </w:p>
        </w:tc>
        <w:tc>
          <w:tcPr>
            <w:tcW w:w="98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34504) and incorporated by reference herein).*</w:t>
              </w:r>
            </w:hyperlink>
          </w:p>
        </w:tc>
        <w:tc>
          <w:tcPr>
            <w:tcW w:w="480" w:type="dxa"/>
            <w:vAlign w:val="bottom"/>
            <w:gridSpan w:val="1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10.19</w:t>
            </w:r>
          </w:p>
        </w:tc>
        <w:tc>
          <w:tcPr>
            <w:tcW w:w="10260" w:type="dxa"/>
            <w:vAlign w:val="bottom"/>
            <w:tcBorders>
              <w:bottom w:val="single" w:sz="8" w:color="0000EE"/>
            </w:tcBorders>
            <w:gridSpan w:val="28"/>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Securities Purchase Agreement, dated as of April 24, 2015, by and among Addus HealthCare, Inc., Margaret Coffey, Carol Kolar, South Shore</w:t>
              </w:r>
            </w:hyperlink>
          </w:p>
        </w:tc>
        <w:tc>
          <w:tcPr>
            <w:tcW w:w="6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20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Home Health Service, Inc. and Acaring Home Care, LLC (filed on May 8, 2015 as Exhibit 10.1 to Addus HomeCare Corporation’s Quarterly</w:t>
              </w:r>
            </w:hyperlink>
          </w:p>
        </w:tc>
        <w:tc>
          <w:tcPr>
            <w:tcW w:w="12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9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Report on Form 10-Q (File No. 001-34504) and incorporated by reference herein).</w:t>
              </w:r>
            </w:hyperlink>
          </w:p>
        </w:tc>
        <w:tc>
          <w:tcPr>
            <w:tcW w:w="4340" w:type="dxa"/>
            <w:vAlign w:val="bottom"/>
            <w:gridSpan w:val="21"/>
          </w:tcPr>
          <w:p>
            <w:pPr>
              <w:spacing w:after="0"/>
              <w:rPr>
                <w:sz w:val="17"/>
                <w:szCs w:val="17"/>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10.20</w:t>
            </w:r>
          </w:p>
        </w:tc>
        <w:tc>
          <w:tcPr>
            <w:tcW w:w="10280" w:type="dxa"/>
            <w:vAlign w:val="bottom"/>
            <w:tcBorders>
              <w:bottom w:val="single" w:sz="8" w:color="0000EE"/>
            </w:tcBorders>
            <w:gridSpan w:val="29"/>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Separation Agreement and General Release, dated as of March 18, 2016, by and between Addus HealthCare, Inc. and Inna Berkovich (filed on</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31"/>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March 23, 2016 as Exhibit 10.1 to Addus HomeCare Corporation’s Current Report on Form 8-K (File No. 001-34504) and incorporated by</w:t>
              </w:r>
            </w:hyperlink>
          </w:p>
        </w:tc>
      </w:tr>
      <w:tr>
        <w:trPr>
          <w:trHeight w:val="196"/>
        </w:trPr>
        <w:tc>
          <w:tcPr>
            <w:tcW w:w="92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reference herein).*</w:t>
              </w:r>
            </w:hyperlink>
          </w:p>
        </w:tc>
        <w:tc>
          <w:tcPr>
            <w:tcW w:w="8640" w:type="dxa"/>
            <w:vAlign w:val="bottom"/>
            <w:tcBorders>
              <w:top w:val="single" w:sz="8" w:color="0000EE"/>
            </w:tcBorders>
            <w:gridSpan w:val="18"/>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10.21</w:t>
            </w:r>
          </w:p>
        </w:tc>
        <w:tc>
          <w:tcPr>
            <w:tcW w:w="10320" w:type="dxa"/>
            <w:vAlign w:val="bottom"/>
            <w:gridSpan w:val="31"/>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Separation Agreement and General Release, effective May 25, 2016, by and between Addus HealthCare, Inc. and Donald Klink (filed on May</w:t>
              </w:r>
            </w:hyperlink>
          </w:p>
        </w:tc>
      </w:tr>
      <w:tr>
        <w:trPr>
          <w:trHeight w:val="196"/>
        </w:trPr>
        <w:tc>
          <w:tcPr>
            <w:tcW w:w="920" w:type="dxa"/>
            <w:vAlign w:val="bottom"/>
          </w:tcPr>
          <w:p>
            <w:pPr>
              <w:spacing w:after="0"/>
              <w:rPr>
                <w:sz w:val="17"/>
                <w:szCs w:val="17"/>
                <w:color w:val="auto"/>
              </w:rPr>
            </w:pPr>
          </w:p>
        </w:tc>
        <w:tc>
          <w:tcPr>
            <w:tcW w:w="10220" w:type="dxa"/>
            <w:vAlign w:val="bottom"/>
            <w:tcBorders>
              <w:top w:val="single" w:sz="8" w:color="0000EE"/>
            </w:tcBorders>
            <w:gridSpan w:val="26"/>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27, 2016 as Exhibit 99.1 to Addus HomeCare Corporation’s Current Report on Form 8-K (File No. 001-34504) and incorporated by reference</w:t>
              </w:r>
            </w:hyperlink>
          </w:p>
        </w:tc>
        <w:tc>
          <w:tcPr>
            <w:tcW w:w="10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herein).*</w:t>
              </w:r>
            </w:hyperlink>
          </w:p>
        </w:tc>
        <w:tc>
          <w:tcPr>
            <w:tcW w:w="9560" w:type="dxa"/>
            <w:vAlign w:val="bottom"/>
            <w:tcBorders>
              <w:top w:val="single" w:sz="8" w:color="0000EE"/>
            </w:tcBorders>
            <w:gridSpan w:val="24"/>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10.22</w:t>
            </w:r>
          </w:p>
        </w:tc>
        <w:tc>
          <w:tcPr>
            <w:tcW w:w="10100" w:type="dxa"/>
            <w:vAlign w:val="bottom"/>
            <w:tcBorders>
              <w:bottom w:val="single" w:sz="8" w:color="0000EE"/>
            </w:tcBorders>
            <w:gridSpan w:val="23"/>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Separation Agreement and General Release, dated as of March 1, 2016, by and between Addus HomeCare Corporation and Mark S. Heaney</w:t>
              </w:r>
            </w:hyperlink>
          </w:p>
        </w:tc>
        <w:tc>
          <w:tcPr>
            <w:tcW w:w="22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4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(filed on March 2, 2016 as Exhibit 99.2 to Addus HomeCare Corporation’s Current Report on Form 8-K (File No. 001-34504) and</w:t>
              </w:r>
            </w:hyperlink>
          </w:p>
        </w:tc>
        <w:tc>
          <w:tcPr>
            <w:tcW w:w="900" w:type="dxa"/>
            <w:vAlign w:val="bottom"/>
            <w:gridSpan w:val="2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31"/>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incorporated by reference herein).*</w:t>
              </w:r>
            </w:hyperlink>
          </w:p>
        </w:tc>
      </w:tr>
      <w:tr>
        <w:trPr>
          <w:trHeight w:val="20"/>
        </w:trPr>
        <w:tc>
          <w:tcPr>
            <w:tcW w:w="92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10.23</w:t>
            </w:r>
          </w:p>
        </w:tc>
        <w:tc>
          <w:tcPr>
            <w:tcW w:w="9720" w:type="dxa"/>
            <w:vAlign w:val="bottom"/>
            <w:tcBorders>
              <w:bottom w:val="single" w:sz="8" w:color="0000EE"/>
            </w:tcBorders>
            <w:gridSpan w:val="14"/>
          </w:tcPr>
          <w:p>
            <w:pPr>
              <w:spacing w:after="0"/>
              <w:rPr>
                <w:rFonts w:ascii="Arial" w:cs="Arial" w:eastAsia="Arial" w:hAnsi="Arial"/>
                <w:sz w:val="18"/>
                <w:szCs w:val="18"/>
                <w:color w:val="0000EE"/>
                <w:w w:val="89"/>
              </w:rPr>
            </w:pPr>
            <w:hyperlink r:id="rId112">
              <w:r>
                <w:rPr>
                  <w:rFonts w:ascii="Arial" w:cs="Arial" w:eastAsia="Arial" w:hAnsi="Arial"/>
                  <w:sz w:val="18"/>
                  <w:szCs w:val="18"/>
                  <w:color w:val="0000EE"/>
                  <w:w w:val="89"/>
                </w:rPr>
                <w:t>Severance Agreement and General Release, dated as of February 13, 2017, by and between Addus HomeCare Corporation and Maxine</w:t>
              </w:r>
            </w:hyperlink>
          </w:p>
        </w:tc>
        <w:tc>
          <w:tcPr>
            <w:tcW w:w="600" w:type="dxa"/>
            <w:vAlign w:val="bottom"/>
            <w:gridSpan w:val="1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1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Hochhauser (filed on January 18, 2017 as Exhibit 10.1 to Addus HomeCare Corporation’s Current Report on Form 8-K (File No. 001-34504)</w:t>
              </w:r>
            </w:hyperlink>
          </w:p>
        </w:tc>
        <w:tc>
          <w:tcPr>
            <w:tcW w:w="14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8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and incorporated by reference herein).*</w:t>
              </w:r>
            </w:hyperlink>
          </w:p>
        </w:tc>
        <w:tc>
          <w:tcPr>
            <w:tcW w:w="7480" w:type="dxa"/>
            <w:vAlign w:val="bottom"/>
            <w:gridSpan w:val="26"/>
          </w:tcPr>
          <w:p>
            <w:pPr>
              <w:spacing w:after="0"/>
              <w:rPr>
                <w:sz w:val="17"/>
                <w:szCs w:val="17"/>
                <w:color w:val="auto"/>
              </w:rPr>
            </w:pPr>
          </w:p>
        </w:tc>
      </w:tr>
      <w:tr>
        <w:trPr>
          <w:trHeight w:val="318"/>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10.24</w:t>
            </w:r>
          </w:p>
        </w:tc>
        <w:tc>
          <w:tcPr>
            <w:tcW w:w="10260" w:type="dxa"/>
            <w:vAlign w:val="bottom"/>
            <w:tcBorders>
              <w:bottom w:val="single" w:sz="8" w:color="0000EE"/>
            </w:tcBorders>
            <w:gridSpan w:val="28"/>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Credit Agreement, dated as of May 8, 2017, by and among Addus Healthcare, Inc., as the Borrower, the other parties from time to time a party</w:t>
              </w:r>
            </w:hyperlink>
          </w:p>
        </w:tc>
        <w:tc>
          <w:tcPr>
            <w:tcW w:w="6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2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thereto, and Capital One, National Association, as a Lender and Swing Lender and as Agent for all Lenders, Suntrust Bank, as Documentation</w:t>
              </w:r>
            </w:hyperlink>
          </w:p>
        </w:tc>
        <w:tc>
          <w:tcPr>
            <w:tcW w:w="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31"/>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Agent, Bank of the West, Compass Bank, Fifth Third Bank and JPMorgan Chase Bank, N.A., as Co-Syndication Agents, the other financial</w:t>
              </w:r>
            </w:hyperlink>
          </w:p>
        </w:tc>
      </w:tr>
      <w:tr>
        <w:trPr>
          <w:trHeight w:val="20"/>
        </w:trPr>
        <w:tc>
          <w:tcPr>
            <w:tcW w:w="920" w:type="dxa"/>
            <w:vAlign w:val="bottom"/>
          </w:tcPr>
          <w:p>
            <w:pPr>
              <w:spacing w:after="0" w:line="20" w:lineRule="exact"/>
              <w:rPr>
                <w:sz w:val="1"/>
                <w:szCs w:val="1"/>
                <w:color w:val="auto"/>
              </w:rPr>
            </w:pPr>
          </w:p>
        </w:tc>
        <w:tc>
          <w:tcPr>
            <w:tcW w:w="9820" w:type="dxa"/>
            <w:vAlign w:val="bottom"/>
            <w:gridSpan w:val="16"/>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0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institutions party thereto, as Lenders, Capital One, National Association, Bank of the West, Compass Bank, Fifth Third Bank and JPMorgan</w:t>
              </w:r>
            </w:hyperlink>
          </w:p>
        </w:tc>
        <w:tc>
          <w:tcPr>
            <w:tcW w:w="24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Chase Bank, N.A. and Suntrust Robinson Humphrey as Joint Lead Arrangers and Capital One, National Association, as Sole Bookrunner (filed</w:t>
              </w:r>
            </w:hyperlink>
          </w:p>
        </w:tc>
      </w:tr>
      <w:tr>
        <w:trPr>
          <w:trHeight w:val="222"/>
        </w:trPr>
        <w:tc>
          <w:tcPr>
            <w:tcW w:w="920" w:type="dxa"/>
            <w:vAlign w:val="bottom"/>
          </w:tcPr>
          <w:p>
            <w:pPr>
              <w:spacing w:after="0"/>
              <w:rPr>
                <w:sz w:val="19"/>
                <w:szCs w:val="19"/>
                <w:color w:val="auto"/>
              </w:rPr>
            </w:pPr>
          </w:p>
        </w:tc>
        <w:tc>
          <w:tcPr>
            <w:tcW w:w="10320" w:type="dxa"/>
            <w:vAlign w:val="bottom"/>
            <w:gridSpan w:val="31"/>
          </w:tcPr>
          <w:p>
            <w:pPr>
              <w:spacing w:after="0"/>
              <w:rPr>
                <w:rFonts w:ascii="Arial" w:cs="Arial" w:eastAsia="Arial" w:hAnsi="Arial"/>
                <w:sz w:val="18"/>
                <w:szCs w:val="18"/>
                <w:u w:val="single" w:color="auto"/>
                <w:color w:val="0000EE"/>
                <w:w w:val="92"/>
              </w:rPr>
            </w:pPr>
            <w:hyperlink r:id="rId113">
              <w:r>
                <w:rPr>
                  <w:rFonts w:ascii="Arial" w:cs="Arial" w:eastAsia="Arial" w:hAnsi="Arial"/>
                  <w:sz w:val="18"/>
                  <w:szCs w:val="18"/>
                  <w:u w:val="single" w:color="auto"/>
                  <w:color w:val="0000EE"/>
                  <w:w w:val="92"/>
                </w:rPr>
                <w:t>on May 9, 2017 as Exhibit 10.3 to Addus HomeCare Corporation’s Quarterly Report on Form 10-Q (File No. 001-34504) and incorporated by</w:t>
              </w:r>
            </w:hyperlink>
          </w:p>
        </w:tc>
      </w:tr>
      <w:tr>
        <w:trPr>
          <w:trHeight w:val="230"/>
        </w:trPr>
        <w:tc>
          <w:tcPr>
            <w:tcW w:w="920" w:type="dxa"/>
            <w:vAlign w:val="bottom"/>
          </w:tcPr>
          <w:p>
            <w:pPr>
              <w:spacing w:after="0"/>
              <w:rPr>
                <w:sz w:val="20"/>
                <w:szCs w:val="20"/>
                <w:color w:val="auto"/>
              </w:rPr>
            </w:pPr>
          </w:p>
        </w:tc>
        <w:tc>
          <w:tcPr>
            <w:tcW w:w="10320" w:type="dxa"/>
            <w:vAlign w:val="bottom"/>
            <w:gridSpan w:val="31"/>
          </w:tcPr>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reference herein).</w:t>
              </w:r>
            </w:hyperlink>
          </w:p>
        </w:tc>
      </w:tr>
      <w:tr>
        <w:trPr>
          <w:trHeight w:val="297"/>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10.25</w:t>
            </w:r>
          </w:p>
        </w:tc>
        <w:tc>
          <w:tcPr>
            <w:tcW w:w="10320" w:type="dxa"/>
            <w:vAlign w:val="bottom"/>
            <w:gridSpan w:val="31"/>
          </w:tcPr>
          <w:p>
            <w:pPr>
              <w:spacing w:after="0"/>
              <w:rPr>
                <w:rFonts w:ascii="Arial" w:cs="Arial" w:eastAsia="Arial" w:hAnsi="Arial"/>
                <w:sz w:val="18"/>
                <w:szCs w:val="18"/>
                <w:color w:val="0000EE"/>
                <w:w w:val="96"/>
              </w:rPr>
            </w:pPr>
            <w:hyperlink r:id="rId114">
              <w:r>
                <w:rPr>
                  <w:rFonts w:ascii="Arial" w:cs="Arial" w:eastAsia="Arial" w:hAnsi="Arial"/>
                  <w:sz w:val="18"/>
                  <w:szCs w:val="18"/>
                  <w:color w:val="0000EE"/>
                  <w:w w:val="96"/>
                </w:rPr>
                <w:t>Addus HomeCare Corporation’s 2017 Omnibus Incentive Plan, effective as of April 27, 2017 (filed on June  16, 2017 as Exhibit 10.1 to</w:t>
              </w:r>
            </w:hyperlink>
          </w:p>
        </w:tc>
      </w:tr>
      <w:tr>
        <w:trPr>
          <w:trHeight w:val="236"/>
        </w:trPr>
        <w:tc>
          <w:tcPr>
            <w:tcW w:w="920" w:type="dxa"/>
            <w:vAlign w:val="bottom"/>
          </w:tcPr>
          <w:p>
            <w:pPr>
              <w:spacing w:after="0"/>
              <w:rPr>
                <w:sz w:val="20"/>
                <w:szCs w:val="20"/>
                <w:color w:val="auto"/>
              </w:rPr>
            </w:pPr>
          </w:p>
        </w:tc>
        <w:tc>
          <w:tcPr>
            <w:tcW w:w="982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Addus HomeCare Corporation’s Current Report on Form 8-K (File No. 001-34504) and incorporated by reference herein).*</w:t>
              </w:r>
            </w:hyperlink>
          </w:p>
        </w:tc>
        <w:tc>
          <w:tcPr>
            <w:tcW w:w="500" w:type="dxa"/>
            <w:vAlign w:val="bottom"/>
            <w:gridSpan w:val="15"/>
          </w:tcPr>
          <w:p>
            <w:pPr>
              <w:spacing w:after="0"/>
              <w:rPr>
                <w:sz w:val="20"/>
                <w:szCs w:val="20"/>
                <w:color w:val="auto"/>
              </w:rPr>
            </w:pPr>
          </w:p>
        </w:tc>
      </w:tr>
      <w:tr>
        <w:trPr>
          <w:trHeight w:val="311"/>
        </w:trPr>
        <w:tc>
          <w:tcPr>
            <w:tcW w:w="920" w:type="dxa"/>
            <w:vAlign w:val="bottom"/>
          </w:tcPr>
          <w:p>
            <w:pPr>
              <w:jc w:val="right"/>
              <w:ind w:right="330"/>
              <w:spacing w:after="0"/>
              <w:rPr>
                <w:sz w:val="20"/>
                <w:szCs w:val="20"/>
                <w:color w:val="auto"/>
              </w:rPr>
            </w:pPr>
            <w:r>
              <w:rPr>
                <w:rFonts w:ascii="Arial" w:cs="Arial" w:eastAsia="Arial" w:hAnsi="Arial"/>
                <w:sz w:val="18"/>
                <w:szCs w:val="18"/>
                <w:color w:val="auto"/>
              </w:rPr>
              <w:t>10.26</w:t>
            </w:r>
          </w:p>
        </w:tc>
        <w:tc>
          <w:tcPr>
            <w:tcW w:w="10320" w:type="dxa"/>
            <w:vAlign w:val="bottom"/>
            <w:gridSpan w:val="31"/>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Form of Nonqualified Stock Option Award Agreement pursuant to the 2017 Omnibus Incentive Plan. (filed on March 14, 2018 as Exhibit</w:t>
              </w:r>
            </w:hyperlink>
          </w:p>
        </w:tc>
      </w:tr>
      <w:tr>
        <w:trPr>
          <w:trHeight w:val="236"/>
        </w:trPr>
        <w:tc>
          <w:tcPr>
            <w:tcW w:w="920" w:type="dxa"/>
            <w:vAlign w:val="bottom"/>
          </w:tcPr>
          <w:p>
            <w:pPr>
              <w:spacing w:after="0"/>
              <w:rPr>
                <w:sz w:val="20"/>
                <w:szCs w:val="20"/>
                <w:color w:val="auto"/>
              </w:rPr>
            </w:pPr>
          </w:p>
        </w:tc>
        <w:tc>
          <w:tcPr>
            <w:tcW w:w="9900" w:type="dxa"/>
            <w:vAlign w:val="bottom"/>
            <w:tcBorders>
              <w:top w:val="single" w:sz="8" w:color="0000EE"/>
            </w:tcBorders>
            <w:gridSpan w:val="19"/>
          </w:tcPr>
          <w:p>
            <w:pPr>
              <w:spacing w:after="0"/>
              <w:rPr>
                <w:rFonts w:ascii="Arial" w:cs="Arial" w:eastAsia="Arial" w:hAnsi="Arial"/>
                <w:sz w:val="18"/>
                <w:szCs w:val="18"/>
                <w:u w:val="single" w:color="auto"/>
                <w:color w:val="0000EE"/>
                <w:w w:val="94"/>
              </w:rPr>
            </w:pPr>
            <w:hyperlink r:id="rId115">
              <w:r>
                <w:rPr>
                  <w:rFonts w:ascii="Arial" w:cs="Arial" w:eastAsia="Arial" w:hAnsi="Arial"/>
                  <w:sz w:val="18"/>
                  <w:szCs w:val="18"/>
                  <w:u w:val="single" w:color="auto"/>
                  <w:color w:val="0000EE"/>
                  <w:w w:val="94"/>
                </w:rPr>
                <w:t>10.28 to Addus HomeCare Corporation’s Annual Report on Form 10-K (File No. 001-34504) and incorporated by reference herein).*</w:t>
              </w:r>
            </w:hyperlink>
          </w:p>
        </w:tc>
        <w:tc>
          <w:tcPr>
            <w:tcW w:w="420" w:type="dxa"/>
            <w:vAlign w:val="bottom"/>
            <w:gridSpan w:val="12"/>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5120" w:type="dxa"/>
            <w:vAlign w:val="bottom"/>
            <w:gridSpan w:val="7"/>
          </w:tcPr>
          <w:p>
            <w:pPr>
              <w:ind w:left="462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ind w:left="920" w:right="40" w:hanging="813"/>
        <w:spacing w:after="0" w:line="308"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10.27</w:t>
      </w:r>
      <w:r>
        <w:rPr>
          <w:sz w:val="20"/>
          <w:szCs w:val="20"/>
          <w:color w:val="auto"/>
        </w:rPr>
        <w:tab/>
      </w:r>
      <w:hyperlink r:id="rId118">
        <w:r>
          <w:rPr>
            <w:rFonts w:ascii="Arial" w:cs="Arial" w:eastAsia="Arial" w:hAnsi="Arial"/>
            <w:sz w:val="17"/>
            <w:szCs w:val="17"/>
            <w:u w:val="single" w:color="auto"/>
            <w:color w:val="0000EE"/>
          </w:rPr>
          <w:t>Form of Restricted Stock Award Agreement pursuant to the 2017 Omnibus Incentive Plan. (filed on March 14, 2018 as Exhibit 10.29 to Addus</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HomeCare Corporation’s Annual Report on Form 10-K (File No. 001-34504) and incorporated by reference herein).*</w:t>
        </w:r>
      </w:hyperlink>
    </w:p>
    <w:p>
      <w:pPr>
        <w:spacing w:after="0" w:line="65" w:lineRule="exact"/>
        <w:rPr>
          <w:sz w:val="20"/>
          <w:szCs w:val="20"/>
          <w:color w:val="auto"/>
        </w:rPr>
      </w:pPr>
    </w:p>
    <w:p>
      <w:pPr>
        <w:jc w:val="both"/>
        <w:ind w:left="920" w:right="380" w:hanging="8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19">
        <w:r>
          <w:rPr>
            <w:rFonts w:ascii="Arial" w:cs="Arial" w:eastAsia="Arial" w:hAnsi="Arial"/>
            <w:sz w:val="18"/>
            <w:szCs w:val="18"/>
            <w:u w:val="single" w:color="auto"/>
            <w:color w:val="0000EE"/>
          </w:rPr>
          <w:t>Amended and Restated Employment and Non-Competition Agreement, dated April 25, 2017, by and between Addus HealthCare, Inc. and</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Brenda Belger (filed on August 8, 2017 as Exhibit 10.7 to Addus HomeCare Corporation’s Quarterly Report on Form 10-Q (File No. 001-</w:t>
        </w:r>
      </w:hyperlink>
      <w:hyperlink r:id="rId119">
        <w:r>
          <w:rPr>
            <w:rFonts w:ascii="Arial" w:cs="Arial" w:eastAsia="Arial" w:hAnsi="Arial"/>
            <w:sz w:val="18"/>
            <w:szCs w:val="18"/>
            <w:u w:val="single" w:color="auto"/>
            <w:color w:val="0000EE"/>
          </w:rPr>
          <w:t>34504) and incorporated by reference herein).*</w:t>
        </w:r>
      </w:hyperlink>
    </w:p>
    <w:p>
      <w:pPr>
        <w:spacing w:after="0" w:line="89" w:lineRule="exact"/>
        <w:rPr>
          <w:rFonts w:ascii="Arial" w:cs="Arial" w:eastAsia="Arial" w:hAnsi="Arial"/>
          <w:sz w:val="18"/>
          <w:szCs w:val="18"/>
          <w:u w:val="single" w:color="auto"/>
          <w:color w:val="0000EE"/>
        </w:rPr>
      </w:pPr>
    </w:p>
    <w:p>
      <w:pPr>
        <w:jc w:val="both"/>
        <w:ind w:left="920" w:right="80" w:hanging="8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20">
        <w:r>
          <w:rPr>
            <w:rFonts w:ascii="Arial" w:cs="Arial" w:eastAsia="Arial" w:hAnsi="Arial"/>
            <w:sz w:val="18"/>
            <w:szCs w:val="18"/>
            <w:u w:val="single" w:color="auto"/>
            <w:color w:val="0000EE"/>
          </w:rPr>
          <w:t>Transition Agreement and Release, effective as of August 14, 2017, by and between Addus HealthCare, Inc. and Brenda Belger (filed on July</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31, 2017 as Exhibit 10.1 to Addus HomeCare Corporation’s Current Report on Form 8-K (File No. 001-34504) and incorporated by reference</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herein).*</w:t>
        </w:r>
      </w:hyperlink>
    </w:p>
    <w:p>
      <w:pPr>
        <w:spacing w:after="0" w:line="89" w:lineRule="exact"/>
        <w:rPr>
          <w:rFonts w:ascii="Arial" w:cs="Arial" w:eastAsia="Arial" w:hAnsi="Arial"/>
          <w:sz w:val="18"/>
          <w:szCs w:val="18"/>
          <w:u w:val="single" w:color="auto"/>
          <w:color w:val="0000EE"/>
        </w:rPr>
      </w:pPr>
    </w:p>
    <w:p>
      <w:pPr>
        <w:ind w:left="920" w:right="360" w:hanging="813"/>
        <w:spacing w:after="0" w:line="301"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10.30</w:t>
      </w:r>
      <w:r>
        <w:rPr>
          <w:sz w:val="20"/>
          <w:szCs w:val="20"/>
          <w:color w:val="auto"/>
        </w:rPr>
        <w:tab/>
      </w:r>
      <w:hyperlink r:id="rId121">
        <w:r>
          <w:rPr>
            <w:rFonts w:ascii="Arial" w:cs="Arial" w:eastAsia="Arial" w:hAnsi="Arial"/>
            <w:sz w:val="16"/>
            <w:szCs w:val="16"/>
            <w:u w:val="single" w:color="auto"/>
            <w:color w:val="0000EE"/>
          </w:rPr>
          <w:t>Stock Purchase Agreement, dated February 27, 2018, by and among Addus Healthcare, Inc., Michael J. Merrell and Mary E. Merrell,</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individually, Michael J. Merrell and Mary E. Merrell, as Trustees of the Merrell Revocable Trust UTA dated June 3, 2012, and Michael J.</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Merrell and Mary E. Merrell, as Trustees of the Ambercare Corporation Employee Stock Ownership Plan Trust (filed on March 5, 2018 as</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Exhibit 10.1 to Addus HomeCare Corporation’s Current Report on Form 8-K (File No. 001-34504) and incorporated by reference herein).</w:t>
        </w:r>
      </w:hyperlink>
    </w:p>
    <w:p>
      <w:pPr>
        <w:spacing w:after="0" w:line="63" w:lineRule="exact"/>
        <w:rPr>
          <w:rFonts w:ascii="Arial" w:cs="Arial" w:eastAsia="Arial" w:hAnsi="Arial"/>
          <w:sz w:val="16"/>
          <w:szCs w:val="16"/>
          <w:u w:val="single" w:color="auto"/>
          <w:color w:val="0000EE"/>
        </w:rPr>
      </w:pPr>
    </w:p>
    <w:p>
      <w:pPr>
        <w:ind w:left="920" w:right="60" w:hanging="813"/>
        <w:spacing w:after="0" w:line="311"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10.31</w:t>
      </w:r>
      <w:r>
        <w:rPr>
          <w:sz w:val="20"/>
          <w:szCs w:val="20"/>
          <w:color w:val="auto"/>
        </w:rPr>
        <w:tab/>
      </w:r>
      <w:hyperlink r:id="rId122">
        <w:r>
          <w:rPr>
            <w:rFonts w:ascii="Arial" w:cs="Arial" w:eastAsia="Arial" w:hAnsi="Arial"/>
            <w:sz w:val="16"/>
            <w:szCs w:val="16"/>
            <w:u w:val="single" w:color="auto"/>
            <w:color w:val="0000EE"/>
          </w:rPr>
          <w:t>Amended and Restated Credit Agreement by and among Addus HealthCare, Inc., as borrower, the Company, the other Credit Parties party</w:t>
        </w:r>
      </w:hyperlink>
      <w:r>
        <w:rPr>
          <w:rFonts w:ascii="Arial" w:cs="Arial" w:eastAsia="Arial" w:hAnsi="Arial"/>
          <w:sz w:val="16"/>
          <w:szCs w:val="16"/>
          <w:u w:val="single" w:color="auto"/>
          <w:color w:val="0000EE"/>
        </w:rPr>
        <w:t xml:space="preserve"> </w:t>
      </w:r>
      <w:hyperlink r:id="rId122">
        <w:r>
          <w:rPr>
            <w:rFonts w:ascii="Arial" w:cs="Arial" w:eastAsia="Arial" w:hAnsi="Arial"/>
            <w:sz w:val="16"/>
            <w:szCs w:val="16"/>
            <w:u w:val="single" w:color="auto"/>
            <w:color w:val="0000EE"/>
          </w:rPr>
          <w:t>thereto, the Lenders and L/C Issuers party thereto, and Capital One, National Association, as administrative agent (filed on August 11, 2018 as</w:t>
        </w:r>
      </w:hyperlink>
      <w:r>
        <w:rPr>
          <w:rFonts w:ascii="Arial" w:cs="Arial" w:eastAsia="Arial" w:hAnsi="Arial"/>
          <w:sz w:val="16"/>
          <w:szCs w:val="16"/>
          <w:u w:val="single" w:color="auto"/>
          <w:color w:val="0000EE"/>
        </w:rPr>
        <w:t xml:space="preserve"> </w:t>
      </w:r>
      <w:hyperlink r:id="rId122">
        <w:r>
          <w:rPr>
            <w:rFonts w:ascii="Arial" w:cs="Arial" w:eastAsia="Arial" w:hAnsi="Arial"/>
            <w:sz w:val="16"/>
            <w:szCs w:val="16"/>
            <w:u w:val="single" w:color="auto"/>
            <w:color w:val="0000EE"/>
          </w:rPr>
          <w:t>Exhibit 10.2 to Addus HomeCare Corporation’s Quarterly Report on Form 10-Q (File No. 001-34504) and incorporated by reference herein).</w:t>
        </w:r>
      </w:hyperlink>
    </w:p>
    <w:p>
      <w:pPr>
        <w:spacing w:after="0" w:line="54" w:lineRule="exact"/>
        <w:rPr>
          <w:rFonts w:ascii="Arial" w:cs="Arial" w:eastAsia="Arial" w:hAnsi="Arial"/>
          <w:sz w:val="16"/>
          <w:szCs w:val="16"/>
          <w:u w:val="single" w:color="auto"/>
          <w:color w:val="0000EE"/>
        </w:rPr>
      </w:pPr>
    </w:p>
    <w:p>
      <w:pPr>
        <w:ind w:left="920" w:right="140" w:hanging="8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23">
        <w:r>
          <w:rPr>
            <w:rFonts w:ascii="Arial" w:cs="Arial" w:eastAsia="Arial" w:hAnsi="Arial"/>
            <w:sz w:val="18"/>
            <w:szCs w:val="18"/>
            <w:u w:val="single" w:color="auto"/>
            <w:color w:val="0000EE"/>
          </w:rPr>
          <w:t>Second Amended and Restated Employment and Non-Competition Agreement, dated November 5, 2018, by and between Addus HealthCare,</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Inc. and R. Dirk Allison (filed on August 11, 2018 as Exhibit 10.3 to Addus HomeCare Corporation’s Quarterly Report on Form 10-Q (File</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No. 001-34504) and incorporated by reference herein). *</w:t>
        </w:r>
      </w:hyperlink>
    </w:p>
    <w:p>
      <w:pPr>
        <w:spacing w:after="0" w:line="89" w:lineRule="exact"/>
        <w:rPr>
          <w:rFonts w:ascii="Arial" w:cs="Arial" w:eastAsia="Arial" w:hAnsi="Arial"/>
          <w:sz w:val="18"/>
          <w:szCs w:val="18"/>
          <w:u w:val="single" w:color="auto"/>
          <w:color w:val="0000EE"/>
        </w:rPr>
      </w:pPr>
    </w:p>
    <w:p>
      <w:pPr>
        <w:ind w:left="920" w:right="140" w:hanging="813"/>
        <w:spacing w:after="0" w:line="291"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10.33</w:t>
      </w:r>
      <w:r>
        <w:rPr>
          <w:sz w:val="20"/>
          <w:szCs w:val="20"/>
          <w:color w:val="auto"/>
        </w:rPr>
        <w:tab/>
      </w:r>
      <w:hyperlink r:id="rId124">
        <w:r>
          <w:rPr>
            <w:rFonts w:ascii="Arial" w:cs="Arial" w:eastAsia="Arial" w:hAnsi="Arial"/>
            <w:sz w:val="16"/>
            <w:szCs w:val="16"/>
            <w:u w:val="single" w:color="auto"/>
            <w:color w:val="0000EE"/>
          </w:rPr>
          <w:t>Second Amended and Restated Employment and Non-Competition Agreement, dated November 5, 2018, by and between Addus HealthCare,</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Inc. and Brian Poff (filed on August 11, 2018 as Exhibit 10.4 to Addus HomeCare Corporation’s Quarterly Report on Form 10-Q (File No.</w:t>
        </w:r>
      </w:hyperlink>
    </w:p>
    <w:p>
      <w:pPr>
        <w:ind w:left="920"/>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001-34504) and incorporated by reference herein). *</w:t>
        </w:r>
      </w:hyperlink>
    </w:p>
    <w:p>
      <w:pPr>
        <w:spacing w:after="0" w:line="116" w:lineRule="exact"/>
        <w:rPr>
          <w:sz w:val="20"/>
          <w:szCs w:val="20"/>
          <w:color w:val="auto"/>
        </w:rPr>
      </w:pPr>
    </w:p>
    <w:p>
      <w:pPr>
        <w:jc w:val="both"/>
        <w:ind w:left="920" w:right="40" w:hanging="8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25">
        <w:r>
          <w:rPr>
            <w:rFonts w:ascii="Arial" w:cs="Arial" w:eastAsia="Arial" w:hAnsi="Arial"/>
            <w:sz w:val="18"/>
            <w:szCs w:val="18"/>
            <w:u w:val="single" w:color="auto"/>
            <w:color w:val="0000EE"/>
          </w:rPr>
          <w:t>Second Amended and Restated Employment and Non-Competition Agreement, dated November 5, 2018, by and between Addus HealthCare,</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Inc. and James Zoccoli (filed on August 11, 2018 as Exhibit 10.5 to Addus HomeCare Corporation’s Quarterly Report on Form 10-Q (File No.</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001-34504) and incorporated by reference herein). *</w:t>
        </w:r>
      </w:hyperlink>
    </w:p>
    <w:p>
      <w:pPr>
        <w:spacing w:after="0" w:line="89" w:lineRule="exact"/>
        <w:rPr>
          <w:rFonts w:ascii="Arial" w:cs="Arial" w:eastAsia="Arial" w:hAnsi="Arial"/>
          <w:sz w:val="18"/>
          <w:szCs w:val="18"/>
          <w:u w:val="single" w:color="auto"/>
          <w:color w:val="0000EE"/>
        </w:rPr>
      </w:pPr>
    </w:p>
    <w:p>
      <w:pPr>
        <w:jc w:val="both"/>
        <w:ind w:left="920" w:right="140" w:hanging="8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26">
        <w:r>
          <w:rPr>
            <w:rFonts w:ascii="Arial" w:cs="Arial" w:eastAsia="Arial" w:hAnsi="Arial"/>
            <w:sz w:val="18"/>
            <w:szCs w:val="18"/>
            <w:u w:val="single" w:color="auto"/>
            <w:color w:val="0000EE"/>
          </w:rPr>
          <w:t>Second Amended and Restated Employment and Non-Competition Agreement, dated November 5, 2018, by and between Addus HealthCare,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Inc. and Darby Anderson (filed on August 11, 2018 as Exhibit 10.6 to Addus HomeCare Corporation’s Quarterly Report on Form 10-Q (File</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No. 001-34504) and incorporated by reference herein). *</w:t>
        </w:r>
      </w:hyperlink>
    </w:p>
    <w:p>
      <w:pPr>
        <w:spacing w:after="0" w:line="89" w:lineRule="exact"/>
        <w:rPr>
          <w:rFonts w:ascii="Arial" w:cs="Arial" w:eastAsia="Arial" w:hAnsi="Arial"/>
          <w:sz w:val="18"/>
          <w:szCs w:val="18"/>
          <w:u w:val="single" w:color="auto"/>
          <w:color w:val="0000EE"/>
        </w:rPr>
      </w:pPr>
    </w:p>
    <w:p>
      <w:pPr>
        <w:ind w:left="920" w:right="140" w:hanging="8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10.36</w:t>
      </w:r>
      <w:r>
        <w:rPr>
          <w:sz w:val="20"/>
          <w:szCs w:val="20"/>
          <w:color w:val="auto"/>
        </w:rPr>
        <w:tab/>
      </w:r>
      <w:hyperlink r:id="rId127">
        <w:r>
          <w:rPr>
            <w:rFonts w:ascii="Arial" w:cs="Arial" w:eastAsia="Arial" w:hAnsi="Arial"/>
            <w:sz w:val="18"/>
            <w:szCs w:val="18"/>
            <w:u w:val="single" w:color="auto"/>
            <w:color w:val="0000EE"/>
          </w:rPr>
          <w:t>Second Amended and Restated Employment and Non-Competition Agreement, dated November 5, 2018, by and between Addus HealthCare,</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Inc. and W. Bradley Bickham (filed on August 11, 2018 as Exhibit 10.7 to Addus HomeCare Corporation’s Quarterly Report on Form 10-Q</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(File No. 001-34504) and incorporated by reference herein). *</w:t>
        </w:r>
      </w:hyperlink>
    </w:p>
    <w:p>
      <w:pPr>
        <w:spacing w:after="0" w:line="89" w:lineRule="exact"/>
        <w:rPr>
          <w:rFonts w:ascii="Arial" w:cs="Arial" w:eastAsia="Arial" w:hAnsi="Arial"/>
          <w:sz w:val="18"/>
          <w:szCs w:val="18"/>
          <w:u w:val="single" w:color="auto"/>
          <w:color w:val="0000EE"/>
        </w:rPr>
      </w:pPr>
    </w:p>
    <w:p>
      <w:pPr>
        <w:jc w:val="both"/>
        <w:ind w:left="920" w:right="80" w:hanging="8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28">
        <w:r>
          <w:rPr>
            <w:rFonts w:ascii="Arial" w:cs="Arial" w:eastAsia="Arial" w:hAnsi="Arial"/>
            <w:sz w:val="18"/>
            <w:szCs w:val="18"/>
            <w:u w:val="single" w:color="auto"/>
            <w:color w:val="0000EE"/>
          </w:rPr>
          <w:t>Amended and Restated Employment and Non-Competition Agreement, dated November 5, 2018, by and between Addus HealthCare, Inc. and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Laurie Manning (filed on August 11, 2018 as Exhibit 10.8 to Addus HomeCare Corporation’s Quarterly Report on Form 10-Q (File No. 001-</w:t>
        </w:r>
      </w:hyperlink>
      <w:hyperlink r:id="rId128">
        <w:r>
          <w:rPr>
            <w:rFonts w:ascii="Arial" w:cs="Arial" w:eastAsia="Arial" w:hAnsi="Arial"/>
            <w:sz w:val="18"/>
            <w:szCs w:val="18"/>
            <w:u w:val="single" w:color="auto"/>
            <w:color w:val="0000EE"/>
          </w:rPr>
          <w:t>34504) and incorporated by reference herein). *</w:t>
        </w:r>
      </w:hyperlink>
    </w:p>
    <w:p>
      <w:pPr>
        <w:spacing w:after="0" w:line="89" w:lineRule="exact"/>
        <w:rPr>
          <w:rFonts w:ascii="Arial" w:cs="Arial" w:eastAsia="Arial" w:hAnsi="Arial"/>
          <w:sz w:val="18"/>
          <w:szCs w:val="18"/>
          <w:u w:val="single" w:color="auto"/>
          <w:color w:val="0000EE"/>
        </w:rPr>
      </w:pPr>
    </w:p>
    <w:p>
      <w:pPr>
        <w:ind w:left="920" w:hanging="824"/>
        <w:spacing w:after="0" w:line="259"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22">
        <w:r>
          <w:rPr>
            <w:rFonts w:ascii="Arial" w:cs="Arial" w:eastAsia="Arial" w:hAnsi="Arial"/>
            <w:sz w:val="18"/>
            <w:szCs w:val="18"/>
            <w:u w:val="single" w:color="auto"/>
            <w:color w:val="0000EE"/>
          </w:rPr>
          <w:t>Amended and Restated Credit Agreement, dated as of October 31, 2018, by and among Addus HealthCare, Inc., as borrower, the Company, the</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other Credit Parties party thereto, the Lenders and L/C Issuers party thereto, and Capital One, National Association, as administrative agent</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(filed on November 8, 2018 as Exhibit 10.2 to Addus HomeCare Corporation’s Quarterly Report on Form 10-Q (File No. 001-34504) and</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incorporated by reference herein).</w:t>
        </w:r>
      </w:hyperlink>
    </w:p>
    <w:p>
      <w:pPr>
        <w:spacing w:after="0" w:line="92" w:lineRule="exact"/>
        <w:rPr>
          <w:rFonts w:ascii="Arial" w:cs="Arial" w:eastAsia="Arial" w:hAnsi="Arial"/>
          <w:sz w:val="18"/>
          <w:szCs w:val="18"/>
          <w:u w:val="single" w:color="auto"/>
          <w:color w:val="0000EE"/>
        </w:rPr>
      </w:pPr>
    </w:p>
    <w:p>
      <w:pPr>
        <w:ind w:left="920" w:right="160" w:hanging="8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29">
        <w:r>
          <w:rPr>
            <w:rFonts w:ascii="Arial" w:cs="Arial" w:eastAsia="Arial" w:hAnsi="Arial"/>
            <w:sz w:val="18"/>
            <w:szCs w:val="18"/>
            <w:u w:val="single" w:color="auto"/>
            <w:color w:val="0000EE"/>
          </w:rPr>
          <w:t>Employment and Non-Competition Agreement, effective April 29, 2019, by and between Addus HealthCare, Inc. and Sean Gaffney (filed on</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April 8, 2019 as Exhibit 99.2 to Addus HomeCare Corporation’s Current Report on Form 8-K (File No. 001-34504) and incorporated by</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reference herein). *</w:t>
        </w:r>
      </w:hyperlink>
    </w:p>
    <w:p>
      <w:pPr>
        <w:spacing w:after="0" w:line="89" w:lineRule="exact"/>
        <w:rPr>
          <w:rFonts w:ascii="Arial" w:cs="Arial" w:eastAsia="Arial" w:hAnsi="Arial"/>
          <w:sz w:val="18"/>
          <w:szCs w:val="18"/>
          <w:u w:val="single" w:color="auto"/>
          <w:color w:val="0000EE"/>
        </w:rPr>
      </w:pPr>
    </w:p>
    <w:p>
      <w:pPr>
        <w:jc w:val="both"/>
        <w:ind w:left="920" w:right="100" w:hanging="8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130">
        <w:r>
          <w:rPr>
            <w:rFonts w:ascii="Arial" w:cs="Arial" w:eastAsia="Arial" w:hAnsi="Arial"/>
            <w:sz w:val="18"/>
            <w:szCs w:val="18"/>
            <w:u w:val="single" w:color="auto"/>
            <w:color w:val="0000EE"/>
          </w:rPr>
          <w:t>Employment and Non-Competition Agreement, effective November 7, 2019, by and between Addus HealthCare, Inc. and David Tucker (filed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on August 10, 2020 as Exhibit 10.40 to Addus HomeCare Corporation’s Annual Report on Form 10-K (File No. 001-34504) and incorporated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by reference herein).*</w:t>
        </w:r>
      </w:hyperlink>
    </w:p>
    <w:p>
      <w:pPr>
        <w:spacing w:after="0" w:line="89" w:lineRule="exact"/>
        <w:rPr>
          <w:rFonts w:ascii="Arial" w:cs="Arial" w:eastAsia="Arial" w:hAnsi="Arial"/>
          <w:sz w:val="18"/>
          <w:szCs w:val="18"/>
          <w:u w:val="single" w:color="auto"/>
          <w:color w:val="0000EE"/>
        </w:rPr>
      </w:pPr>
    </w:p>
    <w:p>
      <w:pPr>
        <w:ind w:left="920" w:right="140" w:hanging="813"/>
        <w:spacing w:after="0" w:line="263"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131">
        <w:r>
          <w:rPr>
            <w:rFonts w:ascii="Arial" w:cs="Arial" w:eastAsia="Arial" w:hAnsi="Arial"/>
            <w:sz w:val="18"/>
            <w:szCs w:val="18"/>
            <w:u w:val="single" w:color="auto"/>
            <w:color w:val="0000EE"/>
          </w:rPr>
          <w:t>Employment and Non-Competition Agreement, effective November 7, 2019, by and between Addus HealthCare, Inc. and Mike Wattenbarger</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(filed on August 10, 2020 as Exhibit 10.41 to Addus HomeCare Corporation’s Annual Report on Form 10-K (File No. 001-34504) and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incorporated by reference herein).*</w:t>
        </w:r>
      </w:hyperlink>
    </w:p>
    <w:p>
      <w:pPr>
        <w:spacing w:after="0" w:line="89" w:lineRule="exact"/>
        <w:rPr>
          <w:rFonts w:ascii="Arial" w:cs="Arial" w:eastAsia="Arial" w:hAnsi="Arial"/>
          <w:sz w:val="18"/>
          <w:szCs w:val="18"/>
          <w:u w:val="single" w:color="auto"/>
          <w:color w:val="0000EE"/>
        </w:rPr>
      </w:pPr>
    </w:p>
    <w:p>
      <w:pPr>
        <w:ind w:left="920" w:right="140" w:hanging="813"/>
        <w:spacing w:after="0" w:line="263" w:lineRule="auto"/>
        <w:tabs>
          <w:tab w:leader="none" w:pos="900" w:val="left"/>
        </w:tabs>
        <w:rPr>
          <w:rFonts w:ascii="Arial" w:cs="Arial" w:eastAsia="Arial" w:hAnsi="Arial"/>
          <w:sz w:val="18"/>
          <w:szCs w:val="18"/>
          <w:color w:val="0000EE"/>
        </w:rPr>
      </w:pPr>
      <w:r>
        <w:rPr>
          <w:rFonts w:ascii="Arial" w:cs="Arial" w:eastAsia="Arial" w:hAnsi="Arial"/>
          <w:sz w:val="18"/>
          <w:szCs w:val="18"/>
          <w:color w:val="auto"/>
        </w:rPr>
        <w:t>10.42</w:t>
      </w:r>
      <w:r>
        <w:rPr>
          <w:sz w:val="20"/>
          <w:szCs w:val="20"/>
          <w:color w:val="auto"/>
        </w:rPr>
        <w:tab/>
      </w:r>
      <w:hyperlink r:id="rId132">
        <w:r>
          <w:rPr>
            <w:rFonts w:ascii="Arial" w:cs="Arial" w:eastAsia="Arial" w:hAnsi="Arial"/>
            <w:sz w:val="18"/>
            <w:szCs w:val="18"/>
            <w:u w:val="single" w:color="auto"/>
            <w:color w:val="0000EE"/>
          </w:rPr>
          <w:t>Transition Agreement and Release, effective as of July 31, 2019, by and between Addus HealthCare, Inc. and James “Zeke” Zoccoli (filed on</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July 24, 2019 as Exhibit 10.1 to Addus HomeCare Corporation’s Current Report on Form 8-K (File No. 001-34504) and incorporated by</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reference herein).</w:t>
        </w:r>
        <w:r>
          <w:rPr>
            <w:rFonts w:ascii="Arial" w:cs="Arial" w:eastAsia="Arial" w:hAnsi="Arial"/>
            <w:sz w:val="18"/>
            <w:szCs w:val="18"/>
            <w:color w:val="0000EE"/>
          </w:rPr>
          <w:t xml:space="preserve"> </w:t>
        </w:r>
        <w:r>
          <w:rPr>
            <w:rFonts w:ascii="Arial" w:cs="Arial" w:eastAsia="Arial" w:hAnsi="Arial"/>
            <w:sz w:val="18"/>
            <w:szCs w:val="18"/>
            <w:color w:val="0563C1"/>
          </w:rPr>
          <w: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1384935</wp:posOffset>
            </wp:positionH>
            <wp:positionV relativeFrom="paragraph">
              <wp:posOffset>-36830</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84"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100"/>
              <w:spacing w:after="0"/>
              <w:rPr>
                <w:sz w:val="20"/>
                <w:szCs w:val="20"/>
                <w:color w:val="auto"/>
              </w:rPr>
            </w:pPr>
            <w:r>
              <w:rPr>
                <w:rFonts w:ascii="Arial" w:cs="Arial" w:eastAsia="Arial" w:hAnsi="Arial"/>
                <w:sz w:val="18"/>
                <w:szCs w:val="18"/>
                <w:color w:val="auto"/>
              </w:rPr>
              <w:t>10.43</w:t>
            </w:r>
          </w:p>
        </w:tc>
        <w:tc>
          <w:tcPr>
            <w:tcW w:w="10320" w:type="dxa"/>
            <w:vAlign w:val="bottom"/>
            <w:gridSpan w:val="15"/>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Equity Purchase Agreement, dated August 25, 2019, by and among Addus Healthcare, Inc., Hospice Partners of America, LLC, New Capital</w:t>
              </w:r>
            </w:hyperlink>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Partners II – HS, Inc., Senior Care Services, LLC, Eastside Partners II, L.P., and New Capital Partners II, LLC (filed on September 3, 2019 as</w:t>
              </w:r>
            </w:hyperlink>
          </w:p>
        </w:tc>
        <w:tc>
          <w:tcPr>
            <w:tcW w:w="12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Exhibit 2.1 to Addus HomeCare Corporation’s Registration Statement on Form S-3ASR (File No. 333-233600) and incorporated by reference</w:t>
              </w:r>
            </w:hyperlink>
          </w:p>
        </w:tc>
      </w:tr>
      <w:tr>
        <w:trPr>
          <w:trHeight w:val="196"/>
        </w:trPr>
        <w:tc>
          <w:tcPr>
            <w:tcW w:w="920" w:type="dxa"/>
            <w:vAlign w:val="bottom"/>
          </w:tcPr>
          <w:p>
            <w:pPr>
              <w:spacing w:after="0"/>
              <w:rPr>
                <w:sz w:val="17"/>
                <w:szCs w:val="17"/>
                <w:color w:val="auto"/>
              </w:rPr>
            </w:pPr>
          </w:p>
        </w:tc>
        <w:tc>
          <w:tcPr>
            <w:tcW w:w="9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herein).</w:t>
              </w:r>
            </w:hyperlink>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10.44</w:t>
            </w:r>
          </w:p>
        </w:tc>
        <w:tc>
          <w:tcPr>
            <w:tcW w:w="10220" w:type="dxa"/>
            <w:vAlign w:val="bottom"/>
            <w:tcBorders>
              <w:bottom w:val="single" w:sz="8" w:color="0000EE"/>
            </w:tcBorders>
            <w:gridSpan w:val="11"/>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First Amendment to Amended and Restated Credit Agreement, dated as of September 12, 2019, by and among Addus HealthCare, Inc., as the</w:t>
              </w:r>
            </w:hyperlink>
          </w:p>
        </w:tc>
        <w:tc>
          <w:tcPr>
            <w:tcW w:w="10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15"/>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Borrower, Addus HomeCare Corporation, other Credit Parties party thereto, Capital One, National Association, as administrative agent and as</w:t>
              </w:r>
            </w:hyperlink>
          </w:p>
        </w:tc>
      </w:tr>
      <w:tr>
        <w:trPr>
          <w:trHeight w:val="196"/>
        </w:trPr>
        <w:tc>
          <w:tcPr>
            <w:tcW w:w="920" w:type="dxa"/>
            <w:vAlign w:val="bottom"/>
          </w:tcPr>
          <w:p>
            <w:pPr>
              <w:spacing w:after="0"/>
              <w:rPr>
                <w:sz w:val="17"/>
                <w:szCs w:val="17"/>
                <w:color w:val="auto"/>
              </w:rPr>
            </w:pPr>
          </w:p>
        </w:tc>
        <w:tc>
          <w:tcPr>
            <w:tcW w:w="9980" w:type="dxa"/>
            <w:vAlign w:val="bottom"/>
            <w:tcBorders>
              <w:top w:val="single" w:sz="8" w:color="0000EE"/>
            </w:tcBorders>
            <w:gridSpan w:val="8"/>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a Lender, and the other Lenders party thereto (filed on September 13, 2019 as Exhibit 10.1 to Addus HomeCare Corporation’s Quarterly</w:t>
              </w:r>
            </w:hyperlink>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Report on Form 10-Q (File No. 001-34504) and incorporated by reference herein).</w:t>
              </w:r>
            </w:hyperlink>
          </w:p>
        </w:tc>
        <w:tc>
          <w:tcPr>
            <w:tcW w:w="38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10.45</w:t>
            </w:r>
          </w:p>
        </w:tc>
        <w:tc>
          <w:tcPr>
            <w:tcW w:w="10320" w:type="dxa"/>
            <w:vAlign w:val="bottom"/>
            <w:gridSpan w:val="15"/>
          </w:tcPr>
          <w:p>
            <w:pPr>
              <w:spacing w:after="0"/>
              <w:rPr>
                <w:rFonts w:ascii="Arial" w:cs="Arial" w:eastAsia="Arial" w:hAnsi="Arial"/>
                <w:sz w:val="18"/>
                <w:szCs w:val="18"/>
                <w:color w:val="0000EE"/>
                <w:w w:val="91"/>
              </w:rPr>
            </w:pPr>
            <w:hyperlink w:anchor="page107">
              <w:r>
                <w:rPr>
                  <w:rFonts w:ascii="Arial" w:cs="Arial" w:eastAsia="Arial" w:hAnsi="Arial"/>
                  <w:sz w:val="18"/>
                  <w:szCs w:val="18"/>
                  <w:color w:val="0000EE"/>
                  <w:w w:val="91"/>
                </w:rPr>
                <w:t>Unit Purchase Agreement, dated November 10, 2020, by and among Addus Healthcare, Inc., Queen City Hospice, LLC, Miracle City Hospice,</w:t>
              </w:r>
            </w:hyperlink>
          </w:p>
        </w:tc>
      </w:tr>
      <w:tr>
        <w:trPr>
          <w:trHeight w:val="196"/>
        </w:trPr>
        <w:tc>
          <w:tcPr>
            <w:tcW w:w="920" w:type="dxa"/>
            <w:vAlign w:val="bottom"/>
          </w:tcPr>
          <w:p>
            <w:pPr>
              <w:spacing w:after="0"/>
              <w:rPr>
                <w:sz w:val="17"/>
                <w:szCs w:val="17"/>
                <w:color w:val="auto"/>
              </w:rPr>
            </w:pPr>
          </w:p>
        </w:tc>
        <w:tc>
          <w:tcPr>
            <w:tcW w:w="9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LLC, and QCH Holdings LLC.</w:t>
              </w:r>
            </w:hyperlink>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9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10.46</w:t>
            </w:r>
          </w:p>
        </w:tc>
        <w:tc>
          <w:tcPr>
            <w:tcW w:w="10320" w:type="dxa"/>
            <w:vAlign w:val="bottom"/>
            <w:gridSpan w:val="15"/>
          </w:tcPr>
          <w:p>
            <w:pPr>
              <w:spacing w:after="0"/>
              <w:rPr>
                <w:rFonts w:ascii="Arial" w:cs="Arial" w:eastAsia="Arial" w:hAnsi="Arial"/>
                <w:sz w:val="18"/>
                <w:szCs w:val="18"/>
                <w:color w:val="0000EE"/>
                <w:w w:val="91"/>
              </w:rPr>
            </w:pPr>
            <w:hyperlink w:anchor="page189">
              <w:r>
                <w:rPr>
                  <w:rFonts w:ascii="Arial" w:cs="Arial" w:eastAsia="Arial" w:hAnsi="Arial"/>
                  <w:sz w:val="18"/>
                  <w:szCs w:val="18"/>
                  <w:color w:val="0000EE"/>
                  <w:w w:val="91"/>
                </w:rPr>
                <w:t>Amendment to Unit Purchase Agreement, dated December 3, 2020, by and among Addus Healthcare, Inc., Queen City Hospice, LLC, Miracle</w:t>
              </w:r>
            </w:hyperlink>
          </w:p>
        </w:tc>
      </w:tr>
      <w:tr>
        <w:trPr>
          <w:trHeight w:val="196"/>
        </w:trPr>
        <w:tc>
          <w:tcPr>
            <w:tcW w:w="920" w:type="dxa"/>
            <w:vAlign w:val="bottom"/>
          </w:tcPr>
          <w:p>
            <w:pPr>
              <w:spacing w:after="0"/>
              <w:rPr>
                <w:sz w:val="17"/>
                <w:szCs w:val="17"/>
                <w:color w:val="auto"/>
              </w:rPr>
            </w:pPr>
          </w:p>
        </w:tc>
        <w:tc>
          <w:tcPr>
            <w:tcW w:w="3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189">
              <w:r>
                <w:rPr>
                  <w:rFonts w:ascii="Arial" w:cs="Arial" w:eastAsia="Arial" w:hAnsi="Arial"/>
                  <w:sz w:val="18"/>
                  <w:szCs w:val="18"/>
                  <w:color w:val="0000EE"/>
                  <w:w w:val="93"/>
                </w:rPr>
                <w:t>City Hospice, LLC, and QCH Holdings LLC.</w:t>
              </w:r>
            </w:hyperlink>
          </w:p>
        </w:tc>
        <w:tc>
          <w:tcPr>
            <w:tcW w:w="6700" w:type="dxa"/>
            <w:vAlign w:val="bottom"/>
            <w:tcBorders>
              <w:top w:val="single" w:sz="8" w:color="0000EE"/>
            </w:tcBorders>
            <w:gridSpan w:val="3"/>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58"/>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9980" w:type="dxa"/>
            <w:vAlign w:val="bottom"/>
            <w:gridSpan w:val="8"/>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Subsidiaries of Addus HomeCare Corporation.</w:t>
              </w:r>
            </w:hyperlink>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9980" w:type="dxa"/>
            <w:vAlign w:val="bottom"/>
            <w:gridSpan w:val="8"/>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Consent of PricewaterhouseCoopers LLP, Independent Registered Public Accounting Firm.</w:t>
              </w:r>
            </w:hyperlink>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99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97">
              <w:r>
                <w:rPr>
                  <w:rFonts w:ascii="Arial" w:cs="Arial" w:eastAsia="Arial" w:hAnsi="Arial"/>
                  <w:sz w:val="18"/>
                  <w:szCs w:val="18"/>
                  <w:color w:val="0000EE"/>
                  <w:w w:val="91"/>
                </w:rPr>
                <w:t>Certification of Chief Executive Officer Pursuant to Rule 13-14(a) of the Securities Exchange Act of 1934 as Adopted Pursuant to Section</w:t>
              </w:r>
            </w:hyperlink>
          </w:p>
        </w:tc>
        <w:tc>
          <w:tcPr>
            <w:tcW w:w="340" w:type="dxa"/>
            <w:vAlign w:val="bottom"/>
            <w:tcBorders>
              <w:bottom w:val="single" w:sz="8" w:color="0000EE"/>
            </w:tcBorders>
            <w:gridSpan w:val="7"/>
          </w:tcPr>
          <w:p>
            <w:pPr>
              <w:jc w:val="right"/>
              <w:spacing w:after="0"/>
              <w:rPr>
                <w:rFonts w:ascii="Arial" w:cs="Arial" w:eastAsia="Arial" w:hAnsi="Arial"/>
                <w:sz w:val="18"/>
                <w:szCs w:val="18"/>
                <w:color w:val="0000EE"/>
              </w:rPr>
            </w:pPr>
            <w:hyperlink w:anchor="page197">
              <w:r>
                <w:rPr>
                  <w:rFonts w:ascii="Arial" w:cs="Arial" w:eastAsia="Arial" w:hAnsi="Arial"/>
                  <w:sz w:val="18"/>
                  <w:szCs w:val="18"/>
                  <w:color w:val="0000EE"/>
                </w:rPr>
                <w:t>302</w:t>
              </w:r>
            </w:hyperlink>
          </w:p>
        </w:tc>
      </w:tr>
      <w:tr>
        <w:trPr>
          <w:trHeight w:val="196"/>
        </w:trPr>
        <w:tc>
          <w:tcPr>
            <w:tcW w:w="92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97">
              <w:r>
                <w:rPr>
                  <w:rFonts w:ascii="Arial" w:cs="Arial" w:eastAsia="Arial" w:hAnsi="Arial"/>
                  <w:sz w:val="18"/>
                  <w:szCs w:val="18"/>
                  <w:color w:val="0000EE"/>
                  <w:w w:val="90"/>
                </w:rPr>
                <w:t>of the Sarbanes-Oxley Act of 2002.</w:t>
              </w:r>
            </w:hyperlink>
          </w:p>
        </w:tc>
        <w:tc>
          <w:tcPr>
            <w:tcW w:w="742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9980" w:type="dxa"/>
            <w:vAlign w:val="bottom"/>
            <w:gridSpan w:val="8"/>
          </w:tcPr>
          <w:p>
            <w:pPr>
              <w:spacing w:after="0"/>
              <w:rPr>
                <w:rFonts w:ascii="Arial" w:cs="Arial" w:eastAsia="Arial" w:hAnsi="Arial"/>
                <w:sz w:val="18"/>
                <w:szCs w:val="18"/>
                <w:color w:val="0000EE"/>
                <w:w w:val="92"/>
              </w:rPr>
            </w:pPr>
            <w:hyperlink w:anchor="page198">
              <w:r>
                <w:rPr>
                  <w:rFonts w:ascii="Arial" w:cs="Arial" w:eastAsia="Arial" w:hAnsi="Arial"/>
                  <w:sz w:val="18"/>
                  <w:szCs w:val="18"/>
                  <w:color w:val="0000EE"/>
                  <w:w w:val="92"/>
                </w:rPr>
                <w:t>Certification of Chief Financial Officer Pursuant to Rule 13-14(a) of the Securities Exchange Act of 1934 as Adopted Pursuant to Section</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98">
              <w:r>
                <w:rPr>
                  <w:rFonts w:ascii="Arial" w:cs="Arial" w:eastAsia="Arial" w:hAnsi="Arial"/>
                  <w:sz w:val="18"/>
                  <w:szCs w:val="18"/>
                  <w:color w:val="0000EE"/>
                  <w:w w:val="86"/>
                </w:rPr>
                <w:t>302</w:t>
              </w:r>
            </w:hyperlink>
          </w:p>
        </w:tc>
        <w:tc>
          <w:tcPr>
            <w:tcW w:w="4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98">
              <w:r>
                <w:rPr>
                  <w:rFonts w:ascii="Arial" w:cs="Arial" w:eastAsia="Arial" w:hAnsi="Arial"/>
                  <w:sz w:val="18"/>
                  <w:szCs w:val="18"/>
                  <w:color w:val="0000EE"/>
                  <w:w w:val="90"/>
                </w:rPr>
                <w:t>of the Sarbanes-Oxley Act of 2002.</w:t>
              </w:r>
            </w:hyperlink>
          </w:p>
        </w:tc>
        <w:tc>
          <w:tcPr>
            <w:tcW w:w="7420" w:type="dxa"/>
            <w:vAlign w:val="bottom"/>
            <w:tcBorders>
              <w:top w:val="single" w:sz="8" w:color="0000EE"/>
            </w:tcBorders>
            <w:gridSpan w:val="4"/>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320" w:type="dxa"/>
            <w:vAlign w:val="bottom"/>
            <w:gridSpan w:val="15"/>
          </w:tcPr>
          <w:p>
            <w:pPr>
              <w:spacing w:after="0"/>
              <w:rPr>
                <w:rFonts w:ascii="Arial" w:cs="Arial" w:eastAsia="Arial" w:hAnsi="Arial"/>
                <w:sz w:val="18"/>
                <w:szCs w:val="18"/>
                <w:color w:val="0000EE"/>
                <w:w w:val="91"/>
              </w:rPr>
            </w:pPr>
            <w:hyperlink w:anchor="page199">
              <w:r>
                <w:rPr>
                  <w:rFonts w:ascii="Arial" w:cs="Arial" w:eastAsia="Arial" w:hAnsi="Arial"/>
                  <w:sz w:val="18"/>
                  <w:szCs w:val="18"/>
                  <w:color w:val="0000EE"/>
                  <w:w w:val="91"/>
                </w:rPr>
                <w:t>Certification of Chief Executive Officer Pursuant to 18 U.S.C. Section 1350, as Adopted Pursuant to Section 906 of the Sarbanes-Oxley Act of</w:t>
              </w:r>
            </w:hyperlink>
          </w:p>
        </w:tc>
      </w:tr>
      <w:tr>
        <w:trPr>
          <w:trHeight w:val="196"/>
        </w:trPr>
        <w:tc>
          <w:tcPr>
            <w:tcW w:w="9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99">
              <w:r>
                <w:rPr>
                  <w:rFonts w:ascii="Arial" w:cs="Arial" w:eastAsia="Arial" w:hAnsi="Arial"/>
                  <w:sz w:val="18"/>
                  <w:szCs w:val="18"/>
                  <w:color w:val="0000EE"/>
                  <w:w w:val="84"/>
                </w:rPr>
                <w:t>2002.</w:t>
              </w:r>
            </w:hyperlink>
          </w:p>
        </w:tc>
        <w:tc>
          <w:tcPr>
            <w:tcW w:w="1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38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317"/>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0320" w:type="dxa"/>
            <w:vAlign w:val="bottom"/>
            <w:gridSpan w:val="15"/>
          </w:tcPr>
          <w:p>
            <w:pPr>
              <w:spacing w:after="0"/>
              <w:rPr>
                <w:rFonts w:ascii="Arial" w:cs="Arial" w:eastAsia="Arial" w:hAnsi="Arial"/>
                <w:sz w:val="18"/>
                <w:szCs w:val="18"/>
                <w:color w:val="0000EE"/>
                <w:w w:val="91"/>
              </w:rPr>
            </w:pPr>
            <w:hyperlink w:anchor="page200">
              <w:r>
                <w:rPr>
                  <w:rFonts w:ascii="Arial" w:cs="Arial" w:eastAsia="Arial" w:hAnsi="Arial"/>
                  <w:sz w:val="18"/>
                  <w:szCs w:val="18"/>
                  <w:color w:val="0000EE"/>
                  <w:w w:val="91"/>
                </w:rPr>
                <w:t>Certification of Chief Financial Officer Pursuant to 18 U.S.C. Section 1350, as Adopted Pursuant to Section 906 of the Sarbanes-Oxley Act of</w:t>
              </w:r>
            </w:hyperlink>
          </w:p>
        </w:tc>
      </w:tr>
      <w:tr>
        <w:trPr>
          <w:trHeight w:val="196"/>
        </w:trPr>
        <w:tc>
          <w:tcPr>
            <w:tcW w:w="9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00">
              <w:r>
                <w:rPr>
                  <w:rFonts w:ascii="Arial" w:cs="Arial" w:eastAsia="Arial" w:hAnsi="Arial"/>
                  <w:sz w:val="18"/>
                  <w:szCs w:val="18"/>
                  <w:color w:val="0000EE"/>
                  <w:w w:val="84"/>
                </w:rPr>
                <w:t>2002.</w:t>
              </w:r>
            </w:hyperlink>
          </w:p>
        </w:tc>
        <w:tc>
          <w:tcPr>
            <w:tcW w:w="14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38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8"/>
          </w:tcPr>
          <w:p>
            <w:pPr>
              <w:spacing w:after="0"/>
              <w:rPr>
                <w:sz w:val="20"/>
                <w:szCs w:val="20"/>
                <w:color w:val="auto"/>
              </w:rPr>
            </w:pPr>
            <w:r>
              <w:rPr>
                <w:rFonts w:ascii="Arial" w:cs="Arial" w:eastAsia="Arial" w:hAnsi="Arial"/>
                <w:sz w:val="18"/>
                <w:szCs w:val="18"/>
                <w:color w:val="auto"/>
                <w:w w:val="90"/>
              </w:rPr>
              <w:t>Inline XBRL Instance Document (the instance document does not appear in the Interactive Data File because its XBRL tags are embedded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Calculation Linkbase Document.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Label Linkbase Document.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Presentation Linkbase Document.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07" w:lineRule="exact"/>
        <w:rPr>
          <w:sz w:val="20"/>
          <w:szCs w:val="20"/>
          <w:color w:val="auto"/>
        </w:rPr>
      </w:pPr>
    </w:p>
    <w:p>
      <w:pPr>
        <w:ind w:left="920" w:hanging="912"/>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contained in Exhibit 101).</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compensatory plan or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Addus HomeCare Corporation</w:t>
      </w:r>
    </w:p>
    <w:p>
      <w:pPr>
        <w:spacing w:after="0" w:line="225" w:lineRule="exact"/>
        <w:rPr>
          <w:sz w:val="20"/>
          <w:szCs w:val="20"/>
          <w:color w:val="auto"/>
        </w:rPr>
      </w:pPr>
    </w:p>
    <w:p>
      <w:pPr>
        <w:spacing w:after="0"/>
        <w:tabs>
          <w:tab w:leader="none" w:pos="1660" w:val="left"/>
          <w:tab w:leader="none" w:pos="2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8975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 w:lineRule="exact"/>
        <w:rPr>
          <w:sz w:val="20"/>
          <w:szCs w:val="20"/>
          <w:color w:val="auto"/>
        </w:rPr>
      </w:pPr>
    </w:p>
    <w:p>
      <w:pPr>
        <w:jc w:val="center"/>
        <w:ind w:right="5680"/>
        <w:spacing w:after="0"/>
        <w:rPr>
          <w:sz w:val="20"/>
          <w:szCs w:val="20"/>
          <w:color w:val="auto"/>
        </w:rPr>
      </w:pPr>
      <w:r>
        <w:rPr>
          <w:rFonts w:ascii="Arial" w:cs="Arial" w:eastAsia="Arial" w:hAnsi="Arial"/>
          <w:sz w:val="18"/>
          <w:szCs w:val="18"/>
          <w:b w:val="1"/>
          <w:bCs w:val="1"/>
          <w:color w:val="auto"/>
        </w:rPr>
        <w:t>R. Dirk Allison,</w:t>
      </w:r>
    </w:p>
    <w:p>
      <w:pPr>
        <w:spacing w:after="0" w:line="23" w:lineRule="exact"/>
        <w:rPr>
          <w:sz w:val="20"/>
          <w:szCs w:val="20"/>
          <w:color w:val="auto"/>
        </w:rPr>
      </w:pPr>
    </w:p>
    <w:p>
      <w:pPr>
        <w:jc w:val="center"/>
        <w:ind w:right="56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25"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Signature</w:t>
            </w:r>
          </w:p>
        </w:tc>
        <w:tc>
          <w:tcPr>
            <w:tcW w:w="4800" w:type="dxa"/>
            <w:vAlign w:val="bottom"/>
          </w:tcPr>
          <w:p>
            <w:pPr>
              <w:ind w:left="2080"/>
              <w:spacing w:after="0"/>
              <w:rPr>
                <w:sz w:val="20"/>
                <w:szCs w:val="20"/>
                <w:color w:val="auto"/>
              </w:rPr>
            </w:pPr>
            <w:r>
              <w:rPr>
                <w:rFonts w:ascii="Arial" w:cs="Arial" w:eastAsia="Arial" w:hAnsi="Arial"/>
                <w:sz w:val="18"/>
                <w:szCs w:val="18"/>
                <w:b w:val="1"/>
                <w:bCs w:val="1"/>
                <w:color w:val="auto"/>
              </w:rPr>
              <w:t>Title</w:t>
            </w:r>
          </w:p>
        </w:tc>
        <w:tc>
          <w:tcPr>
            <w:tcW w:w="250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73"/>
              </w:rPr>
              <w:t>/s/</w:t>
            </w:r>
          </w:p>
        </w:tc>
        <w:tc>
          <w:tcPr>
            <w:tcW w:w="2880" w:type="dxa"/>
            <w:vAlign w:val="bottom"/>
            <w:tcBorders>
              <w:bottom w:val="single" w:sz="8" w:color="auto"/>
            </w:tcBorders>
            <w:gridSpan w:val="2"/>
          </w:tcPr>
          <w:p>
            <w:pPr>
              <w:jc w:val="center"/>
              <w:ind w:right="970"/>
              <w:spacing w:after="0"/>
              <w:rPr>
                <w:sz w:val="20"/>
                <w:szCs w:val="20"/>
                <w:color w:val="auto"/>
              </w:rPr>
            </w:pPr>
            <w:r>
              <w:rPr>
                <w:rFonts w:ascii="Arial" w:cs="Arial" w:eastAsia="Arial" w:hAnsi="Arial"/>
                <w:sz w:val="18"/>
                <w:szCs w:val="18"/>
                <w:color w:val="auto"/>
                <w:w w:val="99"/>
              </w:rPr>
              <w:t>R. DIRK ALLISON</w:t>
            </w:r>
          </w:p>
        </w:tc>
        <w:tc>
          <w:tcPr>
            <w:tcW w:w="4800" w:type="dxa"/>
            <w:vAlign w:val="bottom"/>
          </w:tcPr>
          <w:p>
            <w:pPr>
              <w:ind w:left="120"/>
              <w:spacing w:after="0"/>
              <w:rPr>
                <w:sz w:val="20"/>
                <w:szCs w:val="20"/>
                <w:color w:val="auto"/>
              </w:rPr>
            </w:pPr>
            <w:r>
              <w:rPr>
                <w:rFonts w:ascii="Arial" w:cs="Arial" w:eastAsia="Arial" w:hAnsi="Arial"/>
                <w:sz w:val="18"/>
                <w:szCs w:val="18"/>
                <w:color w:val="auto"/>
              </w:rPr>
              <w:t>President and Chief Executive Officer (Principal Executive</w:t>
            </w:r>
          </w:p>
        </w:tc>
        <w:tc>
          <w:tcPr>
            <w:tcW w:w="2500" w:type="dxa"/>
            <w:vAlign w:val="bottom"/>
          </w:tcPr>
          <w:p>
            <w:pPr>
              <w:jc w:val="center"/>
              <w:ind w:right="210"/>
              <w:spacing w:after="0"/>
              <w:rPr>
                <w:sz w:val="20"/>
                <w:szCs w:val="20"/>
                <w:color w:val="auto"/>
              </w:rPr>
            </w:pPr>
            <w:r>
              <w:rPr>
                <w:rFonts w:ascii="Arial" w:cs="Arial" w:eastAsia="Arial" w:hAnsi="Arial"/>
                <w:sz w:val="18"/>
                <w:szCs w:val="18"/>
                <w:color w:val="auto"/>
                <w:w w:val="89"/>
              </w:rPr>
              <w:t>February 26, 2021</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4"/>
              </w:rPr>
              <w:t>R. Dirk Allison</w:t>
            </w:r>
          </w:p>
        </w:tc>
        <w:tc>
          <w:tcPr>
            <w:tcW w:w="4800" w:type="dxa"/>
            <w:vAlign w:val="bottom"/>
          </w:tcPr>
          <w:p>
            <w:pPr>
              <w:ind w:left="120"/>
              <w:spacing w:after="0"/>
              <w:rPr>
                <w:sz w:val="20"/>
                <w:szCs w:val="20"/>
                <w:color w:val="auto"/>
              </w:rPr>
            </w:pPr>
            <w:r>
              <w:rPr>
                <w:rFonts w:ascii="Arial" w:cs="Arial" w:eastAsia="Arial" w:hAnsi="Arial"/>
                <w:sz w:val="18"/>
                <w:szCs w:val="18"/>
                <w:color w:val="auto"/>
              </w:rPr>
              <w:t>Officer) and Director</w:t>
            </w:r>
          </w:p>
        </w:tc>
        <w:tc>
          <w:tcPr>
            <w:tcW w:w="25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96"/>
              </w:rPr>
              <w:t>BRIAN POFF</w:t>
            </w:r>
          </w:p>
        </w:tc>
        <w:tc>
          <w:tcPr>
            <w:tcW w:w="480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and</w:t>
            </w:r>
          </w:p>
        </w:tc>
        <w:tc>
          <w:tcPr>
            <w:tcW w:w="2500" w:type="dxa"/>
            <w:vAlign w:val="bottom"/>
          </w:tcPr>
          <w:p>
            <w:pPr>
              <w:jc w:val="center"/>
              <w:ind w:right="210"/>
              <w:spacing w:after="0"/>
              <w:rPr>
                <w:sz w:val="20"/>
                <w:szCs w:val="20"/>
                <w:color w:val="auto"/>
              </w:rPr>
            </w:pPr>
            <w:r>
              <w:rPr>
                <w:rFonts w:ascii="Arial" w:cs="Arial" w:eastAsia="Arial" w:hAnsi="Arial"/>
                <w:sz w:val="18"/>
                <w:szCs w:val="18"/>
                <w:color w:val="auto"/>
                <w:w w:val="89"/>
              </w:rPr>
              <w:t>February 26, 2021</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2"/>
              </w:rPr>
              <w:t>Brian Poff</w:t>
            </w:r>
          </w:p>
        </w:tc>
        <w:tc>
          <w:tcPr>
            <w:tcW w:w="480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2500" w:type="dxa"/>
            <w:vAlign w:val="bottom"/>
          </w:tcPr>
          <w:p>
            <w:pPr>
              <w:spacing w:after="0"/>
              <w:rPr>
                <w:sz w:val="19"/>
                <w:szCs w:val="19"/>
                <w:color w:val="auto"/>
              </w:rPr>
            </w:pPr>
          </w:p>
        </w:tc>
      </w:tr>
      <w:tr>
        <w:trPr>
          <w:trHeight w:val="421"/>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gridSpan w:val="2"/>
          </w:tcPr>
          <w:p>
            <w:pPr>
              <w:jc w:val="center"/>
              <w:ind w:right="950"/>
              <w:spacing w:after="0"/>
              <w:rPr>
                <w:sz w:val="20"/>
                <w:szCs w:val="20"/>
                <w:color w:val="auto"/>
              </w:rPr>
            </w:pPr>
            <w:r>
              <w:rPr>
                <w:rFonts w:ascii="Arial" w:cs="Arial" w:eastAsia="Arial" w:hAnsi="Arial"/>
                <w:sz w:val="18"/>
                <w:szCs w:val="18"/>
                <w:color w:val="auto"/>
                <w:w w:val="99"/>
              </w:rPr>
              <w:t>MICHAEL EARLEY</w:t>
            </w:r>
          </w:p>
        </w:tc>
        <w:tc>
          <w:tcPr>
            <w:tcW w:w="4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210"/>
              <w:spacing w:after="0"/>
              <w:rPr>
                <w:sz w:val="20"/>
                <w:szCs w:val="20"/>
                <w:color w:val="auto"/>
              </w:rPr>
            </w:pPr>
            <w:r>
              <w:rPr>
                <w:rFonts w:ascii="Arial" w:cs="Arial" w:eastAsia="Arial" w:hAnsi="Arial"/>
                <w:sz w:val="18"/>
                <w:szCs w:val="18"/>
                <w:color w:val="auto"/>
                <w:w w:val="89"/>
              </w:rPr>
              <w:t>February 26, 2021</w:t>
            </w:r>
          </w:p>
        </w:tc>
      </w:tr>
      <w:tr>
        <w:trPr>
          <w:trHeight w:val="234"/>
        </w:trPr>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2"/>
              </w:rPr>
              <w:t>Michael Earley</w:t>
            </w:r>
          </w:p>
        </w:tc>
        <w:tc>
          <w:tcPr>
            <w:tcW w:w="48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/s/</w:t>
            </w:r>
          </w:p>
        </w:tc>
        <w:tc>
          <w:tcPr>
            <w:tcW w:w="262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99"/>
              </w:rPr>
              <w:t>MARK L. FIRST</w:t>
            </w:r>
          </w:p>
        </w:tc>
        <w:tc>
          <w:tcPr>
            <w:tcW w:w="4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210"/>
              <w:spacing w:after="0"/>
              <w:rPr>
                <w:sz w:val="20"/>
                <w:szCs w:val="20"/>
                <w:color w:val="auto"/>
              </w:rPr>
            </w:pPr>
            <w:r>
              <w:rPr>
                <w:rFonts w:ascii="Arial" w:cs="Arial" w:eastAsia="Arial" w:hAnsi="Arial"/>
                <w:sz w:val="18"/>
                <w:szCs w:val="18"/>
                <w:color w:val="auto"/>
                <w:w w:val="89"/>
              </w:rPr>
              <w:t>February 26, 2021</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rPr>
              <w:t>Mark L. First</w:t>
            </w:r>
          </w:p>
        </w:tc>
        <w:tc>
          <w:tcPr>
            <w:tcW w:w="4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2880" w:type="dxa"/>
            <w:vAlign w:val="bottom"/>
            <w:tcBorders>
              <w:bottom w:val="single" w:sz="8" w:color="auto"/>
            </w:tcBorders>
            <w:gridSpan w:val="2"/>
          </w:tcPr>
          <w:p>
            <w:pPr>
              <w:jc w:val="center"/>
              <w:ind w:right="950"/>
              <w:spacing w:after="0"/>
              <w:rPr>
                <w:sz w:val="20"/>
                <w:szCs w:val="20"/>
                <w:color w:val="auto"/>
              </w:rPr>
            </w:pPr>
            <w:r>
              <w:rPr>
                <w:rFonts w:ascii="Arial" w:cs="Arial" w:eastAsia="Arial" w:hAnsi="Arial"/>
                <w:sz w:val="18"/>
                <w:szCs w:val="18"/>
                <w:color w:val="auto"/>
                <w:w w:val="95"/>
              </w:rPr>
              <w:t>STEVEN I. GERINGER</w:t>
            </w:r>
          </w:p>
        </w:tc>
        <w:tc>
          <w:tcPr>
            <w:tcW w:w="4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210"/>
              <w:spacing w:after="0"/>
              <w:rPr>
                <w:sz w:val="20"/>
                <w:szCs w:val="20"/>
                <w:color w:val="auto"/>
              </w:rPr>
            </w:pPr>
            <w:r>
              <w:rPr>
                <w:rFonts w:ascii="Arial" w:cs="Arial" w:eastAsia="Arial" w:hAnsi="Arial"/>
                <w:sz w:val="18"/>
                <w:szCs w:val="18"/>
                <w:color w:val="auto"/>
                <w:w w:val="89"/>
              </w:rPr>
              <w:t>February 26, 2021</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0"/>
              </w:rPr>
              <w:t>Steven I. Geringer</w:t>
            </w:r>
          </w:p>
        </w:tc>
        <w:tc>
          <w:tcPr>
            <w:tcW w:w="4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w w:val="94"/>
              </w:rPr>
              <w:t>/s/</w:t>
            </w:r>
          </w:p>
        </w:tc>
        <w:tc>
          <w:tcPr>
            <w:tcW w:w="2880" w:type="dxa"/>
            <w:vAlign w:val="bottom"/>
            <w:tcBorders>
              <w:bottom w:val="single" w:sz="8" w:color="auto"/>
            </w:tcBorders>
            <w:gridSpan w:val="2"/>
          </w:tcPr>
          <w:p>
            <w:pPr>
              <w:jc w:val="center"/>
              <w:ind w:right="970"/>
              <w:spacing w:after="0"/>
              <w:rPr>
                <w:sz w:val="20"/>
                <w:szCs w:val="20"/>
                <w:color w:val="auto"/>
              </w:rPr>
            </w:pPr>
            <w:r>
              <w:rPr>
                <w:rFonts w:ascii="Arial" w:cs="Arial" w:eastAsia="Arial" w:hAnsi="Arial"/>
                <w:sz w:val="18"/>
                <w:szCs w:val="18"/>
                <w:color w:val="auto"/>
                <w:w w:val="95"/>
              </w:rPr>
              <w:t>DARIN J. GORDON</w:t>
            </w:r>
          </w:p>
        </w:tc>
        <w:tc>
          <w:tcPr>
            <w:tcW w:w="4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210"/>
              <w:spacing w:after="0"/>
              <w:rPr>
                <w:sz w:val="20"/>
                <w:szCs w:val="20"/>
                <w:color w:val="auto"/>
              </w:rPr>
            </w:pPr>
            <w:r>
              <w:rPr>
                <w:rFonts w:ascii="Arial" w:cs="Arial" w:eastAsia="Arial" w:hAnsi="Arial"/>
                <w:sz w:val="18"/>
                <w:szCs w:val="18"/>
                <w:color w:val="auto"/>
                <w:w w:val="89"/>
              </w:rPr>
              <w:t>February 26, 2021</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4"/>
              </w:rPr>
              <w:t>Darin J. Gordon</w:t>
            </w:r>
          </w:p>
        </w:tc>
        <w:tc>
          <w:tcPr>
            <w:tcW w:w="4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ESTEBAN LÓPEZ, M.D.</w:t>
            </w:r>
          </w:p>
        </w:tc>
        <w:tc>
          <w:tcPr>
            <w:tcW w:w="4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210"/>
              <w:spacing w:after="0"/>
              <w:rPr>
                <w:sz w:val="20"/>
                <w:szCs w:val="20"/>
                <w:color w:val="auto"/>
              </w:rPr>
            </w:pPr>
            <w:r>
              <w:rPr>
                <w:rFonts w:ascii="Arial" w:cs="Arial" w:eastAsia="Arial" w:hAnsi="Arial"/>
                <w:sz w:val="18"/>
                <w:szCs w:val="18"/>
                <w:color w:val="auto"/>
                <w:w w:val="89"/>
              </w:rPr>
              <w:t>February 26, 2021</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80" w:type="dxa"/>
            <w:vAlign w:val="bottom"/>
            <w:gridSpan w:val="2"/>
          </w:tcPr>
          <w:p>
            <w:pPr>
              <w:jc w:val="center"/>
              <w:ind w:right="950"/>
              <w:spacing w:after="0"/>
              <w:rPr>
                <w:sz w:val="20"/>
                <w:szCs w:val="20"/>
                <w:color w:val="auto"/>
              </w:rPr>
            </w:pPr>
            <w:r>
              <w:rPr>
                <w:rFonts w:ascii="Arial" w:cs="Arial" w:eastAsia="Arial" w:hAnsi="Arial"/>
                <w:sz w:val="18"/>
                <w:szCs w:val="18"/>
                <w:b w:val="1"/>
                <w:bCs w:val="1"/>
                <w:color w:val="auto"/>
                <w:w w:val="91"/>
              </w:rPr>
              <w:t>Esteban López, M.D.</w:t>
            </w:r>
          </w:p>
        </w:tc>
        <w:tc>
          <w:tcPr>
            <w:tcW w:w="4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3"/>
          </w:tcPr>
          <w:p>
            <w:pPr>
              <w:jc w:val="center"/>
              <w:ind w:right="510"/>
              <w:spacing w:after="0"/>
              <w:rPr>
                <w:sz w:val="20"/>
                <w:szCs w:val="20"/>
                <w:color w:val="auto"/>
              </w:rPr>
            </w:pPr>
            <w:r>
              <w:rPr>
                <w:rFonts w:ascii="Arial" w:cs="Arial" w:eastAsia="Arial" w:hAnsi="Arial"/>
                <w:sz w:val="18"/>
                <w:szCs w:val="18"/>
                <w:color w:val="auto"/>
                <w:w w:val="99"/>
              </w:rPr>
              <w:t>VERONICA HILL-MILBOURNE</w:t>
            </w:r>
          </w:p>
        </w:tc>
        <w:tc>
          <w:tcPr>
            <w:tcW w:w="4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210"/>
              <w:spacing w:after="0"/>
              <w:rPr>
                <w:sz w:val="20"/>
                <w:szCs w:val="20"/>
                <w:color w:val="auto"/>
              </w:rPr>
            </w:pPr>
            <w:r>
              <w:rPr>
                <w:rFonts w:ascii="Arial" w:cs="Arial" w:eastAsia="Arial" w:hAnsi="Arial"/>
                <w:sz w:val="18"/>
                <w:szCs w:val="18"/>
                <w:color w:val="auto"/>
                <w:w w:val="89"/>
              </w:rPr>
              <w:t>February 26, 2021</w:t>
            </w:r>
          </w:p>
        </w:tc>
      </w:tr>
      <w:tr>
        <w:trPr>
          <w:trHeight w:val="228"/>
        </w:trPr>
        <w:tc>
          <w:tcPr>
            <w:tcW w:w="600" w:type="dxa"/>
            <w:vAlign w:val="bottom"/>
          </w:tcPr>
          <w:p>
            <w:pPr>
              <w:spacing w:after="0"/>
              <w:rPr>
                <w:sz w:val="19"/>
                <w:szCs w:val="19"/>
                <w:color w:val="auto"/>
              </w:rPr>
            </w:pPr>
          </w:p>
        </w:tc>
        <w:tc>
          <w:tcPr>
            <w:tcW w:w="334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3"/>
              </w:rPr>
              <w:t>Veronica Hill-Milbourne</w:t>
            </w:r>
          </w:p>
        </w:tc>
        <w:tc>
          <w:tcPr>
            <w:tcW w:w="4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/s/</w:t>
            </w:r>
          </w:p>
        </w:tc>
        <w:tc>
          <w:tcPr>
            <w:tcW w:w="262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94"/>
              </w:rPr>
              <w:t>JEAN RUSH</w:t>
            </w:r>
          </w:p>
        </w:tc>
        <w:tc>
          <w:tcPr>
            <w:tcW w:w="4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210"/>
              <w:spacing w:after="0"/>
              <w:rPr>
                <w:sz w:val="20"/>
                <w:szCs w:val="20"/>
                <w:color w:val="auto"/>
              </w:rPr>
            </w:pPr>
            <w:r>
              <w:rPr>
                <w:rFonts w:ascii="Arial" w:cs="Arial" w:eastAsia="Arial" w:hAnsi="Arial"/>
                <w:sz w:val="18"/>
                <w:szCs w:val="18"/>
                <w:color w:val="auto"/>
                <w:w w:val="89"/>
              </w:rPr>
              <w:t>February 26, 2021</w:t>
            </w:r>
          </w:p>
        </w:tc>
      </w:tr>
      <w:tr>
        <w:trPr>
          <w:trHeight w:val="228"/>
        </w:trPr>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center"/>
              <w:ind w:right="1210"/>
              <w:spacing w:after="0"/>
              <w:rPr>
                <w:sz w:val="20"/>
                <w:szCs w:val="20"/>
                <w:color w:val="auto"/>
              </w:rPr>
            </w:pPr>
            <w:r>
              <w:rPr>
                <w:rFonts w:ascii="Arial" w:cs="Arial" w:eastAsia="Arial" w:hAnsi="Arial"/>
                <w:sz w:val="18"/>
                <w:szCs w:val="18"/>
                <w:b w:val="1"/>
                <w:bCs w:val="1"/>
                <w:color w:val="auto"/>
                <w:w w:val="87"/>
              </w:rPr>
              <w:t>Jean Rush</w:t>
            </w:r>
          </w:p>
        </w:tc>
        <w:tc>
          <w:tcPr>
            <w:tcW w:w="4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414"/>
        </w:trPr>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w:t>
            </w:r>
          </w:p>
        </w:tc>
        <w:tc>
          <w:tcPr>
            <w:tcW w:w="3340" w:type="dxa"/>
            <w:vAlign w:val="bottom"/>
            <w:tcBorders>
              <w:bottom w:val="single" w:sz="8" w:color="auto"/>
            </w:tcBorders>
            <w:gridSpan w:val="3"/>
          </w:tcPr>
          <w:p>
            <w:pPr>
              <w:jc w:val="center"/>
              <w:ind w:right="530"/>
              <w:spacing w:after="0"/>
              <w:rPr>
                <w:sz w:val="20"/>
                <w:szCs w:val="20"/>
                <w:color w:val="auto"/>
              </w:rPr>
            </w:pPr>
            <w:r>
              <w:rPr>
                <w:rFonts w:ascii="Arial" w:cs="Arial" w:eastAsia="Arial" w:hAnsi="Arial"/>
                <w:sz w:val="18"/>
                <w:szCs w:val="18"/>
                <w:color w:val="auto"/>
                <w:w w:val="94"/>
              </w:rPr>
              <w:t>SUSAN T. WEAVER, M.D., FACP</w:t>
            </w:r>
          </w:p>
        </w:tc>
        <w:tc>
          <w:tcPr>
            <w:tcW w:w="48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500" w:type="dxa"/>
            <w:vAlign w:val="bottom"/>
          </w:tcPr>
          <w:p>
            <w:pPr>
              <w:jc w:val="center"/>
              <w:ind w:right="210"/>
              <w:spacing w:after="0"/>
              <w:rPr>
                <w:sz w:val="20"/>
                <w:szCs w:val="20"/>
                <w:color w:val="auto"/>
              </w:rPr>
            </w:pPr>
            <w:r>
              <w:rPr>
                <w:rFonts w:ascii="Arial" w:cs="Arial" w:eastAsia="Arial" w:hAnsi="Arial"/>
                <w:sz w:val="18"/>
                <w:szCs w:val="18"/>
                <w:color w:val="auto"/>
                <w:w w:val="89"/>
              </w:rPr>
              <w:t>February 26, 2021</w:t>
            </w:r>
          </w:p>
        </w:tc>
      </w:tr>
      <w:tr>
        <w:trPr>
          <w:trHeight w:val="228"/>
        </w:trPr>
        <w:tc>
          <w:tcPr>
            <w:tcW w:w="600" w:type="dxa"/>
            <w:vAlign w:val="bottom"/>
          </w:tcPr>
          <w:p>
            <w:pPr>
              <w:spacing w:after="0"/>
              <w:rPr>
                <w:sz w:val="19"/>
                <w:szCs w:val="19"/>
                <w:color w:val="auto"/>
              </w:rPr>
            </w:pPr>
          </w:p>
        </w:tc>
        <w:tc>
          <w:tcPr>
            <w:tcW w:w="3340" w:type="dxa"/>
            <w:vAlign w:val="bottom"/>
            <w:gridSpan w:val="3"/>
          </w:tcPr>
          <w:p>
            <w:pPr>
              <w:jc w:val="center"/>
              <w:ind w:right="490"/>
              <w:spacing w:after="0"/>
              <w:rPr>
                <w:sz w:val="20"/>
                <w:szCs w:val="20"/>
                <w:color w:val="auto"/>
              </w:rPr>
            </w:pPr>
            <w:r>
              <w:rPr>
                <w:rFonts w:ascii="Arial" w:cs="Arial" w:eastAsia="Arial" w:hAnsi="Arial"/>
                <w:sz w:val="18"/>
                <w:szCs w:val="18"/>
                <w:b w:val="1"/>
                <w:bCs w:val="1"/>
                <w:color w:val="auto"/>
                <w:w w:val="92"/>
              </w:rPr>
              <w:t>Susan T. Weaver, M.D., FACP</w:t>
            </w:r>
          </w:p>
        </w:tc>
        <w:tc>
          <w:tcPr>
            <w:tcW w:w="48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913"/>
        </w:trPr>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600"/>
              <w:spacing w:after="0"/>
              <w:rPr>
                <w:sz w:val="20"/>
                <w:szCs w:val="20"/>
                <w:color w:val="auto"/>
              </w:rPr>
            </w:pPr>
            <w:r>
              <w:rPr>
                <w:rFonts w:ascii="Arial" w:cs="Arial" w:eastAsia="Arial" w:hAnsi="Arial"/>
                <w:sz w:val="18"/>
                <w:szCs w:val="18"/>
                <w:color w:val="auto"/>
              </w:rPr>
              <w:t>68</w:t>
            </w:r>
          </w:p>
        </w:tc>
        <w:tc>
          <w:tcPr>
            <w:tcW w:w="2500" w:type="dxa"/>
            <w:vAlign w:val="bottom"/>
          </w:tcPr>
          <w:p>
            <w:pPr>
              <w:spacing w:after="0"/>
              <w:rPr>
                <w:sz w:val="24"/>
                <w:szCs w:val="24"/>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INFORMATION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vMerge w:val="restart"/>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Report of Independent Registered Public Accounting Firm</w:t>
              </w:r>
            </w:hyperlink>
          </w:p>
        </w:tc>
        <w:tc>
          <w:tcPr>
            <w:tcW w:w="680" w:type="dxa"/>
            <w:vAlign w:val="bottom"/>
            <w:gridSpan w:val="2"/>
          </w:tcPr>
          <w:p>
            <w:pPr>
              <w:ind w:left="20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95"/>
        </w:trPr>
        <w:tc>
          <w:tcPr>
            <w:tcW w:w="10600" w:type="dxa"/>
            <w:vAlign w:val="bottom"/>
            <w:vMerge w:val="continue"/>
          </w:tcPr>
          <w:p>
            <w:pPr>
              <w:spacing w:after="0"/>
              <w:rPr>
                <w:sz w:val="16"/>
                <w:szCs w:val="16"/>
                <w:color w:val="auto"/>
              </w:rPr>
            </w:pPr>
          </w:p>
        </w:tc>
        <w:tc>
          <w:tcPr>
            <w:tcW w:w="660" w:type="dxa"/>
            <w:vAlign w:val="bottom"/>
            <w:tcBorders>
              <w:top w:val="single" w:sz="8" w:color="auto"/>
            </w:tcBorders>
          </w:tcPr>
          <w:p>
            <w:pPr>
              <w:ind w:left="420"/>
              <w:spacing w:after="0" w:line="195"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Consolidated Balance Sheets</w:t>
              </w:r>
            </w:hyperlink>
          </w:p>
        </w:tc>
        <w:tc>
          <w:tcPr>
            <w:tcW w:w="680" w:type="dxa"/>
            <w:vAlign w:val="bottom"/>
            <w:gridSpan w:val="2"/>
          </w:tcPr>
          <w:p>
            <w:pPr>
              <w:ind w:left="4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Consolidated Statements of Income</w:t>
              </w:r>
            </w:hyperlink>
          </w:p>
        </w:tc>
        <w:tc>
          <w:tcPr>
            <w:tcW w:w="680" w:type="dxa"/>
            <w:vAlign w:val="bottom"/>
            <w:gridSpan w:val="2"/>
          </w:tcPr>
          <w:p>
            <w:pPr>
              <w:ind w:left="4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Consolidated Statements of Stockholders’ Equity</w:t>
              </w:r>
            </w:hyperlink>
          </w:p>
        </w:tc>
        <w:tc>
          <w:tcPr>
            <w:tcW w:w="680" w:type="dxa"/>
            <w:vAlign w:val="bottom"/>
            <w:gridSpan w:val="2"/>
          </w:tcPr>
          <w:p>
            <w:pPr>
              <w:ind w:left="42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6"/>
        </w:trPr>
        <w:tc>
          <w:tcPr>
            <w:tcW w:w="10600" w:type="dxa"/>
            <w:vAlign w:val="bottom"/>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Consolidated Statements of Cash Flows</w:t>
              </w:r>
            </w:hyperlink>
          </w:p>
        </w:tc>
        <w:tc>
          <w:tcPr>
            <w:tcW w:w="680" w:type="dxa"/>
            <w:vAlign w:val="bottom"/>
            <w:gridSpan w:val="2"/>
          </w:tcPr>
          <w:p>
            <w:pPr>
              <w:ind w:left="420"/>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30"/>
        </w:trPr>
        <w:tc>
          <w:tcPr>
            <w:tcW w:w="1060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Notes to Consolidated Financial Statements</w:t>
              </w:r>
            </w:hyperlink>
          </w:p>
        </w:tc>
        <w:tc>
          <w:tcPr>
            <w:tcW w:w="680" w:type="dxa"/>
            <w:vAlign w:val="bottom"/>
            <w:gridSpan w:val="2"/>
          </w:tcPr>
          <w:p>
            <w:pPr>
              <w:ind w:left="420"/>
              <w:spacing w:after="0"/>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Addus HomeCare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We have audited the accompanying consolidated balance sheets of Addus HomeCare Corporation and its subsidiaries (the “Company”) as of December 31, 2020 and 2019, and the related consolidated statements of income, of stockholders’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The Company's management is responsible for these consolidated financial statements, for maintaining effective internal control over financial reporting, and for its assessment of the effectiveness of internal control over financial reporting, included in </w:t>
      </w:r>
      <w:r>
        <w:rPr>
          <w:rFonts w:ascii="Arial" w:cs="Arial" w:eastAsia="Arial" w:hAnsi="Arial"/>
          <w:sz w:val="16"/>
          <w:szCs w:val="16"/>
          <w:color w:val="333333"/>
        </w:rPr>
        <w:t>Management’s Annual Report on Internal Control Over</w:t>
      </w:r>
      <w:r>
        <w:rPr>
          <w:rFonts w:ascii="Arial" w:cs="Arial" w:eastAsia="Arial" w:hAnsi="Arial"/>
          <w:sz w:val="16"/>
          <w:szCs w:val="16"/>
          <w:color w:val="auto"/>
        </w:rPr>
        <w:t xml:space="preserve"> </w:t>
      </w:r>
      <w:r>
        <w:rPr>
          <w:rFonts w:ascii="Arial" w:cs="Arial" w:eastAsia="Arial" w:hAnsi="Arial"/>
          <w:sz w:val="16"/>
          <w:szCs w:val="16"/>
          <w:color w:val="333333"/>
        </w:rPr>
        <w:t xml:space="preserve">Financial Reporting appearing under Item 9A. </w:t>
      </w:r>
      <w:r>
        <w:rPr>
          <w:rFonts w:ascii="Arial" w:cs="Arial" w:eastAsia="Arial" w:hAnsi="Arial"/>
          <w:sz w:val="16"/>
          <w:szCs w:val="16"/>
          <w:color w:val="000000"/>
        </w:rPr>
        <w:t>Our responsibility is to express opinions on the Company’s consolidated financial statements and on the</w:t>
      </w:r>
      <w:r>
        <w:rPr>
          <w:rFonts w:ascii="Arial" w:cs="Arial" w:eastAsia="Arial" w:hAnsi="Arial"/>
          <w:sz w:val="16"/>
          <w:szCs w:val="16"/>
          <w:color w:val="333333"/>
        </w:rPr>
        <w:t xml:space="preserve"> </w:t>
      </w:r>
      <w:r>
        <w:rPr>
          <w:rFonts w:ascii="Arial" w:cs="Arial" w:eastAsia="Arial" w:hAnsi="Arial"/>
          <w:sz w:val="16"/>
          <w:szCs w:val="16"/>
          <w:color w:val="000000"/>
        </w:rPr>
        <w:t>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in Management’s Annual Report on Internal Control Over Financial Reporting, management has excluded A Plus Health Care, Inc., County Homemakers, and Queen City Hospice from its assessment of internal control over financial reporting as of December 31, 2020, because they were acquired by the Company in purchase business combinations during 2020. We have also excluded A Plus Health Care, Inc., County Homemakers, and Queen City Hospice from our audit of internal control over financial reporting. A Plus Health Care, Inc., County Homemakers, and Queen City Hospice are wholly-owned subsidiaries whose total revenues and total operating income excluded from management’s assessment and our audit of internal control over financial reporting represent approximately 0.6%, 0.3% and 0.6% of total revenues, respectively and approximately 2.2%, 0.5% and (1.4)%, of total operating income, respectively, of the related consolidated financial statement amounts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Accounts Receivable, Net of Allowances for Implicit Price Concessions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described in Note 1 to the consolidated financial statements, net service revenue is recognized at the amount that reflects the consideration the Company expects to receive in exchange for providing services directly to consumers. Amounts collected may be less than amounts billed due to implicit price concessions, resulting from client eligibility issues, insufficient or incomplete documentation, services at levels other than authorized, pricing differences and other reasons unrelated to credit risk.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As disclosed by management, the evaluation of these historical and other factors involves complex, subjective judgments. Accounts receivable, net of allowances for implicit price concessions (before the allowance for doubtful accounts), were $133.6 million as of December 31, 2020.</w:t>
      </w:r>
    </w:p>
    <w:p>
      <w:pPr>
        <w:spacing w:after="0" w:line="165"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accounts receivable, net of allowances for implicit price concessions is a critical audit matter are (i) the high degree of auditor judgment and subjectivity in applying procedures relating to the valuation of accounts receivable, net of allowances for implicit price concessions due to the significant judgment by management when developing the estimate; and (ii) the significant audit effort in performing procedures and evaluating the audit evidence obtained related to the estimate. As previously disclosed by management, a material weakness existed during the year related to this matter.</w:t>
      </w:r>
    </w:p>
    <w:p>
      <w:pPr>
        <w:spacing w:after="0" w:line="17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valuation of accounts receivable, net of implicit price concessions, including controls over the allowance for implicit price concessions. These procedures also included, among others, (i) evaluating management’s process for developing the estimate of accounts receivable, net of allowances for implicit price concessions, as well as the relevance and use of historical experience data as an input into the estimate, (ii) testing the completeness and accuracy of the charges and payments used by management in the estimate by testing a sample of revenue transactions, (iii) evaluating the historical accuracy of management’s process for developing the estimate of the amount which will ultimately be collected by comparing actual cash collections to the previously recorded accounts receivable, and (iv) developing an independent expectation of the amount expected to be collected by management. Developing the independent expectation involved calculating the percentage of cash collections as compared to the recorded accounts receivable balance as of the end of the prior year and comparing that percentage to management’s collection expectation used to determine the current year estimate of accounts receivable, net of allowances for implicit price concessions.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Queen City Hospice Identifiable Intangible Assets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described in Notes 1 and 4 to the consolidated financial statements, during 2020, the Company completed the acquisition of Queen City Hospice, LLC and its affiliate Miracle City Hospice, LLC (together “Queen City Hospice”) for net consideration of $194.8 million. As a result of the acquisition, management recorded total identifiable intangible assets of $20.0 million, related to trade names, non-competition agreements, and state licenses. Management estimates the fair values of the trade names using the relief-from-royalty method, which requires assumptions such as the long-term growth rates of future revenues, the relief from royalty rate for such revenue, the tax rate and the discount rate. Management estimates the fair value of existing indefinite-lived state licenses based on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Management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competition for each non-competition agreement.</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identifiable intangible assets resulting from the acquisition of Queen City Hospice is a critical audit matter are (i) the high degree of auditor judgment and subjectivity in applying procedures relating to the fair value measurement of identifiable intangible assets acquired due to the significant judgment by management when developing the estimates; (ii) significant audit effort in performing procedures and evaluating audit evidence relating to the significant assumptions such as (a) the relief from royalty rate and the discount rate for certain trade names, and (b) the estimated time to obtain the license and the discount rate for certain indefinite-lived state licenses (collectively, the “identifiable intangible assets significant assumptions”); and (iii) the audit effort involved the use of professionals with specialized skill and knowledge.</w:t>
      </w:r>
    </w:p>
    <w:p>
      <w:pPr>
        <w:spacing w:after="0" w:line="19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estimating the fair value of identifiable intangible assets recorded from the Queen City Hospice acquisition, including controls over development of the identifiable intangible assets significant assumptions. These procedures also included, among others, testing management’s process for estimating the fair value of intangible assets, which included evaluating the appropriateness of the valuation methods, testing the completeness and accuracy of underlying data used by management, and evaluating the reasonableness of identifiable intangible assets significant assumptions. Evaluating the reasonableness of the identifiable intangible assets significant assumptions, except for the discount rates, involved considering the following, as applicable, (i) past performance of the acquired businesses, and (ii) economic and industry metrics and forecasts. In addition, the discount rates were evaluated by considering the cost of capital of comparable businesses and other industry factors. Professionals with specialized skill and knowledge were used to assist in evaluating the appropriateness of the valuation methods used and the reasonableness of the discount rates.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145,078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111,714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 of allowances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132,650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149,680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287,697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269,387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469,072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275,368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Intangibles, net of accumulated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71,549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57,079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assets, net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assets, net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585,136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355,205</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892,582</w:t>
            </w:r>
          </w:p>
        </w:tc>
        <w:tc>
          <w:tcPr>
            <w:tcW w:w="2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636,748</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payroll</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35,815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30,587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Government stimulus advances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32,087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workers’ compensation insurance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143,901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Long-term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less current portion, net of debt issuance costs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193,901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35,516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230,005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73,628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373,906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161,156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stock—$.001 par value; 40,000 authorized and 15,826 and 15,617 shares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 as of December 31, 2020 and 2019, respectively</w:t>
            </w:r>
          </w:p>
        </w:tc>
        <w:tc>
          <w:tcPr>
            <w:tcW w:w="94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369,495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359,545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149,165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116,032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518,676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475,592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940" w:type="dxa"/>
            <w:vAlign w:val="bottom"/>
            <w:tcBorders>
              <w:bottom w:val="single" w:sz="8" w:color="auto"/>
            </w:tcBorders>
            <w:shd w:val="clear" w:color="auto" w:fill="CFF0FC"/>
          </w:tcPr>
          <w:p>
            <w:pPr>
              <w:jc w:val="right"/>
              <w:ind w:right="753"/>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892,582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648,791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538,538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469,553</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179,238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169,679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133,912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10,574</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181,730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144,486</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 operations</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34,752</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Total interest expense, net</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6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25,811</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earnings from discontinued operations</w:t>
            </w:r>
          </w:p>
        </w:tc>
        <w:tc>
          <w:tcPr>
            <w:tcW w:w="6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6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25,237</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income per share</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Discontinued operations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 income per share</w:t>
            </w:r>
          </w:p>
        </w:tc>
        <w:tc>
          <w:tcPr>
            <w:tcW w:w="6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 income per share</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Discontinued operations</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Diluted income per share</w:t>
            </w:r>
          </w:p>
        </w:tc>
        <w:tc>
          <w:tcPr>
            <w:tcW w:w="6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9"/>
              </w:rPr>
              <w:t>Weighted average number of common shares and potential common shares</w:t>
            </w: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w:t>
            </w: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13,816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and shares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200" w:type="dxa"/>
            <w:vAlign w:val="bottom"/>
            <w:gridSpan w:val="3"/>
            <w:vMerge w:val="restart"/>
          </w:tcPr>
          <w:p>
            <w:pPr>
              <w:jc w:val="right"/>
              <w:ind w:right="414"/>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Paid in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4"/>
                <w:szCs w:val="14"/>
                <w:color w:val="auto"/>
              </w:rPr>
            </w:pPr>
          </w:p>
        </w:tc>
        <w:tc>
          <w:tcPr>
            <w:tcW w:w="960" w:type="dxa"/>
            <w:vAlign w:val="bottom"/>
          </w:tcPr>
          <w:p>
            <w:pPr>
              <w:jc w:val="right"/>
              <w:ind w:right="212"/>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Shares</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11,632</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95,963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74,362</w:t>
            </w:r>
          </w:p>
        </w:tc>
        <w:tc>
          <w:tcPr>
            <w:tcW w:w="3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170,337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8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Shares issued in secondary offering, net of offering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costs</w:t>
            </w:r>
          </w:p>
        </w:tc>
        <w:tc>
          <w:tcPr>
            <w:tcW w:w="1120" w:type="dxa"/>
            <w:vAlign w:val="bottom"/>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76,617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2018</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13,126</w:t>
            </w:r>
          </w:p>
        </w:tc>
        <w:tc>
          <w:tcPr>
            <w:tcW w:w="22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177,683</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90,795</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268,491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Issuance of shares of common stock under</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Arial" w:cs="Arial" w:eastAsia="Arial" w:hAnsi="Arial"/>
                <w:sz w:val="18"/>
                <w:szCs w:val="18"/>
                <w:color w:val="auto"/>
              </w:rPr>
              <w:t>Forfeiture of shares of common stock under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Shares issued for exercise 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in secondary offering, net of offering</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172,943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172,945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15,617</w:t>
            </w: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359,545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116,032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Issuance of shares of common stock under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restricted stock award agreements</w:t>
            </w: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Forfeiture of shares of common stock under</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award agreements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86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Shares issued for 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33,133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518,676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For the Years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8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33,133</w:t>
            </w:r>
          </w:p>
        </w:tc>
        <w:tc>
          <w:tcPr>
            <w:tcW w:w="1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25,237</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net cash provided by</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activities, net of acquisitions:</w:t>
            </w: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10,574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taxes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(4,652)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(1,063)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5,766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debt issuance costs under the credit facility</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Provision for doubtful accounts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Contingent consideration</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13"/>
        </w:trPr>
        <w:tc>
          <w:tcPr>
            <w:tcW w:w="5980" w:type="dxa"/>
            <w:vAlign w:val="bottom"/>
          </w:tcPr>
          <w:p>
            <w:pPr>
              <w:ind w:left="500"/>
              <w:spacing w:after="0"/>
              <w:rPr>
                <w:sz w:val="20"/>
                <w:szCs w:val="20"/>
                <w:color w:val="auto"/>
              </w:rPr>
            </w:pPr>
            <w:r>
              <w:rPr>
                <w:rFonts w:ascii="Arial" w:cs="Arial" w:eastAsia="Arial" w:hAnsi="Arial"/>
                <w:sz w:val="16"/>
                <w:szCs w:val="16"/>
                <w:color w:val="auto"/>
              </w:rPr>
              <w:t>Loss (gain) on sale and/or impairment of assets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Changes in operating assets and liabilities, net of acquisitions: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(37,478)</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(792)</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740"/>
              <w:spacing w:after="0"/>
              <w:rPr>
                <w:sz w:val="20"/>
                <w:szCs w:val="20"/>
                <w:color w:val="auto"/>
              </w:rPr>
            </w:pPr>
            <w:r>
              <w:rPr>
                <w:rFonts w:ascii="Arial" w:cs="Arial" w:eastAsia="Arial" w:hAnsi="Arial"/>
                <w:sz w:val="16"/>
                <w:szCs w:val="16"/>
                <w:color w:val="auto"/>
              </w:rPr>
              <w:t>Government stimulus advances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740"/>
              <w:spacing w:after="0"/>
              <w:rPr>
                <w:sz w:val="20"/>
                <w:szCs w:val="20"/>
                <w:color w:val="auto"/>
              </w:rPr>
            </w:pPr>
            <w:r>
              <w:rPr>
                <w:rFonts w:ascii="Arial" w:cs="Arial" w:eastAsia="Arial" w:hAnsi="Arial"/>
                <w:sz w:val="16"/>
                <w:szCs w:val="16"/>
                <w:color w:val="auto"/>
              </w:rPr>
              <w:t>Accrued expenses and other liabilities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4,078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1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6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109,411</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12,019</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33,203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Acquisitions of businesses, net of cash acquired</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(207,660)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(184,076)</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(62,440)</w:t>
            </w: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Proceeds on disposal of businesses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property and equipment</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(6,831)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(4,621)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(5,349)</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(214,236)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(188,697)</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(67,789)</w:t>
            </w:r>
          </w:p>
        </w:tc>
        <w:tc>
          <w:tcPr>
            <w:tcW w:w="0" w:type="dxa"/>
            <w:vAlign w:val="bottom"/>
          </w:tcPr>
          <w:p>
            <w:pPr>
              <w:spacing w:after="0"/>
              <w:rPr>
                <w:sz w:val="1"/>
                <w:szCs w:val="1"/>
                <w:color w:val="auto"/>
              </w:rPr>
            </w:pPr>
          </w:p>
        </w:tc>
      </w:tr>
      <w:tr>
        <w:trPr>
          <w:trHeight w:val="21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6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Proceeds from issuance of common stock, net of issuance costs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172,945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Borrowings on revolver — credit facility</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23,458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Borrowings on term loan — credit facility</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term loan — credit facility</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(735)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(104,858)</w:t>
            </w: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Payments on financing lease obligations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(63)</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(1,013)</w:t>
            </w: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for debt issuance costs under the credit facility</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received from exercise of stock options</w:t>
            </w:r>
          </w:p>
        </w:tc>
        <w:tc>
          <w:tcPr>
            <w:tcW w:w="6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6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138,189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217,986</w:t>
            </w:r>
          </w:p>
        </w:tc>
        <w:tc>
          <w:tcPr>
            <w:tcW w:w="2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51,238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80" w:type="dxa"/>
            <w:vAlign w:val="bottom"/>
          </w:tcPr>
          <w:p>
            <w:pPr>
              <w:spacing w:after="0"/>
              <w:rPr>
                <w:sz w:val="20"/>
                <w:szCs w:val="20"/>
                <w:color w:val="auto"/>
              </w:rPr>
            </w:pPr>
            <w:r>
              <w:rPr>
                <w:rFonts w:ascii="Arial" w:cs="Arial" w:eastAsia="Arial" w:hAnsi="Arial"/>
                <w:sz w:val="16"/>
                <w:szCs w:val="16"/>
                <w:color w:val="auto"/>
              </w:rPr>
              <w:t>Net change in cash</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33,364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41,308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Cash, at beginning of period</w:t>
            </w:r>
          </w:p>
        </w:tc>
        <w:tc>
          <w:tcPr>
            <w:tcW w:w="6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111,714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70,406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53,754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0"/>
                <w:szCs w:val="20"/>
                <w:color w:val="auto"/>
              </w:rPr>
            </w:pPr>
            <w:r>
              <w:rPr>
                <w:rFonts w:ascii="Arial" w:cs="Arial" w:eastAsia="Arial" w:hAnsi="Arial"/>
                <w:sz w:val="16"/>
                <w:szCs w:val="16"/>
                <w:color w:val="auto"/>
              </w:rPr>
              <w:t>Cash, at end of period</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145,078</w:t>
            </w:r>
          </w:p>
        </w:tc>
        <w:tc>
          <w:tcPr>
            <w:tcW w:w="140" w:type="dxa"/>
            <w:vAlign w:val="bottom"/>
          </w:tcPr>
          <w:p>
            <w:pPr>
              <w:spacing w:after="0"/>
              <w:rPr>
                <w:sz w:val="21"/>
                <w:szCs w:val="21"/>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111,714</w:t>
            </w:r>
          </w:p>
        </w:tc>
        <w:tc>
          <w:tcPr>
            <w:tcW w:w="24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70,406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Supplemental disclosures of cash flow information:</w:t>
            </w:r>
          </w:p>
        </w:tc>
        <w:tc>
          <w:tcPr>
            <w:tcW w:w="6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60"/>
              <w:spacing w:after="0"/>
              <w:rPr>
                <w:sz w:val="20"/>
                <w:szCs w:val="20"/>
                <w:color w:val="auto"/>
              </w:rPr>
            </w:pPr>
            <w:r>
              <w:rPr>
                <w:rFonts w:ascii="Arial" w:cs="Arial" w:eastAsia="Arial" w:hAnsi="Arial"/>
                <w:sz w:val="16"/>
                <w:szCs w:val="16"/>
                <w:color w:val="auto"/>
              </w:rPr>
              <w:t>Cash paid for interest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2,365</w:t>
            </w:r>
          </w:p>
        </w:tc>
        <w:tc>
          <w:tcPr>
            <w:tcW w:w="1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2,320</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income taxes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Leasehold improvements acquired through tenant allowances</w:t>
            </w: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980" w:type="dxa"/>
            <w:vAlign w:val="bottom"/>
          </w:tcPr>
          <w:p>
            <w:pPr>
              <w:ind w:left="260"/>
              <w:spacing w:after="0"/>
              <w:rPr>
                <w:sz w:val="20"/>
                <w:szCs w:val="20"/>
                <w:color w:val="auto"/>
              </w:rPr>
            </w:pPr>
            <w:r>
              <w:rPr>
                <w:rFonts w:ascii="Arial" w:cs="Arial" w:eastAsia="Arial" w:hAnsi="Arial"/>
                <w:sz w:val="16"/>
                <w:szCs w:val="16"/>
                <w:color w:val="auto"/>
              </w:rPr>
              <w:t>Tax benefit related to the amortization of tax goodwill in excess of book basis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HOMECARE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Description of Business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The Consolidated Financial Statements include the accounts of Addus HomeCare Corporation (“Holdings”) and its subsidiaries (together with Holdings, the “Company,” “we,” “us,” or “our”). The Company operates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 clients include federal, state and local governmental agencies, managed care organizations, commercial insurers and private individuals.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2013, the Company sold substantially all of the assets used in its then home health business (the “2013 Home Health Business”) in Arkansas, Nevada and South Carolina, and 90% of the 2013 Home Health Business in California and Illinois. Effective October 1, 2017, the Company sold its remaining 10% ownership interest in the 2013 Home Health Business in California and Illinois. The results of the 2013 Home Health Business are reflected as discontinued operations for all periods presented herein. For the year ended December 31, 2019, in connection with a 2013 Home Health Business litigation settlement, the Company recognized an expense of $0.6 million. The lawsuit was dismissed in full on October 15, 2019. For the years ended December 31, 2018, discontinued operations consisted of the reduction of the indemnification reserve, net of tax, for the Company’s 2013 Home Health Business.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Net service revenue is recognized at the amount that reflects the consideration the Company expects to receive in exchange for providing services directly to consumers. Receipts are from federal, state and local governmental agencies, managed care organizations, commercial insurers and private consumers for services rendered. The Company assesses the consumers' ability to pay at the time of their admission based on the Company's verification of the customer's insurance coverage under the Medicare, Medicaid, and other commercial or managed care insurance programs. Laws and regulations governing the governmental programs in which the Company participates are complex and subject to interpretation. Net service revenues related to uninsured accounts, or self-pay, is recorded net of implicit price concessions estimated based on historical collection experience to reduce revenue to the estimated amount the Company expects to collect. Amounts collected from all sources may be less than amounts billed due to implicit price concessions, resulting from client eligibility issues, insufficient or incomplete documentation, services at levels other than authorized, pricing differences and other reasons unrelated to credit risk. The Company monitors our net service revenues and collections from these sources and records any necessary adjustment to net service revenues based upon management’s assessment of historical write offs and expected net collections, business and economic conditions, trends in federal, state and private employer health care coverage and other collection indicators.</w:t>
      </w:r>
    </w:p>
    <w:p>
      <w:pPr>
        <w:spacing w:after="0" w:line="172"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The initial estimate of net service revenues is determined by reducing the standard charge by any contractual adjustments, discounts, and implicit price concessions. Subsequent changes to the estimate of net service revenues are generally recorded in the period of the change. Changes in estimates of implicit price concessions, discounts, and contractual adjustments for performance obligations satisfied in prior years resulted in additional net service revenue of $3.0 million and $1.3 million, for the years ended December 31, 2019 and 2018, respectively. Subsequent changes that are determined to be the result of an adverse change in the patient's ability to pay are recorded as bad debt expense.</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Personal Care</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majority of the Company’s net service revenues are generated from providing personal care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contracts do not give rise to rights and obligations until an order is placed with the Company. When an order is placed, it creates the performance obligation to provide a defined quantity of service hours, or authorized hours, per consumer. The Company satisfies its performance obligations over time, given that consumers simultaneously receive and consume the benefits provided by the Company as the services are performed. As the Company has a right to consideration from customers commensurate with the value provided to customers from the performance completed over a given invoice period, the Company has elected to use the practical expedient for measuring progress toward satisfaction of performance obligations and recognizes patient service revenue in the amount to which the Company has a right to invoice.</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Hospice Revenue</w:t>
      </w:r>
    </w:p>
    <w:p>
      <w:pPr>
        <w:spacing w:after="0" w:line="117"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The Company generates net service revenues from providing hospice services to consumers who are terminally ill as well as related services for their families. Net service revenues are recognized as services are provided and costs for delivery of such services are incurred. The estimated payment rates are daily rates for each of the levels of care the Company delivers.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for the year. The aggregate cap limits the amount of Medicare reimbursement a hospice may receive, based on the number of Medicare patients served. For the year ended December 31, 2020 and 2019, the Company recorded a liability of $1.8 million and $0.4 million related to the Medicare aggregate cap limit.</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Home Health Revenue</w:t>
      </w:r>
    </w:p>
    <w:p>
      <w:pPr>
        <w:spacing w:after="0" w:line="117"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The Company also generates net service revenues from providing home healthcare services directly to consumers mainly under contracts with Medicare and managed care organizations.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were paid under the Medicare Home Health Prospective Payment System (“HHPPS”), for the year ended December 31, 2020, which is based on 30-day periods of care as a unit of service. The HHPPS permits multiple, continuous periods per patient. Medicare payment rates for periods under HHPPS vary based on the severity of the patient’s condition as determined by assessment of a patient’s Home Health Resource Group score.</w:t>
      </w:r>
    </w:p>
    <w:p>
      <w:pPr>
        <w:spacing w:after="0" w:line="164"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The Company elects to use the same 30-day periods that Medicare recognizes as standard but accelerates revenue upon discharge to align with a patient’s episode length if less than the expected 30 days, which depicts the transfer of services and related benefits received by the patient over the term of the contract necessary to satisfy the obligations. The Company recognizes revenue based on the number of days elapsed during a period of care within the reporting period. The Company satisfies its performance obligations as consumers receive and consume the benefits provided by the Company as the services are performed. As the Company has a right to consideration from Medicare commensurate with the services provided to customers from the performance completed over a given episodic period, the Company has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11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Accounts receivable is reduced to the amount expected to be collected in future periods for services rendered to customers prior to the balance sheet date. Management estimates the value of accounts receivable, net of allowances for implicit price concessions, based upon historical experience and other factors, including an aging of accounts receivable, evaluation of expected adjustments, past adjustments and collection experience in relation to amounts billed, current contract and reimbursement terms, shifts in payors and other relevant information. Collection of net service revenues the Company expects to receive is normally a function of providing complete and correct billing information to the payors within the various filing deadlines. The evaluation of these historical and other factors involves complex, subjective judgments impacting the determination of the implicit price concession assumption. In addition, the Company compares its cash collections to recorded net service revenues and evaluates its historical allowance, including implicit price concessions, based upon the ultimate resolution of the accounts receivable balance.</w:t>
      </w:r>
    </w:p>
    <w:p>
      <w:pPr>
        <w:spacing w:after="0" w:line="17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Prior to 2018, the Company established an allowance for doubtful accounts to the extent it was probable that a portion or all of a particular account will not be collected. The Company established its provision for doubtful accounts primarily by reviewing the creditworthiness of significant customers and through evaluations over the collectability of the receivables. An allowance for doubtful accounts was maintained at a level that the Company’s management believed was sufficient to cover potential losses.</w:t>
      </w:r>
    </w:p>
    <w:p>
      <w:pPr>
        <w:spacing w:after="0" w:line="18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 xml:space="preserve">With the modified retrospective adoption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in 2018, subsequent adjustments that are determined to be the result of an adverse change in the payor’s ability to pay are recognized as provision for doubtful accounts. The majority of what historically was classified as provision for doubtful accounts under operating expenses is now treated as an implicit price concession factored into the determination of net service revenues discussed above. Our collection procedures include review of account aging and direct contact with our payors. We have historically not used collection agencies. 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uncollectible amount is written off to the allowance account after reasonable collection efforts have been exhausted. As of December 31, 2020 and 2019, the allowance for doubtful accounts balance was $1.0 million and $1.0 million, respectively, which is included in accounts receivable, net of allowances on the Company’s Consolidated Balance Sheets.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is as follows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Balance at</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Allowance for doubtful accounts</w:t>
            </w:r>
          </w:p>
        </w:tc>
        <w:tc>
          <w:tcPr>
            <w:tcW w:w="100" w:type="dxa"/>
            <w:vAlign w:val="bottom"/>
          </w:tcPr>
          <w:p>
            <w:pPr>
              <w:spacing w:after="0"/>
              <w:rPr>
                <w:sz w:val="13"/>
                <w:szCs w:val="13"/>
                <w:color w:val="auto"/>
              </w:rPr>
            </w:pPr>
          </w:p>
        </w:tc>
        <w:tc>
          <w:tcPr>
            <w:tcW w:w="98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beginning of</w:t>
            </w:r>
          </w:p>
        </w:tc>
        <w:tc>
          <w:tcPr>
            <w:tcW w:w="9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Additions/</w:t>
            </w:r>
          </w:p>
        </w:tc>
        <w:tc>
          <w:tcPr>
            <w:tcW w:w="94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Deductions</w:t>
            </w:r>
          </w:p>
        </w:tc>
        <w:tc>
          <w:tcPr>
            <w:tcW w:w="100" w:type="dxa"/>
            <w:vAlign w:val="bottom"/>
          </w:tcPr>
          <w:p>
            <w:pPr>
              <w:spacing w:after="0"/>
              <w:rPr>
                <w:sz w:val="13"/>
                <w:szCs w:val="13"/>
                <w:color w:val="auto"/>
              </w:rPr>
            </w:pPr>
          </w:p>
        </w:tc>
        <w:tc>
          <w:tcPr>
            <w:tcW w:w="8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62"/>
        </w:trPr>
        <w:tc>
          <w:tcPr>
            <w:tcW w:w="3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period</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charges</w:t>
            </w:r>
          </w:p>
        </w:tc>
        <w:tc>
          <w:tcPr>
            <w:tcW w:w="780" w:type="dxa"/>
            <w:vAlign w:val="bottom"/>
          </w:tcPr>
          <w:p>
            <w:pPr>
              <w:jc w:val="right"/>
              <w:ind w:right="239"/>
              <w:spacing w:after="0"/>
              <w:rPr>
                <w:sz w:val="20"/>
                <w:szCs w:val="20"/>
                <w:color w:val="auto"/>
              </w:rPr>
            </w:pP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end of period</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Year ended December 31, 2020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907</w:t>
            </w: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Year ended December 31, 2018 </w:t>
            </w:r>
            <w:r>
              <w:rPr>
                <w:rFonts w:ascii="Arial" w:cs="Arial" w:eastAsia="Arial" w:hAnsi="Arial"/>
                <w:sz w:val="15"/>
                <w:szCs w:val="15"/>
                <w:color w:val="auto"/>
              </w:rPr>
              <w:t>(2)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18,749</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18,076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76835</wp:posOffset>
            </wp:positionV>
            <wp:extent cx="10712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9" w:lineRule="exact"/>
        <w:rPr>
          <w:sz w:val="20"/>
          <w:szCs w:val="20"/>
          <w:color w:val="auto"/>
        </w:rPr>
      </w:pPr>
    </w:p>
    <w:p>
      <w:pPr>
        <w:ind w:left="2500" w:hanging="807"/>
        <w:spacing w:after="0"/>
        <w:tabs>
          <w:tab w:leader="none" w:pos="2500" w:val="left"/>
        </w:tabs>
        <w:numPr>
          <w:ilvl w:val="1"/>
          <w:numId w:val="31"/>
        </w:numPr>
        <w:rPr>
          <w:rFonts w:ascii="Arial" w:cs="Arial" w:eastAsia="Arial" w:hAnsi="Arial"/>
          <w:sz w:val="28"/>
          <w:szCs w:val="28"/>
          <w:color w:val="auto"/>
          <w:vertAlign w:val="superscript"/>
        </w:rPr>
      </w:pPr>
      <w:r>
        <w:rPr>
          <w:rFonts w:ascii="Arial" w:cs="Arial" w:eastAsia="Arial" w:hAnsi="Arial"/>
          <w:sz w:val="16"/>
          <w:szCs w:val="16"/>
          <w:color w:val="auto"/>
        </w:rPr>
        <w:t>Write-offs, net of recoveries</w:t>
      </w:r>
    </w:p>
    <w:p>
      <w:pPr>
        <w:spacing w:after="0" w:line="37" w:lineRule="exact"/>
        <w:rPr>
          <w:rFonts w:ascii="Arial" w:cs="Arial" w:eastAsia="Arial" w:hAnsi="Arial"/>
          <w:sz w:val="28"/>
          <w:szCs w:val="28"/>
          <w:color w:val="auto"/>
          <w:vertAlign w:val="superscript"/>
        </w:rPr>
      </w:pPr>
    </w:p>
    <w:p>
      <w:pPr>
        <w:jc w:val="both"/>
        <w:ind w:left="2240" w:right="180" w:hanging="558"/>
        <w:spacing w:after="0" w:line="219" w:lineRule="auto"/>
        <w:tabs>
          <w:tab w:leader="none" w:pos="2240" w:val="left"/>
        </w:tabs>
        <w:numPr>
          <w:ilvl w:val="0"/>
          <w:numId w:val="32"/>
        </w:numPr>
        <w:rPr>
          <w:rFonts w:ascii="Arial" w:cs="Arial" w:eastAsia="Arial" w:hAnsi="Arial"/>
          <w:sz w:val="28"/>
          <w:szCs w:val="28"/>
          <w:color w:val="auto"/>
          <w:vertAlign w:val="superscript"/>
        </w:rPr>
      </w:pPr>
      <w:r>
        <w:rPr>
          <w:rFonts w:ascii="Arial" w:cs="Arial" w:eastAsia="Arial" w:hAnsi="Arial"/>
          <w:sz w:val="16"/>
          <w:szCs w:val="16"/>
          <w:color w:val="auto"/>
        </w:rPr>
        <w:t xml:space="preserve">With the adoption of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in 2018 and subsequent periods, subsequent adjustments that are determined to be the result of an adverse change in the payor’s ability to pay are recognized as provision for doubtful accounts. We recorded $18.0 million for the year ended December 31, 2018 as a reduction to revenue that would have been recorded as provision for doubtful accounts under the prior revenue recognition guidance.</w:t>
      </w:r>
    </w:p>
    <w:p>
      <w:pPr>
        <w:spacing w:after="0" w:line="3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by use of the straight-line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expense as incurred. The estimated useful lives of the property and equipment are as follows: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3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 years</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3660" w:type="dxa"/>
            <w:vAlign w:val="bottom"/>
          </w:tcPr>
          <w:p>
            <w:pPr>
              <w:jc w:val="right"/>
              <w:spacing w:after="0"/>
              <w:rPr>
                <w:sz w:val="20"/>
                <w:szCs w:val="20"/>
                <w:color w:val="auto"/>
              </w:rPr>
            </w:pPr>
            <w:r>
              <w:rPr>
                <w:rFonts w:ascii="Arial" w:cs="Arial" w:eastAsia="Arial" w:hAnsi="Arial"/>
                <w:sz w:val="18"/>
                <w:szCs w:val="18"/>
                <w:color w:val="auto"/>
              </w:rPr>
              <w:t>5-7 years</w:t>
            </w:r>
          </w:p>
        </w:tc>
      </w:tr>
      <w:tr>
        <w:trPr>
          <w:trHeight w:val="22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equipment</w:t>
            </w:r>
          </w:p>
        </w:tc>
        <w:tc>
          <w:tcPr>
            <w:tcW w:w="3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Computer software</w:t>
            </w:r>
          </w:p>
        </w:tc>
        <w:tc>
          <w:tcPr>
            <w:tcW w:w="366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Lesser of useful life or lease term</w:t>
            </w:r>
          </w:p>
        </w:tc>
      </w:tr>
    </w:tbl>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60" w:right="80" w:firstLine="484"/>
        <w:spacing w:after="0" w:line="259"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Topic 842). ASU 2016-02 requires lessees to recognize a lease liability and a right-of-use (“ROU”) asset for all leases, including operating leases, with a term greater than twelve months in their balance sheet. We elected to adopt the standard effective January 1, 2019 using the modified retrospective transition method.</w:t>
      </w:r>
    </w:p>
    <w:p>
      <w:pPr>
        <w:spacing w:after="0" w:line="79" w:lineRule="exact"/>
        <w:rPr>
          <w:sz w:val="20"/>
          <w:szCs w:val="20"/>
          <w:color w:val="auto"/>
        </w:rPr>
      </w:pPr>
    </w:p>
    <w:p>
      <w:pPr>
        <w:ind w:left="260" w:right="80" w:firstLine="484"/>
        <w:spacing w:after="0" w:line="275" w:lineRule="auto"/>
        <w:rPr>
          <w:sz w:val="20"/>
          <w:szCs w:val="20"/>
          <w:color w:val="auto"/>
        </w:rPr>
      </w:pPr>
      <w:r>
        <w:rPr>
          <w:rFonts w:ascii="Arial" w:cs="Arial" w:eastAsia="Arial" w:hAnsi="Arial"/>
          <w:sz w:val="17"/>
          <w:szCs w:val="17"/>
          <w:color w:val="auto"/>
        </w:rPr>
        <w:t>We have historically entered into operating leases for local branches, our corporate headquarters and certain equipment. The Company’s current leases have expiration dates through 2031. Certain of our arrangements have free rent periods and/or escalating rent payment provisions. We recognize rent expense on a straight-line basis over the lease term. Certain of the Company’s leases include termination options and renewal options for periods ranging from one to five years. Renewal options generally are not considered in determining the lease term, and payments associated with the option years are excluded from lease payments unless we are reasonably certain to exercise the renewal option.</w:t>
      </w:r>
    </w:p>
    <w:p>
      <w:pPr>
        <w:spacing w:after="0" w:line="68" w:lineRule="exact"/>
        <w:rPr>
          <w:sz w:val="20"/>
          <w:szCs w:val="20"/>
          <w:color w:val="auto"/>
        </w:rPr>
      </w:pPr>
    </w:p>
    <w:p>
      <w:pPr>
        <w:ind w:left="260" w:right="100" w:firstLine="484"/>
        <w:spacing w:after="0" w:line="286" w:lineRule="auto"/>
        <w:rPr>
          <w:sz w:val="20"/>
          <w:szCs w:val="20"/>
          <w:color w:val="auto"/>
        </w:rPr>
      </w:pPr>
      <w:r>
        <w:rPr>
          <w:rFonts w:ascii="Arial" w:cs="Arial" w:eastAsia="Arial" w:hAnsi="Arial"/>
          <w:sz w:val="17"/>
          <w:szCs w:val="17"/>
          <w:color w:val="auto"/>
        </w:rPr>
        <w:t>The operating lease liabilities are calculated using the present value of lease payments. If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57" w:lineRule="exact"/>
        <w:rPr>
          <w:sz w:val="20"/>
          <w:szCs w:val="20"/>
          <w:color w:val="auto"/>
        </w:rPr>
      </w:pPr>
    </w:p>
    <w:p>
      <w:pPr>
        <w:ind w:left="260" w:firstLine="484"/>
        <w:spacing w:after="0" w:line="259" w:lineRule="auto"/>
        <w:rPr>
          <w:sz w:val="20"/>
          <w:szCs w:val="20"/>
          <w:color w:val="auto"/>
        </w:rPr>
      </w:pPr>
      <w:r>
        <w:rPr>
          <w:rFonts w:ascii="Arial" w:cs="Arial" w:eastAsia="Arial" w:hAnsi="Arial"/>
          <w:sz w:val="18"/>
          <w:szCs w:val="18"/>
          <w:color w:val="auto"/>
        </w:rPr>
        <w:t>Operating lease assets are valued based on the initial operating lease liabilities plus any prepaid rent, reduced by tenant improvement allowances. Operating lease assets are tested for impairment in the same manner as our long-lived assets. For the year ended December 31, 2020, we impaired approximately $1.0 million in operating lease assets, as a result of expanding the Frisco corporate headquarters, included within general and administrative expenses. See Note 2 for additional information related to leases.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Under business combination accounting, assets and liabilities are generally recognized at their fair values and the difference between the consideration transferred, excluding transaction costs, and the fair values of the assets and liabilities is recognized as goodwill. The Company’s significant identifiable intangible assets consist of customer and referral relationships, trade names and trademarks and state licenses. The Company uses various valuation techniques to determine initial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estimates the fair values of the trade names using the relief-from-royalty method, which requires assumptions such as the long-term growth rates of future revenues, the relief from royalty rate for such revenue, the tax rate and the discount rate. The Company estimates the fair value of existing indefinite-lived state licenses based on a blended approach of the replacement cost method and cost savings method, which involves estimating the total process costs and opportunity costs to obtain a license, by estimating future earnings before interest and taxes and applying an estimated discount rate, tax rate and time to obtain the license. The Company estimates the fair value of existing finite-lived state licenses based on a method of analyzing the definite revenue streams with the license and without the license, which involves estimating revenues and expenses, estimated time to build up to a current revenue base, which is market specific, and the non-licensed revenue allocation, revenue growth rates, discount rate and tax amortization benefits. The Company estimates the fair value of customer and referral relationships based on a multi-period excess earnings method, which involves identifying revenue streams associated with the assets, estimating the attrition rates based upon historical financial data, expenses and cash flows associated with the assets, contributory asset charges, rates of return for specific assets, growth rates, discount rate and tax amortization benefits. The Company estimates the fair value of non-competition agreements based on a method of analyzing the factors to compete and factors not to compete, which involves estimating historical financial data, forecasted financial statements, growth rates, tax amortization benefit, discount rate, review of factors to compete and factors not to compete as well as an assessment of the probability of successful competition for each non-competition agreement.</w:t>
      </w:r>
    </w:p>
    <w:p>
      <w:pPr>
        <w:spacing w:after="0" w:line="74"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Company bases its fair value estimates on assumptions the Company believes to be reasonable but which are unpredictable and inherently uncertain. Actual future results may differ from those estimates.</w:t>
      </w:r>
    </w:p>
    <w:p>
      <w:pPr>
        <w:spacing w:after="0" w:line="170"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 xml:space="preserve">The Company’s carrying value of goodwill is the excess of the purchase price over the fair value of the net assets acquired from various acquisitions. In accordance with Accounting Standards Codification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use a qualitative test to determine whether impairment has occurred. Additionally, it is the Company’s policy to update the fair value calculation of our reporting units and perform the quantitative goodwill impairment test on a periodic basis. The goodwill impairment test involves comparing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For the years ended December 31, 2020, 2019 and 2018, the Company performed the quantitative analysis to evaluate whether an impairment occurred. Based on the totality of the information available, the Company concluded that it was more likely than not that the estimated fair values were greater than the carrying values of the reporting units. For the fiscal year 2020 impairment test, the fair value of the reporting units exceeded their respective carrying values by at least 90% (commonly referred to as “headroom”). The Company concluded that there were no impairments for the years ended December 31, 2020, 2019 or 2018. As of December 31, 2020 and 2019, goodwill was $469.1 million and $275.4 million, respectively, included in the Company’s Consolidated Balance Sheets.</w:t>
      </w:r>
    </w:p>
    <w:p>
      <w:pPr>
        <w:spacing w:after="0" w:line="184"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 xml:space="preserve">The Company’s identifiable intangible assets consist of customer and referral relationships, trade names, trademarks, state licenses and non-competition agreements. Definite-lived intangible assets are amortized using straight-line and accelerated methods based upon the estimated useful lives of the respective assets, which range from one to twenty-five years, and assessed for impairment whenever events or changes in circumstances indicate that the carrying amount may not be recoverable. Customer and referral relationships are amortized systematically over the periods of expected economic benefit, which range from five to ten years. The Company would recognize an impairment loss when the estimated future non-discounted cash flows associated with the intangible asset are less than the carrying value. An impairment charge would then be recorded for the excess of the carrying value over the fair value. The Company estimates the fair value of these intangible assets using the income approach. In accordance with ASC Topic 350,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and Other Intangible Assets</w:t>
      </w:r>
      <w:r>
        <w:rPr>
          <w:rFonts w:ascii="Arial" w:cs="Arial" w:eastAsia="Arial" w:hAnsi="Arial"/>
          <w:sz w:val="16"/>
          <w:szCs w:val="16"/>
          <w:color w:val="auto"/>
        </w:rPr>
        <w:t>, intangible assets with indefinite useful lives are not amortized. We test intangible assets with indefinite useful lives for</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at the reporting unit level on an annual basis, as of October 1, or whenever potential impairment triggers occur, such as a significant change in business climate or regulatory changes that would indicate that an impairment may have occurred. No impairment charge was recorded for the years ended December 31, 2020, 2019 or 2018. As of December 31, 2020 and 2019, intangibles, net of accumulated amortization, was $71.5 million and $57.1 million, respectively, included in the Company’s Consolidated Balance Sheets. Amortization of intangible assets is reported in the statement of income caption, “Depreciation and amortization” and not included in the income statement caption cost of service revenues.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 xml:space="preserve">The Company amortizes debt issuance costs on a straight-line method over the term of the related debt. This method approximates the effective interest method. In accordance with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Company has classified the debt issuance costs as a direct deduction from the carrying amount of the related liability.</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117"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The Company’s workers’ compensation insurance program has a $0.4 million deductible component. The Company recognizes its obligations associated with this program in the period the claim is incurred. The cost of both the claims reported and claims incurred but not reported, up to the deductible, have been accrued based on historical claims experience, industry statistics and an actuarial analysis. The future claims payments related to the workers’ compensation program are secured by letters of credit. These letters of credit totaled $9.0 million and $10.0 million at December 31, 2020 and 2019, respectively. The Company monitors its claims quarterly and adjusts its reserves accordingly. These costs are recorded primarily as the cost of services on the Consolidated Statements of Income. As of December 31, 2020 and 2019, the Company recorded $13.8 million and $14.1 million, respectively, in accrued workers’ compensation insurance on the Company’s Consolidated Balance Sheets. As of December 31, 2020 and 2019, the Company recorded $1.9 million and $2.0 million, respectively, in workers’ compensation insurance receivables. The workers’ compensation insurance receivable is included in prepaid expenses and other current assets on the Company’s Consolidated Balance Sheets.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Illinois law entitles designated service program providers to receive a prompt payment interest penalty based on qualifying services approved for payment that remain unpaid after a designated period of time. As the amount and timing of the receipt of these payments are not certain, the interest income is recognized when received and reported in the statement of income caption, “Interest income.” For the years ended December 31, 2019 and 2018, the Company received $0.7 million and $2.3 million, respectively, in prompt payment interest. For the year ended December 31, 2020, prompt payment interest received was immaterial. While the Company may be owed additional prompt payment interest in the future, the amount, timing and intent to provide receipt of such payments remains uncertain, and the Company will continue to recognize prompt payment interest income upon satisfaction of these constraints.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Interest expense is reported in the Consolidated Statements of Income when incurred and consists of (i) interest and unused credit line fees on the credit facility, evidenced by the Credit Agreement (as defined in Note 8), (ii) interest on our financing lease obligations and (iii) amortization and write-off of debt issuance costs.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 xml:space="preserve">The Company accounts for income taxes under the provisions of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The objective of accounting for income taxes is to recognize the amount of taxes payable or refundable for the current year and deferred tax assets and liabilities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assets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 The Company recognizes interest and penalties accrued related to uncertain tax positions in interest expense and penalties within operating expenses on the Consolidated Statements of Income. Uncertain tax positions are immaterial for all periods presented.</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 xml:space="preserve">The Company currently has one stock incentive plan, the 2017 Omnibus Incentive Plan (the “2017 Plan”), under which new grants of stock-based employee compensation are made. The Company accounts for stock-based compensation in accordance with ASC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Compensation expense is recognized on a straight-line basis under the 2017 Plan over the vesting period of the equity awards based on the grant date fair value of the options and restricted stock awards. The Company utilizes the Black-Scholes Option Pricing Model to value the Company’s options. Forfeitures are recognized when they occur. Stock-based compensation expense was $6.0 million, $5.8 million and $4.1 million for the years ended December 31, 2020, 2019 and 2018, respectively, within general and administrative expenses on the Consolidated Statements of Income.</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117" w:lineRule="exact"/>
        <w:rPr>
          <w:sz w:val="20"/>
          <w:szCs w:val="20"/>
          <w:color w:val="auto"/>
        </w:rPr>
      </w:pPr>
    </w:p>
    <w:p>
      <w:pPr>
        <w:ind w:right="400" w:firstLine="509"/>
        <w:spacing w:after="0" w:line="34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12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2020 were approximately 506,000 stock options outstanding, of which approximately 304,000 were dilutive. In addition, there were approximately 154,000 restricted stock awards outstanding, of which approximately 57,000 were dilutive for the year ended December 31, 2020.</w:t>
      </w:r>
    </w:p>
    <w:p>
      <w:pPr>
        <w:spacing w:after="0" w:line="18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2019 were approximately 648,000 stock options outstanding, of which approximately 346,000 were dilutive. In addition, there were approximately 149,000 restricted stock awards outstanding, of which approximately 86,000 were dilutive for the year ended December 31, 2019.</w:t>
      </w:r>
    </w:p>
    <w:p>
      <w:pPr>
        <w:spacing w:after="0" w:line="18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Included in the Company’s calculation of diluted earnings per share for the year ended December 31, 2018 were approximately 683,000 stock options outstanding, of which approximately 247,000 were dilutive. In addition, there were approximately 149,000 restricted stock awards outstanding, of which approximately 88,000 were dilutive for the year ended December 31, 2018.</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Estimates</w:t>
      </w:r>
    </w:p>
    <w:p>
      <w:pPr>
        <w:spacing w:after="0" w:line="11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The financial statements are prepared by management in conformity with U.S. Generally Accepted Accounting Principles (“GAAP”) and include estimated amounts and certain disclosures based on assumptions about future events. The Company’s critical accounting estimates include the following areas: revenue recognition, allowance for doubtful accounts, goodwill and intangibles and business combinations and when required, the quantitative assessment of goodwill. Actual results could differ from those estimates.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 xml:space="preserve">The Company’s financial instruments consist of cash, accounts receivable, payables and debt. The carrying amounts reported on the Company’s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w:t>
      </w:r>
    </w:p>
    <w:p>
      <w:pPr>
        <w:spacing w:after="0" w:line="17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 Company applies fair value techniques on a non-recurring basis associated with valuing potential impairment losses related to goodwill, if required, and indefinite-lived intangible assets and also when determining the fair value of contingent consideration, if applicable. To determine the fair value in these situations, the Company uses Level 3 inputs, under ASC Topic 820 and defined as unobservable inputs in which little or no market data exists; therefore requiring an entity to develop its own assumptions, such as discounted cash flows, or if available, what a market participant would pay on the measurement date.</w:t>
      </w:r>
    </w:p>
    <w:p>
      <w:pPr>
        <w:spacing w:after="0" w:line="188"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Company uses various valuation techniques to determine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In connection with the preparation of the financial statements for the years ended December 31, 2020 and 2019,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cash flows are sufficient for the next year and there did not appear to be evidence of substantial doubt of the entity’s ability to continue as a going concern.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changes the impairment model for most financial assets and certain other instruments. Under the new standard, entities holding</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We have reviewed our provision for doubtful accounts process as required by ASU 2016-13. Management estimates allowances on accounts receivable based upon historical experience and other factors, including an aging of accounts receivable, evaluation of expected adjustments, past adjustments and collection experience in relation to amounts billed, current contract and reimbursement terms, shifts in payors and other current relevant information. Adoption of the new standard did not have a significant impact on our results of operations or liquidity.</w:t>
      </w:r>
    </w:p>
    <w:p>
      <w:pPr>
        <w:spacing w:after="0" w:line="181"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Adoption of the new standard did not have a significant impact on our results of operations or liquidity.</w:t>
      </w:r>
    </w:p>
    <w:p>
      <w:pPr>
        <w:spacing w:after="0" w:line="188" w:lineRule="exact"/>
        <w:rPr>
          <w:sz w:val="20"/>
          <w:szCs w:val="20"/>
          <w:color w:val="auto"/>
        </w:rPr>
      </w:pPr>
    </w:p>
    <w:p>
      <w:pPr>
        <w:ind w:right="420" w:firstLine="509"/>
        <w:spacing w:after="0" w:line="30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w:t>
      </w:r>
      <w:r>
        <w:rPr>
          <w:rFonts w:ascii="Arial" w:cs="Arial" w:eastAsia="Arial" w:hAnsi="Arial"/>
          <w:sz w:val="16"/>
          <w:szCs w:val="16"/>
          <w:color w:val="auto"/>
        </w:rPr>
        <w:t>’</w:t>
      </w:r>
      <w:r>
        <w:rPr>
          <w:rFonts w:ascii="Arial" w:cs="Arial" w:eastAsia="Arial" w:hAnsi="Arial"/>
          <w:sz w:val="16"/>
          <w:szCs w:val="16"/>
          <w:i w:val="1"/>
          <w:iCs w:val="1"/>
          <w:color w:val="auto"/>
        </w:rPr>
        <w:t>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ASU 2018-15 requires customers in a</w:t>
      </w:r>
      <w:r>
        <w:rPr>
          <w:rFonts w:ascii="Arial" w:cs="Arial" w:eastAsia="Arial" w:hAnsi="Arial"/>
          <w:sz w:val="16"/>
          <w:szCs w:val="16"/>
          <w:i w:val="1"/>
          <w:iCs w:val="1"/>
          <w:color w:val="auto"/>
        </w:rPr>
        <w:t xml:space="preserve"> </w:t>
      </w:r>
      <w:r>
        <w:rPr>
          <w:rFonts w:ascii="Arial" w:cs="Arial" w:eastAsia="Arial" w:hAnsi="Arial"/>
          <w:sz w:val="16"/>
          <w:szCs w:val="16"/>
          <w:color w:val="auto"/>
        </w:rPr>
        <w:t>hosting arrangement that is a service contract to follow the internal-use software guidance in ASC 350-40 to determine which implementation costs to capitalize as assets or expense as incurred. Adoption of the new standard did not have a significant impact on our results of operations or liquidity.</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intends to simplify various aspects related to accounting for income taxes and removes certain exceptions to the general guidance in ASC 740. In addition, the ASU clarifies and amends existing guidance to improve consistent application of its requirements. The ASU is effective for fiscal years, including interim periods within those fiscal years, beginning after December 15, 2020. Early adoption is permitted. Adoption of the new standard is not expected to have an impact on our results of operations or liquidity.</w:t>
      </w:r>
    </w:p>
    <w:p>
      <w:pPr>
        <w:spacing w:after="0" w:line="188"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ASU 2020-04 provides optional expedients and exceptions for applying GAAP to contract modifications and hedging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transactions subject to meeting certain criteria, that reference LIBOR or another reference rate expected to be discontinued. The ASU provides companies with optional guidance to ease the potential accounting burden associated with transitioning away from reference rates that are expected to be discontinued. Therefore, it will be in effect for a limited time through December 31, 2022. The ASU can be adopted no later than December 1, 2022 with early adoption permitted. The Company is evaluating the effect of adopting this new accounting guidance.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Leases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Amounts reported in the Consolidated Balance Sheets as of December 31, 2020 and 2019 for our operating leases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40" w:type="dxa"/>
            <w:vAlign w:val="bottom"/>
            <w:vMerge w:val="restart"/>
          </w:tcPr>
          <w:p>
            <w:pPr>
              <w:spacing w:after="0"/>
              <w:rPr>
                <w:sz w:val="20"/>
                <w:szCs w:val="20"/>
                <w:color w:val="auto"/>
              </w:rPr>
            </w:pPr>
            <w:r>
              <w:rPr>
                <w:rFonts w:ascii="Arial" w:cs="Arial" w:eastAsia="Arial" w:hAnsi="Arial"/>
                <w:sz w:val="18"/>
                <w:szCs w:val="18"/>
                <w:color w:val="auto"/>
              </w:rPr>
              <w:t>Operating lease assets, net</w:t>
            </w:r>
          </w:p>
        </w:tc>
        <w:tc>
          <w:tcPr>
            <w:tcW w:w="15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7"/>
              <w:spacing w:after="0" w:line="155" w:lineRule="exact"/>
              <w:rPr>
                <w:sz w:val="20"/>
                <w:szCs w:val="20"/>
                <w:color w:val="auto"/>
              </w:rPr>
            </w:pPr>
            <w:r>
              <w:rPr>
                <w:rFonts w:ascii="Arial" w:cs="Arial" w:eastAsia="Arial" w:hAnsi="Arial"/>
                <w:sz w:val="14"/>
                <w:szCs w:val="14"/>
                <w:b w:val="1"/>
                <w:bCs w:val="1"/>
                <w:color w:val="auto"/>
                <w:w w:val="94"/>
              </w:rPr>
              <w:t>(Amounts in Thousands)</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100" w:type="dxa"/>
            <w:vAlign w:val="bottom"/>
          </w:tcPr>
          <w:p>
            <w:pPr>
              <w:jc w:val="right"/>
              <w:ind w:right="94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37,991</w:t>
            </w:r>
          </w:p>
        </w:tc>
        <w:tc>
          <w:tcPr>
            <w:tcW w:w="260" w:type="dxa"/>
            <w:vAlign w:val="bottom"/>
          </w:tcPr>
          <w:p>
            <w:pPr>
              <w:spacing w:after="0"/>
              <w:rPr>
                <w:sz w:val="19"/>
                <w:szCs w:val="19"/>
                <w:color w:val="auto"/>
              </w:rPr>
            </w:pP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Short-term operating lease liabilities (in accrued expenses)</w:t>
            </w:r>
          </w:p>
        </w:tc>
        <w:tc>
          <w:tcPr>
            <w:tcW w:w="1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9,283</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15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35,516</w:t>
            </w:r>
          </w:p>
        </w:tc>
        <w:tc>
          <w:tcPr>
            <w:tcW w:w="26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500" w:type="dxa"/>
            <w:vAlign w:val="bottom"/>
          </w:tcPr>
          <w:p>
            <w:pPr>
              <w:spacing w:after="0"/>
              <w:rPr>
                <w:sz w:val="19"/>
                <w:szCs w:val="19"/>
                <w:color w:val="auto"/>
              </w:rPr>
            </w:pP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44,799</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 Company signed an eleven-year lease agreement to expand its Frisco corporate headquarters by approximately 75,000 square feet which resulted in an increase in the operating lease asset, net, and operating lease liability by approximately $17.0 million and $22.6 million, respectively, as of December 31, 2020. Approximately 21,000 square feet and 12,000 square feet of our office space in Downers Grove and Frisco, respectively, are sublet to a third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Components of lease cost were reported in general and administrative expenses in the Consolidated Statements of Income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280" w:type="dxa"/>
            <w:vAlign w:val="bottom"/>
            <w:gridSpan w:val="4"/>
          </w:tcPr>
          <w:p>
            <w:pPr>
              <w:jc w:val="right"/>
              <w:ind w:right="207"/>
              <w:spacing w:after="0"/>
              <w:rPr>
                <w:sz w:val="20"/>
                <w:szCs w:val="20"/>
                <w:color w:val="auto"/>
              </w:rPr>
            </w:pPr>
            <w:r>
              <w:rPr>
                <w:rFonts w:ascii="Arial" w:cs="Arial" w:eastAsia="Arial" w:hAnsi="Arial"/>
                <w:sz w:val="14"/>
                <w:szCs w:val="14"/>
                <w:b w:val="1"/>
                <w:bCs w:val="1"/>
                <w:color w:val="auto"/>
              </w:rPr>
              <w:t>For the Years Ended December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w w:val="94"/>
              </w:rPr>
              <w:t>(Amounts in Thousands)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28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28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9,197</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7,219</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Short-term lease costs</w:t>
            </w:r>
          </w:p>
        </w:tc>
        <w:tc>
          <w:tcPr>
            <w:tcW w:w="2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Less: sublease income</w:t>
            </w:r>
          </w:p>
        </w:tc>
        <w:tc>
          <w:tcPr>
            <w:tcW w:w="28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(323)</w:t>
            </w:r>
          </w:p>
        </w:tc>
        <w:tc>
          <w:tcPr>
            <w:tcW w:w="1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(312)</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Total lease cost, net</w:t>
            </w:r>
          </w:p>
        </w:tc>
        <w:tc>
          <w:tcPr>
            <w:tcW w:w="28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9,635</w:t>
            </w:r>
          </w:p>
        </w:tc>
        <w:tc>
          <w:tcPr>
            <w:tcW w:w="2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7,492</w:t>
            </w:r>
          </w:p>
        </w:tc>
        <w:tc>
          <w:tcPr>
            <w:tcW w:w="1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Weighted average remaining lease terms and discount rates for the years ended December 31, 2020 and 2019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40" w:type="dxa"/>
            <w:vAlign w:val="bottom"/>
          </w:tcPr>
          <w:p>
            <w:pPr>
              <w:spacing w:after="0"/>
              <w:rPr>
                <w:sz w:val="14"/>
                <w:szCs w:val="14"/>
                <w:color w:val="auto"/>
              </w:rPr>
            </w:pPr>
          </w:p>
        </w:tc>
        <w:tc>
          <w:tcPr>
            <w:tcW w:w="12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4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91"/>
              </w:rPr>
              <w:t>6.97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w w:val="85"/>
              </w:rPr>
              <w:t>3.42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w w:val="93"/>
              </w:rPr>
              <w:t>5.14%</w:t>
            </w:r>
          </w:p>
        </w:tc>
        <w:tc>
          <w:tcPr>
            <w:tcW w:w="0" w:type="dxa"/>
            <w:vAlign w:val="bottom"/>
          </w:tcPr>
          <w:p>
            <w:pPr>
              <w:spacing w:after="0"/>
              <w:rPr>
                <w:sz w:val="1"/>
                <w:szCs w:val="1"/>
                <w:color w:val="auto"/>
              </w:rPr>
            </w:pPr>
          </w:p>
        </w:tc>
      </w:tr>
      <w:tr>
        <w:trPr>
          <w:trHeight w:val="581"/>
        </w:trPr>
        <w:tc>
          <w:tcPr>
            <w:tcW w:w="71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Maturity of Lease Liabilities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60" w:type="dxa"/>
            <w:vAlign w:val="bottom"/>
            <w:gridSpan w:val="3"/>
          </w:tcPr>
          <w:p>
            <w:pPr>
              <w:ind w:left="520"/>
              <w:spacing w:after="0"/>
              <w:rPr>
                <w:sz w:val="20"/>
                <w:szCs w:val="20"/>
                <w:color w:val="auto"/>
              </w:rPr>
            </w:pPr>
            <w:r>
              <w:rPr>
                <w:rFonts w:ascii="Arial" w:cs="Arial" w:eastAsia="Arial" w:hAnsi="Arial"/>
                <w:sz w:val="18"/>
                <w:szCs w:val="18"/>
                <w:color w:val="auto"/>
              </w:rPr>
              <w:t>A summary of our remaining operating lease payments as of December 31, 2020 were as follows: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right"/>
              <w:ind w:right="380"/>
              <w:spacing w:after="0" w:line="155" w:lineRule="exact"/>
              <w:rPr>
                <w:sz w:val="20"/>
                <w:szCs w:val="20"/>
                <w:color w:val="auto"/>
              </w:rPr>
            </w:pPr>
            <w:r>
              <w:rPr>
                <w:rFonts w:ascii="Arial" w:cs="Arial" w:eastAsia="Arial" w:hAnsi="Arial"/>
                <w:sz w:val="14"/>
                <w:szCs w:val="14"/>
                <w:b w:val="1"/>
                <w:bCs w:val="1"/>
                <w:color w:val="auto"/>
                <w:w w:val="94"/>
              </w:rPr>
              <w:t>(Amounts in Thousands)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Due in 12-month period ended December 31,</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6,977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4"/>
              </w:rPr>
              <w:t>16,514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 future minimum rental commitments</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51,931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44,799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Supplemental cash flows information</w:t>
            </w: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8"/>
          </w:tcPr>
          <w:p>
            <w:pPr>
              <w:jc w:val="right"/>
              <w:ind w:right="248"/>
              <w:spacing w:after="0"/>
              <w:rPr>
                <w:sz w:val="20"/>
                <w:szCs w:val="20"/>
                <w:color w:val="auto"/>
              </w:rPr>
            </w:pPr>
            <w:r>
              <w:rPr>
                <w:rFonts w:ascii="Arial" w:cs="Arial" w:eastAsia="Arial" w:hAnsi="Arial"/>
                <w:sz w:val="14"/>
                <w:szCs w:val="14"/>
                <w:b w:val="1"/>
                <w:bCs w:val="1"/>
                <w:color w:val="auto"/>
              </w:rPr>
              <w:t>For the Years Ended December 31,</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7"/>
          </w:tcPr>
          <w:p>
            <w:pPr>
              <w:jc w:val="right"/>
              <w:ind w:right="568"/>
              <w:spacing w:after="0"/>
              <w:rPr>
                <w:sz w:val="20"/>
                <w:szCs w:val="20"/>
                <w:color w:val="auto"/>
              </w:rPr>
            </w:pPr>
            <w:r>
              <w:rPr>
                <w:rFonts w:ascii="Arial" w:cs="Arial" w:eastAsia="Arial" w:hAnsi="Arial"/>
                <w:sz w:val="14"/>
                <w:szCs w:val="14"/>
                <w:b w:val="1"/>
                <w:bCs w:val="1"/>
                <w:color w:val="auto"/>
                <w:w w:val="93"/>
              </w:rPr>
              <w:t>(Amounts in Thousands)</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jc w:val="right"/>
              <w:ind w:right="88"/>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10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40" w:type="dxa"/>
            <w:vAlign w:val="bottom"/>
            <w:tcBorders>
              <w:top w:val="single" w:sz="8" w:color="CFF0FC"/>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220" w:type="dxa"/>
            <w:vAlign w:val="bottom"/>
            <w:gridSpan w:val="2"/>
            <w:shd w:val="clear" w:color="auto" w:fill="CFF0FC"/>
          </w:tcPr>
          <w:p>
            <w:pPr>
              <w:jc w:val="right"/>
              <w:ind w:right="968"/>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8,769</w:t>
            </w:r>
          </w:p>
        </w:tc>
        <w:tc>
          <w:tcPr>
            <w:tcW w:w="12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22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25,807</w:t>
            </w:r>
          </w:p>
        </w:tc>
        <w:tc>
          <w:tcPr>
            <w:tcW w:w="120" w:type="dxa"/>
            <w:vAlign w:val="bottom"/>
          </w:tcPr>
          <w:p>
            <w:pPr>
              <w:spacing w:after="0"/>
              <w:rPr>
                <w:sz w:val="20"/>
                <w:szCs w:val="20"/>
                <w:color w:val="auto"/>
              </w:rPr>
            </w:pPr>
          </w:p>
        </w:tc>
        <w:tc>
          <w:tcPr>
            <w:tcW w:w="1400" w:type="dxa"/>
            <w:vAlign w:val="bottom"/>
            <w:gridSpan w:val="3"/>
          </w:tcPr>
          <w:p>
            <w:pPr>
              <w:jc w:val="right"/>
              <w:ind w:right="110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10,299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Comparative Disclosure Prior to the Adoption of the New Lease Accounting Standard (ASU 2016-02)</w:t>
      </w:r>
    </w:p>
    <w:p>
      <w:pPr>
        <w:spacing w:after="0" w:line="17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Aggregate rental expense for all operating leases amounted to $6.0 million for the year ended December 31, 2018. During the year ended December 31, 2018, we recognized sublease income of $0.3 million related to our leased space in Downers Grove.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Leases</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Some of our financing leases include provisions to purchase the asset at the conclusion of the lease. The adoption of ASC 842 did not impact the accounting for these leases. Financing leases were not material as of December 31, 2020 and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Public Offering</w:t>
      </w:r>
    </w:p>
    <w:p>
      <w:pPr>
        <w:spacing w:after="0" w:line="121"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On September 9, 2019, the Company completed a public offering of an aggregate 2,300,000 shares of common stock, par value $0.001 per share, including 300,000 shares of common stock sold pursuant to the exercise in full by the underwriters of their option to purchase additional shares at a public offering price of $79.50 per share (the “Public Offering”). The Company received net proceeds of approximately $172.9 million, after deducting underwriting discounts and estimated offering expenses of approximately $9.9 million. The Company used approximately $130.0 million from the net proceeds of the Public Offering to fund the purchase price for the Company’s acquisition of Hospice Partners of America, LLC (“Hospice Partners”), on October 1, 2019 and used the remaining net proceeds of the Public Offering for general corporate purposes, and to fund, in part, 2020 acquisitions. The Public Offering resulted in an increase to additional paid in capital of approximately $172.9 million on the Company’s Consolidated Balance Sheets at December 31, 2019.</w:t>
      </w:r>
    </w:p>
    <w:p>
      <w:pPr>
        <w:spacing w:after="0" w:line="19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On August 20, 2018, the Company together with Eos Capital Partners III, L.P. (the “Selling Stockholder”) completed a secondary public offering of an aggregate 2,100,000 shares of common stock, par value $0.001 per share at a purchase price per share to the public of $59.00 (the “2018 Public Offering Price”). Pursuant to the terms and conditions of the Underwriting Agreement, 1,075,267 shares of Common Stock were issued and sold by the Company (the “Primary Shares”) and 1,024,733 shares of Common Stock were sold by the Selling Stockholder (the “Secondary Shares”). The Company received net proceeds of approximately $59.1 million from the sale of 1,075,267 Primary Shares. On August 22, 2018, the underwriters exercised their full over-allotment option in connection with the offering and, as a result, the Company issued and sold an additional 315,000 shares of common stock to the underwriters at the 2018 Public Offering Price, less the underwriting discount. The over-allotment resulted in additional net proceeds to the Company of approximately $17.5 million. The Company used the net proceeds from the offering for general corporate purposes, and to pay down the $102.6 million of our delayed term loan in connection with the amendment and restatement of our credit facility. The Company did not receive any of the proceeds from the sale of the Secondary Shares. The secondary offering resulted in an increase to additional paid in capital of approximately $76.6 million, net of issuance costs of $5.4 million, on the Company’s Consolidated Balance Sheets at December 31, 2018.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 xml:space="preserve">The Company’s acquisitions have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were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Under business combination accounting, the assets and liabilities are generally recognized at their fair values and the difference between the consideration transferred, excluding transaction costs, and the fair values of the assets and liabilities is recognized as goodwill. The results of each business acquisition are included on the Consolidated Statements of Income from the date of the acquisition.</w:t>
      </w:r>
    </w:p>
    <w:p>
      <w:pPr>
        <w:spacing w:after="0" w:line="188"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Management’s assessment of qualitative factors affecting goodwill for each acquisition includes estimates of market share at the date of purchase, ability to grow in the market, synergy with existing Company operations and the payor profile in the markets.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E2E2E"/>
        </w:rPr>
        <w:t>Queen City Hospice</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On December 4, 2020, we completed the acquisition of Queen City Hospice, LLC and its affiliate Miracle City Hospice, LLC (together “Queen City Hospice”). The purchase price was approximately $194.8 million, including the amount of acquired excess cash held by Queen City Hospice at the closing of the acquisition (approximately $15.4 million). The purchase of Queen City Hospice was funded with the Company’s revolving credit facility and available cash. With the purchase of Queen City Hospice, the Company expanded its hospice services in the state of Ohio. The related acquisition costs were $1.8 million and integration costs were $0.1 million for the year ended December 31, 2020. These costs were included in general and administrative expenses on the Consolidated Statements of Income and were expensed as incurred.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20,015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(2,092)</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(503)</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Accrued payroll</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(1,598)</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(2,765)</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Government stimulus advances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(12,694)</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Identifiable intangible assets acquired included $11.0 million in trade names, $1.5 million of non-competition agreements with estimated useful lives of fifteen years and five years, respectively, and $7.5 million of indefinite lived state licenses.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80"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Queen City Hospice acquisition accounted for $4.9 million of net service revenues and $0.6 million of operating income for the year ended December 31, 2020.</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E2E2E"/>
        </w:rPr>
        <w:t>County Homemakers</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On November 1, 2020, we completed the acquisition of County Homemakers. The purchase price was approximately $15.8 million, including the amount of acquired excess cash held by County Homemakers at the closing of the acquisition (approximately $1.1 million). The purchase of County Homemakers was funded with the Company’s available cash. With the purchase of County Homemakers, the Company expanded its personal care services in the state of Pennsylvania. The related acquisition costs were $0.3 million and integration costs were $0.2 million for the year ended December 31, 2020. These costs were included in general and administrative expenses on the Consolidated Statements of Income and were expensed as incurred.</w:t>
      </w:r>
    </w:p>
    <w:p>
      <w:pPr>
        <w:spacing w:after="0" w:line="269"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9"/>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payroll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(543)</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(485)</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Identifiable intangible assets acquired included approximately $0.3 million in state licenses and $0.1 million in trade names with estimated useful lives of eight years and one year, respectively. The preliminary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80"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County Homemakers acquisition accounted for $2.3 million of net service revenues and $0.2 million of operating income for the year ended December 31, 2020.</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Plus Health Care</w:t>
      </w:r>
    </w:p>
    <w:p>
      <w:pPr>
        <w:spacing w:after="0" w:line="117" w:lineRule="exact"/>
        <w:rPr>
          <w:sz w:val="20"/>
          <w:szCs w:val="20"/>
          <w:color w:val="auto"/>
        </w:rPr>
      </w:pPr>
    </w:p>
    <w:p>
      <w:pPr>
        <w:ind w:right="320" w:firstLine="510"/>
        <w:spacing w:after="0" w:line="275" w:lineRule="auto"/>
        <w:rPr>
          <w:sz w:val="20"/>
          <w:szCs w:val="20"/>
          <w:color w:val="auto"/>
        </w:rPr>
      </w:pPr>
      <w:r>
        <w:rPr>
          <w:rFonts w:ascii="Arial" w:cs="Arial" w:eastAsia="Arial" w:hAnsi="Arial"/>
          <w:sz w:val="17"/>
          <w:szCs w:val="17"/>
          <w:color w:val="auto"/>
        </w:rPr>
        <w:t>On July 1, 2020, we completed the acquisition of A Plus Health Care, Inc. (“A Plus”). The purchase price was approximately $14.5 million, including the amount of acquired excess cash held by A Plus at the closing of the acquisition (approximately $2.8 million). The purchase of A Plus was funded with the Company’s available cash. With the purchase of A Plus, the Company expanded its personal care services in the state of Montana. The related acquisition costs were $0.4 million and integration costs were $0.3 million for the year ended December 31, 2020. These costs were included in general and administrative expenses on the Consolidated Statements of Income and were expensed as incurred.</w:t>
      </w:r>
    </w:p>
    <w:p>
      <w:pPr>
        <w:spacing w:after="0" w:line="6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Based upon management’s valuations, which are preliminary and subject to completion of working capital adjustments, the fair values of the assets and liabilities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Identifiable intangible assets acquired included $1.4 million in trade names with an estimated useful life of fifteen years. The preliminary estimated fair value of identifiable intangible assets was determined with the assistance of a valuation specialist, using Level 3 inputs as defined under ASC Topic</w:t>
      </w:r>
    </w:p>
    <w:p>
      <w:pPr>
        <w:ind w:right="580" w:firstLine="8"/>
        <w:spacing w:after="0" w:line="290" w:lineRule="auto"/>
        <w:tabs>
          <w:tab w:leader="none" w:pos="3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 Plus acquisition accounted for $4.9 million of net service revenues and $1.0 million of operating income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SunLife Hospice</w:t>
      </w:r>
    </w:p>
    <w:p>
      <w:pPr>
        <w:spacing w:after="0" w:line="225"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On December 1, 2020, we completed the acquisition of SunLife Home Care (“SunLife”) for approximately $1.7 million and recorded goodwill of $1.6 million. With the purchase of SunLife Home Care, we expanded our personal care services in the state of Arizona. Goodwill generated from the acquisition is primarily attributable to expected synergies with existing Company operations and the goodwill acquired is deductible for tax purposes.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Hospice Partners</w:t>
      </w:r>
    </w:p>
    <w:p>
      <w:pPr>
        <w:spacing w:after="0" w:line="11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On October 1, 2019, the Company completed the acquisition of the assets of Hospice Partners of America, LLC (“Hospice Partners”). The purchase price was approximately $135.6 million, including the amount of acquired excess cash held by Hospice Partners at the closing of the acquisition (approximately $5.5 million). The purchase of Hospice Partners was funded through a portion of the net proceeds of our public offering of an aggregate 2,300,000 shares of common stock, par value $0.001 per share, including 300,000 shares of common stock sold pursuant to the exercise in full by the underwriters of their option to purchase additional shares at a public offering price of $79.50 per share, which the Company completed on September 9, 2019 (the “Public Offering”). With the purchase of Hospice Partners, we expanded our hospice operations through 21 locations in Idaho, Kansas, Missouri, Oregon, Texas and Virginia. The related acquisition costs were $1.6 million for the year ended December 31, 2019 and integration costs were $1.6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million and $0.6 million for the years ended December 31, 2020 and 2019, respectively. These costs were included in general and administrative expenses on the Consolidated Statements of Income and were expensed as incurred.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18,090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5,489</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6,411</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(1,737)</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(3,635)</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Accrued payroll</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(1,110)</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(1,422)</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(1,615)</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40" w:firstLine="509"/>
        <w:spacing w:after="0" w:line="275" w:lineRule="auto"/>
        <w:rPr>
          <w:sz w:val="20"/>
          <w:szCs w:val="20"/>
          <w:color w:val="auto"/>
        </w:rPr>
      </w:pPr>
      <w:r>
        <w:rPr>
          <w:rFonts w:ascii="Arial" w:cs="Arial" w:eastAsia="Arial" w:hAnsi="Arial"/>
          <w:sz w:val="17"/>
          <w:szCs w:val="17"/>
          <w:color w:val="auto"/>
        </w:rPr>
        <w:t>Identifiable intangible assets acquired consist of $9.5 million in trade names with estimated useful lives of fifteen years, $2.5 million in non-competition agreements with estimated useful lives of three to five years and $6.1 million of indefinite 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76"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Hospice Partners acquisition accounted for $14.8 million of net service revenues and $2.3 million of operating income for the year ended December 31, 2019.</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Alliance Home Health Care</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On August 1, 2019, the Company completed the acquisition of all of the assets of Alliance Home Health Care (“Alliance”). The purchase price was approximately $23.5 million. The purchase of Alliance was funded through the Company’s revolving credit facility and available cash. With the purchase of Alliance, the Company expanded its personal care, home health and hospice operations in the state of New Mexico. The related acquisition costs were $0.4 million for the year ended December 31, 2019 and integration costs were $0.2 million and $0.4 million for the years ended December 31, 2020 and 2019, respectively. These costs were included in general and administrative expenses on the Consolidated Statements of Income and were expensed as incurred.</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376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37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55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19"/>
                <w:szCs w:val="19"/>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5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Accounts receivable</w:t>
            </w:r>
          </w:p>
        </w:tc>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5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(316)</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Other liabilities</w:t>
            </w:r>
          </w:p>
        </w:tc>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55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760" w:type="dxa"/>
            <w:vAlign w:val="bottom"/>
          </w:tcPr>
          <w:p>
            <w:pPr>
              <w:spacing w:after="0"/>
              <w:rPr>
                <w:sz w:val="24"/>
                <w:szCs w:val="24"/>
                <w:color w:val="auto"/>
              </w:rPr>
            </w:pPr>
          </w:p>
        </w:tc>
        <w:tc>
          <w:tcPr>
            <w:tcW w:w="5820" w:type="dxa"/>
            <w:vAlign w:val="bottom"/>
            <w:gridSpan w:val="2"/>
          </w:tcPr>
          <w:p>
            <w:pPr>
              <w:jc w:val="right"/>
              <w:ind w:right="3707"/>
              <w:spacing w:after="0"/>
              <w:rPr>
                <w:sz w:val="20"/>
                <w:szCs w:val="20"/>
                <w:color w:val="auto"/>
              </w:rPr>
            </w:pPr>
            <w:r>
              <w:rPr>
                <w:rFonts w:ascii="Arial" w:cs="Arial" w:eastAsia="Arial" w:hAnsi="Arial"/>
                <w:sz w:val="18"/>
                <w:szCs w:val="18"/>
                <w:color w:val="auto"/>
              </w:rPr>
              <w:t>F-20</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5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Identifiable intangible assets acquired consist of $1.1 million in state licenses, subject to amortization, with an estimated useful life of ten years and $4.3 million of indefinite 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Alliance acquisition accounted for $8.8 million of net service revenues and $2.1 million of operating income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VIP Health Care Services</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On June 1, 2019, the Company completed the acquisition of all of the assets of VIP Health Care Services (“VIP”). The purchase price was approximately $29.9 million. The purchase of VIP was funded through a combination of the Company’s delayed draw term loan portion of its credit facility and available cash. With the purchase of VIP, the Company expanded its personal care operations in the state of New York and into the New York City metropolitan area. The related acquisition costs were $0.3 million for the year ended December 31, 2019 and integration costs were $0.2 million and $0.5 million for the years ended December 31, 2020 and 2019, respectively. These costs were included in general and administrative expenses on the Consolidated Statements of Income and were expensed as incurred.</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4,730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 net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(770)</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payroll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(1,742)</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liabilities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(1,531)</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29,918</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Identifiable intangible assets acquired consist of $10.7 million in state licenses, subject to amortization, and $4.7 million in customer relationships, with estimated useful lives of six and eight years, respectively.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VIP acquisition accounted for $30.0 million of net service revenues and $0.2 million of operating loss for the year ended December 31, 2019.</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Ambercare Corporation</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On May 1, 2018, the Company completed the acquisition of all the issued and outstanding securities of Ambercare Corporation (“Ambercare”). The purchase price was approximately $39.6 million, plus the amount of excess cash held by Ambercare at the closing of the acquisition (approximately $12.0 million). The purchase of Ambercare was funded by a delayed draw term loan under the Company’s credit facility. With the purchase of Ambercare, the Company expanded its New Mexico personal care operations and entered into its hospice and home health segments in the state of New Mexico. The related acquisition costs were $0.8 million for the year ended December 31, 2018, and integration costs were $0.2 million and $1.6 million for the years ended December 31, 2019 and 2018, respectively. These costs were included in general and administrative expenses on the Company’s Consolidated Statements of Income, and were expensed as incurred. The results of Ambercare are included on the Company’s Consolidated Statements of Income from the date of the acquisition.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Cash</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12,028</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(4,073)</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(2,138)</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09"/>
        <w:spacing w:after="0" w:line="275" w:lineRule="auto"/>
        <w:rPr>
          <w:sz w:val="20"/>
          <w:szCs w:val="20"/>
          <w:color w:val="auto"/>
        </w:rPr>
      </w:pPr>
      <w:r>
        <w:rPr>
          <w:rFonts w:ascii="Arial" w:cs="Arial" w:eastAsia="Arial" w:hAnsi="Arial"/>
          <w:sz w:val="17"/>
          <w:szCs w:val="17"/>
          <w:color w:val="auto"/>
        </w:rPr>
        <w:t>The Company acquired all of the outstanding stock of Ambercare. Identifiable intangible assets acquired consist of trade names and customer relationships, with estimated useful lives ranging from three to fifteen years, as well as indefinite lived state licenses.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non-deductible for tax purposes.</w:t>
      </w:r>
    </w:p>
    <w:p>
      <w:pPr>
        <w:spacing w:after="0" w:line="176" w:lineRule="exact"/>
        <w:rPr>
          <w:sz w:val="20"/>
          <w:szCs w:val="20"/>
          <w:color w:val="auto"/>
        </w:rPr>
      </w:pPr>
    </w:p>
    <w:p>
      <w:pPr>
        <w:ind w:right="960" w:firstLine="509"/>
        <w:spacing w:after="0" w:line="277" w:lineRule="auto"/>
        <w:rPr>
          <w:sz w:val="20"/>
          <w:szCs w:val="20"/>
          <w:color w:val="auto"/>
        </w:rPr>
      </w:pPr>
      <w:r>
        <w:rPr>
          <w:rFonts w:ascii="Arial" w:cs="Arial" w:eastAsia="Arial" w:hAnsi="Arial"/>
          <w:sz w:val="18"/>
          <w:szCs w:val="18"/>
          <w:color w:val="auto"/>
        </w:rPr>
        <w:t>The Ambercare acquisition accounted for $36.7 million of net service revenues and $7.1 million of operating income for the year ended December 31, 2018.</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Arcadia Home Care &amp; Staffing</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On April 1, 2018, the Company acquired certain assets of Arcadia Home Care &amp; Staffing (“Arcadia”), expanding its personal care services. The total consideration for the transaction was $18.9 million and was funded by a delayed draw term loan under the Company’s credit facility. The related acquisition costs were $0.8 million for the year ended December 31, 2018, and integration costs were $0.2 million and $1.1 million for the years ended December 31, 2019 and 2018, respectively. These costs were included in general and administrative expenses on the Company’s Consolidated Statements of Income, and were expensed as incurred.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(1,540)</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(508)</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18,852</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Identifiable intangible assets acquired consist of trade name, customer relationships and state licenses, with estimated useful lives ranging from seven to fifteen years.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Arcadia acquisition accounted for $32.7 million of net service revenues and $4.7 million of operating income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In September 2018, the Company acquired certain assets of affiliate branches of Arcadia for $0.6 million using available cash, the Company recorded goodwill of $0.6 million on the Company’s Consolidated Balance Sheets. Goodwill generated from the acquisition is primarily attributable to expected synergies with existing Company operations and the goodwill acquired is deductible for tax purposes.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LifeStyle Options, Inc.</w:t>
      </w:r>
    </w:p>
    <w:p>
      <w:pPr>
        <w:spacing w:after="0" w:line="11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Effective January 1, 2018, the Company acquired certain assets of LifeStyle Options, Inc. (“LifeStyle”) in order to expand private pay services in Illinois. The total consideration for the transaction was $4.1 million, comprised of $3.3 million in cash and $0.8 million, representing the estimated fair value of contingent consideration, subject to the achievement of certain performance targets set forth in an earn-out agreement. As of December 31, 2018, the performance targets were not met and the contingent consideration was remeasured to zero.</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Based upon management’s final valuations, the fair values of the assets and liabilities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(Amounts in</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Thousands)</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Identifiable intangible assets acquired consist of trade name and customer relationships, with estimated useful lives ranging from ten to fifteen years. The estimated fair value of identifiable intangible assets was determined with the assistance of a valuation specialist, using Level 3 inputs as defined under ASC Topic 820. The fair value analysis and related valuations reflect the conclusions of management. All estimates, key assumptions, and forecasts were either provided by or reviewed by the Company. The goodwill and intangible assets acquired are deductible for tax purposes.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LifeStyle acquisition accounted for $5.8 million of net service revenues and $0.5 million of operating income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24" w:lineRule="exact"/>
        <w:rPr>
          <w:sz w:val="20"/>
          <w:szCs w:val="20"/>
          <w:color w:val="auto"/>
        </w:rPr>
      </w:pPr>
    </w:p>
    <w:p>
      <w:pPr>
        <w:ind w:right="60" w:firstLine="509"/>
        <w:spacing w:after="0" w:line="305" w:lineRule="auto"/>
        <w:rPr>
          <w:sz w:val="20"/>
          <w:szCs w:val="20"/>
          <w:color w:val="auto"/>
        </w:rPr>
      </w:pPr>
      <w:r>
        <w:rPr>
          <w:rFonts w:ascii="Arial" w:cs="Arial" w:eastAsia="Arial" w:hAnsi="Arial"/>
          <w:sz w:val="16"/>
          <w:szCs w:val="16"/>
          <w:color w:val="auto"/>
        </w:rPr>
        <w:t>For the year ended December 31, 2020, the following table contains unaudited pro forma Consolidated Income Statement information of the Company as if each of the acquisitions of Queen City Hospice, A Plus and County Homemakers closed on January 1, 2019. For the year ended December 31, 2019, the following table contains unaudited pro forma Consolidated Income Statement information of the Company as if each of the acquisitions of Hospice Partners, Alliance and VIP closed on January 1, 2018. For the year ended December 31, 2018, the following table contains unaudited pro forma Consolidated Income Statement information of the Company as if each of the acquisitions of Ambercare, Arcadia and LifeStyle closed on January 1, 2017.</w:t>
      </w:r>
    </w:p>
    <w:p>
      <w:pPr>
        <w:spacing w:after="0" w:line="159"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For the Years Ended December 31,</w:t>
      </w:r>
    </w:p>
    <w:p>
      <w:pPr>
        <w:ind w:left="7100"/>
        <w:spacing w:after="0" w:line="236" w:lineRule="auto"/>
        <w:rPr>
          <w:sz w:val="20"/>
          <w:szCs w:val="20"/>
          <w:color w:val="auto"/>
        </w:rPr>
      </w:pPr>
      <w:r>
        <w:rPr>
          <w:rFonts w:ascii="Arial" w:cs="Arial" w:eastAsia="Arial" w:hAnsi="Arial"/>
          <w:sz w:val="14"/>
          <w:szCs w:val="14"/>
          <w:b w:val="1"/>
          <w:bCs w:val="1"/>
          <w:color w:val="auto"/>
        </w:rPr>
        <w:t>(Amounts in Thousands, Unaudited)</w:t>
      </w:r>
    </w:p>
    <w:tbl>
      <w:tblPr>
        <w:tblLayout w:type="fixed"/>
        <w:tblInd w:w="1140" w:type="dxa"/>
        <w:tblCellMar>
          <w:top w:w="0" w:type="dxa"/>
          <w:left w:w="0" w:type="dxa"/>
          <w:bottom w:w="0" w:type="dxa"/>
          <w:right w:w="0" w:type="dxa"/>
        </w:tblCellMar>
      </w:tblPr>
      <w:tr>
        <w:trPr>
          <w:trHeight w:val="155"/>
        </w:trPr>
        <w:tc>
          <w:tcPr>
            <w:tcW w:w="474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831,290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726,727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550,326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Operating income from continuing operations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income from continuing operations</w:t>
            </w: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Net income per common share from continuing operations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 income per share</w:t>
            </w:r>
          </w:p>
        </w:tc>
        <w:tc>
          <w:tcPr>
            <w:tcW w:w="7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4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8"/>
                <w:szCs w:val="18"/>
                <w:color w:val="auto"/>
              </w:rPr>
              <w:t>Diluted income per share</w:t>
            </w:r>
          </w:p>
        </w:tc>
        <w:tc>
          <w:tcPr>
            <w:tcW w:w="5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(Amounts in Thousands)</w:t>
            </w: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8,135</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5,097</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Transportation equipment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9,402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11,881</w:t>
            </w:r>
          </w:p>
        </w:tc>
        <w:tc>
          <w:tcPr>
            <w:tcW w:w="2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34,714</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22,183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(14,965)</w:t>
            </w:r>
          </w:p>
        </w:tc>
        <w:tc>
          <w:tcPr>
            <w:tcW w:w="6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(10,027)</w:t>
            </w:r>
          </w:p>
        </w:tc>
      </w:tr>
      <w:tr>
        <w:trPr>
          <w:trHeight w:val="223"/>
        </w:trPr>
        <w:tc>
          <w:tcPr>
            <w:tcW w:w="77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19,749</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Computer software includes $1.7 million and $1.6 million of internally developed software for the years ended December 31, 2020 and 2019, respectively. Depreciation and amortization expense totaled $5.0 million, $4.0 million and $2.5 million for the years ended December 31, 2020, 2019 and 2018, respectively.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goodwill for the Company was $469.1 million and $275.4 million as of December 31, 2020 and 2019, respectively.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goodwill and related adjustments is provided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Goodwill</w:t>
            </w:r>
          </w:p>
        </w:tc>
        <w:tc>
          <w:tcPr>
            <w:tcW w:w="1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Hospice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Personal Care</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Home Health</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Total</w:t>
            </w:r>
          </w:p>
        </w:tc>
      </w:tr>
      <w:tr>
        <w:trPr>
          <w:trHeight w:val="223"/>
        </w:trPr>
        <w:tc>
          <w:tcPr>
            <w:tcW w:w="38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gridSpan w:val="6"/>
          </w:tcPr>
          <w:p>
            <w:pPr>
              <w:jc w:val="right"/>
              <w:ind w:right="1360"/>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Goodwill at December 31, 2018</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22,200</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112,377</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3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9"/>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135,442</w:t>
            </w:r>
          </w:p>
        </w:tc>
        <w:tc>
          <w:tcPr>
            <w:tcW w:w="12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124,750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14,368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140,059</w:t>
            </w:r>
          </w:p>
        </w:tc>
        <w:tc>
          <w:tcPr>
            <w:tcW w:w="12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previously recorded goodwill</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(133)</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Goodwill at December 31, 2019</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275,368</w:t>
            </w:r>
          </w:p>
        </w:tc>
        <w:tc>
          <w:tcPr>
            <w:tcW w:w="12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Additions for acquisitions</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193,867</w:t>
            </w:r>
          </w:p>
        </w:tc>
        <w:tc>
          <w:tcPr>
            <w:tcW w:w="12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Divestiture</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(1,167)</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previously recorded goodwill</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FF0FC"/>
          </w:tcPr>
          <w:p>
            <w:pPr>
              <w:spacing w:after="0"/>
              <w:rPr>
                <w:sz w:val="19"/>
                <w:szCs w:val="19"/>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Goodwill at December 31, 2020</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469,072</w:t>
            </w:r>
          </w:p>
        </w:tc>
        <w:tc>
          <w:tcPr>
            <w:tcW w:w="1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recognized goodwill in the hospice segment of $169.2 million related to the acquisition of Queen City Hospice on December 4, 2020. In connection with the acquisitions of County Homemakers, A Plus and SunLife for the year ended December 31, 2020, the Company recognized goodwill of approximately $24.7 million in the personal care segment. Additionally, the Company made adjustments to previously recorded goodwill due to adjustments to accounts receivable and accrued expenses based on the final valuations for the acquisitions of Hospice Partners, Alliance and VIP. See Note 4 to the Notes to Consolidated Financial Statements for additional information regarding the acquisitions made by the Company for the years ended December 31, 2020 and 2019.</w:t>
      </w:r>
    </w:p>
    <w:p>
      <w:pPr>
        <w:spacing w:after="0" w:line="19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2020, the Company divested certain branches and their related net assets including $1.2 million of related goodwill. The Company recognized a $0.3 million loss on the disposition, reflected in general and administrative expense for the year ended December 31, 2020.</w:t>
      </w:r>
    </w:p>
    <w:p>
      <w:pPr>
        <w:spacing w:after="0" w:line="17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Goodwill and certain state licenses are not amortized pursuant to ASC Topic 350. We test intangible assets with indefinite useful lives for impairment at the reporting unit level on an annual basis, as of October 1, or whenever potential impairment triggers occur, such as a significant change in business climate or regulatory changes that would indicate that an impairment may have occurred. The Company estimates the fair value of the reporting unit using both a discounted cash flow model as well as a market multiple model. The cash flow forecasts are adjusted by an appropriate discount rate based on the Company’s estimate of a market participant’s weighted-average cost of capital. These models are both based on the Company’s best estimate of future revenues and operating costs and are reconciled to the Company’s consolidated market capitalization, with consideration of the amount a potential acquirer would be required to pay, in the form of a control premium. The determination of fair value in the Company’s goodwill impairment analysis is based on an estimate of fair value for each reporting unit utilizing known and estimated inputs at the evaluation date. Some of those inputs include, but are not limited to, the most recent price of the Company’s common stock and fair value of long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term debt, estimates of future revenue and expense growth, estimated market multiples, expected capital expenditures, income tax rates and cost of invested capital. Significant assumptions used in the analysis included an 8.5% discount rate and long-term revenue growth rates that ranged from 5.0% to 5.5%. For the fiscal year 2020 impairment test, the fair value of the reporting units exceeded their respective carrying values by at least 90% (commonly referred to as “headroom”). The Company did not record any impairment charges for the years ended December 31, 2020, 2019 or 2018.</w:t>
      </w:r>
    </w:p>
    <w:p>
      <w:pPr>
        <w:spacing w:after="0" w:line="17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twenty-five years. Customer and referral relationships are amortized systematically over the periods of expected economic benefit, which range from five to ten years.</w:t>
      </w:r>
    </w:p>
    <w:p>
      <w:pPr>
        <w:spacing w:after="0" w:line="18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carrying amount and accumulated amortization of each identifiable intangible asset category consisted of the following at December 31, 2020 and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4"/>
                <w:szCs w:val="14"/>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4"/>
              </w:rPr>
              <w:t>Trade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and referral</w:t>
            </w:r>
          </w:p>
        </w:tc>
        <w:tc>
          <w:tcPr>
            <w:tcW w:w="140" w:type="dxa"/>
            <w:vAlign w:val="bottom"/>
          </w:tcPr>
          <w:p>
            <w:pPr>
              <w:spacing w:after="0"/>
              <w:rPr>
                <w:sz w:val="12"/>
                <w:szCs w:val="12"/>
                <w:color w:val="auto"/>
              </w:rPr>
            </w:pPr>
          </w:p>
        </w:tc>
        <w:tc>
          <w:tcPr>
            <w:tcW w:w="1100" w:type="dxa"/>
            <w:vAlign w:val="bottom"/>
            <w:gridSpan w:val="2"/>
          </w:tcPr>
          <w:p>
            <w:pPr>
              <w:jc w:val="center"/>
              <w:ind w:right="208"/>
              <w:spacing w:after="0" w:line="149" w:lineRule="exact"/>
              <w:rPr>
                <w:sz w:val="20"/>
                <w:szCs w:val="20"/>
                <w:color w:val="auto"/>
              </w:rPr>
            </w:pPr>
            <w:r>
              <w:rPr>
                <w:rFonts w:ascii="Arial" w:cs="Arial" w:eastAsia="Arial" w:hAnsi="Arial"/>
                <w:sz w:val="14"/>
                <w:szCs w:val="14"/>
                <w:b w:val="1"/>
                <w:bCs w:val="1"/>
                <w:color w:val="auto"/>
                <w:w w:val="90"/>
              </w:rPr>
              <w:t>names and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competition</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7"/>
              </w:rPr>
              <w:t>State Licenses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4"/>
                <w:szCs w:val="14"/>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5"/>
              </w:rPr>
              <w:t>trademarks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agreements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0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1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indefinite lives</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20,791</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Gross carrying amount</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(34,439)</w:t>
            </w:r>
          </w:p>
        </w:tc>
        <w:tc>
          <w:tcPr>
            <w:tcW w:w="140" w:type="dxa"/>
            <w:vAlign w:val="bottom"/>
          </w:tcPr>
          <w:p>
            <w:pPr>
              <w:spacing w:after="0"/>
              <w:rPr>
                <w:sz w:val="19"/>
                <w:szCs w:val="19"/>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(15,191)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(55,572)</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subject to amortization, net</w:t>
            </w:r>
          </w:p>
        </w:tc>
        <w:tc>
          <w:tcPr>
            <w:tcW w:w="8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balance at December 31, 2020</w:t>
            </w:r>
          </w:p>
        </w:tc>
        <w:tc>
          <w:tcPr>
            <w:tcW w:w="8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10,233</w:t>
            </w:r>
          </w:p>
        </w:tc>
        <w:tc>
          <w:tcPr>
            <w:tcW w:w="2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assets with indefinite lives</w:t>
            </w:r>
          </w:p>
        </w:tc>
        <w:tc>
          <w:tcPr>
            <w:tcW w:w="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subject to amortization:</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Gross carrying amount</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48,028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w:t>
            </w: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(35,665)</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(12,941)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(51,966)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assets subject to amortization, net</w:t>
            </w:r>
          </w:p>
        </w:tc>
        <w:tc>
          <w:tcPr>
            <w:tcW w:w="8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12,363</w:t>
            </w:r>
          </w:p>
        </w:tc>
        <w:tc>
          <w:tcPr>
            <w:tcW w:w="2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balance at December 31, 2019</w:t>
            </w:r>
          </w:p>
        </w:tc>
        <w:tc>
          <w:tcPr>
            <w:tcW w:w="8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24,200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57,079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During the year ended December 31, 2020, the Company acquired (i) indefinite lived state licenses, trade names and non-competition agreements of $7.5 million, $11.0 million and $1.5 million, respectively, related to the acquisition of Queen City Hospice, (ii) state licenses, subject to amortization of $0.3 million and $0.1 million in trade names related to the acquisition of County Homemakers, and (iii) a trade name of $1.4 million related to the acquisition of A Plus.</w:t>
      </w:r>
    </w:p>
    <w:p>
      <w:pPr>
        <w:spacing w:after="0" w:line="187"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Amortization expense related to the identifiable intangible assets amounted to $7.1 million, $6.6 million and $6.2 million for the years ended December 31, 2020, 2019 and 2018,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remaining useful lives of identifiable intangible assets as of December 31, 2020 is 9.8 years.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intangible amortization expense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0" w:type="dxa"/>
            <w:vAlign w:val="bottom"/>
            <w:gridSpan w:val="2"/>
            <w:vMerge w:val="restart"/>
          </w:tcPr>
          <w:p>
            <w:pPr>
              <w:ind w:left="2260"/>
              <w:spacing w:after="0"/>
              <w:rPr>
                <w:sz w:val="20"/>
                <w:szCs w:val="20"/>
                <w:color w:val="auto"/>
              </w:rPr>
            </w:pPr>
            <w:r>
              <w:rPr>
                <w:rFonts w:ascii="Arial" w:cs="Arial" w:eastAsia="Arial" w:hAnsi="Arial"/>
                <w:sz w:val="14"/>
                <w:szCs w:val="14"/>
                <w:b w:val="1"/>
                <w:bCs w:val="1"/>
                <w:color w:val="auto"/>
              </w:rPr>
              <w:t>For the year ended December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rPr>
              <w:t>(Amount in</w:t>
            </w: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Thousands)</w:t>
            </w:r>
          </w:p>
        </w:tc>
        <w:tc>
          <w:tcPr>
            <w:tcW w:w="2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7,711</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6,582</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6,098</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5,855</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4,232</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 subject to amortization</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50,758</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40" w:type="dxa"/>
            <w:vAlign w:val="bottom"/>
            <w:vMerge w:val="restart"/>
          </w:tcPr>
          <w:p>
            <w:pPr>
              <w:ind w:left="3200"/>
              <w:spacing w:after="0"/>
              <w:rPr>
                <w:sz w:val="20"/>
                <w:szCs w:val="20"/>
                <w:color w:val="auto"/>
              </w:rPr>
            </w:pPr>
            <w:r>
              <w:rPr>
                <w:rFonts w:ascii="Arial" w:cs="Arial" w:eastAsia="Arial" w:hAnsi="Arial"/>
                <w:sz w:val="18"/>
                <w:szCs w:val="18"/>
                <w:color w:val="auto"/>
              </w:rPr>
              <w:t>F-25</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6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Details of Certain Balance Sheet Accounts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center"/>
              <w:ind w:right="19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Workers’ compensation insurance receivable</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Health insurance receivable</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7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9,969</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consisted of the following:</w:t>
            </w: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82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4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center"/>
              <w:ind w:right="19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 liabilities</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9,283</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Accrued health insurance</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 xml:space="preserve">Payor advances </w:t>
            </w:r>
            <w:r>
              <w:rPr>
                <w:rFonts w:ascii="Arial" w:cs="Arial" w:eastAsia="Arial" w:hAnsi="Arial"/>
                <w:sz w:val="15"/>
                <w:szCs w:val="15"/>
                <w:color w:val="auto"/>
              </w:rPr>
              <w:t>(1)</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w:t>
            </w: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8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7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85725</wp:posOffset>
            </wp:positionV>
            <wp:extent cx="9601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9">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19" w:lineRule="exact"/>
        <w:rPr>
          <w:sz w:val="20"/>
          <w:szCs w:val="20"/>
          <w:color w:val="auto"/>
        </w:rPr>
      </w:pPr>
    </w:p>
    <w:p>
      <w:pPr>
        <w:jc w:val="both"/>
        <w:ind w:left="2040" w:right="360" w:hanging="493"/>
        <w:spacing w:after="0" w:line="278" w:lineRule="auto"/>
        <w:tabs>
          <w:tab w:leader="none" w:pos="2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deferred the recognition of $4.2 million of payments received from payors for COVID-19 reimbursements which will be recognized if we incur specific expenses such as additional personal protective equipment or will be returned as stipulated if COVID-19 expenses are not incurred.</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Government stimulus advances consisted of the following:</w:t>
      </w:r>
    </w:p>
    <w:p>
      <w:pPr>
        <w:spacing w:after="0" w:line="35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470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center"/>
              <w:ind w:right="193"/>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0" w:type="dxa"/>
            <w:vAlign w:val="bottom"/>
            <w:tcBorders>
              <w:bottom w:val="single" w:sz="8" w:color="CFF0FC"/>
            </w:tcBorders>
          </w:tcPr>
          <w:p>
            <w:pPr>
              <w:spacing w:after="0"/>
              <w:rPr>
                <w:sz w:val="13"/>
                <w:szCs w:val="13"/>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Provider Relief Fund</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12,252</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CMS advanced payment program - Queen City Hospice</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Payroll tax deferral</w:t>
            </w: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Provider Relief Fund - Queen City Hospice</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government stimulus advances</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62"/>
        <w:spacing w:after="0" w:line="259" w:lineRule="auto"/>
        <w:rPr>
          <w:sz w:val="20"/>
          <w:szCs w:val="20"/>
          <w:color w:val="auto"/>
        </w:rPr>
      </w:pPr>
      <w:r>
        <w:rPr>
          <w:rFonts w:ascii="Arial" w:cs="Arial" w:eastAsia="Arial" w:hAnsi="Arial"/>
          <w:sz w:val="18"/>
          <w:szCs w:val="18"/>
          <w:color w:val="auto"/>
        </w:rPr>
        <w:t>In recognition of the significant threat to the liquidity of financial markets posed by the COVID-19 pandemic, the Federal Reserve and Congress have taken dramatic actions to provide liquidity to businesses and the banking system in the United States. One of the primary sources of relief for healthcare providers is the CARES Act, which was expanded by the PPPHCE Act, and the CAA. See Note 12 for additional information regarding government actions to mitigate COVID-19’s impact.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Provider Relief Funds</w:t>
      </w:r>
    </w:p>
    <w:p>
      <w:pPr>
        <w:spacing w:after="0" w:line="117" w:lineRule="exact"/>
        <w:rPr>
          <w:sz w:val="20"/>
          <w:szCs w:val="20"/>
          <w:color w:val="auto"/>
        </w:rPr>
      </w:pPr>
    </w:p>
    <w:p>
      <w:pPr>
        <w:ind w:firstLine="562"/>
        <w:spacing w:after="0" w:line="269" w:lineRule="auto"/>
        <w:rPr>
          <w:sz w:val="20"/>
          <w:szCs w:val="20"/>
          <w:color w:val="auto"/>
        </w:rPr>
      </w:pPr>
      <w:r>
        <w:rPr>
          <w:rFonts w:ascii="Arial" w:cs="Arial" w:eastAsia="Arial" w:hAnsi="Arial"/>
          <w:sz w:val="17"/>
          <w:szCs w:val="17"/>
          <w:color w:val="auto"/>
        </w:rPr>
        <w:t>In April 2020, the Company received grants in an aggregate principal amount of $6.9 million, for which it did not apply, from the Provider Relief Fund as part of the automatic general distributions by HHS. The Company returned these funds in June 2020. In November 2020, the Company received grants in an aggregate principal amount of $13.7 million from the Provider Relief Fund, for which we applied. The Company utilized $1.4 million of these funds for healthcare related expenses attributable to COVID-19 that were unreimbursed by other sources in the period ended December 31, 2020 and, in accordance with the current guidance issued by HHS, expects to utilize additional funds through June 30, 2021, at which point any unused funds will be returned. We are required to properly and fully document the use of such funds in reports to HHS. The Company’s ability to utilize and retain some or all of such funds will depend on the magnitude, timing and nature of the impact of the COVID-19 pandemic, as well as the terms and conditions of the funds received. In April 2020, Queen City Hospice received grants in an aggregate principal amount of approximately $2.5 million, for which it did not apply, from the Provider Relief Fund as part of the automatic general distributions by HHS. Queen City Hospice utilized approximately $0.6 million for healthcare related expenses attributable to COVID-19 that were unreimbursed by other sources. Queen City Hospice intends to repay $1.9 million, which represents the remainder of the grants received but not utilized, in 2021. Commercial organizations that receive annual total awards of $750,000 or more in federal funding, including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payments received through the Provider Relief Fund, are subject to federal audit requirements.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Medicare Accelerated and Advance Payment Program – Queen City Hospice</w:t>
      </w:r>
    </w:p>
    <w:p>
      <w:pPr>
        <w:spacing w:after="0" w:line="117" w:lineRule="exact"/>
        <w:rPr>
          <w:sz w:val="20"/>
          <w:szCs w:val="20"/>
          <w:color w:val="auto"/>
        </w:rPr>
      </w:pPr>
    </w:p>
    <w:p>
      <w:pPr>
        <w:ind w:firstLine="494"/>
        <w:spacing w:after="0" w:line="271" w:lineRule="auto"/>
        <w:rPr>
          <w:sz w:val="20"/>
          <w:szCs w:val="20"/>
          <w:color w:val="auto"/>
        </w:rPr>
      </w:pPr>
      <w:r>
        <w:rPr>
          <w:rFonts w:ascii="Arial" w:cs="Arial" w:eastAsia="Arial" w:hAnsi="Arial"/>
          <w:sz w:val="17"/>
          <w:szCs w:val="17"/>
          <w:color w:val="auto"/>
        </w:rPr>
        <w:t>In addition, the CARES Act expands the Medicare Accelerated and Advance Payment Program to increase cash flow to providers impacted by the COVID-19 pandemic. Hospice and home health providers were able to request an advance or accelerated payment of up to 100% of the Medicare payment amount for a three-month period (not including Medicare Advantage payments). The Medicare Accelerated and Advance Payment Program payments are a loan that providers must pay back. Recoupment of these payments was due to begin in August, but CMS has delayed the recoupment process for these payments, based on amended repayment terms imposed by the CAA, enacted October 1, 2020, until one year after payment was issued. In April 2020, Queen City Hospice received an amount equal to $10.8 million pursuant to the Medicare Accelerated and Advance Payment Program. Queen City Hospice did not repay the funds prior to the completion of our acquisition of Queen City Hospice, however, Queen City Hospice intends to repay such funds in March 2021, prior to any CMS recoupment and before any interest accrues.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Payroll tax deferral</w:t>
      </w:r>
    </w:p>
    <w:p>
      <w:pPr>
        <w:spacing w:after="0" w:line="117"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The CARES Act also provides for certain federal income and other tax changes, including the deferral of the employer portion of Social Security payroll taxes. The Company received a cash benefit of approximately $7.1 million related to the deferral of employer payroll taxes for 2020 under the CARES Act, for the period April 2, 2020 through June 30, 2020. Effective July 1, 2020, the Company began paying its deferred portion of employer Social Security payroll taxes and expects to repay the $7.1 million in 2021.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consisted of the following:</w:t>
      </w:r>
    </w:p>
    <w:p>
      <w:pPr>
        <w:spacing w:after="0" w:line="31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6"/>
        </w:trPr>
        <w:tc>
          <w:tcPr>
            <w:tcW w:w="5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4"/>
          </w:tcPr>
          <w:p>
            <w:pPr>
              <w:jc w:val="right"/>
              <w:ind w:right="372"/>
              <w:spacing w:after="0" w:line="155"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Pr>
          <w:p>
            <w:pPr>
              <w:spacing w:after="0"/>
              <w:rPr>
                <w:sz w:val="13"/>
                <w:szCs w:val="13"/>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Revolving loan under the credit facility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178,458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43,458</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Term loan under the credit facility</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18,130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18,865</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Less unamortized issuance costs</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(1,716)</w:t>
            </w: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(2,452)</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194,872</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(728)</w:t>
            </w: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193,901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59,164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11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On October 31, 2018, the Company entered into the Amended and Restated Credit Agreement, dated as of October 31, 2018, with certain lenders and Capital One, National Association, as a lender and as agent for all lenders (as amended by the Amendment (as hereinafter defined), the “Credit Agreement”). This credit facility totaled $269.6 million, inclusive of a $250.0 million revolving loan and a $19.6 million delayed draw term loan, and is evidenced by the Credit Agreement. This credit facility amended and restated the Company’s existing senior secured credit facility totaling $250.0 million. As used throughout this Annual Report on Form 10-K, “credit facility” shall mean the credit facility evidenced by the Credit Agreement. The maturity of this credit facility is May 8, 2023. Interest on the Company’s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 In connection with this credit facility, the Company incurred approximately $0.9 million of debt issuance costs.</w:t>
      </w:r>
    </w:p>
    <w:p>
      <w:pPr>
        <w:spacing w:after="0" w:line="180"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limitations on the Company with respect to liens, indebtedness, guaranties, investments, distributions, mergers and acquisitions and dispositions of assets.</w:t>
      </w:r>
    </w:p>
    <w:p>
      <w:pPr>
        <w:spacing w:after="0" w:line="248"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loan portion of the credit facility.</w:t>
      </w:r>
    </w:p>
    <w:p>
      <w:pPr>
        <w:spacing w:after="0" w:line="170"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w:t>
      </w:r>
    </w:p>
    <w:p>
      <w:pPr>
        <w:spacing w:after="0" w:line="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 As of December 31, 2020, the Company was in compliance with all financial covenants under the Credit Agreement.</w:t>
      </w:r>
    </w:p>
    <w:p>
      <w:pPr>
        <w:spacing w:after="0" w:line="176"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On September 12, 2019, the Company entered into a First Amendment (the “Amendment”) to its Credit Agreement. The Amendment increased the Company’s credit facility by $50.0 million in incremental revolving loans, for an aggregate $300.0 million in revolving loans. The Amendment provides that future incremental loans may be for term loans or an increase to the revolving loan commitments. The Amendment further provides that the proceeds of the incremental revolving loan commitments may be used for, among other things, general corporate purposes. In connection with the modification of this Amendment, the Company incurred approximately $0.4 million of debt issuance costs.</w:t>
      </w:r>
    </w:p>
    <w:p>
      <w:pPr>
        <w:spacing w:after="0" w:line="176"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Company drew approximately $135.0 million on the revolver portion of its credit facility to fund, in part, the acquisition of Queen City Hospice on December 4, 2020.</w:t>
      </w:r>
    </w:p>
    <w:p>
      <w:pPr>
        <w:spacing w:after="0" w:line="170"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At December 31, 2020, the Company had a total of $178.5 million of revolving loans, with an interest rate of 1.90%, and $18.1 million of term loans, with an interest rate of 1.90%, outstanding on its credit facility. After giving effect to the amount drawn on its credit facility, approximately $9.0 million of outstanding letters of credit and borrowing limits based on an advance multiple of adjusted EBITDA (as defined in the Credit Agreement), the Company had $112.6 million available for borrowing under its credit facility.</w:t>
      </w:r>
    </w:p>
    <w:p>
      <w:pPr>
        <w:spacing w:after="0" w:line="79"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During the year ended December 31, 2019, the Company drew approximately $23.5 million on the revolver portion of its credit facility to fund, in part, the purchase price for the Alliance acquisition on August 1, 2019. Additionally, the Company drew $19.6 million under the delayed draw term loan portion of its credit facility to fund, in part, the acquisition of VIP on June 1, 2019.</w:t>
      </w:r>
    </w:p>
    <w:p>
      <w:pPr>
        <w:spacing w:after="0" w:line="7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At December 31, 2019, the Company had a total of $43.4 million of revolving loans, with an interest rate of 3.44% and $18.9 million of term loans, with an interest rate of 3.45%, outstanding on its credit facility. After giving effect to the amount drawn on its credit facility, approximately $10.0 million of outstanding letters of credit and borrowing limits based on an advance multiple of adjusted EBITDA (as defined in the Credit Agreement), the Company had $191.4 million available for borrowing under its credit facility.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current and deferred federal and state income tax provision from continuing operations, are comprised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5"/>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5"/>
        </w:trPr>
        <w:tc>
          <w:tcPr>
            <w:tcW w:w="1140" w:type="dxa"/>
            <w:vAlign w:val="bottom"/>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8"/>
          </w:tcPr>
          <w:p>
            <w:pPr>
              <w:jc w:val="center"/>
              <w:ind w:left="495"/>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Arial" w:cs="Arial" w:eastAsia="Arial" w:hAnsi="Arial"/>
                <w:sz w:val="18"/>
                <w:szCs w:val="18"/>
                <w:color w:val="auto"/>
              </w:rPr>
              <w:t>Federal</w:t>
            </w:r>
          </w:p>
        </w:tc>
        <w:tc>
          <w:tcPr>
            <w:tcW w:w="2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10,230</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5,876</w:t>
            </w:r>
          </w:p>
        </w:tc>
        <w:tc>
          <w:tcPr>
            <w:tcW w:w="140" w:type="dxa"/>
            <w:vAlign w:val="bottom"/>
          </w:tcPr>
          <w:p>
            <w:pPr>
              <w:spacing w:after="0"/>
              <w:rPr>
                <w:sz w:val="19"/>
                <w:szCs w:val="19"/>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Deferred</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(3,690)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Arial" w:cs="Arial" w:eastAsia="Arial" w:hAnsi="Arial"/>
                <w:sz w:val="18"/>
                <w:szCs w:val="18"/>
                <w:color w:val="auto"/>
              </w:rPr>
              <w:t>State</w:t>
            </w: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00" w:type="dxa"/>
            <w:vAlign w:val="bottom"/>
            <w:gridSpan w:val="2"/>
          </w:tcPr>
          <w:p>
            <w:pPr>
              <w:jc w:val="right"/>
              <w:ind w:right="787"/>
              <w:spacing w:after="0"/>
              <w:rPr>
                <w:sz w:val="20"/>
                <w:szCs w:val="20"/>
                <w:color w:val="auto"/>
              </w:rPr>
            </w:pPr>
            <w:r>
              <w:rPr>
                <w:rFonts w:ascii="Arial" w:cs="Arial" w:eastAsia="Arial" w:hAnsi="Arial"/>
                <w:sz w:val="18"/>
                <w:szCs w:val="18"/>
                <w:color w:val="auto"/>
              </w:rPr>
              <w:t>F-28</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The tax effects of certain temporary differences between the Company’s book and tax bases of assets and liabilities give rise to significant portions of the deferred income tax assets (liabilities) at December 31, 2020 and 2019. The deferred tax assets (liabilities) consisted of the following:</w:t>
      </w:r>
    </w:p>
    <w:p>
      <w:pPr>
        <w:spacing w:after="0" w:line="12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jc w:val="right"/>
              <w:ind w:right="371"/>
              <w:spacing w:after="0" w:line="155" w:lineRule="exact"/>
              <w:rPr>
                <w:sz w:val="20"/>
                <w:szCs w:val="20"/>
                <w:color w:val="auto"/>
              </w:rPr>
            </w:pPr>
            <w:r>
              <w:rPr>
                <w:rFonts w:ascii="Arial" w:cs="Arial" w:eastAsia="Arial" w:hAnsi="Arial"/>
                <w:sz w:val="14"/>
                <w:szCs w:val="14"/>
                <w:b w:val="1"/>
                <w:bCs w:val="1"/>
                <w:color w:val="auto"/>
              </w:rPr>
              <w:t>(Amounts in Thousands)</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 allowances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14,023</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48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workers’ compensation</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48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1,311</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Restructuring costs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793</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stimulus advances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ind w:left="48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5,896</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long-term deferred tax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24,067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Long-term</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Goodwill and intangible assets</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(18,891)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(15,079)</w:t>
            </w:r>
          </w:p>
        </w:tc>
      </w:tr>
      <w:tr>
        <w:trPr>
          <w:trHeight w:val="229"/>
        </w:trPr>
        <w:tc>
          <w:tcPr>
            <w:tcW w:w="5360" w:type="dxa"/>
            <w:vAlign w:val="bottom"/>
          </w:tcPr>
          <w:p>
            <w:pPr>
              <w:ind w:left="48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(1,037)</w:t>
            </w:r>
          </w:p>
        </w:tc>
      </w:tr>
      <w:tr>
        <w:trPr>
          <w:trHeight w:val="230"/>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insurance</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(534)</w:t>
            </w:r>
          </w:p>
        </w:tc>
      </w:tr>
      <w:tr>
        <w:trPr>
          <w:trHeight w:val="229"/>
        </w:trPr>
        <w:tc>
          <w:tcPr>
            <w:tcW w:w="5360" w:type="dxa"/>
            <w:vAlign w:val="bottom"/>
          </w:tcPr>
          <w:p>
            <w:pPr>
              <w:ind w:left="480"/>
              <w:spacing w:after="0"/>
              <w:rPr>
                <w:sz w:val="20"/>
                <w:szCs w:val="20"/>
                <w:color w:val="auto"/>
              </w:rPr>
            </w:pPr>
            <w:r>
              <w:rPr>
                <w:rFonts w:ascii="Arial" w:cs="Arial" w:eastAsia="Arial" w:hAnsi="Arial"/>
                <w:sz w:val="18"/>
                <w:szCs w:val="18"/>
                <w:color w:val="auto"/>
              </w:rPr>
              <w:t>Operating lease assets, net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(10,052)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(5,606)</w:t>
            </w:r>
          </w:p>
        </w:tc>
      </w:tr>
      <w:tr>
        <w:trPr>
          <w:trHeight w:val="229"/>
        </w:trPr>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w:t>
            </w:r>
          </w:p>
        </w:tc>
      </w:tr>
      <w:tr>
        <w:trPr>
          <w:trHeight w:val="223"/>
        </w:trPr>
        <w:tc>
          <w:tcPr>
            <w:tcW w:w="5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long-term deferred tax liabilities</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Total net deferred tax assets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520" w:firstLine="509"/>
        <w:spacing w:after="0" w:line="263" w:lineRule="auto"/>
        <w:rPr>
          <w:sz w:val="20"/>
          <w:szCs w:val="20"/>
          <w:color w:val="auto"/>
        </w:rPr>
      </w:pPr>
      <w:r>
        <w:rPr>
          <w:rFonts w:ascii="Arial" w:cs="Arial" w:eastAsia="Arial" w:hAnsi="Arial"/>
          <w:sz w:val="18"/>
          <w:szCs w:val="18"/>
          <w:color w:val="auto"/>
        </w:rPr>
        <w:t>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all available evidence in making this assessment.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reconciliation for continuing operations of the statutory federal tax rate of 21.0% to the effective income tax rate,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2019 and 2018, is summarized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502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at statutory rate</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21.0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State and local taxes, net of federal benefit</w:t>
            </w: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Jobs tax credits, net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FF0FC"/>
          </w:tcPr>
          <w:p>
            <w:pPr>
              <w:spacing w:after="0"/>
              <w:rPr>
                <w:sz w:val="19"/>
                <w:szCs w:val="19"/>
                <w:color w:val="auto"/>
              </w:rPr>
            </w:pPr>
          </w:p>
        </w:tc>
      </w:tr>
      <w:tr>
        <w:trPr>
          <w:trHeight w:val="229"/>
        </w:trPr>
        <w:tc>
          <w:tcPr>
            <w:tcW w:w="5660" w:type="dxa"/>
            <w:vAlign w:val="bottom"/>
            <w:gridSpan w:val="2"/>
          </w:tcPr>
          <w:p>
            <w:pPr>
              <w:spacing w:after="0"/>
              <w:rPr>
                <w:sz w:val="20"/>
                <w:szCs w:val="20"/>
                <w:color w:val="auto"/>
              </w:rPr>
            </w:pPr>
            <w:r>
              <w:rPr>
                <w:rFonts w:ascii="Arial" w:cs="Arial" w:eastAsia="Arial" w:hAnsi="Arial"/>
                <w:sz w:val="18"/>
                <w:szCs w:val="18"/>
                <w:color w:val="auto"/>
              </w:rPr>
              <w:t>162(m) disallowance for executive compensation</w:t>
            </w: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Nondeductible permanent items</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Nondeductible penalties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Excess tax benefit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9"/>
                <w:szCs w:val="19"/>
                <w:color w:val="auto"/>
              </w:rPr>
            </w:pP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color w:val="auto"/>
              </w:rPr>
              <w:t>Federal/state return to provision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0"/>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6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21.0</w:t>
            </w:r>
          </w:p>
        </w:tc>
        <w:tc>
          <w:tcPr>
            <w:tcW w:w="80" w:type="dxa"/>
            <w:vAlign w:val="bottom"/>
          </w:tcPr>
          <w:p>
            <w:pPr>
              <w:spacing w:after="0"/>
              <w:rPr>
                <w:sz w:val="19"/>
                <w:szCs w:val="19"/>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9"/>
                <w:szCs w:val="19"/>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effective income tax rate was 21.0%, 22.2% and 20.1% for the years ended December 31, 2020, 2019 and 2018, respectively. The difference between our federal statutory and effective income tax rates is principally due to the inclusion of state taxes and non-deductible compensation, offset by an excess tax benefit and the use of federal employment tax credits.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is subject to taxation in the jurisdictions in which it operates. The Company continues to remain subject to examination by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authorities for the years 2017 through 2019 and for various state authorities for the years 2015 through 2019.</w:t>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Options and Restricted Stock Awards</w:t>
      </w:r>
    </w:p>
    <w:p>
      <w:pPr>
        <w:spacing w:after="0" w:line="12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Board approved the 2017 Omnibus Incentive Plan (“the 2017 Plan”) as of April 27, 2017, which was approved by our shareholders on June 14, 2017. The 2017 Plan was intended to replace our existing incentive compensation plan, the 2009 Stock Incentive Plan (“the 2009 Plan”). All awards are now granted from the 2017 Plan. Outstanding awards under the 2009 Plan will continue to be governed by the 2009 Plan and the agreements under which they were granted.</w:t>
      </w:r>
    </w:p>
    <w:p>
      <w:pPr>
        <w:spacing w:after="0" w:line="18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2017 Plan allows us to grant performance-based incentive awards and equity-based awards (each an “Award”) to eligible employees, directors and consultants in the form of Stock Options, Stock Appreciation Rights, Restricted Stock, Deferred Stock Units/Restricted Stock Units, Other Stock Units or Performance Awards. The Company’s Board believes that the 2017 Plan is necessary to continue the Company’s effectiveness in attracting, motivating and retaining employees, directors and consultants with appropriate experience and to increase the grantees’ alignment of interest with the Company’s shareholders.</w:t>
      </w:r>
    </w:p>
    <w:p>
      <w:pPr>
        <w:spacing w:after="0" w:line="188"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Under the 2017 Plan, Awards may be made in shares of our common stock. Subject to adjustment as provided by the terms of the 2017 Plan, the maximum aggregate number of shares of common stock with respect to which awards may be granted under the 2017 Plan will be 1,182,270, less the number of shares subject to awards that are granted pursuant to the 2009 Plan after March 31, 2017. The aggregate awards granted during any calendar year to any single Participant cannot exceed (i) 500,000 shares subject to stock options or stock appreciation rights (“SARs”) or (ii) 300,000 shares subject to Awards denominated in shares of common stock (whether or not settled in common stock). These individual annual limitations are cumulative in that any shares of common stock or cash for which Awards are permitted to be granted to a Participant during a fiscal year are not covered by an Award in that fiscal year, the number of shares of common stock will automatically increase in the subsequent fiscal years during the term of the 2017 Plan until the earlier of the time the increase has been granted to the Participant, or the end of the third fiscal year following the year to which such increase relates. At December 31, 2020, there were 614,888 shares of common stock available for future grant under the 2017 Plan.</w:t>
      </w:r>
    </w:p>
    <w:p>
      <w:pPr>
        <w:spacing w:after="0" w:line="16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Any shares of common stock subject to an Award under the 2017 Plan that are forfeited, canceled, settled in cash or otherwise terminated without a distribution of shares to a Participant, or that are delivered by attestation or withheld by the Company in connection with an option exercise or the payment of any required income tax withholding upon an option exercise or the vesting of restricted stock, will be deemed available for Awards under the 2017 Plan. Additionally, any shares of common stock subject to an Award under the 2009 Plan that are forfeited, canceled, settled in cash or otherwise terminated without a distribution of shares to a participant, or that are delivered by attestation or withheld by the Company in connection with an option exercise or the payment of any required income tax withholding upon an option exercise or the vesting of restricted stock, will be deemed available for Awards under the 2017 Plan.</w:t>
      </w:r>
    </w:p>
    <w:p>
      <w:pPr>
        <w:spacing w:after="0" w:line="195"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Stock options are awarded with a strike price equal to the fair market value based on the closing price of our common stock on the date of grant. Options granted typically vest over a service period ranging from three to four years and expire ten years from the date of grant. Restricted shares typically vest over a service period ranging from one to four years and expire ten years from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exercise prices of stock options outstanding on December 31, 2020 range from $8.91 to $87.80. Restricted stock awards are full-value awards.</w:t>
      </w:r>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weighted average exercise price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2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1800" w:type="dxa"/>
            <w:vAlign w:val="bottom"/>
          </w:tcPr>
          <w:p>
            <w:pPr>
              <w:spacing w:after="0"/>
              <w:rPr>
                <w:sz w:val="14"/>
                <w:szCs w:val="14"/>
                <w:color w:val="auto"/>
              </w:rPr>
            </w:pPr>
          </w:p>
        </w:tc>
      </w:tr>
      <w:tr>
        <w:trPr>
          <w:trHeight w:val="156"/>
        </w:trPr>
        <w:tc>
          <w:tcPr>
            <w:tcW w:w="17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3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33"/>
        </w:trPr>
        <w:tc>
          <w:tcPr>
            <w:tcW w:w="17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1"/>
                <w:szCs w:val="11"/>
                <w:color w:val="auto"/>
              </w:rPr>
            </w:pPr>
          </w:p>
        </w:tc>
        <w:tc>
          <w:tcPr>
            <w:tcW w:w="100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1"/>
                <w:szCs w:val="11"/>
                <w:color w:val="auto"/>
              </w:rPr>
            </w:pPr>
          </w:p>
        </w:tc>
        <w:tc>
          <w:tcPr>
            <w:tcW w:w="1800" w:type="dxa"/>
            <w:vAlign w:val="bottom"/>
          </w:tcPr>
          <w:p>
            <w:pPr>
              <w:spacing w:after="0"/>
              <w:rPr>
                <w:sz w:val="11"/>
                <w:szCs w:val="11"/>
                <w:color w:val="auto"/>
              </w:rPr>
            </w:pPr>
          </w:p>
        </w:tc>
      </w:tr>
      <w:tr>
        <w:trPr>
          <w:trHeight w:val="149"/>
        </w:trPr>
        <w:tc>
          <w:tcPr>
            <w:tcW w:w="17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(Amounts in</w:t>
            </w: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800" w:type="dxa"/>
            <w:vAlign w:val="bottom"/>
          </w:tcPr>
          <w:p>
            <w:pPr>
              <w:spacing w:after="0"/>
              <w:rPr>
                <w:sz w:val="12"/>
                <w:szCs w:val="12"/>
                <w:color w:val="auto"/>
              </w:rPr>
            </w:pPr>
          </w:p>
        </w:tc>
      </w:tr>
      <w:tr>
        <w:trPr>
          <w:trHeight w:val="171"/>
        </w:trPr>
        <w:tc>
          <w:tcPr>
            <w:tcW w:w="17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Thousands)</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Exercise Price</w:t>
            </w:r>
          </w:p>
        </w:tc>
        <w:tc>
          <w:tcPr>
            <w:tcW w:w="1800" w:type="dxa"/>
            <w:vAlign w:val="bottom"/>
          </w:tcPr>
          <w:p>
            <w:pPr>
              <w:spacing w:after="0"/>
              <w:rPr>
                <w:sz w:val="14"/>
                <w:szCs w:val="14"/>
                <w:color w:val="auto"/>
              </w:rPr>
            </w:pPr>
          </w:p>
        </w:tc>
      </w:tr>
      <w:tr>
        <w:trPr>
          <w:trHeight w:val="223"/>
        </w:trPr>
        <w:tc>
          <w:tcPr>
            <w:tcW w:w="1700" w:type="dxa"/>
            <w:vAlign w:val="bottom"/>
          </w:tcPr>
          <w:p>
            <w:pPr>
              <w:spacing w:after="0"/>
              <w:rPr>
                <w:sz w:val="19"/>
                <w:szCs w:val="19"/>
                <w:color w:val="auto"/>
              </w:rPr>
            </w:pPr>
          </w:p>
        </w:tc>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2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37.43</w:t>
            </w:r>
          </w:p>
        </w:tc>
        <w:tc>
          <w:tcPr>
            <w:tcW w:w="80" w:type="dxa"/>
            <w:vAlign w:val="bottom"/>
            <w:tcBorders>
              <w:top w:val="single" w:sz="8" w:color="CFF0FC"/>
            </w:tcBorders>
            <w:shd w:val="clear" w:color="auto" w:fill="CFF0FC"/>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Granted</w:t>
            </w:r>
          </w:p>
        </w:tc>
        <w:tc>
          <w:tcPr>
            <w:tcW w:w="22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3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31.07</w:t>
            </w:r>
          </w:p>
        </w:tc>
        <w:tc>
          <w:tcPr>
            <w:tcW w:w="80" w:type="dxa"/>
            <w:vAlign w:val="bottom"/>
            <w:shd w:val="clear" w:color="auto" w:fill="CFF0FC"/>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Forfeited/Cancelled</w:t>
            </w:r>
          </w:p>
        </w:tc>
        <w:tc>
          <w:tcPr>
            <w:tcW w:w="350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37.25</w:t>
            </w: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22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500" w:type="dxa"/>
            <w:vAlign w:val="bottom"/>
            <w:gridSpan w:val="3"/>
          </w:tcPr>
          <w:p>
            <w:pPr>
              <w:jc w:val="right"/>
              <w:ind w:right="2460"/>
              <w:spacing w:after="0"/>
              <w:rPr>
                <w:sz w:val="20"/>
                <w:szCs w:val="20"/>
                <w:color w:val="auto"/>
              </w:rPr>
            </w:pPr>
            <w:r>
              <w:rPr>
                <w:rFonts w:ascii="Arial" w:cs="Arial" w:eastAsia="Arial" w:hAnsi="Arial"/>
                <w:sz w:val="18"/>
                <w:szCs w:val="18"/>
                <w:color w:val="auto"/>
              </w:rPr>
              <w:t>F-30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weighted-average estimated fair value of employee stock options granted as calculated using the Black-Scholes Option Pricing Model in 2019 and 2018. The Company did not grant any stock options in 2020. The related assumptions follow:</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center"/>
              <w:ind w:left="88"/>
              <w:spacing w:after="0"/>
              <w:rPr>
                <w:sz w:val="20"/>
                <w:szCs w:val="20"/>
                <w:color w:val="auto"/>
              </w:rPr>
            </w:pPr>
            <w:r>
              <w:rPr>
                <w:rFonts w:ascii="Arial" w:cs="Arial" w:eastAsia="Arial" w:hAnsi="Arial"/>
                <w:sz w:val="14"/>
                <w:szCs w:val="14"/>
                <w:b w:val="1"/>
                <w:bCs w:val="1"/>
                <w:color w:val="auto"/>
                <w:w w:val="92"/>
              </w:rPr>
              <w:t>For the Years Ended December 31,</w:t>
            </w: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195"/>
              <w:spacing w:after="0" w:line="147"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r>
      <w:tr>
        <w:trPr>
          <w:trHeight w:val="17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15"/>
              <w:spacing w:after="0"/>
              <w:rPr>
                <w:sz w:val="20"/>
                <w:szCs w:val="20"/>
                <w:color w:val="auto"/>
              </w:rPr>
            </w:pPr>
            <w:r>
              <w:rPr>
                <w:rFonts w:ascii="Arial" w:cs="Arial" w:eastAsia="Arial" w:hAnsi="Arial"/>
                <w:sz w:val="14"/>
                <w:szCs w:val="14"/>
                <w:b w:val="1"/>
                <w:bCs w:val="1"/>
                <w:color w:val="auto"/>
              </w:rPr>
              <w:t>Grants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Grants</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Grants</w:t>
            </w: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fair value</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ind w:right="395"/>
              <w:spacing w:after="0"/>
              <w:rPr>
                <w:sz w:val="20"/>
                <w:szCs w:val="20"/>
                <w:color w:val="auto"/>
              </w:rPr>
            </w:pPr>
            <w:r>
              <w:rPr>
                <w:rFonts w:ascii="Arial" w:cs="Arial" w:eastAsia="Arial" w:hAnsi="Arial"/>
                <w:sz w:val="18"/>
                <w:szCs w:val="18"/>
                <w:color w:val="auto"/>
              </w:rPr>
              <w:t>29.78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95"/>
              <w:spacing w:after="0"/>
              <w:rPr>
                <w:sz w:val="20"/>
                <w:szCs w:val="20"/>
                <w:color w:val="auto"/>
              </w:rPr>
            </w:pPr>
            <w:r>
              <w:rPr>
                <w:rFonts w:ascii="Arial" w:cs="Arial" w:eastAsia="Arial" w:hAnsi="Arial"/>
                <w:sz w:val="18"/>
                <w:szCs w:val="18"/>
                <w:color w:val="auto"/>
              </w:rPr>
              <w:t>14.72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Risk-free discount rate</w:t>
            </w:r>
          </w:p>
        </w:tc>
        <w:tc>
          <w:tcPr>
            <w:tcW w:w="300" w:type="dxa"/>
            <w:vAlign w:val="bottom"/>
          </w:tcPr>
          <w:p>
            <w:pPr>
              <w:spacing w:after="0"/>
              <w:rPr>
                <w:sz w:val="19"/>
                <w:szCs w:val="19"/>
                <w:color w:val="auto"/>
              </w:rPr>
            </w:pP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75"/>
              <w:spacing w:after="0"/>
              <w:rPr>
                <w:sz w:val="20"/>
                <w:szCs w:val="20"/>
                <w:color w:val="auto"/>
              </w:rPr>
            </w:pPr>
            <w:r>
              <w:rPr>
                <w:rFonts w:ascii="Arial" w:cs="Arial" w:eastAsia="Arial" w:hAnsi="Arial"/>
                <w:sz w:val="18"/>
                <w:szCs w:val="18"/>
                <w:color w:val="auto"/>
                <w:w w:val="91"/>
              </w:rPr>
              <w:t>1.72% - 2.29%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95"/>
              <w:spacing w:after="0"/>
              <w:rPr>
                <w:sz w:val="20"/>
                <w:szCs w:val="20"/>
                <w:color w:val="auto"/>
              </w:rPr>
            </w:pPr>
            <w:r>
              <w:rPr>
                <w:rFonts w:ascii="Arial" w:cs="Arial" w:eastAsia="Arial" w:hAnsi="Arial"/>
                <w:sz w:val="18"/>
                <w:szCs w:val="18"/>
                <w:color w:val="auto"/>
                <w:w w:val="91"/>
              </w:rPr>
              <w:t>2.32% - 2.84%</w:t>
            </w:r>
          </w:p>
        </w:tc>
        <w:tc>
          <w:tcPr>
            <w:tcW w:w="120" w:type="dxa"/>
            <w:vAlign w:val="bottom"/>
          </w:tcPr>
          <w:p>
            <w:pPr>
              <w:spacing w:after="0"/>
              <w:rPr>
                <w:sz w:val="19"/>
                <w:szCs w:val="19"/>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380"/>
              <w:spacing w:after="0"/>
              <w:rPr>
                <w:sz w:val="20"/>
                <w:szCs w:val="20"/>
                <w:color w:val="auto"/>
              </w:rPr>
            </w:pPr>
            <w:r>
              <w:rPr>
                <w:rFonts w:ascii="Arial" w:cs="Arial" w:eastAsia="Arial" w:hAnsi="Arial"/>
                <w:sz w:val="18"/>
                <w:szCs w:val="18"/>
                <w:color w:val="auto"/>
                <w:w w:val="90"/>
              </w:rPr>
              <w:t>4.2 - 4.4 years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88"/>
              </w:rPr>
              <w:t>4.1 - 4.2 years</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Dividend yield</w:t>
            </w:r>
          </w:p>
        </w:tc>
        <w:tc>
          <w:tcPr>
            <w:tcW w:w="300" w:type="dxa"/>
            <w:vAlign w:val="bottom"/>
          </w:tcPr>
          <w:p>
            <w:pPr>
              <w:spacing w:after="0"/>
              <w:rPr>
                <w:sz w:val="19"/>
                <w:szCs w:val="19"/>
                <w:color w:val="auto"/>
              </w:rPr>
            </w:pP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center"/>
              <w:ind w:right="75"/>
              <w:spacing w:after="0"/>
              <w:rPr>
                <w:sz w:val="20"/>
                <w:szCs w:val="20"/>
                <w:color w:val="auto"/>
              </w:rPr>
            </w:pPr>
            <w:r>
              <w:rPr>
                <w:rFonts w:ascii="Arial" w:cs="Arial" w:eastAsia="Arial" w:hAnsi="Arial"/>
                <w:sz w:val="18"/>
                <w:szCs w:val="18"/>
                <w:color w:val="auto"/>
                <w:w w:val="88"/>
              </w:rPr>
              <w:t>43%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center"/>
              <w:ind w:right="75"/>
              <w:spacing w:after="0"/>
              <w:rPr>
                <w:sz w:val="20"/>
                <w:szCs w:val="20"/>
                <w:color w:val="auto"/>
              </w:rPr>
            </w:pPr>
            <w:r>
              <w:rPr>
                <w:rFonts w:ascii="Arial" w:cs="Arial" w:eastAsia="Arial" w:hAnsi="Arial"/>
                <w:sz w:val="18"/>
                <w:szCs w:val="18"/>
                <w:color w:val="auto"/>
                <w:w w:val="94"/>
              </w:rPr>
              <w:t>45%</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Stock option compensation expense totaled $2.0 million, $2.5 million and $2.0 million for the years ended December 31, 2020, 2019 and 2018, respectively. As of December 31, 2020, there was $2.6 million of total unrecognized compensation cost that is expected to be recognized over a weighted average period of 1.5 years.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intrinsic value of vested and outstanding stock options was $27.0 million and $12.5 million, respectively, as of December 31, 2020.</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2020, there were 312,499 and 193,221 shares of stock options vested and unvested, respectively.</w:t>
      </w:r>
    </w:p>
    <w:p>
      <w:pPr>
        <w:spacing w:after="0" w:line="225"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auto"/>
        </w:rPr>
        <w:t>The intrinsic value of stock options exercised during the years ended December 31, 2020, 2019 and 2018 was $7.5 million, $7.3 million and $1.8 million, respectively.</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status of unvested restricted stock awards outstanding at December 31, 2020:</w:t>
      </w:r>
    </w:p>
    <w:p>
      <w:pPr>
        <w:spacing w:after="0" w:line="230" w:lineRule="exact"/>
        <w:rPr>
          <w:sz w:val="20"/>
          <w:szCs w:val="20"/>
          <w:color w:val="auto"/>
        </w:rPr>
      </w:pPr>
    </w:p>
    <w:p>
      <w:pPr>
        <w:jc w:val="center"/>
        <w:ind w:left="5300"/>
        <w:spacing w:after="0"/>
        <w:rPr>
          <w:sz w:val="20"/>
          <w:szCs w:val="20"/>
          <w:color w:val="auto"/>
        </w:rPr>
      </w:pPr>
      <w:r>
        <w:rPr>
          <w:rFonts w:ascii="Arial" w:cs="Arial" w:eastAsia="Arial" w:hAnsi="Arial"/>
          <w:sz w:val="14"/>
          <w:szCs w:val="14"/>
          <w:b w:val="1"/>
          <w:bCs w:val="1"/>
          <w:color w:val="auto"/>
        </w:rPr>
        <w:t>For The Year Ended</w:t>
      </w:r>
    </w:p>
    <w:p>
      <w:pPr>
        <w:jc w:val="center"/>
        <w:ind w:left="53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5"/>
        </w:trPr>
        <w:tc>
          <w:tcPr>
            <w:tcW w:w="5400" w:type="dxa"/>
            <w:vAlign w:val="bottom"/>
          </w:tcPr>
          <w:p>
            <w:pPr>
              <w:spacing w:after="0"/>
              <w:rPr>
                <w:sz w:val="13"/>
                <w:szCs w:val="13"/>
                <w:color w:val="auto"/>
              </w:rPr>
            </w:pPr>
          </w:p>
        </w:tc>
        <w:tc>
          <w:tcPr>
            <w:tcW w:w="140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400" w:type="dxa"/>
            <w:vAlign w:val="bottom"/>
          </w:tcPr>
          <w:p>
            <w:pPr>
              <w:spacing w:after="0"/>
              <w:rPr>
                <w:sz w:val="11"/>
                <w:szCs w:val="11"/>
                <w:color w:val="auto"/>
              </w:rPr>
            </w:pPr>
          </w:p>
        </w:tc>
        <w:tc>
          <w:tcPr>
            <w:tcW w:w="120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3"/>
              </w:rPr>
              <w:t>Restricted</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(Amounts in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Thousands)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awards, beginning of period</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Awarded</w:t>
            </w: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awards, end of period</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market value of restricted stock awards that vested during the year ended December 31, 2020 was $6.0 million.</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Restricted stock award compensation expense totaled $4.0 million, $3.3 million and $2.1 million for the years ended December 31, 2020, 2019 and 2018, respectively. As of December 31, 2020, there was $9.8 million of total unrecognized compensation cost that is expected to be recognized over a weighted average period of 1.7 years.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401(k) retirement plan is a defined contribution plan that provides for matching contributions by the Company to all non-union employees. Matching contributions are discretionary and subject to change by management. Under the provisions of the 401(k) plan, employees can contribute up to the maximum percentage and limits allowable under the U.S. Revenue Code. The Company provided contributions totaling $0.3 million, $0.2 million and $0.3 million for the years ended December 31, 2020, 2019 and 2018, respectively.</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Actions to Mitigate COVID-19’s Impact</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On January 31, 2020, the Secretary of the U.S. Department of Health and Human Services (“HHS”) declared a national public health emergency due to a novel coronavirus. In March 2020, the World Health Organization declared the outbreak of COVID-19, a disease caused by this novel coronavirus, a pandemic. This disease continues to spread throughout the United States and other parts of the world.</w:t>
      </w:r>
    </w:p>
    <w:p>
      <w:pPr>
        <w:spacing w:after="0" w:line="184" w:lineRule="exact"/>
        <w:rPr>
          <w:sz w:val="20"/>
          <w:szCs w:val="20"/>
          <w:color w:val="auto"/>
        </w:rPr>
      </w:pPr>
    </w:p>
    <w:p>
      <w:pPr>
        <w:ind w:right="40" w:firstLine="562"/>
        <w:spacing w:after="0" w:line="273" w:lineRule="auto"/>
        <w:rPr>
          <w:sz w:val="20"/>
          <w:szCs w:val="20"/>
          <w:color w:val="auto"/>
        </w:rPr>
      </w:pPr>
      <w:r>
        <w:rPr>
          <w:rFonts w:ascii="Arial" w:cs="Arial" w:eastAsia="Arial" w:hAnsi="Arial"/>
          <w:sz w:val="17"/>
          <w:szCs w:val="17"/>
          <w:color w:val="auto"/>
        </w:rPr>
        <w:t>In recognition of the significant threat to the liquidity of financial markets posed by the COVID-19 pandemic, the Federal Reserve and Congress have taken dramatic actions to provide liquidity to businesses and the banking system in the United States. For example, on March 27, 2020, President Trump signed into law the CARES Act, a sweeping stimulus bill intended to bolster the U.S. economy. The PPPHCE Act and the CAA both expansions of the CARES Act, were signed into law on April 24, 2020 and December 27, 2020, respectively. In total, the CARES Act, the PPPHCE Act and CAA authorize $178 billion in funding to be distributed to health care providers through the Provider Relief Fund. This funding is intended to support healthcare providers by reimbursing them for healthcare-related expenses or lost revenues attributable to COVID-19.</w:t>
      </w:r>
    </w:p>
    <w:p>
      <w:pPr>
        <w:spacing w:after="0" w:line="178" w:lineRule="exact"/>
        <w:rPr>
          <w:sz w:val="20"/>
          <w:szCs w:val="20"/>
          <w:color w:val="auto"/>
        </w:rPr>
      </w:pPr>
    </w:p>
    <w:p>
      <w:pPr>
        <w:ind w:right="40" w:firstLine="562"/>
        <w:spacing w:after="0" w:line="301" w:lineRule="auto"/>
        <w:rPr>
          <w:sz w:val="20"/>
          <w:szCs w:val="20"/>
          <w:color w:val="auto"/>
        </w:rPr>
      </w:pPr>
      <w:r>
        <w:rPr>
          <w:rFonts w:ascii="Arial" w:cs="Arial" w:eastAsia="Arial" w:hAnsi="Arial"/>
          <w:sz w:val="16"/>
          <w:szCs w:val="16"/>
          <w:color w:val="auto"/>
        </w:rPr>
        <w:t>In addition to the Provider Relief Fund, the CARES Act includes temporary changes to Medicare and Medicaid payment rules and relief from certain accounting provisions, for example temporarily lifting the Medicare sequester, which would have otherwise reduced payments to Medicare providers by 2%, from May 1, 2020, through March 31, 2021 (but also extending sequestration through 2030). The Medicare sequester relief resulted in an increase of $0.2 million to home health net service revenues and $1.3 million to hospice net service revenues for the year ended December 31, 2020.</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It is impossible to predict the effect and ultimate impact of the COVID-19 pandemic on the Company as the situation continues to rapidly evolve.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7 for additional information regarding government stimulus advances the Company has received.</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From time to time, the Company is subject to legal and/or administrative proceedings incidental to its business. It is the opinion of management that the outcome of pending legal and/or administrative proceedings will not have a material effect on the Company’s Consolidated Balance Sheets and Consolidated Statements of Income.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8"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The tables below set forth information about the Company’s reportable segments for the years ended December 31, 2020, 2019 and 2018 along with the items necessary to reconcile the segment information to the totals reported in the accompanying consolidated financial statements. Segment assets are not reviewed by the Company’s chief operating decision maker function and therefore are not disclosed below.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jc w:val="center"/>
              <w:ind w:right="207"/>
              <w:spacing w:after="0"/>
              <w:rPr>
                <w:sz w:val="20"/>
                <w:szCs w:val="20"/>
                <w:color w:val="auto"/>
              </w:rPr>
            </w:pPr>
            <w:r>
              <w:rPr>
                <w:rFonts w:ascii="Arial" w:cs="Arial" w:eastAsia="Arial" w:hAnsi="Arial"/>
                <w:sz w:val="14"/>
                <w:szCs w:val="14"/>
                <w:b w:val="1"/>
                <w:bCs w:val="1"/>
                <w:color w:val="auto"/>
                <w:w w:val="92"/>
              </w:rPr>
              <w:t>For the Year Ended December 31, 2020</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7"/>
          </w:tcPr>
          <w:p>
            <w:pPr>
              <w:jc w:val="center"/>
              <w:ind w:right="36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6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47"/>
              <w:spacing w:after="0" w:line="155" w:lineRule="exact"/>
              <w:rPr>
                <w:sz w:val="20"/>
                <w:szCs w:val="20"/>
                <w:color w:val="auto"/>
              </w:rPr>
            </w:pPr>
            <w:r>
              <w:rPr>
                <w:rFonts w:ascii="Arial" w:cs="Arial" w:eastAsia="Arial" w:hAnsi="Arial"/>
                <w:sz w:val="14"/>
                <w:szCs w:val="14"/>
                <w:b w:val="1"/>
                <w:bCs w:val="1"/>
                <w:color w:val="auto"/>
              </w:rPr>
              <w:t>Personal Care</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439"/>
              <w:spacing w:after="0" w:line="155" w:lineRule="exact"/>
              <w:rPr>
                <w:sz w:val="20"/>
                <w:szCs w:val="20"/>
                <w:color w:val="auto"/>
              </w:rPr>
            </w:pPr>
            <w:r>
              <w:rPr>
                <w:rFonts w:ascii="Arial" w:cs="Arial" w:eastAsia="Arial" w:hAnsi="Arial"/>
                <w:sz w:val="14"/>
                <w:szCs w:val="14"/>
                <w:b w:val="1"/>
                <w:bCs w:val="1"/>
                <w:color w:val="auto"/>
              </w:rPr>
              <w:t>Hospice</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287"/>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600"/>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647,233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2"/>
              </w:rPr>
              <w:t>101,297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16,245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764,775</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services revenues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480,191</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47,197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11,150</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538,538</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167,042</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54,100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226,237</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60,468</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25,394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3,773</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89,635</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106,574</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28,706</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136,602</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jc w:val="center"/>
              <w:ind w:right="207"/>
              <w:spacing w:after="0"/>
              <w:rPr>
                <w:sz w:val="20"/>
                <w:szCs w:val="20"/>
                <w:color w:val="auto"/>
              </w:rPr>
            </w:pPr>
            <w:r>
              <w:rPr>
                <w:rFonts w:ascii="Arial" w:cs="Arial" w:eastAsia="Arial" w:hAnsi="Arial"/>
                <w:sz w:val="14"/>
                <w:szCs w:val="14"/>
                <w:b w:val="1"/>
                <w:bCs w:val="1"/>
                <w:color w:val="auto"/>
                <w:w w:val="92"/>
              </w:rPr>
              <w:t>For the Year Ended December 31, 2019</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7"/>
          </w:tcPr>
          <w:p>
            <w:pPr>
              <w:jc w:val="center"/>
              <w:ind w:right="36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26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47"/>
              <w:spacing w:after="0" w:line="155" w:lineRule="exact"/>
              <w:rPr>
                <w:sz w:val="20"/>
                <w:szCs w:val="20"/>
                <w:color w:val="auto"/>
              </w:rPr>
            </w:pPr>
            <w:r>
              <w:rPr>
                <w:rFonts w:ascii="Arial" w:cs="Arial" w:eastAsia="Arial" w:hAnsi="Arial"/>
                <w:sz w:val="14"/>
                <w:szCs w:val="14"/>
                <w:b w:val="1"/>
                <w:bCs w:val="1"/>
                <w:color w:val="auto"/>
              </w:rPr>
              <w:t>Personal Care</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439"/>
              <w:spacing w:after="0" w:line="155" w:lineRule="exact"/>
              <w:rPr>
                <w:sz w:val="20"/>
                <w:szCs w:val="20"/>
                <w:color w:val="auto"/>
              </w:rPr>
            </w:pPr>
            <w:r>
              <w:rPr>
                <w:rFonts w:ascii="Arial" w:cs="Arial" w:eastAsia="Arial" w:hAnsi="Arial"/>
                <w:sz w:val="14"/>
                <w:szCs w:val="14"/>
                <w:b w:val="1"/>
                <w:bCs w:val="1"/>
                <w:color w:val="auto"/>
              </w:rPr>
              <w:t>Hospice</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287"/>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6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600"/>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580,728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53,601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14,462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648,791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services revenues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432,413</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27,203</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9,937</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469,553</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148,315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26,398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4,525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179,238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56,887</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12,399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3,205</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72,491</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Segment operating income</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91,428</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13,999</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106,747</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jc w:val="center"/>
              <w:ind w:right="207"/>
              <w:spacing w:after="0"/>
              <w:rPr>
                <w:sz w:val="20"/>
                <w:szCs w:val="20"/>
                <w:color w:val="auto"/>
              </w:rPr>
            </w:pPr>
            <w:r>
              <w:rPr>
                <w:rFonts w:ascii="Arial" w:cs="Arial" w:eastAsia="Arial" w:hAnsi="Arial"/>
                <w:sz w:val="14"/>
                <w:szCs w:val="14"/>
                <w:b w:val="1"/>
                <w:bCs w:val="1"/>
                <w:color w:val="auto"/>
                <w:w w:val="92"/>
              </w:rPr>
              <w:t>For the Year Ended December 31, 2018</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7"/>
          </w:tcPr>
          <w:p>
            <w:pPr>
              <w:jc w:val="center"/>
              <w:ind w:right="360"/>
              <w:spacing w:after="0" w:line="155" w:lineRule="exact"/>
              <w:rPr>
                <w:sz w:val="20"/>
                <w:szCs w:val="20"/>
                <w:color w:val="auto"/>
              </w:rPr>
            </w:pPr>
            <w:r>
              <w:rPr>
                <w:rFonts w:ascii="Arial" w:cs="Arial" w:eastAsia="Arial" w:hAnsi="Arial"/>
                <w:sz w:val="14"/>
                <w:szCs w:val="14"/>
                <w:b w:val="1"/>
                <w:bCs w:val="1"/>
                <w:color w:val="auto"/>
                <w:w w:val="92"/>
              </w:rPr>
              <w:t>(Amounts in Thousands)</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Net service revenues</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247"/>
              <w:spacing w:after="0" w:line="155" w:lineRule="exact"/>
              <w:rPr>
                <w:sz w:val="20"/>
                <w:szCs w:val="20"/>
                <w:color w:val="auto"/>
              </w:rPr>
            </w:pPr>
            <w:r>
              <w:rPr>
                <w:rFonts w:ascii="Arial" w:cs="Arial" w:eastAsia="Arial" w:hAnsi="Arial"/>
                <w:sz w:val="14"/>
                <w:szCs w:val="14"/>
                <w:b w:val="1"/>
                <w:bCs w:val="1"/>
                <w:color w:val="auto"/>
              </w:rPr>
              <w:t>Personal Care</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right"/>
              <w:ind w:right="439"/>
              <w:spacing w:after="0" w:line="155" w:lineRule="exact"/>
              <w:rPr>
                <w:sz w:val="20"/>
                <w:szCs w:val="20"/>
                <w:color w:val="auto"/>
              </w:rPr>
            </w:pPr>
            <w:r>
              <w:rPr>
                <w:rFonts w:ascii="Arial" w:cs="Arial" w:eastAsia="Arial" w:hAnsi="Arial"/>
                <w:sz w:val="14"/>
                <w:szCs w:val="14"/>
                <w:b w:val="1"/>
                <w:bCs w:val="1"/>
                <w:color w:val="auto"/>
              </w:rPr>
              <w:t>Hospice</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287"/>
              <w:spacing w:after="0" w:line="155" w:lineRule="exact"/>
              <w:rPr>
                <w:sz w:val="20"/>
                <w:szCs w:val="20"/>
                <w:color w:val="auto"/>
              </w:rPr>
            </w:pPr>
            <w:r>
              <w:rPr>
                <w:rFonts w:ascii="Arial" w:cs="Arial" w:eastAsia="Arial" w:hAnsi="Arial"/>
                <w:sz w:val="14"/>
                <w:szCs w:val="14"/>
                <w:b w:val="1"/>
                <w:bCs w:val="1"/>
                <w:color w:val="auto"/>
                <w:w w:val="98"/>
              </w:rPr>
              <w:t>Home Health</w:t>
            </w:r>
          </w:p>
        </w:tc>
        <w:tc>
          <w:tcPr>
            <w:tcW w:w="2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600"/>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gridSpan w:val="2"/>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490,941</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18,850</w:t>
            </w:r>
          </w:p>
        </w:tc>
        <w:tc>
          <w:tcPr>
            <w:tcW w:w="2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6,856</w:t>
            </w:r>
          </w:p>
        </w:tc>
        <w:tc>
          <w:tcPr>
            <w:tcW w:w="260" w:type="dxa"/>
            <w:vAlign w:val="bottom"/>
          </w:tcPr>
          <w:p>
            <w:pPr>
              <w:spacing w:after="0"/>
              <w:rPr>
                <w:sz w:val="19"/>
                <w:szCs w:val="19"/>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516,647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services revenues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365,264</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10,010</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379,843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125,677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8,840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2,287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136,804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44,728</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3,742</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1,545</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50,015</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80,949</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5,098</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742</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86,789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jc w:val="right"/>
              <w:ind w:right="207"/>
              <w:spacing w:after="0"/>
              <w:rPr>
                <w:sz w:val="20"/>
                <w:szCs w:val="20"/>
                <w:color w:val="auto"/>
              </w:rPr>
            </w:pPr>
            <w:r>
              <w:rPr>
                <w:rFonts w:ascii="Arial" w:cs="Arial" w:eastAsia="Arial" w:hAnsi="Arial"/>
                <w:sz w:val="14"/>
                <w:szCs w:val="14"/>
                <w:b w:val="1"/>
                <w:bCs w:val="1"/>
                <w:color w:val="auto"/>
              </w:rPr>
              <w:t>For the Years Ended December 31,</w:t>
            </w: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right"/>
              <w:ind w:right="60"/>
              <w:spacing w:after="0" w:line="155" w:lineRule="exact"/>
              <w:rPr>
                <w:sz w:val="20"/>
                <w:szCs w:val="20"/>
                <w:color w:val="auto"/>
              </w:rPr>
            </w:pPr>
            <w:r>
              <w:rPr>
                <w:rFonts w:ascii="Arial" w:cs="Arial" w:eastAsia="Arial" w:hAnsi="Arial"/>
                <w:sz w:val="14"/>
                <w:szCs w:val="14"/>
                <w:b w:val="1"/>
                <w:bCs w:val="1"/>
                <w:color w:val="auto"/>
                <w:w w:val="93"/>
              </w:rPr>
              <w:t>(Amounts in Thousands)</w:t>
            </w: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w w:val="89"/>
              </w:rPr>
              <w:t>2019</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Segment reconciliation:</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Total segment operating income</w:t>
            </w:r>
          </w:p>
        </w:tc>
        <w:tc>
          <w:tcPr>
            <w:tcW w:w="200" w:type="dxa"/>
            <w:vAlign w:val="bottom"/>
          </w:tcPr>
          <w:p>
            <w:pPr>
              <w:spacing w:after="0"/>
              <w:rPr>
                <w:sz w:val="19"/>
                <w:szCs w:val="19"/>
                <w:color w:val="auto"/>
              </w:rPr>
            </w:pPr>
          </w:p>
        </w:tc>
        <w:tc>
          <w:tcPr>
            <w:tcW w:w="13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136,602</w:t>
            </w:r>
          </w:p>
        </w:tc>
        <w:tc>
          <w:tcPr>
            <w:tcW w:w="640" w:type="dxa"/>
            <w:vAlign w:val="bottom"/>
            <w:gridSpan w:val="3"/>
          </w:tcPr>
          <w:p>
            <w:pPr>
              <w:jc w:val="right"/>
              <w:ind w:right="19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106,747</w:t>
            </w:r>
          </w:p>
        </w:tc>
        <w:tc>
          <w:tcPr>
            <w:tcW w:w="80" w:type="dxa"/>
            <w:vAlign w:val="bottom"/>
          </w:tcPr>
          <w:p>
            <w:pPr>
              <w:spacing w:after="0"/>
              <w:rPr>
                <w:sz w:val="19"/>
                <w:szCs w:val="19"/>
                <w:color w:val="auto"/>
              </w:rPr>
            </w:pPr>
          </w:p>
        </w:tc>
        <w:tc>
          <w:tcPr>
            <w:tcW w:w="5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86,789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vMerge w:val="restart"/>
          </w:tcPr>
          <w:p>
            <w:pPr>
              <w:spacing w:after="0"/>
              <w:rPr>
                <w:sz w:val="19"/>
                <w:szCs w:val="19"/>
                <w:color w:val="auto"/>
              </w:rPr>
            </w:pPr>
          </w:p>
        </w:tc>
        <w:tc>
          <w:tcPr>
            <w:tcW w:w="2800" w:type="dxa"/>
            <w:vAlign w:val="bottom"/>
            <w:gridSpan w:val="2"/>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5"/>
              </w:rPr>
              <w:t>Items not allocated at segment level:</w:t>
            </w: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Other general and administrative expenses</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55,320</w:t>
            </w:r>
          </w:p>
        </w:tc>
        <w:tc>
          <w:tcPr>
            <w:tcW w:w="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12,051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(624)</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5,016</w:t>
            </w:r>
          </w:p>
        </w:tc>
        <w:tc>
          <w:tcPr>
            <w:tcW w:w="80" w:type="dxa"/>
            <w:vAlign w:val="bottom"/>
            <w:tcBorders>
              <w:bottom w:val="single" w:sz="8" w:color="CFF0FC"/>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41,942</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33,170</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20,403</w:t>
            </w:r>
          </w:p>
        </w:tc>
        <w:tc>
          <w:tcPr>
            <w:tcW w:w="80" w:type="dxa"/>
            <w:vAlign w:val="bottom"/>
            <w:tcBorders>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F-33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Significant Payors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2020, 2019 and 2018, our revenue by payor type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Personal Care</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5"/>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7"/>
          </w:tcPr>
          <w:p>
            <w:pPr>
              <w:jc w:val="right"/>
              <w:ind w:right="70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7"/>
          </w:tcPr>
          <w:p>
            <w:pPr>
              <w:jc w:val="right"/>
              <w:ind w:right="42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left="168"/>
              <w:spacing w:after="0" w:line="13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Segment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7"/>
            <w:vMerge w:val="restart"/>
          </w:tcPr>
          <w:p>
            <w:pPr>
              <w:jc w:val="center"/>
              <w:ind w:right="62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82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7"/>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Service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Service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82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87"/>
              </w:rPr>
              <w:t>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(in Thousands)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State, local and other governmental</w:t>
            </w: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programs</w:t>
            </w:r>
          </w:p>
        </w:tc>
        <w:tc>
          <w:tcPr>
            <w:tcW w:w="2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324,670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303,479</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w w:val="89"/>
              </w:rPr>
              <w:t>285,973</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Managed care organizations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287,032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239,559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173,391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 pay</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21,765</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20,003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Commercial insurance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9,204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7"/>
              </w:rPr>
              <w:t>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6,173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6,721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5,401</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20" w:type="dxa"/>
            <w:vAlign w:val="bottom"/>
            <w:gridSpan w:val="2"/>
          </w:tcPr>
          <w:p>
            <w:pPr>
              <w:spacing w:after="0"/>
              <w:rPr>
                <w:sz w:val="20"/>
                <w:szCs w:val="20"/>
                <w:color w:val="auto"/>
              </w:rPr>
            </w:pPr>
            <w:r>
              <w:rPr>
                <w:rFonts w:ascii="Arial" w:cs="Arial" w:eastAsia="Arial" w:hAnsi="Arial"/>
                <w:sz w:val="18"/>
                <w:szCs w:val="18"/>
                <w:color w:val="auto"/>
                <w:w w:val="93"/>
              </w:rPr>
              <w:t>Total personal care segment net service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647,233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580,728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490,941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1"/>
              </w:rPr>
              <w:t>Hospice</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center"/>
              <w:ind w:left="657"/>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4"/>
          </w:tcPr>
          <w:p>
            <w:pPr>
              <w:jc w:val="right"/>
              <w:ind w:right="6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7"/>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7"/>
          </w:tcPr>
          <w:p>
            <w:pPr>
              <w:jc w:val="center"/>
              <w:ind w:right="308"/>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94,068</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92.9</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49,649</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17,652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88"/>
              </w:rPr>
              <w:t>Total hospice segment net service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101,297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53,601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18,850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5"/>
              </w:rPr>
              <w:t>Home Health</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center"/>
              <w:ind w:left="657"/>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4"/>
          </w:tcPr>
          <w:p>
            <w:pPr>
              <w:jc w:val="right"/>
              <w:ind w:right="6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 of Segment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5"/>
            <w:vMerge w:val="continue"/>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Net Service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7"/>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Revenues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7"/>
          </w:tcPr>
          <w:p>
            <w:pPr>
              <w:jc w:val="center"/>
              <w:ind w:right="308"/>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Medicare</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12,765</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78.6</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11,218</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6,034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Managed care organizations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7"/>
              </w:rPr>
              <w:t>Total home health segment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service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440" w:type="dxa"/>
            <w:vAlign w:val="bottom"/>
          </w:tcPr>
          <w:p>
            <w:pPr>
              <w:ind w:left="140"/>
              <w:spacing w:after="0"/>
              <w:rPr>
                <w:sz w:val="20"/>
                <w:szCs w:val="20"/>
                <w:color w:val="auto"/>
              </w:rPr>
            </w:pPr>
            <w:r>
              <w:rPr>
                <w:rFonts w:ascii="Arial" w:cs="Arial" w:eastAsia="Arial" w:hAnsi="Arial"/>
                <w:sz w:val="18"/>
                <w:szCs w:val="18"/>
                <w:color w:val="auto"/>
              </w:rPr>
              <w:t>revenues</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16,245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14,462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 derives a significant amount of its revenue from its operations in Illinois, New York and New Mexico. The percentages of segment revenue for each of these significant states for 2020, 2019 and 2018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right="79"/>
              <w:spacing w:after="0"/>
              <w:rPr>
                <w:sz w:val="20"/>
                <w:szCs w:val="20"/>
                <w:color w:val="auto"/>
              </w:rPr>
            </w:pPr>
            <w:r>
              <w:rPr>
                <w:rFonts w:ascii="Arial" w:cs="Arial" w:eastAsia="Arial" w:hAnsi="Arial"/>
                <w:sz w:val="14"/>
                <w:szCs w:val="14"/>
                <w:b w:val="1"/>
                <w:bCs w:val="1"/>
                <w:color w:val="auto"/>
                <w:w w:val="93"/>
              </w:rPr>
              <w:t>Personal Care</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 of</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Segment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Segment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Net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4"/>
            <w:vMerge w:val="restart"/>
          </w:tcPr>
          <w:p>
            <w:pPr>
              <w:jc w:val="center"/>
              <w:ind w:right="54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Net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8"/>
              </w:rPr>
              <w:t>Amount</w:t>
            </w:r>
          </w:p>
        </w:tc>
        <w:tc>
          <w:tcPr>
            <w:tcW w:w="9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Service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Service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8"/>
              </w:rPr>
              <w:t>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87"/>
              </w:rPr>
              <w:t>Revenues</w:t>
            </w:r>
          </w:p>
        </w:tc>
        <w:tc>
          <w:tcPr>
            <w:tcW w:w="400" w:type="dxa"/>
            <w:vAlign w:val="bottom"/>
          </w:tcPr>
          <w:p>
            <w:pPr>
              <w:spacing w:after="0"/>
              <w:rPr>
                <w:sz w:val="14"/>
                <w:szCs w:val="14"/>
                <w:color w:val="auto"/>
              </w:rPr>
            </w:pPr>
          </w:p>
        </w:tc>
        <w:tc>
          <w:tcPr>
            <w:tcW w:w="1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jc w:val="center"/>
              <w:ind w:right="79"/>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Illinois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288,326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4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247,524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232,518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New York</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108,403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New Mexico</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states</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156,779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4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149,135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134,392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w w:val="91"/>
              </w:rPr>
              <w:t>Total personal care segment net service</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647,233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580,728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490,941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bottom w:val="single" w:sz="8" w:color="CFF0FC"/>
            </w:tcBorders>
            <w:vMerge w:val="restart"/>
          </w:tcPr>
          <w:p>
            <w:pPr>
              <w:jc w:val="center"/>
              <w:spacing w:after="0"/>
              <w:rPr>
                <w:sz w:val="20"/>
                <w:szCs w:val="20"/>
                <w:color w:val="auto"/>
              </w:rPr>
            </w:pPr>
            <w:r>
              <w:rPr>
                <w:rFonts w:ascii="Arial" w:cs="Arial" w:eastAsia="Arial" w:hAnsi="Arial"/>
                <w:sz w:val="18"/>
                <w:szCs w:val="18"/>
                <w:color w:val="auto"/>
                <w:w w:val="91"/>
              </w:rPr>
              <w:t>F-34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Hospice</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left="660"/>
              <w:spacing w:after="0"/>
              <w:rPr>
                <w:sz w:val="20"/>
                <w:szCs w:val="20"/>
                <w:color w:val="auto"/>
              </w:rPr>
            </w:pPr>
            <w:r>
              <w:rPr>
                <w:rFonts w:ascii="Arial" w:cs="Arial" w:eastAsia="Arial" w:hAnsi="Arial"/>
                <w:sz w:val="14"/>
                <w:szCs w:val="14"/>
                <w:b w:val="1"/>
                <w:bCs w:val="1"/>
                <w:color w:val="auto"/>
                <w:w w:val="96"/>
              </w:rPr>
              <w:t>2019</w:t>
            </w:r>
          </w:p>
        </w:tc>
        <w:tc>
          <w:tcPr>
            <w:tcW w:w="9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42,648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38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38,790</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36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All other states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14,811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Total hospice segment net service</w:t>
            </w: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101,297</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53,601</w:t>
            </w: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18,850</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Home Health</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center"/>
              <w:ind w:left="660"/>
              <w:spacing w:after="0"/>
              <w:rPr>
                <w:sz w:val="20"/>
                <w:szCs w:val="20"/>
                <w:color w:val="auto"/>
              </w:rPr>
            </w:pPr>
            <w:r>
              <w:rPr>
                <w:rFonts w:ascii="Arial" w:cs="Arial" w:eastAsia="Arial" w:hAnsi="Arial"/>
                <w:sz w:val="14"/>
                <w:szCs w:val="14"/>
                <w:b w:val="1"/>
                <w:bCs w:val="1"/>
                <w:color w:val="auto"/>
                <w:w w:val="96"/>
              </w:rPr>
              <w:t>2019</w:t>
            </w:r>
          </w:p>
        </w:tc>
        <w:tc>
          <w:tcPr>
            <w:tcW w:w="9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Net Service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8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6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New Mexico</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Total home health segment net</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16,245</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14,462</w:t>
            </w: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A substantial portion of the Company’s revenue and accounts receivable are derived from services performed for state and local governmental agencies. We derive a significant amount of our net service revenues in Illinois, which represented 37.7%, 38.2% and 45.0% of our net service revenues for the years ended December 31, 2020, 2019 and 2018, respectively. The Illinois Department on Aging, the largest payor program for the Company’s Illinois personal care operations, accounted for 23.0%, 25.3% and 31.7% of the Company’s net service revenues for 2020, 2019 and 2018, respectively.</w:t>
      </w:r>
    </w:p>
    <w:p>
      <w:pPr>
        <w:spacing w:after="0" w:line="157"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 related receivables due from the Illinois Department on Aging represented 15.9% and 25.1% of the Company’s net accounts receivable at December 31,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Concentration of Cash</w:t>
      </w:r>
    </w:p>
    <w:p>
      <w:pPr>
        <w:spacing w:after="0" w:line="121"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Company owns financial instruments that potentially subject the Company to significant concentrations of credit risk include cash. The Company maintains cash with financial institutions which, at times, may exceed federally insured limits. The Company believes it is not exposed to any significant credit risk on cash.</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Unaudited Summarized Quarterly Financial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Company’s unaudited quarterly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5"/>
              </w:rPr>
              <w:t>Year Ended December 31, 2020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Year Ended December 31, 2019</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3"/>
              </w:rPr>
              <w:t>Dec. 31</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w w:val="93"/>
              </w:rPr>
              <w:t>Sept. 30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Jun. 30</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Mar. 31</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3"/>
              </w:rPr>
              <w:t>Dec. 31</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Sept. 30</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Jun. 30</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13"/>
                <w:szCs w:val="13"/>
                <w:color w:val="auto"/>
              </w:rPr>
            </w:pPr>
          </w:p>
        </w:tc>
      </w:tr>
      <w:tr>
        <w:trPr>
          <w:trHeight w:val="155"/>
        </w:trPr>
        <w:tc>
          <w:tcPr>
            <w:tcW w:w="2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940" w:type="dxa"/>
            <w:vAlign w:val="bottom"/>
            <w:gridSpan w:val="12"/>
          </w:tcPr>
          <w:p>
            <w:pPr>
              <w:jc w:val="right"/>
              <w:ind w:right="220"/>
              <w:spacing w:after="0" w:line="155" w:lineRule="exact"/>
              <w:rPr>
                <w:sz w:val="20"/>
                <w:szCs w:val="20"/>
                <w:color w:val="auto"/>
              </w:rPr>
            </w:pPr>
            <w:r>
              <w:rPr>
                <w:rFonts w:ascii="Arial" w:cs="Arial" w:eastAsia="Arial" w:hAnsi="Arial"/>
                <w:sz w:val="14"/>
                <w:szCs w:val="14"/>
                <w:b w:val="1"/>
                <w:bCs w:val="1"/>
                <w:color w:val="auto"/>
                <w:w w:val="92"/>
              </w:rPr>
              <w:t>(Amounts and Shares in Thousands, Except Per Share Data)</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Net service revenues</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195,996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193,987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184,576</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190,216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192,376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168,993</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148,915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138,507</w:t>
            </w:r>
          </w:p>
        </w:tc>
        <w:tc>
          <w:tcPr>
            <w:tcW w:w="100" w:type="dxa"/>
            <w:vAlign w:val="bottom"/>
            <w:shd w:val="clear" w:color="auto" w:fill="CFF0FC"/>
          </w:tcPr>
          <w:p>
            <w:pPr>
              <w:spacing w:after="0"/>
              <w:rPr>
                <w:sz w:val="19"/>
                <w:szCs w:val="19"/>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59,104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57,542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39,693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36,827</w:t>
            </w:r>
          </w:p>
        </w:tc>
        <w:tc>
          <w:tcPr>
            <w:tcW w:w="100" w:type="dxa"/>
            <w:vAlign w:val="bottom"/>
          </w:tcPr>
          <w:p>
            <w:pPr>
              <w:spacing w:after="0"/>
              <w:rPr>
                <w:sz w:val="19"/>
                <w:szCs w:val="19"/>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from continuing</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5,496</w:t>
            </w:r>
          </w:p>
        </w:tc>
        <w:tc>
          <w:tcPr>
            <w:tcW w:w="100" w:type="dxa"/>
            <w:vAlign w:val="bottom"/>
            <w:shd w:val="clear" w:color="auto" w:fill="CFF0FC"/>
          </w:tcPr>
          <w:p>
            <w:pPr>
              <w:spacing w:after="0"/>
              <w:rPr>
                <w:sz w:val="20"/>
                <w:szCs w:val="20"/>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8"/>
                <w:szCs w:val="18"/>
                <w:color w:val="auto"/>
              </w:rPr>
              <w:t>Net income from continuing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8,449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9,119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8,658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5,486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5,292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0"/>
                <w:szCs w:val="20"/>
                <w:color w:val="auto"/>
              </w:rPr>
            </w:pP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10,737</w:t>
            </w: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Borders>
              <w:bottom w:val="single" w:sz="8" w:color="CFF0FC"/>
            </w:tcBorders>
          </w:tcPr>
          <w:p>
            <w:pPr>
              <w:spacing w:after="0"/>
              <w:rPr>
                <w:sz w:val="22"/>
                <w:szCs w:val="22"/>
                <w:color w:val="auto"/>
              </w:rPr>
            </w:pPr>
          </w:p>
        </w:tc>
      </w:tr>
      <w:tr>
        <w:trPr>
          <w:trHeight w:val="21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Average shares outstanding:</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15,664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15,435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12,995</w:t>
            </w:r>
          </w:p>
        </w:tc>
        <w:tc>
          <w:tcPr>
            <w:tcW w:w="10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13,381</w:t>
            </w:r>
          </w:p>
        </w:tc>
        <w:tc>
          <w:tcPr>
            <w:tcW w:w="100" w:type="dxa"/>
            <w:vAlign w:val="bottom"/>
            <w:shd w:val="clear" w:color="auto" w:fill="CFF0FC"/>
          </w:tcPr>
          <w:p>
            <w:pPr>
              <w:spacing w:after="0"/>
              <w:rPr>
                <w:sz w:val="19"/>
                <w:szCs w:val="19"/>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80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r>
      <w:tr>
        <w:trPr>
          <w:trHeight w:val="230"/>
        </w:trPr>
        <w:tc>
          <w:tcPr>
            <w:tcW w:w="2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 net income per share</w:t>
            </w:r>
          </w:p>
        </w:tc>
        <w:tc>
          <w:tcPr>
            <w:tcW w:w="3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FF0FC"/>
            </w:tcBorders>
          </w:tcPr>
          <w:p>
            <w:pPr>
              <w:spacing w:after="0"/>
              <w:rPr>
                <w:sz w:val="22"/>
                <w:szCs w:val="22"/>
                <w:color w:val="auto"/>
              </w:rPr>
            </w:pPr>
          </w:p>
        </w:tc>
      </w:tr>
      <w:tr>
        <w:trPr>
          <w:trHeight w:val="21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per share</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800" w:type="dxa"/>
            <w:vAlign w:val="bottom"/>
          </w:tcPr>
          <w:p>
            <w:pPr>
              <w:ind w:left="26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0.53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r>
      <w:tr>
        <w:trPr>
          <w:trHeight w:val="230"/>
        </w:trPr>
        <w:tc>
          <w:tcPr>
            <w:tcW w:w="2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Discontinued operations</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40" w:firstLine="562"/>
        <w:spacing w:after="0" w:line="270" w:lineRule="auto"/>
        <w:rPr>
          <w:sz w:val="20"/>
          <w:szCs w:val="20"/>
          <w:color w:val="auto"/>
        </w:rPr>
      </w:pPr>
      <w:r>
        <w:rPr>
          <w:rFonts w:ascii="Arial" w:cs="Arial" w:eastAsia="Arial" w:hAnsi="Arial"/>
          <w:sz w:val="17"/>
          <w:szCs w:val="17"/>
          <w:color w:val="auto"/>
        </w:rPr>
        <w:t>On February 11, 2021, the state of New York announced its initial selection of parties to enter into contracts as a Lead Fiscal Intermediary under its previously announced Request for Offer (“RFO”) process related to its Consumer Directed Personal Assistance Program (“CDPAP”), in which the Company currently participates as a provider. The Company was not one of the selected entities in the initial RFO process. The announcement followed an extended RFO process first begun in 2019, with responses originally due in February 2020. It is unclear at this time whether the selected parties have the ability to fully meet the CDPAP Program needs or the timing and outcome of next steps in the process. Management believes changes are unlikely to occur during an estimated 6 to 12 month transition period and any financial impact to the Company in 2021 is expected to be immaterial. Based on its current run rate, the Company estimates that it receives approximately $52 million in annualized revenue from the program. The Company will continue to explore its options, including appeals, other arrangements under which the Company may continue to provide these services, and expense reductions to minimize any potential final impact of the RFO process.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t>EXHIBIT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1725930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1743075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UNIT PURCHASE AGREEMENT</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by and among</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ADDUS HEALTHCARE, INC.,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QUEEN CITY HOSPICE, LLC,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MIRACLE CITY HOSPICE, LLC,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QCH HOLDINGS LLC</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 November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233680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250825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3208655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80"/>
        </w:trPr>
        <w:tc>
          <w:tcPr>
            <w:tcW w:w="1420" w:type="dxa"/>
            <w:vAlign w:val="bottom"/>
          </w:tcPr>
          <w:p>
            <w:pPr>
              <w:spacing w:after="0"/>
              <w:rPr>
                <w:sz w:val="24"/>
                <w:szCs w:val="24"/>
                <w:color w:val="auto"/>
              </w:rPr>
            </w:pPr>
          </w:p>
        </w:tc>
        <w:tc>
          <w:tcPr>
            <w:tcW w:w="8960" w:type="dxa"/>
            <w:vAlign w:val="bottom"/>
          </w:tcPr>
          <w:p>
            <w:pPr>
              <w:ind w:left="3040"/>
              <w:spacing w:after="0"/>
              <w:rPr>
                <w:sz w:val="20"/>
                <w:szCs w:val="20"/>
                <w:color w:val="auto"/>
              </w:rPr>
            </w:pPr>
            <w:r>
              <w:rPr>
                <w:rFonts w:ascii="Arial" w:cs="Arial" w:eastAsia="Arial" w:hAnsi="Arial"/>
                <w:sz w:val="22"/>
                <w:szCs w:val="22"/>
                <w:b w:val="1"/>
                <w:bCs w:val="1"/>
                <w:color w:val="auto"/>
              </w:rPr>
              <w:t>TABLE OF CONTENTS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1038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ARTICLE I DEFINITIONS</w:t>
            </w:r>
          </w:p>
        </w:tc>
        <w:tc>
          <w:tcPr>
            <w:tcW w:w="880" w:type="dxa"/>
            <w:vAlign w:val="bottom"/>
            <w:gridSpan w:val="2"/>
          </w:tcPr>
          <w:p>
            <w:pPr>
              <w:jc w:val="right"/>
              <w:ind w:right="240"/>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74"/>
        </w:trPr>
        <w:tc>
          <w:tcPr>
            <w:tcW w:w="10380" w:type="dxa"/>
            <w:vAlign w:val="bottom"/>
            <w:gridSpan w:val="2"/>
            <w:vMerge w:val="continue"/>
          </w:tcPr>
          <w:p>
            <w:pPr>
              <w:spacing w:after="0"/>
              <w:rPr>
                <w:sz w:val="23"/>
                <w:szCs w:val="2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22"/>
                <w:szCs w:val="22"/>
                <w:b w:val="1"/>
                <w:bCs w:val="1"/>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1420" w:type="dxa"/>
            <w:vAlign w:val="bottom"/>
          </w:tcPr>
          <w:p>
            <w:pPr>
              <w:spacing w:after="0"/>
              <w:rPr>
                <w:sz w:val="20"/>
                <w:szCs w:val="20"/>
                <w:color w:val="auto"/>
              </w:rPr>
            </w:pPr>
            <w:r>
              <w:rPr>
                <w:rFonts w:ascii="Arial" w:cs="Arial" w:eastAsia="Arial" w:hAnsi="Arial"/>
                <w:sz w:val="22"/>
                <w:szCs w:val="22"/>
                <w:color w:val="auto"/>
              </w:rPr>
              <w:t>Section 1.1</w:t>
            </w:r>
          </w:p>
        </w:tc>
        <w:tc>
          <w:tcPr>
            <w:tcW w:w="8960" w:type="dxa"/>
            <w:vAlign w:val="bottom"/>
          </w:tcPr>
          <w:p>
            <w:pPr>
              <w:ind w:left="320"/>
              <w:spacing w:after="0"/>
              <w:rPr>
                <w:sz w:val="20"/>
                <w:szCs w:val="20"/>
                <w:color w:val="auto"/>
              </w:rPr>
            </w:pPr>
            <w:r>
              <w:rPr>
                <w:rFonts w:ascii="Arial" w:cs="Arial" w:eastAsia="Arial" w:hAnsi="Arial"/>
                <w:sz w:val="22"/>
                <w:szCs w:val="22"/>
                <w:color w:val="auto"/>
              </w:rPr>
              <w:t>Definitions</w:t>
            </w:r>
          </w:p>
        </w:tc>
        <w:tc>
          <w:tcPr>
            <w:tcW w:w="880" w:type="dxa"/>
            <w:vAlign w:val="bottom"/>
            <w:gridSpan w:val="2"/>
          </w:tcPr>
          <w:p>
            <w:pPr>
              <w:jc w:val="right"/>
              <w:ind w:right="2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22"/>
                <w:szCs w:val="22"/>
                <w:color w:val="auto"/>
              </w:rPr>
              <w:t>Section 1.2</w:t>
            </w:r>
          </w:p>
        </w:tc>
        <w:tc>
          <w:tcPr>
            <w:tcW w:w="8960" w:type="dxa"/>
            <w:vAlign w:val="bottom"/>
          </w:tcPr>
          <w:p>
            <w:pPr>
              <w:ind w:left="320"/>
              <w:spacing w:after="0"/>
              <w:rPr>
                <w:sz w:val="20"/>
                <w:szCs w:val="20"/>
                <w:color w:val="auto"/>
              </w:rPr>
            </w:pPr>
            <w:r>
              <w:rPr>
                <w:rFonts w:ascii="Arial" w:cs="Arial" w:eastAsia="Arial" w:hAnsi="Arial"/>
                <w:sz w:val="22"/>
                <w:szCs w:val="22"/>
                <w:color w:val="auto"/>
              </w:rPr>
              <w:t>Other Defined Terms</w:t>
            </w:r>
          </w:p>
        </w:tc>
        <w:tc>
          <w:tcPr>
            <w:tcW w:w="880" w:type="dxa"/>
            <w:vAlign w:val="bottom"/>
            <w:gridSpan w:val="2"/>
          </w:tcPr>
          <w:p>
            <w:pPr>
              <w:jc w:val="right"/>
              <w:ind w:right="20"/>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459"/>
        </w:trPr>
        <w:tc>
          <w:tcPr>
            <w:tcW w:w="10380" w:type="dxa"/>
            <w:vAlign w:val="bottom"/>
            <w:gridSpan w:val="2"/>
          </w:tcPr>
          <w:p>
            <w:pPr>
              <w:spacing w:after="0"/>
              <w:rPr>
                <w:sz w:val="20"/>
                <w:szCs w:val="20"/>
                <w:color w:val="auto"/>
              </w:rPr>
            </w:pPr>
            <w:r>
              <w:rPr>
                <w:rFonts w:ascii="Arial" w:cs="Arial" w:eastAsia="Arial" w:hAnsi="Arial"/>
                <w:sz w:val="22"/>
                <w:szCs w:val="22"/>
                <w:b w:val="1"/>
                <w:bCs w:val="1"/>
                <w:color w:val="auto"/>
              </w:rPr>
              <w:t>ARTICLE II PURCHASE AND SALE; CLOSING</w:t>
            </w:r>
          </w:p>
        </w:tc>
        <w:tc>
          <w:tcPr>
            <w:tcW w:w="88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14</w:t>
            </w:r>
          </w:p>
        </w:tc>
        <w:tc>
          <w:tcPr>
            <w:tcW w:w="0" w:type="dxa"/>
            <w:vAlign w:val="bottom"/>
          </w:tcPr>
          <w:p>
            <w:pPr>
              <w:spacing w:after="0"/>
              <w:rPr>
                <w:sz w:val="1"/>
                <w:szCs w:val="1"/>
                <w:color w:val="auto"/>
              </w:rPr>
            </w:pPr>
          </w:p>
        </w:tc>
      </w:tr>
      <w:tr>
        <w:trPr>
          <w:trHeight w:val="428"/>
        </w:trPr>
        <w:tc>
          <w:tcPr>
            <w:tcW w:w="1420" w:type="dxa"/>
            <w:vAlign w:val="bottom"/>
          </w:tcPr>
          <w:p>
            <w:pPr>
              <w:spacing w:after="0"/>
              <w:rPr>
                <w:sz w:val="20"/>
                <w:szCs w:val="20"/>
                <w:color w:val="auto"/>
              </w:rPr>
            </w:pPr>
            <w:r>
              <w:rPr>
                <w:rFonts w:ascii="Arial" w:cs="Arial" w:eastAsia="Arial" w:hAnsi="Arial"/>
                <w:sz w:val="22"/>
                <w:szCs w:val="22"/>
                <w:color w:val="auto"/>
              </w:rPr>
              <w:t>Section 2.1</w:t>
            </w:r>
          </w:p>
        </w:tc>
        <w:tc>
          <w:tcPr>
            <w:tcW w:w="8960" w:type="dxa"/>
            <w:vAlign w:val="bottom"/>
          </w:tcPr>
          <w:p>
            <w:pPr>
              <w:ind w:left="320"/>
              <w:spacing w:after="0"/>
              <w:rPr>
                <w:sz w:val="20"/>
                <w:szCs w:val="20"/>
                <w:color w:val="auto"/>
              </w:rPr>
            </w:pPr>
            <w:r>
              <w:rPr>
                <w:rFonts w:ascii="Arial" w:cs="Arial" w:eastAsia="Arial" w:hAnsi="Arial"/>
                <w:sz w:val="22"/>
                <w:szCs w:val="22"/>
                <w:color w:val="auto"/>
              </w:rPr>
              <w:t>Purchase and Sale of Units</w:t>
            </w:r>
          </w:p>
        </w:tc>
        <w:tc>
          <w:tcPr>
            <w:tcW w:w="880" w:type="dxa"/>
            <w:vAlign w:val="bottom"/>
            <w:gridSpan w:val="2"/>
          </w:tcPr>
          <w:p>
            <w:pPr>
              <w:jc w:val="right"/>
              <w:ind w:right="20"/>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2.2</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Closing; Effective Time</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2.3</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Closing Payment; Adjustments; Payments at Closing</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2.4</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Post-Closing Adjustments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22"/>
                <w:szCs w:val="22"/>
                <w:color w:val="auto"/>
              </w:rPr>
              <w:t>Section 2.5</w:t>
            </w:r>
          </w:p>
        </w:tc>
        <w:tc>
          <w:tcPr>
            <w:tcW w:w="8960" w:type="dxa"/>
            <w:vAlign w:val="bottom"/>
          </w:tcPr>
          <w:p>
            <w:pPr>
              <w:ind w:left="320"/>
              <w:spacing w:after="0"/>
              <w:rPr>
                <w:sz w:val="20"/>
                <w:szCs w:val="20"/>
                <w:color w:val="auto"/>
              </w:rPr>
            </w:pPr>
            <w:r>
              <w:rPr>
                <w:rFonts w:ascii="Arial" w:cs="Arial" w:eastAsia="Arial" w:hAnsi="Arial"/>
                <w:sz w:val="22"/>
                <w:szCs w:val="22"/>
                <w:color w:val="auto"/>
              </w:rPr>
              <w:t>Tax Withholding</w:t>
            </w:r>
          </w:p>
        </w:tc>
        <w:tc>
          <w:tcPr>
            <w:tcW w:w="880" w:type="dxa"/>
            <w:vAlign w:val="bottom"/>
            <w:gridSpan w:val="2"/>
          </w:tcPr>
          <w:p>
            <w:pPr>
              <w:jc w:val="right"/>
              <w:ind w:right="20"/>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459"/>
        </w:trPr>
        <w:tc>
          <w:tcPr>
            <w:tcW w:w="10380" w:type="dxa"/>
            <w:vAlign w:val="bottom"/>
            <w:gridSpan w:val="2"/>
          </w:tcPr>
          <w:p>
            <w:pPr>
              <w:spacing w:after="0"/>
              <w:rPr>
                <w:sz w:val="20"/>
                <w:szCs w:val="20"/>
                <w:color w:val="auto"/>
              </w:rPr>
            </w:pPr>
            <w:r>
              <w:rPr>
                <w:rFonts w:ascii="Arial" w:cs="Arial" w:eastAsia="Arial" w:hAnsi="Arial"/>
                <w:sz w:val="22"/>
                <w:szCs w:val="22"/>
                <w:b w:val="1"/>
                <w:bCs w:val="1"/>
                <w:color w:val="auto"/>
              </w:rPr>
              <w:t>ARTICLE III REPRESENTATIONS AND WARRANTIES RELATING TO THE COMPANIES</w:t>
            </w:r>
          </w:p>
        </w:tc>
        <w:tc>
          <w:tcPr>
            <w:tcW w:w="88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18</w:t>
            </w:r>
          </w:p>
        </w:tc>
        <w:tc>
          <w:tcPr>
            <w:tcW w:w="0" w:type="dxa"/>
            <w:vAlign w:val="bottom"/>
          </w:tcPr>
          <w:p>
            <w:pPr>
              <w:spacing w:after="0"/>
              <w:rPr>
                <w:sz w:val="1"/>
                <w:szCs w:val="1"/>
                <w:color w:val="auto"/>
              </w:rPr>
            </w:pPr>
          </w:p>
        </w:tc>
      </w:tr>
      <w:tr>
        <w:trPr>
          <w:trHeight w:val="428"/>
        </w:trPr>
        <w:tc>
          <w:tcPr>
            <w:tcW w:w="1420" w:type="dxa"/>
            <w:vAlign w:val="bottom"/>
          </w:tcPr>
          <w:p>
            <w:pPr>
              <w:spacing w:after="0"/>
              <w:rPr>
                <w:sz w:val="20"/>
                <w:szCs w:val="20"/>
                <w:color w:val="auto"/>
              </w:rPr>
            </w:pPr>
            <w:r>
              <w:rPr>
                <w:rFonts w:ascii="Arial" w:cs="Arial" w:eastAsia="Arial" w:hAnsi="Arial"/>
                <w:sz w:val="22"/>
                <w:szCs w:val="22"/>
                <w:color w:val="auto"/>
              </w:rPr>
              <w:t>Section 3.1</w:t>
            </w:r>
          </w:p>
        </w:tc>
        <w:tc>
          <w:tcPr>
            <w:tcW w:w="8960" w:type="dxa"/>
            <w:vAlign w:val="bottom"/>
          </w:tcPr>
          <w:p>
            <w:pPr>
              <w:ind w:left="320"/>
              <w:spacing w:after="0"/>
              <w:rPr>
                <w:sz w:val="20"/>
                <w:szCs w:val="20"/>
                <w:color w:val="auto"/>
              </w:rPr>
            </w:pPr>
            <w:r>
              <w:rPr>
                <w:rFonts w:ascii="Arial" w:cs="Arial" w:eastAsia="Arial" w:hAnsi="Arial"/>
                <w:sz w:val="22"/>
                <w:szCs w:val="22"/>
                <w:color w:val="auto"/>
              </w:rPr>
              <w:t>Organization and Qualification</w:t>
            </w:r>
          </w:p>
        </w:tc>
        <w:tc>
          <w:tcPr>
            <w:tcW w:w="880" w:type="dxa"/>
            <w:vAlign w:val="bottom"/>
            <w:gridSpan w:val="2"/>
          </w:tcPr>
          <w:p>
            <w:pPr>
              <w:jc w:val="right"/>
              <w:ind w:right="20"/>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3.2</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Authority</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3.3</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No Conflict; Required Filings and Consents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19</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3.4</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Capitalization</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3.5</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Subsidiaries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3.6</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Financial Statements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3.7</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Undisclosed Liabilities; Indebtedness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3.8</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Absence of Certain Changes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3.9</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Compliance with Laws; Reimbursement Programs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3.10</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Permits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24</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3.11</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Contracts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3.12</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Absence of Litigation</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3.13</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Assets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3.14</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Real Property</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3.15</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Intellectual Property</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3.16</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Environmental Matters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3.17</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Employee Benefit Plans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3.18</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Labor and Employment Matters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3.19</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Tax Matters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3.20</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Insurance</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3.21</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Related Party Transactions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3.22</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Brokers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3.23</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Provider Relief Fund Participation</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3.24</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Payors and Suppliers</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3.25</w:t>
            </w:r>
          </w:p>
        </w:tc>
        <w:tc>
          <w:tcPr>
            <w:tcW w:w="8960" w:type="dxa"/>
            <w:vAlign w:val="bottom"/>
          </w:tcPr>
          <w:p>
            <w:pPr>
              <w:ind w:left="320"/>
              <w:spacing w:after="0" w:line="243" w:lineRule="exact"/>
              <w:rPr>
                <w:sz w:val="20"/>
                <w:szCs w:val="20"/>
                <w:color w:val="auto"/>
              </w:rPr>
            </w:pPr>
            <w:r>
              <w:rPr>
                <w:rFonts w:ascii="Arial" w:cs="Arial" w:eastAsia="Arial" w:hAnsi="Arial"/>
                <w:sz w:val="22"/>
                <w:szCs w:val="22"/>
                <w:color w:val="auto"/>
              </w:rPr>
              <w:t>Accounts Receivable</w:t>
            </w:r>
          </w:p>
        </w:tc>
        <w:tc>
          <w:tcPr>
            <w:tcW w:w="88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22"/>
                <w:szCs w:val="22"/>
                <w:color w:val="auto"/>
              </w:rPr>
              <w:t>Section 3.26</w:t>
            </w:r>
          </w:p>
        </w:tc>
        <w:tc>
          <w:tcPr>
            <w:tcW w:w="8960" w:type="dxa"/>
            <w:vAlign w:val="bottom"/>
          </w:tcPr>
          <w:p>
            <w:pPr>
              <w:ind w:left="320"/>
              <w:spacing w:after="0"/>
              <w:rPr>
                <w:sz w:val="20"/>
                <w:szCs w:val="20"/>
                <w:color w:val="auto"/>
              </w:rPr>
            </w:pPr>
            <w:r>
              <w:rPr>
                <w:rFonts w:ascii="Arial" w:cs="Arial" w:eastAsia="Arial" w:hAnsi="Arial"/>
                <w:sz w:val="22"/>
                <w:szCs w:val="22"/>
                <w:color w:val="auto"/>
              </w:rPr>
              <w:t>No Additional Representations</w:t>
            </w:r>
          </w:p>
        </w:tc>
        <w:tc>
          <w:tcPr>
            <w:tcW w:w="880" w:type="dxa"/>
            <w:vAlign w:val="bottom"/>
            <w:gridSpan w:val="2"/>
          </w:tcPr>
          <w:p>
            <w:pPr>
              <w:jc w:val="right"/>
              <w:ind w:right="20"/>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80"/>
        </w:trPr>
        <w:tc>
          <w:tcPr>
            <w:tcW w:w="8880" w:type="dxa"/>
            <w:vAlign w:val="bottom"/>
            <w:gridSpan w:val="2"/>
          </w:tcPr>
          <w:p>
            <w:pPr>
              <w:spacing w:after="0"/>
              <w:rPr>
                <w:sz w:val="20"/>
                <w:szCs w:val="20"/>
                <w:color w:val="auto"/>
              </w:rPr>
            </w:pPr>
            <w:r>
              <w:rPr>
                <w:rFonts w:ascii="Arial" w:cs="Arial" w:eastAsia="Arial" w:hAnsi="Arial"/>
                <w:sz w:val="22"/>
                <w:szCs w:val="22"/>
                <w:b w:val="1"/>
                <w:bCs w:val="1"/>
                <w:color w:val="auto"/>
              </w:rPr>
              <w:t>ARTICLE IV REPRESENTATIONS AND WARRANTIES OF SELLER</w:t>
            </w:r>
          </w:p>
        </w:tc>
        <w:tc>
          <w:tcPr>
            <w:tcW w:w="2360" w:type="dxa"/>
            <w:vAlign w:val="bottom"/>
          </w:tcPr>
          <w:p>
            <w:pPr>
              <w:jc w:val="right"/>
              <w:spacing w:after="0"/>
              <w:rPr>
                <w:sz w:val="20"/>
                <w:szCs w:val="20"/>
                <w:color w:val="auto"/>
              </w:rPr>
            </w:pPr>
            <w:r>
              <w:rPr>
                <w:rFonts w:ascii="Arial" w:cs="Arial" w:eastAsia="Arial" w:hAnsi="Arial"/>
                <w:sz w:val="22"/>
                <w:szCs w:val="22"/>
                <w:b w:val="1"/>
                <w:bCs w:val="1"/>
                <w:color w:val="auto"/>
              </w:rPr>
              <w:t>41</w:t>
            </w:r>
          </w:p>
        </w:tc>
      </w:tr>
      <w:tr>
        <w:trPr>
          <w:trHeight w:val="428"/>
        </w:trPr>
        <w:tc>
          <w:tcPr>
            <w:tcW w:w="1360" w:type="dxa"/>
            <w:vAlign w:val="bottom"/>
          </w:tcPr>
          <w:p>
            <w:pPr>
              <w:spacing w:after="0"/>
              <w:rPr>
                <w:sz w:val="20"/>
                <w:szCs w:val="20"/>
                <w:color w:val="auto"/>
              </w:rPr>
            </w:pPr>
            <w:r>
              <w:rPr>
                <w:rFonts w:ascii="Arial" w:cs="Arial" w:eastAsia="Arial" w:hAnsi="Arial"/>
                <w:sz w:val="22"/>
                <w:szCs w:val="22"/>
                <w:color w:val="auto"/>
              </w:rPr>
              <w:t>Section 4.1</w:t>
            </w:r>
          </w:p>
        </w:tc>
        <w:tc>
          <w:tcPr>
            <w:tcW w:w="7520" w:type="dxa"/>
            <w:vAlign w:val="bottom"/>
          </w:tcPr>
          <w:p>
            <w:pPr>
              <w:ind w:left="380"/>
              <w:spacing w:after="0"/>
              <w:rPr>
                <w:sz w:val="20"/>
                <w:szCs w:val="20"/>
                <w:color w:val="auto"/>
              </w:rPr>
            </w:pPr>
            <w:r>
              <w:rPr>
                <w:rFonts w:ascii="Arial" w:cs="Arial" w:eastAsia="Arial" w:hAnsi="Arial"/>
                <w:sz w:val="22"/>
                <w:szCs w:val="22"/>
                <w:color w:val="auto"/>
              </w:rPr>
              <w:t>Organization and Existence</w:t>
            </w:r>
          </w:p>
        </w:tc>
        <w:tc>
          <w:tcPr>
            <w:tcW w:w="23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Section 4.2</w:t>
            </w:r>
          </w:p>
        </w:tc>
        <w:tc>
          <w:tcPr>
            <w:tcW w:w="7520" w:type="dxa"/>
            <w:vAlign w:val="bottom"/>
          </w:tcPr>
          <w:p>
            <w:pPr>
              <w:ind w:left="380"/>
              <w:spacing w:after="0" w:line="243" w:lineRule="exact"/>
              <w:rPr>
                <w:sz w:val="20"/>
                <w:szCs w:val="20"/>
                <w:color w:val="auto"/>
              </w:rPr>
            </w:pPr>
            <w:r>
              <w:rPr>
                <w:rFonts w:ascii="Arial" w:cs="Arial" w:eastAsia="Arial" w:hAnsi="Arial"/>
                <w:sz w:val="22"/>
                <w:szCs w:val="22"/>
                <w:color w:val="auto"/>
              </w:rPr>
              <w:t>Seller’s Capacity and Authority</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Section 4.3</w:t>
            </w:r>
          </w:p>
        </w:tc>
        <w:tc>
          <w:tcPr>
            <w:tcW w:w="7520" w:type="dxa"/>
            <w:vAlign w:val="bottom"/>
          </w:tcPr>
          <w:p>
            <w:pPr>
              <w:ind w:left="380"/>
              <w:spacing w:after="0" w:line="243" w:lineRule="exact"/>
              <w:rPr>
                <w:sz w:val="20"/>
                <w:szCs w:val="20"/>
                <w:color w:val="auto"/>
              </w:rPr>
            </w:pPr>
            <w:r>
              <w:rPr>
                <w:rFonts w:ascii="Arial" w:cs="Arial" w:eastAsia="Arial" w:hAnsi="Arial"/>
                <w:sz w:val="22"/>
                <w:szCs w:val="22"/>
                <w:color w:val="auto"/>
              </w:rPr>
              <w:t>Consents; Non-contravention</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Section 4.4</w:t>
            </w:r>
          </w:p>
        </w:tc>
        <w:tc>
          <w:tcPr>
            <w:tcW w:w="7520" w:type="dxa"/>
            <w:vAlign w:val="bottom"/>
          </w:tcPr>
          <w:p>
            <w:pPr>
              <w:ind w:left="380"/>
              <w:spacing w:after="0" w:line="243" w:lineRule="exact"/>
              <w:rPr>
                <w:sz w:val="20"/>
                <w:szCs w:val="20"/>
                <w:color w:val="auto"/>
              </w:rPr>
            </w:pPr>
            <w:r>
              <w:rPr>
                <w:rFonts w:ascii="Arial" w:cs="Arial" w:eastAsia="Arial" w:hAnsi="Arial"/>
                <w:sz w:val="22"/>
                <w:szCs w:val="22"/>
                <w:color w:val="auto"/>
              </w:rPr>
              <w:t>Units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Section 4.5</w:t>
            </w:r>
          </w:p>
        </w:tc>
        <w:tc>
          <w:tcPr>
            <w:tcW w:w="7520" w:type="dxa"/>
            <w:vAlign w:val="bottom"/>
          </w:tcPr>
          <w:p>
            <w:pPr>
              <w:ind w:left="380"/>
              <w:spacing w:after="0" w:line="243" w:lineRule="exact"/>
              <w:rPr>
                <w:sz w:val="20"/>
                <w:szCs w:val="20"/>
                <w:color w:val="auto"/>
              </w:rPr>
            </w:pPr>
            <w:r>
              <w:rPr>
                <w:rFonts w:ascii="Arial" w:cs="Arial" w:eastAsia="Arial" w:hAnsi="Arial"/>
                <w:sz w:val="22"/>
                <w:szCs w:val="22"/>
                <w:color w:val="auto"/>
              </w:rPr>
              <w:t>Brokers</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Section 4.6</w:t>
            </w:r>
          </w:p>
        </w:tc>
        <w:tc>
          <w:tcPr>
            <w:tcW w:w="7520" w:type="dxa"/>
            <w:vAlign w:val="bottom"/>
          </w:tcPr>
          <w:p>
            <w:pPr>
              <w:ind w:left="380"/>
              <w:spacing w:after="0" w:line="243" w:lineRule="exact"/>
              <w:rPr>
                <w:sz w:val="20"/>
                <w:szCs w:val="20"/>
                <w:color w:val="auto"/>
              </w:rPr>
            </w:pPr>
            <w:r>
              <w:rPr>
                <w:rFonts w:ascii="Arial" w:cs="Arial" w:eastAsia="Arial" w:hAnsi="Arial"/>
                <w:sz w:val="22"/>
                <w:szCs w:val="22"/>
                <w:color w:val="auto"/>
              </w:rPr>
              <w:t>Absence of Litigation</w:t>
            </w:r>
          </w:p>
        </w:tc>
        <w:tc>
          <w:tcPr>
            <w:tcW w:w="236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Section 4.7</w:t>
            </w:r>
          </w:p>
        </w:tc>
        <w:tc>
          <w:tcPr>
            <w:tcW w:w="7520" w:type="dxa"/>
            <w:vAlign w:val="bottom"/>
          </w:tcPr>
          <w:p>
            <w:pPr>
              <w:ind w:left="380"/>
              <w:spacing w:after="0"/>
              <w:rPr>
                <w:sz w:val="20"/>
                <w:szCs w:val="20"/>
                <w:color w:val="auto"/>
              </w:rPr>
            </w:pPr>
            <w:r>
              <w:rPr>
                <w:rFonts w:ascii="Arial" w:cs="Arial" w:eastAsia="Arial" w:hAnsi="Arial"/>
                <w:sz w:val="22"/>
                <w:szCs w:val="22"/>
                <w:color w:val="auto"/>
              </w:rPr>
              <w:t>DISCLAIMER</w:t>
            </w:r>
          </w:p>
        </w:tc>
        <w:tc>
          <w:tcPr>
            <w:tcW w:w="2360" w:type="dxa"/>
            <w:vAlign w:val="bottom"/>
          </w:tcPr>
          <w:p>
            <w:pPr>
              <w:jc w:val="right"/>
              <w:spacing w:after="0"/>
              <w:rPr>
                <w:sz w:val="20"/>
                <w:szCs w:val="20"/>
                <w:color w:val="auto"/>
              </w:rPr>
            </w:pPr>
            <w:r>
              <w:rPr>
                <w:rFonts w:ascii="Arial" w:cs="Arial" w:eastAsia="Arial" w:hAnsi="Arial"/>
                <w:sz w:val="22"/>
                <w:szCs w:val="22"/>
                <w:color w:val="auto"/>
              </w:rPr>
              <w:t>42</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9080" w:type="dxa"/>
            <w:vAlign w:val="bottom"/>
            <w:gridSpan w:val="2"/>
          </w:tcPr>
          <w:p>
            <w:pPr>
              <w:spacing w:after="0"/>
              <w:rPr>
                <w:sz w:val="20"/>
                <w:szCs w:val="20"/>
                <w:color w:val="auto"/>
              </w:rPr>
            </w:pPr>
            <w:r>
              <w:rPr>
                <w:rFonts w:ascii="Arial" w:cs="Arial" w:eastAsia="Arial" w:hAnsi="Arial"/>
                <w:sz w:val="22"/>
                <w:szCs w:val="22"/>
                <w:b w:val="1"/>
                <w:bCs w:val="1"/>
                <w:color w:val="auto"/>
              </w:rPr>
              <w:t>ARTICLE V REPRESENTATIONS AND WARRANTIES OF PURCHASER</w:t>
            </w:r>
          </w:p>
        </w:tc>
        <w:tc>
          <w:tcPr>
            <w:tcW w:w="2160" w:type="dxa"/>
            <w:vAlign w:val="bottom"/>
          </w:tcPr>
          <w:p>
            <w:pPr>
              <w:jc w:val="right"/>
              <w:spacing w:after="0"/>
              <w:rPr>
                <w:sz w:val="20"/>
                <w:szCs w:val="20"/>
                <w:color w:val="auto"/>
              </w:rPr>
            </w:pPr>
            <w:r>
              <w:rPr>
                <w:rFonts w:ascii="Arial" w:cs="Arial" w:eastAsia="Arial" w:hAnsi="Arial"/>
                <w:sz w:val="22"/>
                <w:szCs w:val="22"/>
                <w:b w:val="1"/>
                <w:bCs w:val="1"/>
                <w:color w:val="auto"/>
              </w:rPr>
              <w:t>43</w:t>
            </w:r>
          </w:p>
        </w:tc>
      </w:tr>
      <w:tr>
        <w:trPr>
          <w:trHeight w:val="428"/>
        </w:trPr>
        <w:tc>
          <w:tcPr>
            <w:tcW w:w="1420" w:type="dxa"/>
            <w:vAlign w:val="bottom"/>
          </w:tcPr>
          <w:p>
            <w:pPr>
              <w:spacing w:after="0"/>
              <w:rPr>
                <w:sz w:val="20"/>
                <w:szCs w:val="20"/>
                <w:color w:val="auto"/>
              </w:rPr>
            </w:pPr>
            <w:r>
              <w:rPr>
                <w:rFonts w:ascii="Arial" w:cs="Arial" w:eastAsia="Arial" w:hAnsi="Arial"/>
                <w:sz w:val="22"/>
                <w:szCs w:val="22"/>
                <w:color w:val="auto"/>
              </w:rPr>
              <w:t>Section 5.1</w:t>
            </w:r>
          </w:p>
        </w:tc>
        <w:tc>
          <w:tcPr>
            <w:tcW w:w="7660" w:type="dxa"/>
            <w:vAlign w:val="bottom"/>
          </w:tcPr>
          <w:p>
            <w:pPr>
              <w:ind w:left="320"/>
              <w:spacing w:after="0"/>
              <w:rPr>
                <w:sz w:val="20"/>
                <w:szCs w:val="20"/>
                <w:color w:val="auto"/>
              </w:rPr>
            </w:pPr>
            <w:r>
              <w:rPr>
                <w:rFonts w:ascii="Arial" w:cs="Arial" w:eastAsia="Arial" w:hAnsi="Arial"/>
                <w:sz w:val="22"/>
                <w:szCs w:val="22"/>
                <w:color w:val="auto"/>
              </w:rPr>
              <w:t>Organization</w:t>
            </w:r>
          </w:p>
        </w:tc>
        <w:tc>
          <w:tcPr>
            <w:tcW w:w="216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5.2</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Authority</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5.3</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No Conflict; Required Filings and Consents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5.4</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Absence of Litigation</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5.5</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Brokers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5.6</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Availability of Funds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5.7</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Solvency</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5.8</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RWI Policy</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5.9</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Investment Intention</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5.10</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Plant Closing and Mass Layoffs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5.11</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Acknowledgements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74"/>
        </w:trPr>
        <w:tc>
          <w:tcPr>
            <w:tcW w:w="1420" w:type="dxa"/>
            <w:vAlign w:val="bottom"/>
          </w:tcPr>
          <w:p>
            <w:pPr>
              <w:spacing w:after="0"/>
              <w:rPr>
                <w:sz w:val="20"/>
                <w:szCs w:val="20"/>
                <w:color w:val="auto"/>
              </w:rPr>
            </w:pPr>
            <w:r>
              <w:rPr>
                <w:rFonts w:ascii="Arial" w:cs="Arial" w:eastAsia="Arial" w:hAnsi="Arial"/>
                <w:sz w:val="22"/>
                <w:szCs w:val="22"/>
                <w:color w:val="auto"/>
              </w:rPr>
              <w:t>Section 5.12</w:t>
            </w:r>
          </w:p>
        </w:tc>
        <w:tc>
          <w:tcPr>
            <w:tcW w:w="7660" w:type="dxa"/>
            <w:vAlign w:val="bottom"/>
          </w:tcPr>
          <w:p>
            <w:pPr>
              <w:ind w:left="320"/>
              <w:spacing w:after="0"/>
              <w:rPr>
                <w:sz w:val="20"/>
                <w:szCs w:val="20"/>
                <w:color w:val="auto"/>
              </w:rPr>
            </w:pPr>
            <w:r>
              <w:rPr>
                <w:rFonts w:ascii="Arial" w:cs="Arial" w:eastAsia="Arial" w:hAnsi="Arial"/>
                <w:sz w:val="22"/>
                <w:szCs w:val="22"/>
                <w:color w:val="auto"/>
              </w:rPr>
              <w:t>No Additional Representations</w:t>
            </w:r>
          </w:p>
        </w:tc>
        <w:tc>
          <w:tcPr>
            <w:tcW w:w="21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459"/>
        </w:trPr>
        <w:tc>
          <w:tcPr>
            <w:tcW w:w="9080" w:type="dxa"/>
            <w:vAlign w:val="bottom"/>
            <w:gridSpan w:val="2"/>
          </w:tcPr>
          <w:p>
            <w:pPr>
              <w:spacing w:after="0"/>
              <w:rPr>
                <w:sz w:val="20"/>
                <w:szCs w:val="20"/>
                <w:color w:val="auto"/>
              </w:rPr>
            </w:pPr>
            <w:r>
              <w:rPr>
                <w:rFonts w:ascii="Arial" w:cs="Arial" w:eastAsia="Arial" w:hAnsi="Arial"/>
                <w:sz w:val="22"/>
                <w:szCs w:val="22"/>
                <w:b w:val="1"/>
                <w:bCs w:val="1"/>
                <w:color w:val="auto"/>
              </w:rPr>
              <w:t>ARTICLE VI COVENANTS</w:t>
            </w:r>
          </w:p>
        </w:tc>
        <w:tc>
          <w:tcPr>
            <w:tcW w:w="2160" w:type="dxa"/>
            <w:vAlign w:val="bottom"/>
          </w:tcPr>
          <w:p>
            <w:pPr>
              <w:jc w:val="right"/>
              <w:spacing w:after="0"/>
              <w:rPr>
                <w:sz w:val="20"/>
                <w:szCs w:val="20"/>
                <w:color w:val="auto"/>
              </w:rPr>
            </w:pPr>
            <w:r>
              <w:rPr>
                <w:rFonts w:ascii="Arial" w:cs="Arial" w:eastAsia="Arial" w:hAnsi="Arial"/>
                <w:sz w:val="22"/>
                <w:szCs w:val="22"/>
                <w:b w:val="1"/>
                <w:bCs w:val="1"/>
                <w:color w:val="auto"/>
              </w:rPr>
              <w:t>46</w:t>
            </w:r>
          </w:p>
        </w:tc>
      </w:tr>
      <w:tr>
        <w:trPr>
          <w:trHeight w:val="428"/>
        </w:trPr>
        <w:tc>
          <w:tcPr>
            <w:tcW w:w="1420" w:type="dxa"/>
            <w:vAlign w:val="bottom"/>
          </w:tcPr>
          <w:p>
            <w:pPr>
              <w:spacing w:after="0"/>
              <w:rPr>
                <w:sz w:val="20"/>
                <w:szCs w:val="20"/>
                <w:color w:val="auto"/>
              </w:rPr>
            </w:pPr>
            <w:r>
              <w:rPr>
                <w:rFonts w:ascii="Arial" w:cs="Arial" w:eastAsia="Arial" w:hAnsi="Arial"/>
                <w:sz w:val="22"/>
                <w:szCs w:val="22"/>
                <w:color w:val="auto"/>
              </w:rPr>
              <w:t>Section 6.1</w:t>
            </w:r>
          </w:p>
        </w:tc>
        <w:tc>
          <w:tcPr>
            <w:tcW w:w="7660" w:type="dxa"/>
            <w:vAlign w:val="bottom"/>
          </w:tcPr>
          <w:p>
            <w:pPr>
              <w:ind w:left="320"/>
              <w:spacing w:after="0"/>
              <w:rPr>
                <w:sz w:val="20"/>
                <w:szCs w:val="20"/>
                <w:color w:val="auto"/>
              </w:rPr>
            </w:pPr>
            <w:r>
              <w:rPr>
                <w:rFonts w:ascii="Arial" w:cs="Arial" w:eastAsia="Arial" w:hAnsi="Arial"/>
                <w:sz w:val="22"/>
                <w:szCs w:val="22"/>
                <w:color w:val="auto"/>
              </w:rPr>
              <w:t>Conduct of Business Pending the Closing</w:t>
            </w:r>
          </w:p>
        </w:tc>
        <w:tc>
          <w:tcPr>
            <w:tcW w:w="216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6.2</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Access to Information; Confidentiality</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6.3</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No Control of Other Party’s Business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6.4</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Efforts to Consummate</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6.5</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Directors’ and Officers’ Indemnification and Insurance</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6.6</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Legal Privileges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6.7</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Public Announcements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6.8</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Post-Closing Access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6.9</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Employee Matters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6.10</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Payoff Letters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6.11</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RWI Policy</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6.12</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Exclusivity</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6.13</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Further Assurances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74"/>
        </w:trPr>
        <w:tc>
          <w:tcPr>
            <w:tcW w:w="1420" w:type="dxa"/>
            <w:vAlign w:val="bottom"/>
          </w:tcPr>
          <w:p>
            <w:pPr>
              <w:spacing w:after="0"/>
              <w:rPr>
                <w:sz w:val="20"/>
                <w:szCs w:val="20"/>
                <w:color w:val="auto"/>
              </w:rPr>
            </w:pPr>
            <w:r>
              <w:rPr>
                <w:rFonts w:ascii="Arial" w:cs="Arial" w:eastAsia="Arial" w:hAnsi="Arial"/>
                <w:sz w:val="22"/>
                <w:szCs w:val="22"/>
                <w:color w:val="auto"/>
              </w:rPr>
              <w:t>Section 6.14</w:t>
            </w:r>
          </w:p>
        </w:tc>
        <w:tc>
          <w:tcPr>
            <w:tcW w:w="7660" w:type="dxa"/>
            <w:vAlign w:val="bottom"/>
          </w:tcPr>
          <w:p>
            <w:pPr>
              <w:ind w:left="320"/>
              <w:spacing w:after="0"/>
              <w:rPr>
                <w:sz w:val="20"/>
                <w:szCs w:val="20"/>
                <w:color w:val="auto"/>
              </w:rPr>
            </w:pPr>
            <w:r>
              <w:rPr>
                <w:rFonts w:ascii="Arial" w:cs="Arial" w:eastAsia="Arial" w:hAnsi="Arial"/>
                <w:sz w:val="22"/>
                <w:szCs w:val="22"/>
                <w:color w:val="auto"/>
              </w:rPr>
              <w:t>Ohio Workers’ Compensation Rebate</w:t>
            </w:r>
          </w:p>
        </w:tc>
        <w:tc>
          <w:tcPr>
            <w:tcW w:w="21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459"/>
        </w:trPr>
        <w:tc>
          <w:tcPr>
            <w:tcW w:w="9080" w:type="dxa"/>
            <w:vAlign w:val="bottom"/>
            <w:gridSpan w:val="2"/>
          </w:tcPr>
          <w:p>
            <w:pPr>
              <w:spacing w:after="0"/>
              <w:rPr>
                <w:sz w:val="20"/>
                <w:szCs w:val="20"/>
                <w:color w:val="auto"/>
              </w:rPr>
            </w:pPr>
            <w:r>
              <w:rPr>
                <w:rFonts w:ascii="Arial" w:cs="Arial" w:eastAsia="Arial" w:hAnsi="Arial"/>
                <w:sz w:val="22"/>
                <w:szCs w:val="22"/>
                <w:b w:val="1"/>
                <w:bCs w:val="1"/>
                <w:color w:val="auto"/>
              </w:rPr>
              <w:t>ARTICLE VII TAX MATTERS</w:t>
            </w:r>
          </w:p>
        </w:tc>
        <w:tc>
          <w:tcPr>
            <w:tcW w:w="2160" w:type="dxa"/>
            <w:vAlign w:val="bottom"/>
          </w:tcPr>
          <w:p>
            <w:pPr>
              <w:jc w:val="right"/>
              <w:spacing w:after="0"/>
              <w:rPr>
                <w:sz w:val="20"/>
                <w:szCs w:val="20"/>
                <w:color w:val="auto"/>
              </w:rPr>
            </w:pPr>
            <w:r>
              <w:rPr>
                <w:rFonts w:ascii="Arial" w:cs="Arial" w:eastAsia="Arial" w:hAnsi="Arial"/>
                <w:sz w:val="22"/>
                <w:szCs w:val="22"/>
                <w:b w:val="1"/>
                <w:bCs w:val="1"/>
                <w:color w:val="auto"/>
              </w:rPr>
              <w:t>59</w:t>
            </w:r>
          </w:p>
        </w:tc>
      </w:tr>
      <w:tr>
        <w:trPr>
          <w:trHeight w:val="428"/>
        </w:trPr>
        <w:tc>
          <w:tcPr>
            <w:tcW w:w="1420" w:type="dxa"/>
            <w:vAlign w:val="bottom"/>
          </w:tcPr>
          <w:p>
            <w:pPr>
              <w:spacing w:after="0"/>
              <w:rPr>
                <w:sz w:val="20"/>
                <w:szCs w:val="20"/>
                <w:color w:val="auto"/>
              </w:rPr>
            </w:pPr>
            <w:r>
              <w:rPr>
                <w:rFonts w:ascii="Arial" w:cs="Arial" w:eastAsia="Arial" w:hAnsi="Arial"/>
                <w:sz w:val="22"/>
                <w:szCs w:val="22"/>
                <w:color w:val="auto"/>
              </w:rPr>
              <w:t>Section 7.1</w:t>
            </w:r>
          </w:p>
        </w:tc>
        <w:tc>
          <w:tcPr>
            <w:tcW w:w="7660" w:type="dxa"/>
            <w:vAlign w:val="bottom"/>
          </w:tcPr>
          <w:p>
            <w:pPr>
              <w:ind w:left="320"/>
              <w:spacing w:after="0"/>
              <w:rPr>
                <w:sz w:val="20"/>
                <w:szCs w:val="20"/>
                <w:color w:val="auto"/>
              </w:rPr>
            </w:pPr>
            <w:r>
              <w:rPr>
                <w:rFonts w:ascii="Arial" w:cs="Arial" w:eastAsia="Arial" w:hAnsi="Arial"/>
                <w:sz w:val="22"/>
                <w:szCs w:val="22"/>
                <w:color w:val="auto"/>
              </w:rPr>
              <w:t>Preparation and Filing of Tax Returns</w:t>
            </w:r>
          </w:p>
        </w:tc>
        <w:tc>
          <w:tcPr>
            <w:tcW w:w="21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Section 7.2</w:t>
            </w:r>
          </w:p>
        </w:tc>
        <w:tc>
          <w:tcPr>
            <w:tcW w:w="7660" w:type="dxa"/>
            <w:vAlign w:val="bottom"/>
          </w:tcPr>
          <w:p>
            <w:pPr>
              <w:ind w:left="320"/>
              <w:spacing w:after="0" w:line="243" w:lineRule="exact"/>
              <w:rPr>
                <w:sz w:val="20"/>
                <w:szCs w:val="20"/>
                <w:color w:val="auto"/>
              </w:rPr>
            </w:pPr>
            <w:r>
              <w:rPr>
                <w:rFonts w:ascii="Arial" w:cs="Arial" w:eastAsia="Arial" w:hAnsi="Arial"/>
                <w:sz w:val="22"/>
                <w:szCs w:val="22"/>
                <w:color w:val="auto"/>
              </w:rPr>
              <w:t>Apportionment of Taxes</w:t>
            </w:r>
          </w:p>
        </w:tc>
        <w:tc>
          <w:tcPr>
            <w:tcW w:w="216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74"/>
        </w:trPr>
        <w:tc>
          <w:tcPr>
            <w:tcW w:w="1420" w:type="dxa"/>
            <w:vAlign w:val="bottom"/>
          </w:tcPr>
          <w:p>
            <w:pPr>
              <w:spacing w:after="0"/>
              <w:rPr>
                <w:sz w:val="20"/>
                <w:szCs w:val="20"/>
                <w:color w:val="auto"/>
              </w:rPr>
            </w:pPr>
            <w:r>
              <w:rPr>
                <w:rFonts w:ascii="Arial" w:cs="Arial" w:eastAsia="Arial" w:hAnsi="Arial"/>
                <w:sz w:val="22"/>
                <w:szCs w:val="22"/>
                <w:color w:val="auto"/>
              </w:rPr>
              <w:t>Section 7.3</w:t>
            </w:r>
          </w:p>
        </w:tc>
        <w:tc>
          <w:tcPr>
            <w:tcW w:w="7660" w:type="dxa"/>
            <w:vAlign w:val="bottom"/>
          </w:tcPr>
          <w:p>
            <w:pPr>
              <w:ind w:left="320"/>
              <w:spacing w:after="0"/>
              <w:rPr>
                <w:sz w:val="20"/>
                <w:szCs w:val="20"/>
                <w:color w:val="auto"/>
              </w:rPr>
            </w:pPr>
            <w:r>
              <w:rPr>
                <w:rFonts w:ascii="Arial" w:cs="Arial" w:eastAsia="Arial" w:hAnsi="Arial"/>
                <w:sz w:val="22"/>
                <w:szCs w:val="22"/>
                <w:color w:val="auto"/>
              </w:rPr>
              <w:t>Transfer Taxes</w:t>
            </w:r>
          </w:p>
        </w:tc>
        <w:tc>
          <w:tcPr>
            <w:tcW w:w="2160" w:type="dxa"/>
            <w:vAlign w:val="bottom"/>
          </w:tcPr>
          <w:p>
            <w:pPr>
              <w:jc w:val="right"/>
              <w:spacing w:after="0"/>
              <w:rPr>
                <w:sz w:val="20"/>
                <w:szCs w:val="20"/>
                <w:color w:val="auto"/>
              </w:rPr>
            </w:pPr>
            <w:r>
              <w:rPr>
                <w:rFonts w:ascii="Arial" w:cs="Arial" w:eastAsia="Arial" w:hAnsi="Arial"/>
                <w:sz w:val="22"/>
                <w:szCs w:val="22"/>
                <w:color w:val="auto"/>
              </w:rPr>
              <w:t>59</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0"/>
                <w:szCs w:val="20"/>
                <w:color w:val="auto"/>
              </w:rPr>
            </w:pPr>
            <w:r>
              <w:rPr>
                <w:rFonts w:ascii="Arial" w:cs="Arial" w:eastAsia="Arial" w:hAnsi="Arial"/>
                <w:sz w:val="22"/>
                <w:szCs w:val="22"/>
                <w:color w:val="auto"/>
              </w:rPr>
              <w:t>Section 7.4</w:t>
            </w:r>
          </w:p>
        </w:tc>
        <w:tc>
          <w:tcPr>
            <w:tcW w:w="8900" w:type="dxa"/>
            <w:vAlign w:val="bottom"/>
          </w:tcPr>
          <w:p>
            <w:pPr>
              <w:ind w:left="280"/>
              <w:spacing w:after="0"/>
              <w:rPr>
                <w:sz w:val="20"/>
                <w:szCs w:val="20"/>
                <w:color w:val="auto"/>
              </w:rPr>
            </w:pPr>
            <w:r>
              <w:rPr>
                <w:rFonts w:ascii="Arial" w:cs="Arial" w:eastAsia="Arial" w:hAnsi="Arial"/>
                <w:sz w:val="22"/>
                <w:szCs w:val="22"/>
                <w:color w:val="auto"/>
              </w:rPr>
              <w:t>Filing and Amendment of Tax Returns</w:t>
            </w:r>
          </w:p>
        </w:tc>
        <w:tc>
          <w:tcPr>
            <w:tcW w:w="8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7.5</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Tax Refunds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7.6</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Tax Allocation</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rPr>
              <w:t>Section 7.7</w:t>
            </w:r>
          </w:p>
        </w:tc>
        <w:tc>
          <w:tcPr>
            <w:tcW w:w="8900" w:type="dxa"/>
            <w:vAlign w:val="bottom"/>
          </w:tcPr>
          <w:p>
            <w:pPr>
              <w:ind w:left="280"/>
              <w:spacing w:after="0"/>
              <w:rPr>
                <w:sz w:val="20"/>
                <w:szCs w:val="20"/>
                <w:color w:val="auto"/>
              </w:rPr>
            </w:pPr>
            <w:r>
              <w:rPr>
                <w:rFonts w:ascii="Arial" w:cs="Arial" w:eastAsia="Arial" w:hAnsi="Arial"/>
                <w:sz w:val="22"/>
                <w:szCs w:val="22"/>
                <w:color w:val="auto"/>
              </w:rPr>
              <w:t>Cooperation and Exchange of Information</w:t>
            </w:r>
          </w:p>
        </w:tc>
        <w:tc>
          <w:tcPr>
            <w:tcW w:w="88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459"/>
        </w:trPr>
        <w:tc>
          <w:tcPr>
            <w:tcW w:w="10360" w:type="dxa"/>
            <w:vAlign w:val="bottom"/>
            <w:gridSpan w:val="2"/>
          </w:tcPr>
          <w:p>
            <w:pPr>
              <w:spacing w:after="0"/>
              <w:rPr>
                <w:sz w:val="20"/>
                <w:szCs w:val="20"/>
                <w:color w:val="auto"/>
              </w:rPr>
            </w:pPr>
            <w:r>
              <w:rPr>
                <w:rFonts w:ascii="Arial" w:cs="Arial" w:eastAsia="Arial" w:hAnsi="Arial"/>
                <w:sz w:val="22"/>
                <w:szCs w:val="22"/>
                <w:b w:val="1"/>
                <w:bCs w:val="1"/>
                <w:color w:val="auto"/>
              </w:rPr>
              <w:t>ARTICLE VIII CONDITIONS</w:t>
            </w: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61</w:t>
            </w:r>
          </w:p>
        </w:tc>
      </w:tr>
      <w:tr>
        <w:trPr>
          <w:trHeight w:val="428"/>
        </w:trPr>
        <w:tc>
          <w:tcPr>
            <w:tcW w:w="1460" w:type="dxa"/>
            <w:vAlign w:val="bottom"/>
          </w:tcPr>
          <w:p>
            <w:pPr>
              <w:spacing w:after="0"/>
              <w:rPr>
                <w:sz w:val="20"/>
                <w:szCs w:val="20"/>
                <w:color w:val="auto"/>
              </w:rPr>
            </w:pPr>
            <w:r>
              <w:rPr>
                <w:rFonts w:ascii="Arial" w:cs="Arial" w:eastAsia="Arial" w:hAnsi="Arial"/>
                <w:sz w:val="22"/>
                <w:szCs w:val="22"/>
                <w:color w:val="auto"/>
              </w:rPr>
              <w:t>Section 8.1</w:t>
            </w:r>
          </w:p>
        </w:tc>
        <w:tc>
          <w:tcPr>
            <w:tcW w:w="8900" w:type="dxa"/>
            <w:vAlign w:val="bottom"/>
          </w:tcPr>
          <w:p>
            <w:pPr>
              <w:ind w:left="280"/>
              <w:spacing w:after="0"/>
              <w:rPr>
                <w:sz w:val="20"/>
                <w:szCs w:val="20"/>
                <w:color w:val="auto"/>
              </w:rPr>
            </w:pPr>
            <w:r>
              <w:rPr>
                <w:rFonts w:ascii="Arial" w:cs="Arial" w:eastAsia="Arial" w:hAnsi="Arial"/>
                <w:sz w:val="22"/>
                <w:szCs w:val="22"/>
                <w:color w:val="auto"/>
              </w:rPr>
              <w:t>Conditions to Obligations of Each Party</w:t>
            </w:r>
          </w:p>
        </w:tc>
        <w:tc>
          <w:tcPr>
            <w:tcW w:w="88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8.2</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Conditions to Obligations of Purchaser</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8.3</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Conditions to Obligations of Seller and the Companies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8.4</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Frustration of Closing Conditions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rPr>
              <w:t>Section 8.5</w:t>
            </w:r>
          </w:p>
        </w:tc>
        <w:tc>
          <w:tcPr>
            <w:tcW w:w="8900" w:type="dxa"/>
            <w:vAlign w:val="bottom"/>
          </w:tcPr>
          <w:p>
            <w:pPr>
              <w:ind w:left="280"/>
              <w:spacing w:after="0"/>
              <w:rPr>
                <w:sz w:val="20"/>
                <w:szCs w:val="20"/>
                <w:color w:val="auto"/>
              </w:rPr>
            </w:pPr>
            <w:r>
              <w:rPr>
                <w:rFonts w:ascii="Arial" w:cs="Arial" w:eastAsia="Arial" w:hAnsi="Arial"/>
                <w:sz w:val="22"/>
                <w:szCs w:val="22"/>
                <w:color w:val="auto"/>
              </w:rPr>
              <w:t>Waiver of Conditions</w:t>
            </w:r>
          </w:p>
        </w:tc>
        <w:tc>
          <w:tcPr>
            <w:tcW w:w="8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59"/>
        </w:trPr>
        <w:tc>
          <w:tcPr>
            <w:tcW w:w="10360" w:type="dxa"/>
            <w:vAlign w:val="bottom"/>
            <w:gridSpan w:val="2"/>
          </w:tcPr>
          <w:p>
            <w:pPr>
              <w:spacing w:after="0"/>
              <w:rPr>
                <w:sz w:val="20"/>
                <w:szCs w:val="20"/>
                <w:color w:val="auto"/>
              </w:rPr>
            </w:pPr>
            <w:r>
              <w:rPr>
                <w:rFonts w:ascii="Arial" w:cs="Arial" w:eastAsia="Arial" w:hAnsi="Arial"/>
                <w:sz w:val="22"/>
                <w:szCs w:val="22"/>
                <w:b w:val="1"/>
                <w:bCs w:val="1"/>
                <w:color w:val="auto"/>
              </w:rPr>
              <w:t>ARTICLE IX LIMITATION OF LIABILITY; WAIVERS</w:t>
            </w: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63</w:t>
            </w:r>
          </w:p>
        </w:tc>
      </w:tr>
      <w:tr>
        <w:trPr>
          <w:trHeight w:val="428"/>
        </w:trPr>
        <w:tc>
          <w:tcPr>
            <w:tcW w:w="1460" w:type="dxa"/>
            <w:vAlign w:val="bottom"/>
          </w:tcPr>
          <w:p>
            <w:pPr>
              <w:spacing w:after="0"/>
              <w:rPr>
                <w:sz w:val="20"/>
                <w:szCs w:val="20"/>
                <w:color w:val="auto"/>
              </w:rPr>
            </w:pPr>
            <w:r>
              <w:rPr>
                <w:rFonts w:ascii="Arial" w:cs="Arial" w:eastAsia="Arial" w:hAnsi="Arial"/>
                <w:sz w:val="22"/>
                <w:szCs w:val="22"/>
                <w:color w:val="auto"/>
              </w:rPr>
              <w:t>Section 9.1</w:t>
            </w:r>
          </w:p>
        </w:tc>
        <w:tc>
          <w:tcPr>
            <w:tcW w:w="8900" w:type="dxa"/>
            <w:vAlign w:val="bottom"/>
          </w:tcPr>
          <w:p>
            <w:pPr>
              <w:ind w:left="280"/>
              <w:spacing w:after="0"/>
              <w:rPr>
                <w:sz w:val="20"/>
                <w:szCs w:val="20"/>
                <w:color w:val="auto"/>
              </w:rPr>
            </w:pPr>
            <w:r>
              <w:rPr>
                <w:rFonts w:ascii="Arial" w:cs="Arial" w:eastAsia="Arial" w:hAnsi="Arial"/>
                <w:sz w:val="22"/>
                <w:szCs w:val="22"/>
                <w:color w:val="auto"/>
                <w:w w:val="97"/>
              </w:rPr>
              <w:t>Survival; Waivers of Representations and Warranties and Covenants; Limitation of Liability</w:t>
            </w:r>
          </w:p>
        </w:tc>
        <w:tc>
          <w:tcPr>
            <w:tcW w:w="88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9.2</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Disclaimers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64</w:t>
            </w: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rPr>
              <w:t>Section 9.3</w:t>
            </w:r>
          </w:p>
        </w:tc>
        <w:tc>
          <w:tcPr>
            <w:tcW w:w="8900" w:type="dxa"/>
            <w:vAlign w:val="bottom"/>
          </w:tcPr>
          <w:p>
            <w:pPr>
              <w:ind w:left="280"/>
              <w:spacing w:after="0"/>
              <w:rPr>
                <w:sz w:val="20"/>
                <w:szCs w:val="20"/>
                <w:color w:val="auto"/>
              </w:rPr>
            </w:pPr>
            <w:r>
              <w:rPr>
                <w:rFonts w:ascii="Arial" w:cs="Arial" w:eastAsia="Arial" w:hAnsi="Arial"/>
                <w:sz w:val="22"/>
                <w:szCs w:val="22"/>
                <w:color w:val="auto"/>
              </w:rPr>
              <w:t>Non-Recourse; Release</w:t>
            </w:r>
          </w:p>
        </w:tc>
        <w:tc>
          <w:tcPr>
            <w:tcW w:w="88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459"/>
        </w:trPr>
        <w:tc>
          <w:tcPr>
            <w:tcW w:w="10360" w:type="dxa"/>
            <w:vAlign w:val="bottom"/>
            <w:gridSpan w:val="2"/>
          </w:tcPr>
          <w:p>
            <w:pPr>
              <w:spacing w:after="0"/>
              <w:rPr>
                <w:sz w:val="20"/>
                <w:szCs w:val="20"/>
                <w:color w:val="auto"/>
              </w:rPr>
            </w:pPr>
            <w:r>
              <w:rPr>
                <w:rFonts w:ascii="Arial" w:cs="Arial" w:eastAsia="Arial" w:hAnsi="Arial"/>
                <w:sz w:val="22"/>
                <w:szCs w:val="22"/>
                <w:b w:val="1"/>
                <w:bCs w:val="1"/>
                <w:color w:val="auto"/>
              </w:rPr>
              <w:t>ARTICLE X TERMINATION</w:t>
            </w: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65</w:t>
            </w:r>
          </w:p>
        </w:tc>
      </w:tr>
      <w:tr>
        <w:trPr>
          <w:trHeight w:val="428"/>
        </w:trPr>
        <w:tc>
          <w:tcPr>
            <w:tcW w:w="1460" w:type="dxa"/>
            <w:vAlign w:val="bottom"/>
          </w:tcPr>
          <w:p>
            <w:pPr>
              <w:spacing w:after="0"/>
              <w:rPr>
                <w:sz w:val="20"/>
                <w:szCs w:val="20"/>
                <w:color w:val="auto"/>
              </w:rPr>
            </w:pPr>
            <w:r>
              <w:rPr>
                <w:rFonts w:ascii="Arial" w:cs="Arial" w:eastAsia="Arial" w:hAnsi="Arial"/>
                <w:sz w:val="22"/>
                <w:szCs w:val="22"/>
                <w:color w:val="auto"/>
              </w:rPr>
              <w:t>Section 10.1</w:t>
            </w:r>
          </w:p>
        </w:tc>
        <w:tc>
          <w:tcPr>
            <w:tcW w:w="8900" w:type="dxa"/>
            <w:vAlign w:val="bottom"/>
          </w:tcPr>
          <w:p>
            <w:pPr>
              <w:ind w:left="280"/>
              <w:spacing w:after="0"/>
              <w:rPr>
                <w:sz w:val="20"/>
                <w:szCs w:val="20"/>
                <w:color w:val="auto"/>
              </w:rPr>
            </w:pPr>
            <w:r>
              <w:rPr>
                <w:rFonts w:ascii="Arial" w:cs="Arial" w:eastAsia="Arial" w:hAnsi="Arial"/>
                <w:sz w:val="22"/>
                <w:szCs w:val="22"/>
                <w:color w:val="auto"/>
              </w:rPr>
              <w:t>Termination</w:t>
            </w:r>
          </w:p>
        </w:tc>
        <w:tc>
          <w:tcPr>
            <w:tcW w:w="88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rPr>
              <w:t>Section 10.2</w:t>
            </w:r>
          </w:p>
        </w:tc>
        <w:tc>
          <w:tcPr>
            <w:tcW w:w="8900" w:type="dxa"/>
            <w:vAlign w:val="bottom"/>
          </w:tcPr>
          <w:p>
            <w:pPr>
              <w:ind w:left="280"/>
              <w:spacing w:after="0"/>
              <w:rPr>
                <w:sz w:val="20"/>
                <w:szCs w:val="20"/>
                <w:color w:val="auto"/>
              </w:rPr>
            </w:pPr>
            <w:r>
              <w:rPr>
                <w:rFonts w:ascii="Arial" w:cs="Arial" w:eastAsia="Arial" w:hAnsi="Arial"/>
                <w:sz w:val="22"/>
                <w:szCs w:val="22"/>
                <w:color w:val="auto"/>
              </w:rPr>
              <w:t>Effect of Termination</w:t>
            </w:r>
          </w:p>
        </w:tc>
        <w:tc>
          <w:tcPr>
            <w:tcW w:w="88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459"/>
        </w:trPr>
        <w:tc>
          <w:tcPr>
            <w:tcW w:w="10360" w:type="dxa"/>
            <w:vAlign w:val="bottom"/>
            <w:gridSpan w:val="2"/>
          </w:tcPr>
          <w:p>
            <w:pPr>
              <w:spacing w:after="0"/>
              <w:rPr>
                <w:sz w:val="20"/>
                <w:szCs w:val="20"/>
                <w:color w:val="auto"/>
              </w:rPr>
            </w:pPr>
            <w:r>
              <w:rPr>
                <w:rFonts w:ascii="Arial" w:cs="Arial" w:eastAsia="Arial" w:hAnsi="Arial"/>
                <w:sz w:val="22"/>
                <w:szCs w:val="22"/>
                <w:b w:val="1"/>
                <w:bCs w:val="1"/>
                <w:color w:val="auto"/>
              </w:rPr>
              <w:t>ARTICLE XI GENERAL PROVISIONS</w:t>
            </w: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67</w:t>
            </w:r>
          </w:p>
        </w:tc>
      </w:tr>
      <w:tr>
        <w:trPr>
          <w:trHeight w:val="428"/>
        </w:trPr>
        <w:tc>
          <w:tcPr>
            <w:tcW w:w="1460" w:type="dxa"/>
            <w:vAlign w:val="bottom"/>
          </w:tcPr>
          <w:p>
            <w:pPr>
              <w:spacing w:after="0"/>
              <w:rPr>
                <w:sz w:val="20"/>
                <w:szCs w:val="20"/>
                <w:color w:val="auto"/>
              </w:rPr>
            </w:pPr>
            <w:r>
              <w:rPr>
                <w:rFonts w:ascii="Arial" w:cs="Arial" w:eastAsia="Arial" w:hAnsi="Arial"/>
                <w:sz w:val="22"/>
                <w:szCs w:val="22"/>
                <w:color w:val="auto"/>
              </w:rPr>
              <w:t>Section 11.1</w:t>
            </w:r>
          </w:p>
        </w:tc>
        <w:tc>
          <w:tcPr>
            <w:tcW w:w="8900" w:type="dxa"/>
            <w:vAlign w:val="bottom"/>
          </w:tcPr>
          <w:p>
            <w:pPr>
              <w:ind w:left="280"/>
              <w:spacing w:after="0"/>
              <w:rPr>
                <w:sz w:val="20"/>
                <w:szCs w:val="20"/>
                <w:color w:val="auto"/>
              </w:rPr>
            </w:pPr>
            <w:r>
              <w:rPr>
                <w:rFonts w:ascii="Arial" w:cs="Arial" w:eastAsia="Arial" w:hAnsi="Arial"/>
                <w:sz w:val="22"/>
                <w:szCs w:val="22"/>
                <w:color w:val="auto"/>
              </w:rPr>
              <w:t>Notices</w:t>
            </w:r>
          </w:p>
        </w:tc>
        <w:tc>
          <w:tcPr>
            <w:tcW w:w="88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11.2</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Severability</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11.3</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Entire Agreement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11.4</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Assignment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11.5</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Amendment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11.6</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Waiver</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11.7</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Parties in Interest</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11.8</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Governing Law</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11.9</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Jurisdiction</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11.10</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Waiver of Jury Trial</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11.11</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Headings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11.12</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Counterparts; Electronic Transmission</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11.13</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Specific Performance</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11.14</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Construction; Interpretation</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11.15</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Rights Cumulative</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11.16</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Expenses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11.17</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Disclosure Schedule</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72</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11.18</w:t>
            </w:r>
          </w:p>
        </w:tc>
        <w:tc>
          <w:tcPr>
            <w:tcW w:w="8900" w:type="dxa"/>
            <w:vAlign w:val="bottom"/>
          </w:tcPr>
          <w:p>
            <w:pPr>
              <w:ind w:left="280"/>
              <w:spacing w:after="0" w:line="243" w:lineRule="exact"/>
              <w:rPr>
                <w:sz w:val="20"/>
                <w:szCs w:val="20"/>
                <w:color w:val="auto"/>
              </w:rPr>
            </w:pPr>
            <w:r>
              <w:rPr>
                <w:rFonts w:ascii="Arial" w:cs="Arial" w:eastAsia="Arial" w:hAnsi="Arial"/>
                <w:sz w:val="22"/>
                <w:szCs w:val="22"/>
                <w:color w:val="auto"/>
              </w:rPr>
              <w:t>Consents</w:t>
            </w: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rPr>
              <w:t>Section 11.19</w:t>
            </w:r>
          </w:p>
        </w:tc>
        <w:tc>
          <w:tcPr>
            <w:tcW w:w="8900" w:type="dxa"/>
            <w:vAlign w:val="bottom"/>
          </w:tcPr>
          <w:p>
            <w:pPr>
              <w:ind w:left="280"/>
              <w:spacing w:after="0"/>
              <w:rPr>
                <w:sz w:val="20"/>
                <w:szCs w:val="20"/>
                <w:color w:val="auto"/>
              </w:rPr>
            </w:pPr>
            <w:r>
              <w:rPr>
                <w:rFonts w:ascii="Arial" w:cs="Arial" w:eastAsia="Arial" w:hAnsi="Arial"/>
                <w:sz w:val="22"/>
                <w:szCs w:val="22"/>
                <w:color w:val="auto"/>
              </w:rPr>
              <w:t>Legal Representation</w:t>
            </w:r>
          </w:p>
        </w:tc>
        <w:tc>
          <w:tcPr>
            <w:tcW w:w="880" w:type="dxa"/>
            <w:vAlign w:val="bottom"/>
          </w:tcPr>
          <w:p>
            <w:pPr>
              <w:jc w:val="right"/>
              <w:spacing w:after="0"/>
              <w:rPr>
                <w:sz w:val="20"/>
                <w:szCs w:val="20"/>
                <w:color w:val="auto"/>
              </w:rPr>
            </w:pPr>
            <w:r>
              <w:rPr>
                <w:rFonts w:ascii="Arial" w:cs="Arial" w:eastAsia="Arial" w:hAnsi="Arial"/>
                <w:sz w:val="22"/>
                <w:szCs w:val="22"/>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0" w:name="page111"/>
    <w:bookmarkEnd w:id="110"/>
    <w:p>
      <w:pPr>
        <w:jc w:val="right"/>
        <w:ind w:right="3059"/>
        <w:spacing w:after="0"/>
        <w:rPr>
          <w:sz w:val="20"/>
          <w:szCs w:val="20"/>
          <w:color w:val="auto"/>
        </w:rPr>
      </w:pPr>
      <w:r>
        <w:rPr>
          <w:rFonts w:ascii="Arial" w:cs="Arial" w:eastAsia="Arial" w:hAnsi="Arial"/>
          <w:sz w:val="22"/>
          <w:szCs w:val="22"/>
          <w:b w:val="1"/>
          <w:bCs w:val="1"/>
          <w:color w:val="auto"/>
        </w:rPr>
        <w:t>SCHEDULES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Schedule 1 - Net Working Capital Methodology</w:t>
      </w:r>
    </w:p>
    <w:p>
      <w:pPr>
        <w:spacing w:after="0" w:line="238" w:lineRule="auto"/>
        <w:rPr>
          <w:sz w:val="20"/>
          <w:szCs w:val="20"/>
          <w:color w:val="auto"/>
        </w:rPr>
      </w:pPr>
      <w:r>
        <w:rPr>
          <w:rFonts w:ascii="Arial" w:cs="Arial" w:eastAsia="Arial" w:hAnsi="Arial"/>
          <w:sz w:val="22"/>
          <w:szCs w:val="22"/>
          <w:color w:val="auto"/>
        </w:rPr>
        <w:t>Schedule 2 - Permitted Liens</w:t>
      </w:r>
    </w:p>
    <w:p>
      <w:pPr>
        <w:spacing w:after="0" w:line="230" w:lineRule="auto"/>
        <w:rPr>
          <w:sz w:val="20"/>
          <w:szCs w:val="20"/>
          <w:color w:val="auto"/>
        </w:rPr>
      </w:pPr>
      <w:r>
        <w:rPr>
          <w:rFonts w:ascii="Arial" w:cs="Arial" w:eastAsia="Arial" w:hAnsi="Arial"/>
          <w:sz w:val="22"/>
          <w:szCs w:val="22"/>
          <w:color w:val="auto"/>
        </w:rPr>
        <w:t>Schedule 3 - PRF Qualified Expenditures Schedule</w:t>
      </w:r>
    </w:p>
    <w:p>
      <w:pPr>
        <w:spacing w:after="0" w:line="231" w:lineRule="auto"/>
        <w:rPr>
          <w:sz w:val="20"/>
          <w:szCs w:val="20"/>
          <w:color w:val="auto"/>
        </w:rPr>
      </w:pPr>
      <w:r>
        <w:rPr>
          <w:rFonts w:ascii="Arial" w:cs="Arial" w:eastAsia="Arial" w:hAnsi="Arial"/>
          <w:sz w:val="22"/>
          <w:szCs w:val="22"/>
          <w:color w:val="auto"/>
        </w:rPr>
        <w:t>Schedule 2.3(c)(i) - Estimated Indebtedness</w:t>
      </w:r>
    </w:p>
    <w:p>
      <w:pPr>
        <w:spacing w:after="0"/>
        <w:rPr>
          <w:sz w:val="20"/>
          <w:szCs w:val="20"/>
          <w:color w:val="auto"/>
        </w:rPr>
      </w:pPr>
      <w:r>
        <w:rPr>
          <w:rFonts w:ascii="Arial" w:cs="Arial" w:eastAsia="Arial" w:hAnsi="Arial"/>
          <w:sz w:val="22"/>
          <w:szCs w:val="22"/>
          <w:color w:val="auto"/>
        </w:rPr>
        <w:t>Schedule 7.6 - Allocation Methodology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Exhibit A - Form of Escrow Agreement</w:t>
      </w:r>
    </w:p>
    <w:p>
      <w:pPr>
        <w:spacing w:after="0" w:line="238" w:lineRule="auto"/>
        <w:rPr>
          <w:sz w:val="20"/>
          <w:szCs w:val="20"/>
          <w:color w:val="auto"/>
        </w:rPr>
      </w:pPr>
      <w:r>
        <w:rPr>
          <w:rFonts w:ascii="Arial" w:cs="Arial" w:eastAsia="Arial" w:hAnsi="Arial"/>
          <w:sz w:val="22"/>
          <w:szCs w:val="22"/>
          <w:color w:val="auto"/>
        </w:rPr>
        <w:t>Exhibit B - Form of FIRPTA Affidavit</w:t>
      </w:r>
    </w:p>
    <w:p>
      <w:pPr>
        <w:spacing w:after="0"/>
        <w:rPr>
          <w:sz w:val="20"/>
          <w:szCs w:val="20"/>
          <w:color w:val="auto"/>
        </w:rPr>
      </w:pPr>
      <w:r>
        <w:rPr>
          <w:rFonts w:ascii="Arial" w:cs="Arial" w:eastAsia="Arial" w:hAnsi="Arial"/>
          <w:sz w:val="22"/>
          <w:szCs w:val="22"/>
          <w:color w:val="auto"/>
        </w:rPr>
        <w:t>Exhibit C - Form of RWI Policy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Disclosure Schedule</w:t>
      </w: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22"/>
          <w:szCs w:val="22"/>
          <w:b w:val="1"/>
          <w:bCs w:val="1"/>
          <w:color w:val="auto"/>
        </w:rPr>
        <w:t>UNIT PURCHASE AGREEMENT</w:t>
      </w:r>
    </w:p>
    <w:p>
      <w:pPr>
        <w:spacing w:after="0" w:line="21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This Unit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dated as of November 10, 2020 by and among Addus HealthCare, Inc., an Illinois corporation (“</w:t>
      </w:r>
      <w:r>
        <w:rPr>
          <w:rFonts w:ascii="Arial" w:cs="Arial" w:eastAsia="Arial" w:hAnsi="Arial"/>
          <w:sz w:val="19"/>
          <w:szCs w:val="19"/>
          <w:u w:val="single" w:color="auto"/>
          <w:color w:val="auto"/>
        </w:rPr>
        <w:t>Purchaser</w:t>
      </w:r>
      <w:r>
        <w:rPr>
          <w:rFonts w:ascii="Arial" w:cs="Arial" w:eastAsia="Arial" w:hAnsi="Arial"/>
          <w:sz w:val="19"/>
          <w:szCs w:val="19"/>
          <w:color w:val="auto"/>
        </w:rPr>
        <w:t>”), Queen City Hospice, LLC, a Delaware limited liability company (“</w:t>
      </w:r>
      <w:r>
        <w:rPr>
          <w:rFonts w:ascii="Arial" w:cs="Arial" w:eastAsia="Arial" w:hAnsi="Arial"/>
          <w:sz w:val="19"/>
          <w:szCs w:val="19"/>
          <w:u w:val="single" w:color="auto"/>
          <w:color w:val="auto"/>
        </w:rPr>
        <w:t>Queen City</w:t>
      </w:r>
      <w:r>
        <w:rPr>
          <w:rFonts w:ascii="Arial" w:cs="Arial" w:eastAsia="Arial" w:hAnsi="Arial"/>
          <w:sz w:val="19"/>
          <w:szCs w:val="19"/>
          <w:color w:val="auto"/>
        </w:rPr>
        <w:t>”), Miracle City Hospice, LLC, a Delaware limited liability company (“</w:t>
      </w:r>
      <w:r>
        <w:rPr>
          <w:rFonts w:ascii="Arial" w:cs="Arial" w:eastAsia="Arial" w:hAnsi="Arial"/>
          <w:sz w:val="19"/>
          <w:szCs w:val="19"/>
          <w:u w:val="single" w:color="auto"/>
          <w:color w:val="auto"/>
        </w:rPr>
        <w:t>Miracle City</w:t>
      </w:r>
      <w:r>
        <w:rPr>
          <w:rFonts w:ascii="Arial" w:cs="Arial" w:eastAsia="Arial" w:hAnsi="Arial"/>
          <w:sz w:val="19"/>
          <w:szCs w:val="19"/>
          <w:color w:val="auto"/>
        </w:rPr>
        <w:t>”, and together with Queen City, the “</w:t>
      </w:r>
      <w:r>
        <w:rPr>
          <w:rFonts w:ascii="Arial" w:cs="Arial" w:eastAsia="Arial" w:hAnsi="Arial"/>
          <w:sz w:val="19"/>
          <w:szCs w:val="19"/>
          <w:u w:val="single" w:color="auto"/>
          <w:color w:val="auto"/>
        </w:rPr>
        <w:t>Companies</w:t>
      </w:r>
      <w:r>
        <w:rPr>
          <w:rFonts w:ascii="Arial" w:cs="Arial" w:eastAsia="Arial" w:hAnsi="Arial"/>
          <w:sz w:val="19"/>
          <w:szCs w:val="19"/>
          <w:color w:val="auto"/>
        </w:rPr>
        <w:t>” and each a “</w:t>
      </w:r>
      <w:r>
        <w:rPr>
          <w:rFonts w:ascii="Arial" w:cs="Arial" w:eastAsia="Arial" w:hAnsi="Arial"/>
          <w:sz w:val="19"/>
          <w:szCs w:val="19"/>
          <w:u w:val="single" w:color="auto"/>
          <w:color w:val="auto"/>
        </w:rPr>
        <w:t>Company</w:t>
      </w:r>
      <w:r>
        <w:rPr>
          <w:rFonts w:ascii="Arial" w:cs="Arial" w:eastAsia="Arial" w:hAnsi="Arial"/>
          <w:sz w:val="19"/>
          <w:szCs w:val="19"/>
          <w:color w:val="auto"/>
        </w:rPr>
        <w:t>”), and QCH Holdings LLC, a Delaware limited liability company (“</w:t>
      </w:r>
      <w:r>
        <w:rPr>
          <w:rFonts w:ascii="Arial" w:cs="Arial" w:eastAsia="Arial" w:hAnsi="Arial"/>
          <w:sz w:val="19"/>
          <w:szCs w:val="19"/>
          <w:u w:val="single" w:color="auto"/>
          <w:color w:val="auto"/>
        </w:rPr>
        <w:t>Seller</w:t>
      </w:r>
      <w:r>
        <w:rPr>
          <w:rFonts w:ascii="Arial" w:cs="Arial" w:eastAsia="Arial" w:hAnsi="Arial"/>
          <w:sz w:val="19"/>
          <w:szCs w:val="19"/>
          <w:color w:val="auto"/>
        </w:rPr>
        <w:t>”). Purchaser, the Companies, and Seller are collectively referred to from time to time herein as the “</w:t>
      </w:r>
      <w:r>
        <w:rPr>
          <w:rFonts w:ascii="Arial" w:cs="Arial" w:eastAsia="Arial" w:hAnsi="Arial"/>
          <w:sz w:val="19"/>
          <w:szCs w:val="19"/>
          <w:u w:val="single" w:color="auto"/>
          <w:color w:val="auto"/>
        </w:rPr>
        <w:t>Parties</w:t>
      </w:r>
      <w:r>
        <w:rPr>
          <w:rFonts w:ascii="Arial" w:cs="Arial" w:eastAsia="Arial" w:hAnsi="Arial"/>
          <w:sz w:val="19"/>
          <w:szCs w:val="19"/>
          <w:color w:val="auto"/>
        </w:rPr>
        <w:t>”, and each,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Seller owns all of the issued and outstanding Equity Interests of each of the Companies (such interests,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Units</w:t>
      </w:r>
      <w:r>
        <w:rPr>
          <w:rFonts w:ascii="Arial" w:cs="Arial" w:eastAsia="Arial" w:hAnsi="Arial"/>
          <w:sz w:val="22"/>
          <w:szCs w:val="22"/>
          <w:color w:val="auto"/>
        </w:rPr>
        <w:t>”).</w:t>
      </w:r>
    </w:p>
    <w:p>
      <w:pPr>
        <w:spacing w:after="0" w:line="18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WHEREAS, Purchaser wishes to purchase all of the Units from Seller, and Seller wishes to sell all of the Units to Purchaser, upon the terms and subject to the conditions set forth in this Agreement.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in consideration of the foregoing and the representations, warranties, covenants, and agreements herein contained, and other good and valuable consideration, the receipt and sufficiency of which are hereby acknowledged, the Parties, intending to be legally bound hereby, agree as follows:</w:t>
      </w:r>
    </w:p>
    <w:p>
      <w:pPr>
        <w:spacing w:after="0" w:line="180"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w:t>
      </w:r>
      <w:r>
        <w:rPr>
          <w:rFonts w:ascii="Arial" w:cs="Arial" w:eastAsia="Arial" w:hAnsi="Arial"/>
          <w:sz w:val="22"/>
          <w:szCs w:val="22"/>
          <w:color w:val="auto"/>
        </w:rPr>
        <w:t>. The following terms used in this Agreement have the respective meanings assigned to them below:</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Accountant</w:t>
      </w:r>
      <w:r>
        <w:rPr>
          <w:rFonts w:ascii="Arial" w:cs="Arial" w:eastAsia="Arial" w:hAnsi="Arial"/>
          <w:sz w:val="22"/>
          <w:szCs w:val="22"/>
          <w:color w:val="auto"/>
        </w:rPr>
        <w:t>” means a nationally recognized independent public accounting firm (a) selected by mutual agreement of Seller and Purchaser or if they cannot agree (b) selected by mutual agreement of the accounting firms regularly used by Purchaser and Seller prior to the Closing Date in the conduct of their respective businesses.</w:t>
      </w:r>
    </w:p>
    <w:p>
      <w:pPr>
        <w:spacing w:after="0" w:line="18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Accrued Identified Taxes</w:t>
      </w:r>
      <w:r>
        <w:rPr>
          <w:rFonts w:ascii="Arial" w:cs="Arial" w:eastAsia="Arial" w:hAnsi="Arial"/>
          <w:sz w:val="21"/>
          <w:szCs w:val="21"/>
          <w:color w:val="auto"/>
        </w:rPr>
        <w:t xml:space="preserve">” means an amount equal to (i) any unpaid Ohio commercial activity Tax and any unpaid City of Columbus municipal income Tax of the Companies for the period beginning January 1, 2020 and ending on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of such accrued and unpaid Taxes shall be computed (a) in accordance with the past practices of the Companies in preparing their Tax Returns for such Taxes, (b) without regard to deferred Tax assets and liabilities, (c) by excluding any such Taxes attributable to transactions outside the ordinary course of business on the Closing Date after the time of the Closing and (d) taking into account all Transaction Tax Deductions deductible on a “more likely than not” basis;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in the case of any Straddle Period, the amount of Taxes included in Accrued Identified Taxes shall be calculated in accordance with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and (ii) the amount of any “applicable employment taxes” (as defined in Section 2302(d)(1) of the CARES Act) that the Companies have deferred payment of pursuant to Section 2302 of the CARES Act and not paid prior to the time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2" w:name="page113"/>
    <w:bookmarkEnd w:id="112"/>
    <w:p>
      <w:pPr>
        <w:jc w:val="both"/>
        <w:ind w:firstLine="86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Action</w:t>
      </w:r>
      <w:r>
        <w:rPr>
          <w:rFonts w:ascii="Arial" w:cs="Arial" w:eastAsia="Arial" w:hAnsi="Arial"/>
          <w:sz w:val="21"/>
          <w:szCs w:val="21"/>
          <w:color w:val="auto"/>
        </w:rPr>
        <w:t>” means any litigation, suit, claim, complaint, action, proceeding, arbitration, mediation, consent decree, audit, investigation, cause of action, demand, appeal, challenge, review, notice of violation, citation, summons, subpoena or inquiry of any nature, whether civil, criminal, administrative, judicial, or investigative, and whether at Law or in equity.</w:t>
      </w:r>
    </w:p>
    <w:p>
      <w:pPr>
        <w:spacing w:after="0" w:line="16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Closing Payment</w:t>
      </w:r>
      <w:r>
        <w:rPr>
          <w:rFonts w:ascii="Arial" w:cs="Arial" w:eastAsia="Arial" w:hAnsi="Arial"/>
          <w:sz w:val="22"/>
          <w:szCs w:val="22"/>
          <w:color w:val="auto"/>
        </w:rPr>
        <w:t xml:space="preserve">” means an amount equal to (a) the Base Amount, </w:t>
      </w:r>
      <w:r>
        <w:rPr>
          <w:rFonts w:ascii="Arial" w:cs="Arial" w:eastAsia="Arial" w:hAnsi="Arial"/>
          <w:sz w:val="22"/>
          <w:szCs w:val="22"/>
          <w:i w:val="1"/>
          <w:iCs w:val="1"/>
          <w:color w:val="auto"/>
        </w:rPr>
        <w:t>plus</w:t>
      </w:r>
      <w:r>
        <w:rPr>
          <w:rFonts w:ascii="Arial" w:cs="Arial" w:eastAsia="Arial" w:hAnsi="Arial"/>
          <w:sz w:val="22"/>
          <w:szCs w:val="22"/>
          <w:color w:val="auto"/>
        </w:rPr>
        <w:t xml:space="preserve"> (b) Final Cash, </w:t>
      </w:r>
      <w:r>
        <w:rPr>
          <w:rFonts w:ascii="Arial" w:cs="Arial" w:eastAsia="Arial" w:hAnsi="Arial"/>
          <w:sz w:val="22"/>
          <w:szCs w:val="22"/>
          <w:i w:val="1"/>
          <w:iCs w:val="1"/>
          <w:color w:val="auto"/>
        </w:rPr>
        <w:t>minus</w:t>
      </w:r>
      <w:r>
        <w:rPr>
          <w:rFonts w:ascii="Arial" w:cs="Arial" w:eastAsia="Arial" w:hAnsi="Arial"/>
          <w:sz w:val="22"/>
          <w:szCs w:val="22"/>
          <w:color w:val="auto"/>
        </w:rPr>
        <w:t xml:space="preserve"> (c) Final Indebtedness, </w:t>
      </w:r>
      <w:r>
        <w:rPr>
          <w:rFonts w:ascii="Arial" w:cs="Arial" w:eastAsia="Arial" w:hAnsi="Arial"/>
          <w:sz w:val="22"/>
          <w:szCs w:val="22"/>
          <w:i w:val="1"/>
          <w:iCs w:val="1"/>
          <w:color w:val="auto"/>
        </w:rPr>
        <w:t>minus</w:t>
      </w:r>
      <w:r>
        <w:rPr>
          <w:rFonts w:ascii="Arial" w:cs="Arial" w:eastAsia="Arial" w:hAnsi="Arial"/>
          <w:sz w:val="22"/>
          <w:szCs w:val="22"/>
          <w:color w:val="auto"/>
        </w:rPr>
        <w:t xml:space="preserve"> (d) Final Transaction Expenses, </w:t>
      </w:r>
      <w:r>
        <w:rPr>
          <w:rFonts w:ascii="Arial" w:cs="Arial" w:eastAsia="Arial" w:hAnsi="Arial"/>
          <w:sz w:val="22"/>
          <w:szCs w:val="22"/>
          <w:i w:val="1"/>
          <w:iCs w:val="1"/>
          <w:color w:val="auto"/>
        </w:rPr>
        <w:t>plus</w:t>
      </w:r>
      <w:r>
        <w:rPr>
          <w:rFonts w:ascii="Arial" w:cs="Arial" w:eastAsia="Arial" w:hAnsi="Arial"/>
          <w:sz w:val="22"/>
          <w:szCs w:val="22"/>
          <w:color w:val="auto"/>
        </w:rPr>
        <w:t xml:space="preserve"> (e) the excess, if any, of the amount of Final Net Working Capital over the amount of the Net Working Capital Target, </w:t>
      </w:r>
      <w:r>
        <w:rPr>
          <w:rFonts w:ascii="Arial" w:cs="Arial" w:eastAsia="Arial" w:hAnsi="Arial"/>
          <w:sz w:val="22"/>
          <w:szCs w:val="22"/>
          <w:i w:val="1"/>
          <w:iCs w:val="1"/>
          <w:color w:val="auto"/>
        </w:rPr>
        <w:t>minus</w:t>
      </w:r>
      <w:r>
        <w:rPr>
          <w:rFonts w:ascii="Arial" w:cs="Arial" w:eastAsia="Arial" w:hAnsi="Arial"/>
          <w:sz w:val="22"/>
          <w:szCs w:val="22"/>
          <w:color w:val="auto"/>
        </w:rPr>
        <w:t xml:space="preserve"> (f) the excess, if any, of the amount of the Net Working Capital Target over the amount of the Final Net Working Capital, </w:t>
      </w:r>
      <w:r>
        <w:rPr>
          <w:rFonts w:ascii="Arial" w:cs="Arial" w:eastAsia="Arial" w:hAnsi="Arial"/>
          <w:sz w:val="22"/>
          <w:szCs w:val="22"/>
          <w:i w:val="1"/>
          <w:iCs w:val="1"/>
          <w:color w:val="auto"/>
        </w:rPr>
        <w:t>minus</w:t>
      </w:r>
      <w:r>
        <w:rPr>
          <w:rFonts w:ascii="Arial" w:cs="Arial" w:eastAsia="Arial" w:hAnsi="Arial"/>
          <w:sz w:val="22"/>
          <w:szCs w:val="22"/>
          <w:color w:val="auto"/>
        </w:rPr>
        <w:t xml:space="preserve"> (g) the Working Capital Escrow Amount, and </w:t>
      </w:r>
      <w:r>
        <w:rPr>
          <w:rFonts w:ascii="Arial" w:cs="Arial" w:eastAsia="Arial" w:hAnsi="Arial"/>
          <w:sz w:val="22"/>
          <w:szCs w:val="22"/>
          <w:i w:val="1"/>
          <w:iCs w:val="1"/>
          <w:color w:val="auto"/>
        </w:rPr>
        <w:t>plus</w:t>
      </w:r>
      <w:r>
        <w:rPr>
          <w:rFonts w:ascii="Arial" w:cs="Arial" w:eastAsia="Arial" w:hAnsi="Arial"/>
          <w:sz w:val="22"/>
          <w:szCs w:val="22"/>
          <w:color w:val="auto"/>
        </w:rPr>
        <w:t xml:space="preserve"> (h) the PRF Qualified Expenditures Amount (not to exceed $700,000).</w:t>
      </w:r>
    </w:p>
    <w:p>
      <w:pPr>
        <w:spacing w:after="0" w:line="18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Person, any Person directly or indirectly controlling, controlled by, or under common control with such other Person, and the term “control” (including the terms “controlled by” and “under common control with”) means the possession, directly or indirectly, of the power to direct or cause the direction of the management and policies of such Person, whether through ownership of at least 10% of the voting securities, by contract, or by the ability to elect more than 50% of the voting power of the board of directors or other governing body of such Person. For the avoidance of doubt, the Companies are Affiliates of Seller only prior to the Closing and will be Affiliates of Purchaser from and after the Closing.</w:t>
      </w:r>
    </w:p>
    <w:p>
      <w:pPr>
        <w:spacing w:after="0" w:line="150"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Accounting Principles</w:t>
      </w:r>
      <w:r>
        <w:rPr>
          <w:rFonts w:ascii="Arial" w:cs="Arial" w:eastAsia="Arial" w:hAnsi="Arial"/>
          <w:sz w:val="22"/>
          <w:szCs w:val="22"/>
          <w:color w:val="auto"/>
        </w:rPr>
        <w:t xml:space="preserve">” means GAAP and, to the extent consistent with GAAP, the same accounting methods, policies, practices, procedures, classifications, judgments, or estimation methodologies used in the preparation of the Interim Financial Statements, subject to the exceptions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18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Antitrust Authorities</w:t>
      </w:r>
      <w:r>
        <w:rPr>
          <w:rFonts w:ascii="Arial" w:cs="Arial" w:eastAsia="Arial" w:hAnsi="Arial"/>
          <w:sz w:val="21"/>
          <w:szCs w:val="21"/>
          <w:color w:val="auto"/>
        </w:rPr>
        <w:t>” means the Federal Trade Commission, the Antitrust Division of the United States Department of Justice, the attorneys general of the several states of the United States, and any other Governmental Entity having jurisdiction with respect to the transactions contemplated hereby pursuant to applicable Antitrust Laws.</w:t>
      </w:r>
    </w:p>
    <w:p>
      <w:pPr>
        <w:spacing w:after="0" w:line="16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means the HSR Act, the Sherman Act, 15 U.S.C. §§ 1-7, as amended, the Clayton Act, 15 U.S.C. §§ 12-27, 29 U.S.C. §§ 52-53, as amended, the Federal Trade Commission Act, 15 U.S.C. §§ 41-58, as amended, all applicable foreign antitrust Laws, and all other applicable Laws issued by a Governmental Entity that are designed or intended to prohibit, restrict, or regulate actions having the purpose or effect of monopolization or restraint of trade or lessening of competition through merger or acquisition.</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Amount</w:t>
      </w:r>
      <w:r>
        <w:rPr>
          <w:rFonts w:ascii="Arial" w:cs="Arial" w:eastAsia="Arial" w:hAnsi="Arial"/>
          <w:sz w:val="22"/>
          <w:szCs w:val="22"/>
          <w:color w:val="auto"/>
        </w:rPr>
        <w:t>” means $192,000,000.00.</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on which banks are not required or authorized by Law to close in Columbus, Ohio.</w:t>
      </w:r>
    </w:p>
    <w:p>
      <w:pPr>
        <w:spacing w:after="0" w:line="241"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CARES Act</w:t>
      </w:r>
      <w:r>
        <w:rPr>
          <w:rFonts w:ascii="Arial" w:cs="Arial" w:eastAsia="Arial" w:hAnsi="Arial"/>
          <w:sz w:val="22"/>
          <w:szCs w:val="22"/>
          <w:color w:val="auto"/>
        </w:rPr>
        <w:t>” means the Coronavirus Aid, Relief, and Economic Security Act of 2020, P.L. 116-136, as amended, and any regulations promulgated thereunder.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3" w:name="page114"/>
    <w:bookmarkEnd w:id="113"/>
    <w:p>
      <w:pPr>
        <w:jc w:val="both"/>
        <w:ind w:firstLine="864"/>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w:t>
      </w:r>
      <w:r>
        <w:rPr>
          <w:rFonts w:ascii="Arial" w:cs="Arial" w:eastAsia="Arial" w:hAnsi="Arial"/>
          <w:sz w:val="19"/>
          <w:szCs w:val="19"/>
          <w:color w:val="auto"/>
        </w:rPr>
        <w:t xml:space="preserve">” means, (x) without duplication, cash, checks, money orders, marketable securities, short-term instruments, undeposited funds, and other cash equivalents, funds in time and demand deposits or similar accounts, restricted cash (including all cash posted to support letters of credit, performance bonds, or other similar obligations), cash security deposits, and other cash collateral posted with vendors, landlords, and other third parties, including checks, wire transfers, and drafts received but not yet cleared and excluding checks that have been issued but remain outstanding, calculated in accordance with the Agreed Accounting Principles,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(y) the Provider Relief Funds, and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(z) the CMS Advanced Payment Amount.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Cash</w:t>
      </w:r>
      <w:r>
        <w:rPr>
          <w:rFonts w:ascii="Arial" w:cs="Arial" w:eastAsia="Arial" w:hAnsi="Arial"/>
          <w:sz w:val="22"/>
          <w:szCs w:val="22"/>
          <w:color w:val="auto"/>
        </w:rPr>
        <w:t>” means Cash of the Companies as of the Effective Time.</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Indebtedness</w:t>
      </w:r>
      <w:r>
        <w:rPr>
          <w:rFonts w:ascii="Arial" w:cs="Arial" w:eastAsia="Arial" w:hAnsi="Arial"/>
          <w:sz w:val="22"/>
          <w:szCs w:val="22"/>
          <w:color w:val="auto"/>
        </w:rPr>
        <w:t>” means any Indebtedness of the Companies as of immediately prior to the Closing.</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Payment</w:t>
      </w:r>
      <w:r>
        <w:rPr>
          <w:rFonts w:ascii="Arial" w:cs="Arial" w:eastAsia="Arial" w:hAnsi="Arial"/>
          <w:sz w:val="22"/>
          <w:szCs w:val="22"/>
          <w:color w:val="auto"/>
        </w:rPr>
        <w:t xml:space="preserve">” means an amount equal to (a) the Base Amount, </w:t>
      </w:r>
      <w:r>
        <w:rPr>
          <w:rFonts w:ascii="Arial" w:cs="Arial" w:eastAsia="Arial" w:hAnsi="Arial"/>
          <w:sz w:val="22"/>
          <w:szCs w:val="22"/>
          <w:i w:val="1"/>
          <w:iCs w:val="1"/>
          <w:color w:val="auto"/>
        </w:rPr>
        <w:t>plus</w:t>
      </w:r>
      <w:r>
        <w:rPr>
          <w:rFonts w:ascii="Arial" w:cs="Arial" w:eastAsia="Arial" w:hAnsi="Arial"/>
          <w:sz w:val="22"/>
          <w:szCs w:val="22"/>
          <w:color w:val="auto"/>
        </w:rPr>
        <w:t xml:space="preserve"> (b) Estimated Cash, </w:t>
      </w:r>
      <w:r>
        <w:rPr>
          <w:rFonts w:ascii="Arial" w:cs="Arial" w:eastAsia="Arial" w:hAnsi="Arial"/>
          <w:sz w:val="22"/>
          <w:szCs w:val="22"/>
          <w:i w:val="1"/>
          <w:iCs w:val="1"/>
          <w:color w:val="auto"/>
        </w:rPr>
        <w:t>minus</w:t>
      </w:r>
      <w:r>
        <w:rPr>
          <w:rFonts w:ascii="Arial" w:cs="Arial" w:eastAsia="Arial" w:hAnsi="Arial"/>
          <w:sz w:val="22"/>
          <w:szCs w:val="22"/>
          <w:color w:val="auto"/>
        </w:rPr>
        <w:t xml:space="preserve"> (c) Estimated Indebtedness, </w:t>
      </w:r>
      <w:r>
        <w:rPr>
          <w:rFonts w:ascii="Arial" w:cs="Arial" w:eastAsia="Arial" w:hAnsi="Arial"/>
          <w:sz w:val="22"/>
          <w:szCs w:val="22"/>
          <w:i w:val="1"/>
          <w:iCs w:val="1"/>
          <w:color w:val="auto"/>
        </w:rPr>
        <w:t>minus</w:t>
      </w:r>
      <w:r>
        <w:rPr>
          <w:rFonts w:ascii="Arial" w:cs="Arial" w:eastAsia="Arial" w:hAnsi="Arial"/>
          <w:sz w:val="22"/>
          <w:szCs w:val="22"/>
          <w:color w:val="auto"/>
        </w:rPr>
        <w:t xml:space="preserve"> (d) Estimated Transaction Expenses, </w:t>
      </w:r>
      <w:r>
        <w:rPr>
          <w:rFonts w:ascii="Arial" w:cs="Arial" w:eastAsia="Arial" w:hAnsi="Arial"/>
          <w:sz w:val="22"/>
          <w:szCs w:val="22"/>
          <w:i w:val="1"/>
          <w:iCs w:val="1"/>
          <w:color w:val="auto"/>
        </w:rPr>
        <w:t>plus</w:t>
      </w:r>
      <w:r>
        <w:rPr>
          <w:rFonts w:ascii="Arial" w:cs="Arial" w:eastAsia="Arial" w:hAnsi="Arial"/>
          <w:sz w:val="22"/>
          <w:szCs w:val="22"/>
          <w:color w:val="auto"/>
        </w:rPr>
        <w:t xml:space="preserve"> (e) the excess, if any, of the amount of Estimated Net Working Capital over the amount of the Net Working Capital Target, </w:t>
      </w:r>
      <w:r>
        <w:rPr>
          <w:rFonts w:ascii="Arial" w:cs="Arial" w:eastAsia="Arial" w:hAnsi="Arial"/>
          <w:sz w:val="22"/>
          <w:szCs w:val="22"/>
          <w:i w:val="1"/>
          <w:iCs w:val="1"/>
          <w:color w:val="auto"/>
        </w:rPr>
        <w:t>minus</w:t>
      </w:r>
      <w:r>
        <w:rPr>
          <w:rFonts w:ascii="Arial" w:cs="Arial" w:eastAsia="Arial" w:hAnsi="Arial"/>
          <w:sz w:val="22"/>
          <w:szCs w:val="22"/>
          <w:color w:val="auto"/>
        </w:rPr>
        <w:t xml:space="preserve"> (f) the excess, if any, of the amount of the Net Working Capital Target over the amount of the Estimated Net Working Capital, </w:t>
      </w:r>
      <w:r>
        <w:rPr>
          <w:rFonts w:ascii="Arial" w:cs="Arial" w:eastAsia="Arial" w:hAnsi="Arial"/>
          <w:sz w:val="22"/>
          <w:szCs w:val="22"/>
          <w:i w:val="1"/>
          <w:iCs w:val="1"/>
          <w:color w:val="auto"/>
        </w:rPr>
        <w:t>minus</w:t>
      </w:r>
      <w:r>
        <w:rPr>
          <w:rFonts w:ascii="Arial" w:cs="Arial" w:eastAsia="Arial" w:hAnsi="Arial"/>
          <w:sz w:val="22"/>
          <w:szCs w:val="22"/>
          <w:color w:val="auto"/>
        </w:rPr>
        <w:t xml:space="preserve"> (g) the Working Capital Escrow Amount, and </w:t>
      </w:r>
      <w:r>
        <w:rPr>
          <w:rFonts w:ascii="Arial" w:cs="Arial" w:eastAsia="Arial" w:hAnsi="Arial"/>
          <w:sz w:val="22"/>
          <w:szCs w:val="22"/>
          <w:i w:val="1"/>
          <w:iCs w:val="1"/>
          <w:color w:val="auto"/>
        </w:rPr>
        <w:t>plus</w:t>
      </w:r>
      <w:r>
        <w:rPr>
          <w:rFonts w:ascii="Arial" w:cs="Arial" w:eastAsia="Arial" w:hAnsi="Arial"/>
          <w:sz w:val="22"/>
          <w:szCs w:val="22"/>
          <w:color w:val="auto"/>
        </w:rPr>
        <w:t xml:space="preserve"> (h) the PRF Qualified Expenditures Amount (not to exceed $700,000).</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Transaction Expenses</w:t>
      </w:r>
      <w:r>
        <w:rPr>
          <w:rFonts w:ascii="Arial" w:cs="Arial" w:eastAsia="Arial" w:hAnsi="Arial"/>
          <w:sz w:val="19"/>
          <w:szCs w:val="19"/>
          <w:color w:val="auto"/>
        </w:rPr>
        <w:t>” means Transaction Expenses unpaid and outstanding as of immediately prior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Closing.</w:t>
      </w:r>
    </w:p>
    <w:p>
      <w:pPr>
        <w:spacing w:after="0" w:line="18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CMS</w:t>
      </w:r>
      <w:r>
        <w:rPr>
          <w:rFonts w:ascii="Arial" w:cs="Arial" w:eastAsia="Arial" w:hAnsi="Arial"/>
          <w:sz w:val="22"/>
          <w:szCs w:val="22"/>
          <w:color w:val="auto"/>
        </w:rPr>
        <w:t>” means the Centers for Medicare and Medicaid Services, or any successor Governmental Entity exercising similar authority.</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CMS Advanced Payment Amount</w:t>
      </w:r>
      <w:r>
        <w:rPr>
          <w:rFonts w:ascii="Arial" w:cs="Arial" w:eastAsia="Arial" w:hAnsi="Arial"/>
          <w:sz w:val="22"/>
          <w:szCs w:val="22"/>
          <w:color w:val="auto"/>
        </w:rPr>
        <w:t>” means the aggregate funds received by Queen City from CMS under its Expanded Accelerated and Advance Payments (AAP) Program in the aggregate amount of $10,801,248.00.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w:t>
      </w:r>
      <w:r>
        <w:rPr>
          <w:rFonts w:ascii="Arial" w:cs="Arial" w:eastAsia="Arial" w:hAnsi="Arial"/>
          <w:sz w:val="22"/>
          <w:szCs w:val="22"/>
          <w:color w:val="auto"/>
        </w:rPr>
        <w:t>” means Section 4980B of the Code or Title I, Part 6, of ERISA, and any similar state law.</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Confidential Information</w:t>
      </w:r>
      <w:r>
        <w:rPr>
          <w:rFonts w:ascii="Arial" w:cs="Arial" w:eastAsia="Arial" w:hAnsi="Arial"/>
          <w:sz w:val="22"/>
          <w:szCs w:val="22"/>
          <w:color w:val="auto"/>
        </w:rPr>
        <w:t>” means all non-public and proprietary information existing as of the Closing concerning the business and affairs of the Companies.</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Intellectual Property</w:t>
      </w:r>
      <w:r>
        <w:rPr>
          <w:rFonts w:ascii="Arial" w:cs="Arial" w:eastAsia="Arial" w:hAnsi="Arial"/>
          <w:sz w:val="22"/>
          <w:szCs w:val="22"/>
          <w:color w:val="auto"/>
        </w:rPr>
        <w:t>” means the Owned Intellectual Property, Intellectual Property subject to any IP Licenses and any other Intellectual Property used or held for use by the Companies.</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Payment Programs</w:t>
      </w:r>
      <w:r>
        <w:rPr>
          <w:rFonts w:ascii="Arial" w:cs="Arial" w:eastAsia="Arial" w:hAnsi="Arial"/>
          <w:sz w:val="22"/>
          <w:szCs w:val="22"/>
          <w:color w:val="auto"/>
        </w:rPr>
        <w:t>” means: (a) Governmental Payment Programs in which any Company is enrolled or from which a Company receives reimbursement; and (b) other managed care contracts, participation agreements or other billing arrangements with insurance providers or other third party payers pursuant to which any Company receives reimbursement for healthcare services.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4" w:name="page115"/>
    <w:bookmarkEnd w:id="114"/>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Companies’ Knowledge</w:t>
      </w:r>
      <w:r>
        <w:rPr>
          <w:rFonts w:ascii="Arial" w:cs="Arial" w:eastAsia="Arial" w:hAnsi="Arial"/>
          <w:sz w:val="22"/>
          <w:szCs w:val="22"/>
          <w:color w:val="auto"/>
        </w:rPr>
        <w:t>” means the actual knowledge of James Vannelle, Brad Daugherty and Shannon Vannelle after reasonable inquiry of their direct reports.</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contract, agreement, lease, license, or other legally binding instrument or obligation, whether written or oral.</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w:t>
      </w:r>
      <w:r>
        <w:rPr>
          <w:rFonts w:ascii="Arial" w:cs="Arial" w:eastAsia="Arial" w:hAnsi="Arial"/>
          <w:sz w:val="22"/>
          <w:szCs w:val="22"/>
          <w:color w:val="auto"/>
        </w:rPr>
        <w:t>” means SARS-CoV-2 or COVID-19, and any evolutions thereof or related or associated epidemics, pandemics or disease outbreaks.</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 Measures</w:t>
      </w:r>
      <w:r>
        <w:rPr>
          <w:rFonts w:ascii="Arial" w:cs="Arial" w:eastAsia="Arial" w:hAnsi="Arial"/>
          <w:sz w:val="22"/>
          <w:szCs w:val="22"/>
          <w:color w:val="auto"/>
        </w:rPr>
        <w:t>” means any quarantine, “shelter in place”, “stay at home”, workforce reduction, social distancing, shut down, closure, sequester or any other Law, Order, directive, or guidelines by any Governmental Entity in connection with or in response to COVID-19, including, but not limited to, the Coronavirus Aid, Relief, and Economic Security Act.</w:t>
      </w:r>
    </w:p>
    <w:p>
      <w:pPr>
        <w:spacing w:after="0" w:line="185" w:lineRule="exact"/>
        <w:rPr>
          <w:sz w:val="20"/>
          <w:szCs w:val="20"/>
          <w:color w:val="auto"/>
        </w:rPr>
      </w:pPr>
    </w:p>
    <w:p>
      <w:pPr>
        <w:jc w:val="both"/>
        <w:ind w:firstLine="864"/>
        <w:spacing w:after="0" w:line="245"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Privacy and Security Laws</w:t>
      </w:r>
      <w:r>
        <w:rPr>
          <w:rFonts w:ascii="Arial" w:cs="Arial" w:eastAsia="Arial" w:hAnsi="Arial"/>
          <w:sz w:val="19"/>
          <w:szCs w:val="19"/>
          <w:color w:val="auto"/>
        </w:rPr>
        <w:t>” means all Laws governing, regulating or protecting the privacy, security, use, disclosure, maintenance or transmission of Personal Information, including without limitation: (a) HIPAA, (b) the Information Blocking Rules, (c) applicable state data breach notification laws, applicable state health information privacy laws, state laws governing the use of electronic communications (e.g., email, text messaging, telephone, paging and faxing, applicable state laws governing the use of information collected online, applicable state laws requiring privacy disclosures to consumers, state laws vesting individuals with rights in or regarding data about such individuals and the use of such data, and state laws regarding the safeguarding or security of data, including encryption), (d) the Federal Trade Commission Act, (e) the Fair Credit Reporting Act (FCRA) of 1970, as amended, (f) the Gramm-Leach-Bliley Act, the Privacy Act of 1974, (g) the Controlling the Assault of Non-Solicited Pornography and Marketing Act (CAN</w:t>
      </w:r>
      <w:r>
        <w:rPr>
          <w:rFonts w:ascii="MS PGothic" w:cs="MS PGothic" w:eastAsia="MS PGothic" w:hAnsi="MS PGothic"/>
          <w:sz w:val="19"/>
          <w:szCs w:val="19"/>
          <w:color w:val="auto"/>
        </w:rPr>
        <w:t>‑</w:t>
      </w:r>
      <w:r>
        <w:rPr>
          <w:rFonts w:ascii="Arial" w:cs="Arial" w:eastAsia="Arial" w:hAnsi="Arial"/>
          <w:sz w:val="19"/>
          <w:szCs w:val="19"/>
          <w:color w:val="auto"/>
        </w:rPr>
        <w:t>SPAM Act), (h) the Telephone Consumer Protection Act (TCPA), (i) the Telecommunications Act of 1996, as amended, (j) the Children’s Online Privacy Protection Act (COPPA), (k) the Personal Information Protection and Electronic Documents Act (PIPEDA), (l) the Payment Card Industry Data Security Standards (PCI</w:t>
      </w:r>
      <w:r>
        <w:rPr>
          <w:rFonts w:ascii="MS PGothic" w:cs="MS PGothic" w:eastAsia="MS PGothic" w:hAnsi="MS PGothic"/>
          <w:sz w:val="19"/>
          <w:szCs w:val="19"/>
          <w:color w:val="auto"/>
        </w:rPr>
        <w:t>‑</w:t>
      </w:r>
      <w:r>
        <w:rPr>
          <w:rFonts w:ascii="Arial" w:cs="Arial" w:eastAsia="Arial" w:hAnsi="Arial"/>
          <w:sz w:val="19"/>
          <w:szCs w:val="19"/>
          <w:color w:val="auto"/>
        </w:rPr>
        <w:t>DSS), and (m) the Americans with Disabilities Act (ADA) and the Web Content Accessibility Guidelines (WCAG).</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Data Room</w:t>
      </w:r>
      <w:r>
        <w:rPr>
          <w:rFonts w:ascii="Arial" w:cs="Arial" w:eastAsia="Arial" w:hAnsi="Arial"/>
          <w:sz w:val="19"/>
          <w:szCs w:val="19"/>
          <w:color w:val="auto"/>
        </w:rPr>
        <w:t>” means the electronic documentation site established through Datasite under the folder name “Project: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Royal” on behalf of the Companies.</w:t>
      </w:r>
    </w:p>
    <w:p>
      <w:pPr>
        <w:spacing w:after="0" w:line="18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w:t>
      </w:r>
      <w:r>
        <w:rPr>
          <w:rFonts w:ascii="Arial" w:cs="Arial" w:eastAsia="Arial" w:hAnsi="Arial"/>
          <w:sz w:val="22"/>
          <w:szCs w:val="22"/>
          <w:color w:val="auto"/>
        </w:rPr>
        <w:t>” means the disclosure schedule delivered by Seller and the Companies in connection with this Agreement.</w:t>
      </w:r>
    </w:p>
    <w:p>
      <w:pPr>
        <w:spacing w:after="0" w:line="175"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all foreign, federal, state, local, or provincial civil and criminal Laws relating to the protection of health (to the extent relating to exposure to Hazardous Materials) or the environment (including air, soil, surface water, or groundwater), or governing the handling, use, generation, treatment, storage, transportation, disposal, manufacture, distribution, formulation, packaging, labeling, or Release of or exposure to Hazardous Materials.</w:t>
      </w:r>
    </w:p>
    <w:p>
      <w:pPr>
        <w:spacing w:after="0" w:line="17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(a) any capital stock, share, partnership or membership interest, unit of participation, stock appreciation rights or other similar interest (however designated) in any Person, and (b) any option, appreciation right, warrant, purchase right, conversion right, exchange rights or other contractual obligation which would entitle any Person to acquire any such interest in such Person or otherwise entitle any Person to share in the equity, profit, earnings, losses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gains of such Person (including any stock appreciation, phantom stock, profit participation, profits interest or similar rights).</w:t>
      </w:r>
    </w:p>
    <w:p>
      <w:pPr>
        <w:spacing w:after="0" w:line="2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06"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Agent</w:t>
      </w:r>
      <w:r>
        <w:rPr>
          <w:rFonts w:ascii="Arial" w:cs="Arial" w:eastAsia="Arial" w:hAnsi="Arial"/>
          <w:sz w:val="22"/>
          <w:szCs w:val="22"/>
          <w:color w:val="auto"/>
        </w:rPr>
        <w:t>” means Wells Fargo Bank, National Association, or any successor as determined in accordance with the Escrow Agreement.</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Agreement</w:t>
      </w:r>
      <w:r>
        <w:rPr>
          <w:rFonts w:ascii="Arial" w:cs="Arial" w:eastAsia="Arial" w:hAnsi="Arial"/>
          <w:sz w:val="22"/>
          <w:szCs w:val="22"/>
          <w:color w:val="auto"/>
        </w:rPr>
        <w:t xml:space="preserve">” means the escrow agreement among Purchaser, Seller, and Escrow Agent dated the Closing Date, substantially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Escrow Fund</w:t>
      </w:r>
      <w:r>
        <w:rPr>
          <w:rFonts w:ascii="Arial" w:cs="Arial" w:eastAsia="Arial" w:hAnsi="Arial"/>
          <w:sz w:val="22"/>
          <w:szCs w:val="22"/>
          <w:color w:val="auto"/>
        </w:rPr>
        <w:t>” means all funds held by the Escrow Agent pursuant to the Escrow Agreement.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Healthcare Programs</w:t>
      </w:r>
      <w:r>
        <w:rPr>
          <w:rFonts w:ascii="Arial" w:cs="Arial" w:eastAsia="Arial" w:hAnsi="Arial"/>
          <w:sz w:val="22"/>
          <w:szCs w:val="22"/>
          <w:color w:val="auto"/>
        </w:rPr>
        <w:t>” has the meaning ascribed to that term in 42 U.S.C. § 1320a-7b(f).</w:t>
      </w:r>
    </w:p>
    <w:p>
      <w:pPr>
        <w:spacing w:after="0" w:line="9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Cash</w:t>
      </w:r>
      <w:r>
        <w:rPr>
          <w:rFonts w:ascii="Arial" w:cs="Arial" w:eastAsia="Arial" w:hAnsi="Arial"/>
          <w:sz w:val="22"/>
          <w:szCs w:val="22"/>
          <w:color w:val="auto"/>
        </w:rPr>
        <w:t xml:space="preserve">” means Closing Cash as finally determined pursuant to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Indebtedness</w:t>
      </w:r>
      <w:r>
        <w:rPr>
          <w:rFonts w:ascii="Arial" w:cs="Arial" w:eastAsia="Arial" w:hAnsi="Arial"/>
          <w:sz w:val="22"/>
          <w:szCs w:val="22"/>
          <w:color w:val="auto"/>
        </w:rPr>
        <w:t xml:space="preserve">” means Closing Indebtedness as finally determined pursuant to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Net Working Capital</w:t>
      </w:r>
      <w:r>
        <w:rPr>
          <w:rFonts w:ascii="Arial" w:cs="Arial" w:eastAsia="Arial" w:hAnsi="Arial"/>
          <w:sz w:val="22"/>
          <w:szCs w:val="22"/>
          <w:color w:val="auto"/>
        </w:rPr>
        <w:t xml:space="preserve">” means Net Working Capital as finally determined pursuant to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Transaction Expenses</w:t>
      </w:r>
      <w:r>
        <w:rPr>
          <w:rFonts w:ascii="Arial" w:cs="Arial" w:eastAsia="Arial" w:hAnsi="Arial"/>
          <w:sz w:val="19"/>
          <w:szCs w:val="19"/>
          <w:color w:val="auto"/>
        </w:rPr>
        <w:t xml:space="preserve">” means Closing Transaction Expenses as finally determined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241"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Fraud</w:t>
      </w:r>
      <w:r>
        <w:rPr>
          <w:rFonts w:ascii="Arial" w:cs="Arial" w:eastAsia="Arial" w:hAnsi="Arial"/>
          <w:sz w:val="22"/>
          <w:szCs w:val="22"/>
          <w:color w:val="auto"/>
        </w:rPr>
        <w:t xml:space="preserve">” means, with respect to any Party, fraud (as determined under the laws of the State of Delaware) with respect to any representation or warranty by such Party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w:t>
      </w:r>
      <w:r>
        <w:rPr>
          <w:rFonts w:ascii="Arial" w:cs="Arial" w:eastAsia="Arial" w:hAnsi="Arial"/>
          <w:sz w:val="22"/>
          <w:szCs w:val="22"/>
          <w:color w:val="auto"/>
        </w:rPr>
        <w:t>. For the avoidance of doubt, the term “Fraud” does not include any clam for equitable fraud, promissory fraud, unfair dealings fraud, or any torts (including a claim for fraud) based on negligence.</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U.S. generally accepted accounting principles, as in effect from time to time, applied in a manner consistent with the Companies’ past practice.</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any federal, state, local, or foreign governmental or regulatory (including stock exchange) authority, agency, court, commission, department, arbitration panel or other governmental body, and any court, agency, instrumentality, regulatory commission or other entity exercising executive, legislative, judicial, regulatory or administrative functions of government.</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Payment Program</w:t>
      </w:r>
      <w:r>
        <w:rPr>
          <w:rFonts w:ascii="Arial" w:cs="Arial" w:eastAsia="Arial" w:hAnsi="Arial"/>
          <w:sz w:val="22"/>
          <w:szCs w:val="22"/>
          <w:color w:val="auto"/>
        </w:rPr>
        <w:t>” means the Medicare, Medicaid and CHAMPUS/TRICARE programs as well as all other Federal Healthcare Programs.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6" w:name="page117"/>
    <w:bookmarkEnd w:id="116"/>
    <w:p>
      <w:pPr>
        <w:jc w:val="both"/>
        <w:ind w:firstLine="864"/>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petroleum, petroleum hydrocarbons, or petroleum products, petroleum by-products, radioactive materials, medical waste, asbestos or asbestos-containing materials, pesticides, radon, urea formaldehyde, toxic mold, lead or lead-containing materials, polychlorinated biphenyls, and any other chemicals, materials, substances, or wastes in any amount or concentration that are included in the definition of “hazardous substances,” “hazardous materials,” “hazardous wastes,” “extremely hazardous wastes,” “restricted hazardous wastes,” “toxic substances,” “toxic pollutants,” “pollutants,” “regulated substances,” “solid wastes,” “contaminants,” or words of similar import or that are regulated under or for which liability would reasonably be expected to be imposed under any applicable Environmental Law.</w:t>
      </w:r>
    </w:p>
    <w:p>
      <w:pPr>
        <w:spacing w:after="0" w:line="15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Health Care Laws</w:t>
      </w:r>
      <w:r>
        <w:rPr>
          <w:rFonts w:ascii="Arial" w:cs="Arial" w:eastAsia="Arial" w:hAnsi="Arial"/>
          <w:sz w:val="19"/>
          <w:szCs w:val="19"/>
          <w:color w:val="auto"/>
        </w:rPr>
        <w:t>” means those Laws that are generally applicable to healthcare operations of the entities providing the same or similar services as the business conducted by the Companies, including: (i) health care licensure, permit, certificate of need and medical waste requirements; (ii) Titles XVIII, XIX and XXI of the Social Security Act; (iii) the Ethics in Patient Referrals Act, 42 U.S.C. §1395nn and the regulations promulgated thereunder (the “Stark Law”); (iv) the Data Privacy and Security Laws; (v) Laws governing Governmental Payment Programs; (vi) the Civil False Claims Act, 31 U.S.C. §§3729 et seq.;</w:t>
      </w:r>
    </w:p>
    <w:p>
      <w:pPr>
        <w:spacing w:after="0" w:line="4" w:lineRule="exact"/>
        <w:rPr>
          <w:sz w:val="20"/>
          <w:szCs w:val="20"/>
          <w:color w:val="auto"/>
        </w:rPr>
      </w:pPr>
    </w:p>
    <w:p>
      <w:pPr>
        <w:jc w:val="both"/>
        <w:ind w:firstLine="8"/>
        <w:spacing w:after="0" w:line="266" w:lineRule="auto"/>
        <w:tabs>
          <w:tab w:leader="none" w:pos="437"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Criminal False Claims Act, 18 U.S.C. §287; (viii) the False Statements Relating to Health Care Matters Act, 18 U.S.C. §1035; (ix) the Health Care Fraud Act, 18 U.S.C. §1347; (x) Patient Protection and Affordable Care Act, Public Law 111-148 and 111-152; (xi) the provisions of 42 U.S.C. §1320a-7b, et. seq., including the Federal Health Care Program Anti-Kickback Statute;</w:t>
      </w:r>
    </w:p>
    <w:p>
      <w:pPr>
        <w:spacing w:after="0" w:line="2" w:lineRule="exact"/>
        <w:rPr>
          <w:rFonts w:ascii="Arial" w:cs="Arial" w:eastAsia="Arial" w:hAnsi="Arial"/>
          <w:sz w:val="19"/>
          <w:szCs w:val="19"/>
          <w:color w:val="auto"/>
        </w:rPr>
      </w:pPr>
    </w:p>
    <w:p>
      <w:pPr>
        <w:jc w:val="both"/>
        <w:ind w:firstLine="8"/>
        <w:spacing w:after="0" w:line="266" w:lineRule="auto"/>
        <w:tabs>
          <w:tab w:leader="none" w:pos="451"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Program Fraud Civil Remedies Act, 35 U.S.C. §§ 3801-3812; (xiii) the Civil Monetary Penalties Law, 42 U.S.C. §§ 1320a-7a and 1320a-7b; (xiv) the Exclusion Laws, 42 U.S.C. § 1320a-7; (xv) the Beneficiary Inducement Statute, 42 U.S.C. § 1320a-7a(a)(5); (xvi) Laws governing the use, dispensing and disposal of controlled substances and other pharmaceuticals, including the Controlled Substances Act, 21 U.S.C. § 801; (xvii) the Physician Payment Sunshine Act, 42 U.S.C. § 1320a-7h;</w:t>
      </w:r>
    </w:p>
    <w:p>
      <w:pPr>
        <w:spacing w:after="0" w:line="3" w:lineRule="exact"/>
        <w:rPr>
          <w:rFonts w:ascii="Arial" w:cs="Arial" w:eastAsia="Arial" w:hAnsi="Arial"/>
          <w:sz w:val="19"/>
          <w:szCs w:val="19"/>
          <w:color w:val="auto"/>
        </w:rPr>
      </w:pPr>
    </w:p>
    <w:p>
      <w:pPr>
        <w:jc w:val="both"/>
        <w:ind w:firstLine="8"/>
        <w:spacing w:after="0" w:line="233" w:lineRule="auto"/>
        <w:tabs>
          <w:tab w:leader="none" w:pos="602"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HITECH Act; (xix) state Laws concerning matters similar to those above; and (xx) all applicable Laws relating to the provision of, or billing, payment or reimbursement for, health care items or services, health care information, medical documentation and retention, medical privacy and security, professional conduct, standard of care, informed consent, quality and safety, mandated reporting, healthcare advertising and marketing.</w:t>
      </w:r>
    </w:p>
    <w:p>
      <w:pPr>
        <w:spacing w:after="0" w:line="18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Healthcare Operating Agreements</w:t>
      </w:r>
      <w:r>
        <w:rPr>
          <w:rFonts w:ascii="Arial" w:cs="Arial" w:eastAsia="Arial" w:hAnsi="Arial"/>
          <w:sz w:val="22"/>
          <w:szCs w:val="22"/>
          <w:color w:val="auto"/>
        </w:rPr>
        <w:t>” means, with respect to the Companies, all management agreements, loan and security agreements, stock or membership interest transfer agreements, consulting agreements, affiliate service agreements, business associate agreements, employment agreements, personal service agreements, employee lease agreements, billing agent agreements, and physician, other clinician or other professional services provider Contracts, as the same may from time to time be amended, restated, supplemented, renewed, or modified.</w:t>
      </w:r>
    </w:p>
    <w:p>
      <w:pPr>
        <w:spacing w:after="0" w:line="187"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HIPAA</w:t>
      </w:r>
      <w:r>
        <w:rPr>
          <w:rFonts w:ascii="Arial" w:cs="Arial" w:eastAsia="Arial" w:hAnsi="Arial"/>
          <w:sz w:val="22"/>
          <w:szCs w:val="22"/>
          <w:color w:val="auto"/>
        </w:rPr>
        <w:t>” means the Health Insurance Portability and Accountability Act of 1996, as amended from time to time, and the implementing regulations at 45 CFR Parts 160 and 164, as amended by the Health Information Technology for Economic and Clinical Health Act of 2009.</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 and the rules and regulations promulgated thereunder.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7" w:name="page118"/>
    <w:bookmarkEnd w:id="117"/>
    <w:p>
      <w:pPr>
        <w:jc w:val="both"/>
        <w:ind w:firstLine="86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means, with respect to any Person, without duplication: (a) all indebtedness of such Person for borrowed money, including all outstanding principal and premium, prepayments (and prepayment penalties), and accrued and unpaid interest, (b) all obligations of such Person evidenced by bonds, debentures, notes, or other similar instruments, (c) all obligations of such Person under leases required to be capitalized by GAAP (other than as to be required by the Financial Accounting Standards Board’s Accounting Standards Update (ASU) 2016-02, Leases-Topic 842), (d) all obligations for the reimbursement of any obligor on any letter of credit, banker’s acceptance, or similar transaction, but only to the extent the same has been drawn or called, (e) all obligations of such Person for the deferred purchase price of property or assets, as well as any interest or other premium accrued thereon, (f) all indebtedness of such Person created or arising under any conditional sale or other title retention agreement with respect to property acquired (even though the rights and remedies of the seller or lender under such agreement in the event of default are limited to repossession or sale of such property), as well as any interest or other premium accrued thereon, (g) any Accrued Identified Taxes, (h) guarantees in respect of Indebtedness referred to in clauses (a) through (g) above, (i) any amendment, supplement, modification, deferral, renewal, extension, refunding, or refinancing of any liability of the types referred to in clauses (a) through (h)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Indebtedness will not include (i) any accounts payable incurred in the ordinary course of business or any obligations under undrawn letters of credit, bonds, banker’s acceptance, or similar transactions, (ii) any Transaction Expenses, (iii) any of the items in the foregoing clauses of this definition to the extent such items are included in the calculation of Net Working Capital, or (iv) any intercompany obligations, payables, or loans of any kind or nature between or among the Companies and/or Seller.</w:t>
      </w:r>
    </w:p>
    <w:p>
      <w:pPr>
        <w:spacing w:after="0" w:line="168"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means any and all rights in, arising out of, or associated with any of the following in any jurisdiction throughout the world: (a) patents and patent applications, (b) registered and unregistered trademarks and service marks, including pending registrations and applications thereof, and all goodwill arising from the foregoing, (c) trade names, trade dress, corporate names, and other indicia of source, (d) registered and unregistered copyrights, including applications and registrations thereof, (e) Internet domain names, social media accounts and usernames (including “handles”) (whether or not they are trademarks), and other computer identifiers, and all content and data thereon and relating thereto, (f) Trade Secrets, databases, protocols and know-how; and (g) any and all other intellectual property rights and/or proprietary rights in any form or medium known or later devised.</w:t>
      </w:r>
    </w:p>
    <w:p>
      <w:pPr>
        <w:spacing w:after="0" w:line="180"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Licenses</w:t>
      </w:r>
      <w:r>
        <w:rPr>
          <w:rFonts w:ascii="Arial" w:cs="Arial" w:eastAsia="Arial" w:hAnsi="Arial"/>
          <w:sz w:val="22"/>
          <w:szCs w:val="22"/>
          <w:color w:val="auto"/>
        </w:rPr>
        <w:t>” means collectively (1) all licenses, sublicenses, and other Contracts related to the use of Intellectual Property to which a Company is a party, and (2) any Contracts pursuant to which a Company has agreed to any transfer of any Owned Intellectual Property by either Company or restriction of such Company’s right to use or enforce any Owned Intellectual Property.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Employee</w:t>
      </w:r>
      <w:r>
        <w:rPr>
          <w:rFonts w:ascii="Arial" w:cs="Arial" w:eastAsia="Arial" w:hAnsi="Arial"/>
          <w:sz w:val="22"/>
          <w:szCs w:val="22"/>
          <w:color w:val="auto"/>
        </w:rPr>
        <w:t>” means each of James Vannelle and Brad Daugherty.</w:t>
      </w:r>
    </w:p>
    <w:p>
      <w:pPr>
        <w:spacing w:after="0" w:line="206" w:lineRule="exact"/>
        <w:rPr>
          <w:sz w:val="20"/>
          <w:szCs w:val="20"/>
          <w:color w:val="auto"/>
        </w:rPr>
      </w:pPr>
    </w:p>
    <w:p>
      <w:pPr>
        <w:jc w:val="both"/>
        <w:ind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statute, common law, treaty, directive, ordinance, law, rule, regulation, code, constitution, decree, or other legally-enforceable requirement of any Governmental Entity including, without limitation, the Health Care Laws.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8" w:name="page119"/>
    <w:bookmarkEnd w:id="118"/>
    <w:p>
      <w:pPr>
        <w:jc w:val="both"/>
        <w:ind w:right="20" w:firstLine="864"/>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charge, claim, lien (statutory or otherwise), pledge, option, mortgage, deed of trust, security interest, easement, encumbrance, encroachment, right of way, right of first refusal, or restriction of any kind, including any restriction on use, voting, transfer, receipt of income or exercise of any other attribute of ownership.</w:t>
      </w:r>
    </w:p>
    <w:p>
      <w:pPr>
        <w:spacing w:after="0" w:line="169"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Lookback Date</w:t>
      </w:r>
      <w:r>
        <w:rPr>
          <w:rFonts w:ascii="Arial" w:cs="Arial" w:eastAsia="Arial" w:hAnsi="Arial"/>
          <w:sz w:val="22"/>
          <w:szCs w:val="22"/>
          <w:color w:val="auto"/>
        </w:rPr>
        <w:t xml:space="preserve">” means, with respect to Queen City only, four (4) years prior to the date hereof, other than with respect to the representations and warranties contained in </w:t>
      </w:r>
      <w:r>
        <w:rPr>
          <w:rFonts w:ascii="Arial" w:cs="Arial" w:eastAsia="Arial" w:hAnsi="Arial"/>
          <w:sz w:val="22"/>
          <w:szCs w:val="22"/>
          <w:u w:val="single" w:color="auto"/>
          <w:color w:val="auto"/>
        </w:rPr>
        <w:t>Section 3.9</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3.10</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3.15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3.17</w:t>
      </w:r>
      <w:r>
        <w:rPr>
          <w:rFonts w:ascii="Arial" w:cs="Arial" w:eastAsia="Arial" w:hAnsi="Arial"/>
          <w:sz w:val="22"/>
          <w:szCs w:val="22"/>
          <w:color w:val="auto"/>
        </w:rPr>
        <w:t>, in which case the “Lookback Date” means, with respect to Queen City only, five (5) years prior to the date hereof, and with respect to Miracle City only, September 16, 2020.</w:t>
      </w:r>
    </w:p>
    <w:p>
      <w:pPr>
        <w:spacing w:after="0" w:line="185"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any change, development, or occurrence, that (1) is, or would reasonably be expected to be, individually or in the aggregate, materially adverse to the business, financial condition, or results of operations of the Companies taken as a whole, or (2) materially impairs the ability of Seller or Companies to consummate the transactions contemplated hereby, in each case other than any change, development, or occurrence (either individually or in combination) that results from (a) changes in general United States or global economic or political conditions or the financing, banking, securities, currency, or capital, syndicated loan, credit or financial markets, including changes in interest or exchange rates, (b) changes in Laws or Orders or interpretations thereof or changes in accounting requirements or principles or any other change or effect arising out of or relating to any Action or Order, (c) changes affecting industries, markets, or geographical areas in which any Company conducts its business, (d) the negotiation, execution, announcement, pendency, or performance of this Agreement or the transactions contemplated hereby, the announcement of the identity of Purchaser, or any communication by Purchaser or any of its Affiliates of their plans or intentions (including in respect of employees) with respect to any of the businesses of the Companies, including losses or threatened losses of, or any adverse change in the relationship, contractual or otherwise, with employees, independent contractors, customers, clients, patients, suppliers, distributors, financing sources, joint venture partners, licensors, licensees, or others having relationships with the Companies, (e) the consummation of the transactions contemplated by this Agreement, (f) actions or omissions to act by either Company taken or omitted (as applicable) with the written consent of Purchaser or as contemplated by this Agreement, (g) any war (whether or not declared), sabotage, acts of terrorism, military action, armed hostilities, earthquakes, hurricanes or other natural disasters, epidemics, pandemics, or disease outbreaks (including COVID-19) or orders or guidance of any Governmental Entity relating thereto, civil unrest or protests, or any other force majeure event, or any escalation or intensification thereof, whether or not caused by any Person, or any national or international calamity or crisis and whether or not occurring or commenced before or after the date of this Agreement, (h) any action required to be taken under any Law or Order by which either Company (or any of their respective properties) is bound, (i) any failure, in and of itself, by the Companies or either Company to meet any internal projections or forecasts (as distinguished from any change, development, or occurrence giving rise or contributing to such failure), or (j) any material breach of Purchaser’s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the foregoing clauses (a), (b), (c), and (g), to the extent that any such change, development, or occurrence has a materially disproportionate adverse effect on the Companies, taken as a whole, relative to other companies in the industry in which the Companies operate. For the avoidance of doubt, a “Material Adverse Effect” will be measured only against past performance of Seller and the Companies and not against any Forward Looking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9" w:name="page120"/>
    <w:bookmarkEnd w:id="119"/>
    <w:p>
      <w:pPr>
        <w:jc w:val="both"/>
        <w:ind w:firstLine="864"/>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Working Capital</w:t>
      </w:r>
      <w:r>
        <w:rPr>
          <w:rFonts w:ascii="Arial" w:cs="Arial" w:eastAsia="Arial" w:hAnsi="Arial"/>
          <w:sz w:val="19"/>
          <w:szCs w:val="19"/>
          <w:color w:val="auto"/>
        </w:rPr>
        <w:t xml:space="preserve">” means, as of the Effective Time, the consolidated net working capital of the Companies as determined in accordance with the methodology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Net Working Capital Methodology</w:t>
      </w:r>
      <w:r>
        <w:rPr>
          <w:rFonts w:ascii="Arial" w:cs="Arial" w:eastAsia="Arial" w:hAnsi="Arial"/>
          <w:sz w:val="19"/>
          <w:szCs w:val="19"/>
          <w:color w:val="auto"/>
        </w:rPr>
        <w:t>”) and the Agreed Accounting Principles without the introduction of new or different accounting methods, policies, practices, procedures, classifications, judgments, or estimation methodologies from the Agreed Accounting Principles. For the avoidance of doubt, the determination of Net Working Capital (a) will take into account only those components (</w:t>
      </w:r>
      <w:r>
        <w:rPr>
          <w:rFonts w:ascii="Arial" w:cs="Arial" w:eastAsia="Arial" w:hAnsi="Arial"/>
          <w:sz w:val="19"/>
          <w:szCs w:val="19"/>
          <w:i w:val="1"/>
          <w:iCs w:val="1"/>
          <w:color w:val="auto"/>
        </w:rPr>
        <w:t>i.e.</w:t>
      </w:r>
      <w:r>
        <w:rPr>
          <w:rFonts w:ascii="Arial" w:cs="Arial" w:eastAsia="Arial" w:hAnsi="Arial"/>
          <w:sz w:val="19"/>
          <w:szCs w:val="19"/>
          <w:color w:val="auto"/>
        </w:rPr>
        <w:t>, only those line items) and adjustments reflected on the Net Working Capital Methodology and (b) will not take into account any current or deferred income Tax liabilities, any Accrued Identified Taxes or any items included in the calculation of Indebtedness or Transaction Expenses.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Working Capital Methodology</w:t>
      </w:r>
      <w:r>
        <w:rPr>
          <w:rFonts w:ascii="Arial" w:cs="Arial" w:eastAsia="Arial" w:hAnsi="Arial"/>
          <w:sz w:val="22"/>
          <w:szCs w:val="22"/>
          <w:color w:val="auto"/>
        </w:rPr>
        <w:t>” has the meaning set forth in the definition of Net Working Capital.</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Working Capital Target</w:t>
      </w:r>
      <w:r>
        <w:rPr>
          <w:rFonts w:ascii="Arial" w:cs="Arial" w:eastAsia="Arial" w:hAnsi="Arial"/>
          <w:sz w:val="22"/>
          <w:szCs w:val="22"/>
          <w:color w:val="auto"/>
        </w:rPr>
        <w:t>” means $2,489,000.00.</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OIG</w:t>
      </w:r>
      <w:r>
        <w:rPr>
          <w:rFonts w:ascii="Arial" w:cs="Arial" w:eastAsia="Arial" w:hAnsi="Arial"/>
          <w:sz w:val="21"/>
          <w:szCs w:val="21"/>
          <w:color w:val="auto"/>
        </w:rPr>
        <w:t>” means the Office of Inspector General of the United States Department of Health and Human Services.</w:t>
      </w:r>
    </w:p>
    <w:p>
      <w:pPr>
        <w:spacing w:after="0" w:line="21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order, writ, judgment, injunction, decree, stipulation, determination or award by, with or of any Governmental Entity.</w:t>
      </w:r>
    </w:p>
    <w:p>
      <w:pPr>
        <w:spacing w:after="0" w:line="17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Organizational Documents</w:t>
      </w:r>
      <w:r>
        <w:rPr>
          <w:rFonts w:ascii="Arial" w:cs="Arial" w:eastAsia="Arial" w:hAnsi="Arial"/>
          <w:sz w:val="19"/>
          <w:szCs w:val="19"/>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articles or certificate of formation or organization and limited liability company or operating agreement of a limited liability company, (e) any charter or similar document adopted or filed in connection with the creation, formation, or organization of a Person, and (f) any amendment to any of the foregoing.</w:t>
      </w:r>
    </w:p>
    <w:p>
      <w:pPr>
        <w:spacing w:after="0" w:line="14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all permits, licenses, certificates, enrollments, franchises, permissions, grants, waivers, exemptions, clearances, registrations, qualifications, approvals, provider numbers and agreements, accreditations, certifications, authorizations, variances, and consents issued, granted, given, or otherwise made available by or under the authority of any Governmental Entity, together with any accreditation issued by any Person having deeming authority for purposes of Federal Healthcare Programs.</w:t>
      </w:r>
    </w:p>
    <w:p>
      <w:pPr>
        <w:spacing w:after="0" w:line="18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w:t>
      </w:r>
      <w:r>
        <w:rPr>
          <w:rFonts w:ascii="Arial" w:cs="Arial" w:eastAsia="Arial" w:hAnsi="Arial"/>
          <w:sz w:val="19"/>
          <w:szCs w:val="19"/>
          <w:color w:val="auto"/>
        </w:rPr>
        <w:t>” means (a) Liens for Taxes, assessments, or other governmental charges not yet due and payable, or the amount or validity of which is being contested in good faith by appropriate proceedings for which adequate reserves have been established, (b) statutory Liens of landlords securing rental payments under leases that are not delinquent, (c) Liens of carriers, warehousemen, mechanics, materialmen, and repairmen and similar statutory Liens arising or incurred in the ordinary course of business that are not overdue for a period of more than sixty (60) days, (d) zoning, building, and other restrictions, variances, covenants, rights of way, encumbrances, easements, and irregularities in title that would not reasonably be expected to have a Material Adverse Effect, (e) public roads and highways, (f) any interest or title of a lessor under an operating lease or capitalized lease, (g) Liens arising under original purchase price conditional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0" w:name="page121"/>
    <w:bookmarkEnd w:id="120"/>
    <w:p>
      <w:pPr>
        <w:jc w:val="both"/>
        <w:spacing w:after="0" w:line="252" w:lineRule="auto"/>
        <w:rPr>
          <w:sz w:val="20"/>
          <w:szCs w:val="20"/>
          <w:color w:val="auto"/>
        </w:rPr>
      </w:pPr>
      <w:r>
        <w:rPr>
          <w:rFonts w:ascii="Arial" w:cs="Arial" w:eastAsia="Arial" w:hAnsi="Arial"/>
          <w:sz w:val="21"/>
          <w:szCs w:val="21"/>
          <w:color w:val="auto"/>
        </w:rPr>
        <w:t xml:space="preserve">sales contracts and equipment leases with third parties, (h) Liens arising under worker’s compensation, unemployment insurance, social security, retirement, and similar legislation, (i) Liens created by Purchaser, its Affiliates or representatives, or their successors or permitted assigns, and (j) Liens that will be terminated upon consummation of the transactions contemplated by this Agreement, and (k) any Liens identified on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attached hereto.</w:t>
      </w:r>
    </w:p>
    <w:p>
      <w:pPr>
        <w:spacing w:after="0" w:line="17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any Governmental Entity, and any entity the separate existence of which is recognized by any Governmental Entity, including corporations, limited liability companies, partnerships, limited liability partnerships, joint ventures, joint stock companies, trusts, estates, companies, and associations, whether organized for profit or otherwise.</w:t>
      </w:r>
    </w:p>
    <w:p>
      <w:pPr>
        <w:spacing w:after="0" w:line="18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Personal Information</w:t>
      </w:r>
      <w:r>
        <w:rPr>
          <w:rFonts w:ascii="Arial" w:cs="Arial" w:eastAsia="Arial" w:hAnsi="Arial"/>
          <w:sz w:val="21"/>
          <w:szCs w:val="21"/>
          <w:color w:val="auto"/>
        </w:rPr>
        <w:t>” means any information processed, collected or otherwise used or disclosed by a Company (or any third party on behalf of a Company) that identifies a specific natural person, or when used in combination with other data elements is capable of identifying a specific natural person, including, without limitation: (a) a natural person’s first and last name, in combination with a (i) social security number or tax identification number, or (ii) credit card number, bank account information and other financial account information, or financial customer or account numbers, account access codes and passwords; or (b) “Protected Health Information” as defined under HIPAA; or (c) any information pertaining to an individual that is regulated or protected by one or more Data Privacy and Security Laws.</w:t>
      </w:r>
    </w:p>
    <w:p>
      <w:pPr>
        <w:spacing w:after="0" w:line="18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 period that ends on or prior to the Closing Date and the portion of any Straddle Period ending on the Closing Date.</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PRF Qualified Expenditures Amount</w:t>
      </w:r>
      <w:r>
        <w:rPr>
          <w:rFonts w:ascii="Arial" w:cs="Arial" w:eastAsia="Arial" w:hAnsi="Arial"/>
          <w:sz w:val="22"/>
          <w:szCs w:val="22"/>
          <w:color w:val="auto"/>
        </w:rPr>
        <w:t>” means the aggregate amount of qualified expenditures of the Companies relating to the Provider Relief Funds as set forth on the PRF Qualified Expenditures Schedule.</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PRF Qualified Expenditures Schedule</w:t>
      </w:r>
      <w:r>
        <w:rPr>
          <w:rFonts w:ascii="Arial" w:cs="Arial" w:eastAsia="Arial" w:hAnsi="Arial"/>
          <w:sz w:val="22"/>
          <w:szCs w:val="22"/>
          <w:color w:val="auto"/>
        </w:rPr>
        <w:t xml:space="preserve">” means the schedule delivered in connection with the execution of this Agreement and attached hereto as </w:t>
      </w:r>
      <w:r>
        <w:rPr>
          <w:rFonts w:ascii="Arial" w:cs="Arial" w:eastAsia="Arial" w:hAnsi="Arial"/>
          <w:sz w:val="22"/>
          <w:szCs w:val="22"/>
          <w:u w:val="single" w:color="auto"/>
          <w:color w:val="auto"/>
        </w:rPr>
        <w:t>Schedule 3</w:t>
      </w:r>
      <w:r>
        <w:rPr>
          <w:rFonts w:ascii="Arial" w:cs="Arial" w:eastAsia="Arial" w:hAnsi="Arial"/>
          <w:sz w:val="22"/>
          <w:szCs w:val="22"/>
          <w:color w:val="auto"/>
        </w:rPr>
        <w:t>, setting forth, in reasonable detail, the PRF Qualified Expenditures Amount, and which shall be accompanied by reasonable supporting documentation.</w:t>
      </w:r>
    </w:p>
    <w:p>
      <w:pPr>
        <w:spacing w:after="0" w:line="78"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Protected Health Information</w:t>
      </w:r>
      <w:r>
        <w:rPr>
          <w:rFonts w:ascii="Arial" w:cs="Arial" w:eastAsia="Arial" w:hAnsi="Arial"/>
          <w:sz w:val="22"/>
          <w:szCs w:val="22"/>
          <w:color w:val="auto"/>
        </w:rPr>
        <w:t>” means “protected health information” as defined at 45 CFR § 160.103, and any other individually identifiable health information created or maintained by or on behalf of the Companies that is regulated by one or more health information privacy laws.</w:t>
      </w:r>
    </w:p>
    <w:p>
      <w:pPr>
        <w:spacing w:after="0" w:line="186" w:lineRule="exact"/>
        <w:rPr>
          <w:sz w:val="20"/>
          <w:szCs w:val="20"/>
          <w:color w:val="auto"/>
        </w:rPr>
      </w:pPr>
    </w:p>
    <w:p>
      <w:pPr>
        <w:jc w:val="both"/>
        <w:ind w:right="20" w:firstLine="864"/>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Provider Relief Funds</w:t>
      </w:r>
      <w:r>
        <w:rPr>
          <w:rFonts w:ascii="Arial" w:cs="Arial" w:eastAsia="Arial" w:hAnsi="Arial"/>
          <w:sz w:val="19"/>
          <w:szCs w:val="19"/>
          <w:color w:val="auto"/>
        </w:rPr>
        <w:t>” means the funds received by Queen City from the U.S. federal Department of Health and Human Services (the “</w:t>
      </w:r>
      <w:r>
        <w:rPr>
          <w:rFonts w:ascii="Arial" w:cs="Arial" w:eastAsia="Arial" w:hAnsi="Arial"/>
          <w:sz w:val="19"/>
          <w:szCs w:val="19"/>
          <w:u w:val="single" w:color="auto"/>
          <w:color w:val="auto"/>
        </w:rPr>
        <w:t>DHHS</w:t>
      </w:r>
      <w:r>
        <w:rPr>
          <w:rFonts w:ascii="Arial" w:cs="Arial" w:eastAsia="Arial" w:hAnsi="Arial"/>
          <w:sz w:val="19"/>
          <w:szCs w:val="19"/>
          <w:color w:val="auto"/>
        </w:rPr>
        <w:t>”) Provider Relief Fund under the CARES Act in the aggregate amount of $2,532,207.05.</w:t>
      </w:r>
    </w:p>
    <w:p>
      <w:pPr>
        <w:spacing w:after="0" w:line="105"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Provider Relief Fund Terms and Conditions</w:t>
      </w:r>
      <w:r>
        <w:rPr>
          <w:rFonts w:ascii="Arial" w:cs="Arial" w:eastAsia="Arial" w:hAnsi="Arial"/>
          <w:sz w:val="22"/>
          <w:szCs w:val="22"/>
          <w:color w:val="auto"/>
        </w:rPr>
        <w:t>” means the terms and conditions established by the DHHS for the receipt of the Provider Relief Funds.</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means any spilling, leaking, pumping, pouring, emitting, emptying, discharging, injecting, escaping, leaching, migrating, dumping, or disposing.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1" w:name="page122"/>
    <w:bookmarkEnd w:id="121"/>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RWI Policy</w:t>
      </w:r>
      <w:r>
        <w:rPr>
          <w:rFonts w:ascii="Arial" w:cs="Arial" w:eastAsia="Arial" w:hAnsi="Arial"/>
          <w:sz w:val="19"/>
          <w:szCs w:val="19"/>
          <w:color w:val="auto"/>
        </w:rPr>
        <w:t xml:space="preserve">” means a buyer-side representation and warranty insurance policy, in the form attached hereto as </w:t>
      </w:r>
      <w:r>
        <w:rPr>
          <w:rFonts w:ascii="Arial" w:cs="Arial" w:eastAsia="Arial" w:hAnsi="Arial"/>
          <w:sz w:val="19"/>
          <w:szCs w:val="19"/>
          <w:u w:val="single" w:color="auto"/>
          <w:color w:val="auto"/>
        </w:rPr>
        <w:t>Exhibit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w:t>
      </w:r>
      <w:r>
        <w:rPr>
          <w:rFonts w:ascii="Arial" w:cs="Arial" w:eastAsia="Arial" w:hAnsi="Arial"/>
          <w:sz w:val="22"/>
          <w:szCs w:val="22"/>
          <w:color w:val="auto"/>
        </w:rPr>
        <w:t>.</w:t>
      </w:r>
    </w:p>
    <w:p>
      <w:pPr>
        <w:spacing w:after="0" w:line="18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RWI Policy Binder Agreement</w:t>
      </w:r>
      <w:r>
        <w:rPr>
          <w:rFonts w:ascii="Arial" w:cs="Arial" w:eastAsia="Arial" w:hAnsi="Arial"/>
          <w:sz w:val="21"/>
          <w:szCs w:val="21"/>
          <w:color w:val="auto"/>
        </w:rPr>
        <w:t>” means that binder of insurance, confirmation of coverage, or similar document evidencing the terms and conditions on which the RWI Policy will be bound and under which it will be issued.</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 Health Authority</w:t>
      </w:r>
      <w:r>
        <w:rPr>
          <w:rFonts w:ascii="Arial" w:cs="Arial" w:eastAsia="Arial" w:hAnsi="Arial"/>
          <w:sz w:val="22"/>
          <w:szCs w:val="22"/>
          <w:color w:val="auto"/>
        </w:rPr>
        <w:t>” means the Ohio Department of Health for the State of Ohio, or any successor Governmental Entity exercising similar authority.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taxable period that begins before and ends after the Closing Date.</w:t>
      </w:r>
    </w:p>
    <w:p>
      <w:pPr>
        <w:spacing w:after="0" w:line="20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or “</w:t>
      </w:r>
      <w:r>
        <w:rPr>
          <w:rFonts w:ascii="Arial" w:cs="Arial" w:eastAsia="Arial" w:hAnsi="Arial"/>
          <w:sz w:val="19"/>
          <w:szCs w:val="19"/>
          <w:u w:val="single" w:color="auto"/>
          <w:color w:val="auto"/>
        </w:rPr>
        <w:t>Subsidiaries</w:t>
      </w:r>
      <w:r>
        <w:rPr>
          <w:rFonts w:ascii="Arial" w:cs="Arial" w:eastAsia="Arial" w:hAnsi="Arial"/>
          <w:sz w:val="19"/>
          <w:szCs w:val="19"/>
          <w:color w:val="auto"/>
        </w:rPr>
        <w:t>” means, with respect to any Person, any other Person (a) more than fifty percent (50%) of whose outstanding shares or securities representing the right to vote for the election of directors or other managing authority of such other Person are owned or controlled, directly or indirectly, by such first Person or (b) which does not have outstanding shares or securities with such right to vote but more than fifty percent (50%) of whose ownership interest representing the right to make the decisions for such other Person is owned or controlled, directly or indirectly, by such first Person.</w:t>
      </w:r>
    </w:p>
    <w:p>
      <w:pPr>
        <w:spacing w:after="0" w:line="14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(i) any and all taxes and other charges in the nature of taxes, imposed by any taxing authority or other Governmental Entity, including taxes or other charges on, measured by, or with respect to income, franchise, windfall or other profits, gross receipts, property, sales, use, capital stock, payroll, employment, assessable payment under Section 4980H of the Code, social security, workers’ compensation, escheat, unclaimed property, unemployment compensation or net worth; and taxes or other charges in the nature of excise, withholding, ad valorem, stamp, transfer, value-added or gains taxes; license, registration and documentation fees; and customs duties, tariffs and similar charges; (ii) any and all interest, penalties, additions to tax and additional amounts imposed in connection with or with respect to the foregoing.</w:t>
      </w:r>
    </w:p>
    <w:p>
      <w:pPr>
        <w:spacing w:after="0" w:line="152"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report, return, declaration, claim for refund, or information return or statement relating to Taxes, including any schedules, attachments, and amendments thereto, filed or required to be filed with a Governmental Entity in connection with Taxes.</w:t>
      </w:r>
    </w:p>
    <w:p>
      <w:pPr>
        <w:spacing w:after="0" w:line="18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Transaction Expenses</w:t>
      </w:r>
      <w:r>
        <w:rPr>
          <w:rFonts w:ascii="Arial" w:cs="Arial" w:eastAsia="Arial" w:hAnsi="Arial"/>
          <w:sz w:val="21"/>
          <w:szCs w:val="21"/>
          <w:color w:val="auto"/>
        </w:rPr>
        <w:t xml:space="preserve">” means, without duplication, (a) the aggregate fees and expenses of Seller and the Companies for accountants, investment bankers, financial advisors, attorneys, and other advisors in connection with the negotiation, preparation, and execution of this Agreement and the consummation of the transactions contemplated hereby and (b) any severance, change in control or similar payments or obligations payable to any employee or other service provider of Seller and/or the Companies as a result of the transactions contemplated hereby, including the employer portion of any payroll Taxes related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Transaction Expenses will not include (i) fees or expenses incurred by Purchaser or any of its Affiliates or any of its financial advisors, attorneys, accountants, advisors, consultants, or other representatives or financing sources, regardless of whether any such fees or expenses may be paid by Seller or the Companies, (ii) fees incurred by Seller or the Companies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2" w:name="page123"/>
    <w:bookmarkEnd w:id="122"/>
    <w:p>
      <w:pPr>
        <w:jc w:val="both"/>
        <w:ind w:right="20"/>
        <w:spacing w:after="0" w:line="277" w:lineRule="auto"/>
        <w:rPr>
          <w:sz w:val="20"/>
          <w:szCs w:val="20"/>
          <w:color w:val="auto"/>
        </w:rPr>
      </w:pPr>
      <w:r>
        <w:rPr>
          <w:rFonts w:ascii="Arial" w:cs="Arial" w:eastAsia="Arial" w:hAnsi="Arial"/>
          <w:sz w:val="19"/>
          <w:szCs w:val="19"/>
          <w:color w:val="auto"/>
        </w:rPr>
        <w:t>the express written request of Purchaser or any of its Affiliates and not, for the avoidance of doubt, solely resulting from the negotiation, execution and delivery of this Agreement, (iii) fees or expenses of employees of the Companies to be paid or reimbursed by Purchaser or any of its Affiliates (including the Companies after the Closing) in connection with such employees’ post-closing employment, compensation, or equity participation arrangements or otherwise, (iv) fees or expenses included in the calculation of Net Working Capital, (v) fees or expenses payable in respect of any debt or equity financing provided to Purchaser or any of its Affiliates in connection with the transactions contemplated by this Agreement or at any time following the Closing, or (vi) fees or expenses of the Escrow Agent pursuant to the Escrow Agreement (if any).</w:t>
      </w:r>
    </w:p>
    <w:p>
      <w:pPr>
        <w:spacing w:after="0" w:line="152" w:lineRule="exact"/>
        <w:rPr>
          <w:sz w:val="20"/>
          <w:szCs w:val="20"/>
          <w:color w:val="auto"/>
        </w:rPr>
      </w:pPr>
    </w:p>
    <w:p>
      <w:pPr>
        <w:jc w:val="both"/>
        <w:ind w:right="20" w:firstLine="86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w:t>
      </w:r>
      <w:r>
        <w:rPr>
          <w:rFonts w:ascii="Arial" w:cs="Arial" w:eastAsia="Arial" w:hAnsi="Arial"/>
          <w:sz w:val="22"/>
          <w:szCs w:val="22"/>
          <w:color w:val="auto"/>
        </w:rPr>
        <w:t>” means any confidential and proprietary information, including, trade secrets, know-how, formulae, ideas, concepts, discoveries, inventions, (whether patentable or not), innovations, improvements, results, reports, information and data, research, laboratory and programmer notebooks, methods, procedures, proprietary technology, operating and maintenance manuals, engineering and other drawings and sketches, customer lists, supplier lists, pricing information, cost information, business manufacturing and production, processes, techniques, designs, specifications, and blueprints, in each case to the extent confidential or proprietary to the Companies.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proposed, temporary and final regulations promulgated under the Code by the 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Department of the Treasury.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WARN Act</w:t>
      </w:r>
      <w:r>
        <w:rPr>
          <w:rFonts w:ascii="Arial" w:cs="Arial" w:eastAsia="Arial" w:hAnsi="Arial"/>
          <w:sz w:val="22"/>
          <w:szCs w:val="22"/>
          <w:color w:val="auto"/>
        </w:rPr>
        <w:t>” means the U.S. federal Worker Adjustment and Retraining Notification Act of 1988.</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Working Capital Escrow Amount</w:t>
      </w:r>
      <w:r>
        <w:rPr>
          <w:rFonts w:ascii="Arial" w:cs="Arial" w:eastAsia="Arial" w:hAnsi="Arial"/>
          <w:sz w:val="22"/>
          <w:szCs w:val="22"/>
          <w:color w:val="auto"/>
        </w:rPr>
        <w:t>” means an amount in cash equal to $500,000.00.</w:t>
      </w:r>
    </w:p>
    <w:p>
      <w:pPr>
        <w:spacing w:after="0" w:line="20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Other Defined Terms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 The following terms used in this Agreement have the meanings assigned to them in respective Sections set forth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22"/>
                <w:szCs w:val="22"/>
                <w:color w:val="auto"/>
              </w:rPr>
              <w:t>Term</w:t>
            </w:r>
          </w:p>
        </w:tc>
        <w:tc>
          <w:tcPr>
            <w:tcW w:w="3420" w:type="dxa"/>
            <w:vAlign w:val="bottom"/>
          </w:tcPr>
          <w:p>
            <w:pPr>
              <w:spacing w:after="0"/>
              <w:rPr>
                <w:sz w:val="21"/>
                <w:szCs w:val="21"/>
                <w:color w:val="auto"/>
              </w:rPr>
            </w:pPr>
          </w:p>
        </w:tc>
        <w:tc>
          <w:tcPr>
            <w:tcW w:w="2820" w:type="dxa"/>
            <w:vAlign w:val="bottom"/>
            <w:gridSpan w:val="2"/>
          </w:tcPr>
          <w:p>
            <w:pPr>
              <w:spacing w:after="0"/>
              <w:rPr>
                <w:sz w:val="20"/>
                <w:szCs w:val="20"/>
                <w:color w:val="auto"/>
              </w:rPr>
            </w:pPr>
            <w:r>
              <w:rPr>
                <w:rFonts w:ascii="Arial" w:cs="Arial" w:eastAsia="Arial" w:hAnsi="Arial"/>
                <w:sz w:val="22"/>
                <w:szCs w:val="22"/>
                <w:color w:val="auto"/>
              </w:rPr>
              <w:t>Location</w:t>
            </w: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42"/>
        </w:trPr>
        <w:tc>
          <w:tcPr>
            <w:tcW w:w="880" w:type="dxa"/>
            <w:vAlign w:val="bottom"/>
          </w:tcPr>
          <w:p>
            <w:pPr>
              <w:spacing w:after="0"/>
              <w:rPr>
                <w:sz w:val="21"/>
                <w:szCs w:val="21"/>
                <w:color w:val="auto"/>
              </w:rPr>
            </w:pPr>
          </w:p>
        </w:tc>
        <w:tc>
          <w:tcPr>
            <w:tcW w:w="4140" w:type="dxa"/>
            <w:vAlign w:val="bottom"/>
            <w:gridSpan w:val="2"/>
          </w:tcPr>
          <w:p>
            <w:pPr>
              <w:spacing w:after="0" w:line="242" w:lineRule="exact"/>
              <w:rPr>
                <w:sz w:val="20"/>
                <w:szCs w:val="20"/>
                <w:color w:val="auto"/>
              </w:rPr>
            </w:pPr>
            <w:r>
              <w:rPr>
                <w:rFonts w:ascii="Arial" w:cs="Arial" w:eastAsia="Arial" w:hAnsi="Arial"/>
                <w:sz w:val="22"/>
                <w:szCs w:val="22"/>
                <w:color w:val="auto"/>
              </w:rPr>
              <w:t>Acquisition Transaction</w:t>
            </w:r>
          </w:p>
        </w:tc>
        <w:tc>
          <w:tcPr>
            <w:tcW w:w="3420" w:type="dxa"/>
            <w:vAlign w:val="bottom"/>
          </w:tcPr>
          <w:p>
            <w:pPr>
              <w:spacing w:after="0"/>
              <w:rPr>
                <w:sz w:val="21"/>
                <w:szCs w:val="21"/>
                <w:color w:val="auto"/>
              </w:rPr>
            </w:pPr>
          </w:p>
        </w:tc>
        <w:tc>
          <w:tcPr>
            <w:tcW w:w="2820" w:type="dxa"/>
            <w:vAlign w:val="bottom"/>
            <w:gridSpan w:val="2"/>
          </w:tcPr>
          <w:p>
            <w:pPr>
              <w:spacing w:after="0" w:line="242" w:lineRule="exact"/>
              <w:rPr>
                <w:sz w:val="20"/>
                <w:szCs w:val="20"/>
                <w:color w:val="auto"/>
              </w:rPr>
            </w:pPr>
            <w:r>
              <w:rPr>
                <w:rFonts w:ascii="Arial" w:cs="Arial" w:eastAsia="Arial" w:hAnsi="Arial"/>
                <w:sz w:val="22"/>
                <w:szCs w:val="22"/>
                <w:color w:val="auto"/>
              </w:rPr>
              <w:t>Section 6.12</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Agreement</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Allocation</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7.6</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Audited Financial Statements</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3.6</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Balance Sheet Date</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3.6</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Benesch</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11.19</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Bureau</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6.14</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Chosen Courts</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11.9</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Closing</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2.2</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Closing Date</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2.2</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Company or Companies</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Company Employees</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6.9(a)</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Company Registered Intellectual Property</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3.15(a)</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Company Systems</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3.15(f)</w:t>
            </w:r>
          </w:p>
        </w:tc>
      </w:tr>
      <w:tr>
        <w:trPr>
          <w:trHeight w:val="243"/>
        </w:trPr>
        <w:tc>
          <w:tcPr>
            <w:tcW w:w="880" w:type="dxa"/>
            <w:vAlign w:val="bottom"/>
          </w:tcPr>
          <w:p>
            <w:pPr>
              <w:spacing w:after="0"/>
              <w:rPr>
                <w:sz w:val="21"/>
                <w:szCs w:val="21"/>
                <w:color w:val="auto"/>
              </w:rPr>
            </w:pPr>
          </w:p>
        </w:tc>
        <w:tc>
          <w:tcPr>
            <w:tcW w:w="4140" w:type="dxa"/>
            <w:vAlign w:val="bottom"/>
            <w:gridSpan w:val="2"/>
          </w:tcPr>
          <w:p>
            <w:pPr>
              <w:spacing w:after="0" w:line="243" w:lineRule="exact"/>
              <w:rPr>
                <w:sz w:val="20"/>
                <w:szCs w:val="20"/>
                <w:color w:val="auto"/>
              </w:rPr>
            </w:pPr>
            <w:r>
              <w:rPr>
                <w:rFonts w:ascii="Arial" w:cs="Arial" w:eastAsia="Arial" w:hAnsi="Arial"/>
                <w:sz w:val="22"/>
                <w:szCs w:val="22"/>
                <w:color w:val="auto"/>
              </w:rPr>
              <w:t>Compliance Program</w:t>
            </w:r>
          </w:p>
        </w:tc>
        <w:tc>
          <w:tcPr>
            <w:tcW w:w="342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3.9(e)</w:t>
            </w:r>
          </w:p>
        </w:tc>
      </w:tr>
      <w:tr>
        <w:trPr>
          <w:trHeight w:val="274"/>
        </w:trPr>
        <w:tc>
          <w:tcPr>
            <w:tcW w:w="880" w:type="dxa"/>
            <w:vAlign w:val="bottom"/>
          </w:tcPr>
          <w:p>
            <w:pPr>
              <w:spacing w:after="0"/>
              <w:rPr>
                <w:sz w:val="23"/>
                <w:szCs w:val="23"/>
                <w:color w:val="auto"/>
              </w:rPr>
            </w:pPr>
          </w:p>
        </w:tc>
        <w:tc>
          <w:tcPr>
            <w:tcW w:w="4140" w:type="dxa"/>
            <w:vAlign w:val="bottom"/>
            <w:gridSpan w:val="2"/>
          </w:tcPr>
          <w:p>
            <w:pPr>
              <w:spacing w:after="0"/>
              <w:rPr>
                <w:sz w:val="20"/>
                <w:szCs w:val="20"/>
                <w:color w:val="auto"/>
              </w:rPr>
            </w:pPr>
            <w:r>
              <w:rPr>
                <w:rFonts w:ascii="Arial" w:cs="Arial" w:eastAsia="Arial" w:hAnsi="Arial"/>
                <w:sz w:val="22"/>
                <w:szCs w:val="22"/>
                <w:color w:val="auto"/>
              </w:rPr>
              <w:t>Confidentiality Agreement</w:t>
            </w:r>
          </w:p>
        </w:tc>
        <w:tc>
          <w:tcPr>
            <w:tcW w:w="3420" w:type="dxa"/>
            <w:vAlign w:val="bottom"/>
          </w:tcPr>
          <w:p>
            <w:pPr>
              <w:spacing w:after="0"/>
              <w:rPr>
                <w:sz w:val="23"/>
                <w:szCs w:val="23"/>
                <w:color w:val="auto"/>
              </w:rPr>
            </w:pPr>
          </w:p>
        </w:tc>
        <w:tc>
          <w:tcPr>
            <w:tcW w:w="2820" w:type="dxa"/>
            <w:vAlign w:val="bottom"/>
            <w:gridSpan w:val="2"/>
          </w:tcPr>
          <w:p>
            <w:pPr>
              <w:spacing w:after="0"/>
              <w:rPr>
                <w:sz w:val="20"/>
                <w:szCs w:val="20"/>
                <w:color w:val="auto"/>
              </w:rPr>
            </w:pPr>
            <w:r>
              <w:rPr>
                <w:rFonts w:ascii="Arial" w:cs="Arial" w:eastAsia="Arial" w:hAnsi="Arial"/>
                <w:sz w:val="22"/>
                <w:szCs w:val="22"/>
                <w:color w:val="auto"/>
              </w:rPr>
              <w:t>Section 6.2(b)</w:t>
            </w:r>
          </w:p>
        </w:tc>
      </w:tr>
      <w:tr>
        <w:trPr>
          <w:trHeight w:val="459"/>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20" w:type="dxa"/>
            <w:vAlign w:val="bottom"/>
          </w:tcPr>
          <w:p>
            <w:pPr>
              <w:jc w:val="right"/>
              <w:ind w:right="2592"/>
              <w:spacing w:after="0"/>
              <w:rPr>
                <w:sz w:val="20"/>
                <w:szCs w:val="20"/>
                <w:color w:val="auto"/>
              </w:rPr>
            </w:pPr>
            <w:r>
              <w:rPr>
                <w:rFonts w:ascii="Arial" w:cs="Arial" w:eastAsia="Arial" w:hAnsi="Arial"/>
                <w:sz w:val="22"/>
                <w:szCs w:val="22"/>
                <w:color w:val="auto"/>
              </w:rPr>
              <w:t>12</w:t>
            </w: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05"/>
        </w:trPr>
        <w:tc>
          <w:tcPr>
            <w:tcW w:w="8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22"/>
                <w:szCs w:val="22"/>
                <w:color w:val="auto"/>
              </w:rPr>
              <w:t>Term</w:t>
            </w:r>
          </w:p>
        </w:tc>
        <w:tc>
          <w:tcPr>
            <w:tcW w:w="3840" w:type="dxa"/>
            <w:vAlign w:val="bottom"/>
          </w:tcPr>
          <w:p>
            <w:pPr>
              <w:spacing w:after="0"/>
              <w:rPr>
                <w:sz w:val="21"/>
                <w:szCs w:val="21"/>
                <w:color w:val="auto"/>
              </w:rPr>
            </w:pPr>
          </w:p>
        </w:tc>
        <w:tc>
          <w:tcPr>
            <w:tcW w:w="2820" w:type="dxa"/>
            <w:vAlign w:val="bottom"/>
            <w:gridSpan w:val="2"/>
          </w:tcPr>
          <w:p>
            <w:pPr>
              <w:spacing w:after="0"/>
              <w:rPr>
                <w:sz w:val="20"/>
                <w:szCs w:val="20"/>
                <w:color w:val="auto"/>
              </w:rPr>
            </w:pPr>
            <w:r>
              <w:rPr>
                <w:rFonts w:ascii="Arial" w:cs="Arial" w:eastAsia="Arial" w:hAnsi="Arial"/>
                <w:sz w:val="22"/>
                <w:szCs w:val="22"/>
                <w:color w:val="auto"/>
              </w:rPr>
              <w:t>Location</w:t>
            </w: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42"/>
        </w:trPr>
        <w:tc>
          <w:tcPr>
            <w:tcW w:w="880" w:type="dxa"/>
            <w:vAlign w:val="bottom"/>
          </w:tcPr>
          <w:p>
            <w:pPr>
              <w:spacing w:after="0"/>
              <w:rPr>
                <w:sz w:val="21"/>
                <w:szCs w:val="21"/>
                <w:color w:val="auto"/>
              </w:rPr>
            </w:pPr>
          </w:p>
        </w:tc>
        <w:tc>
          <w:tcPr>
            <w:tcW w:w="3720" w:type="dxa"/>
            <w:vAlign w:val="bottom"/>
            <w:gridSpan w:val="2"/>
          </w:tcPr>
          <w:p>
            <w:pPr>
              <w:spacing w:after="0" w:line="242" w:lineRule="exact"/>
              <w:rPr>
                <w:sz w:val="20"/>
                <w:szCs w:val="20"/>
                <w:color w:val="auto"/>
              </w:rPr>
            </w:pPr>
            <w:r>
              <w:rPr>
                <w:rFonts w:ascii="Arial" w:cs="Arial" w:eastAsia="Arial" w:hAnsi="Arial"/>
                <w:sz w:val="22"/>
                <w:szCs w:val="22"/>
                <w:color w:val="auto"/>
              </w:rPr>
              <w:t>COVID-19 Assistance</w:t>
            </w:r>
          </w:p>
        </w:tc>
        <w:tc>
          <w:tcPr>
            <w:tcW w:w="3840" w:type="dxa"/>
            <w:vAlign w:val="bottom"/>
          </w:tcPr>
          <w:p>
            <w:pPr>
              <w:spacing w:after="0"/>
              <w:rPr>
                <w:sz w:val="21"/>
                <w:szCs w:val="21"/>
                <w:color w:val="auto"/>
              </w:rPr>
            </w:pPr>
          </w:p>
        </w:tc>
        <w:tc>
          <w:tcPr>
            <w:tcW w:w="2820" w:type="dxa"/>
            <w:vAlign w:val="bottom"/>
            <w:gridSpan w:val="2"/>
          </w:tcPr>
          <w:p>
            <w:pPr>
              <w:spacing w:after="0" w:line="242" w:lineRule="exact"/>
              <w:rPr>
                <w:sz w:val="20"/>
                <w:szCs w:val="20"/>
                <w:color w:val="auto"/>
              </w:rPr>
            </w:pPr>
            <w:r>
              <w:rPr>
                <w:rFonts w:ascii="Arial" w:cs="Arial" w:eastAsia="Arial" w:hAnsi="Arial"/>
                <w:sz w:val="22"/>
                <w:szCs w:val="22"/>
                <w:color w:val="auto"/>
              </w:rPr>
              <w:t>Section 3.7(c)</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DHHS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1.1</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D&amp;O Costs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6.5(a)</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D&amp;O Expenses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6.5(a)</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D&amp;O Indemnifiable Claim</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6.5(a)</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Dispute Notification</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2.4(c)</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Disputed Matter</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2.4(c)</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Divestiture</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6.4(g)(i)</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Draft Allocation Schedule</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7.6</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Effective Time</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2.2</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Employee Benefit Plan</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3.17</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ERISA Affiliate</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3.17</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Estimated Cash</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2.3(b)</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Estimated Closing Statement</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2.3(b)</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Estimated Indebtedness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2.3(b)</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Estimated Net Working Capital</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2.3(b)</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Estimated Transaction Expenses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2.3(b)</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Final Allocation Schedule</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7.6</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Financial Statements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3.6</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Forward Looking Statements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5.11(c)</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Indemnitee</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6.5(a)</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Indemnitee Affiliates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6.5(e)</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Insurance Policies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3.20</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Interim Financial Statements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3.6</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IRCA</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3.18(f)</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Leased Real Property</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3.14(b)</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Leases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3.11(a)(iii)</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Material Contract</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3.11(a)</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Miracle City</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Nonparty Affiliates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9.3</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Outside Date</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10.1(c)</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Owned Intellectual Property</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3.15(a)</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Party or Parties</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Processing</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3.15(d)</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Privacy Agreement</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3.9(b)</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Privacy Consent</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3.9(b)</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Purchaser</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Purchaser Closing Statement</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2.4(a)</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Queen City</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Rebate</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6.14</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Review Period</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2.4(b)</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Seller</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Preamble</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Supplement</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5.7</w:t>
            </w:r>
          </w:p>
        </w:tc>
      </w:tr>
      <w:tr>
        <w:trPr>
          <w:trHeight w:val="243"/>
        </w:trPr>
        <w:tc>
          <w:tcPr>
            <w:tcW w:w="880" w:type="dxa"/>
            <w:vAlign w:val="bottom"/>
          </w:tcPr>
          <w:p>
            <w:pPr>
              <w:spacing w:after="0"/>
              <w:rPr>
                <w:sz w:val="21"/>
                <w:szCs w:val="21"/>
                <w:color w:val="auto"/>
              </w:rPr>
            </w:pPr>
          </w:p>
        </w:tc>
        <w:tc>
          <w:tcPr>
            <w:tcW w:w="3720" w:type="dxa"/>
            <w:vAlign w:val="bottom"/>
            <w:gridSpan w:val="2"/>
          </w:tcPr>
          <w:p>
            <w:pPr>
              <w:spacing w:after="0" w:line="243" w:lineRule="exact"/>
              <w:rPr>
                <w:sz w:val="20"/>
                <w:szCs w:val="20"/>
                <w:color w:val="auto"/>
              </w:rPr>
            </w:pPr>
            <w:r>
              <w:rPr>
                <w:rFonts w:ascii="Arial" w:cs="Arial" w:eastAsia="Arial" w:hAnsi="Arial"/>
                <w:sz w:val="22"/>
                <w:szCs w:val="22"/>
                <w:color w:val="auto"/>
              </w:rPr>
              <w:t>Third Party Payor</w:t>
            </w:r>
          </w:p>
        </w:tc>
        <w:tc>
          <w:tcPr>
            <w:tcW w:w="3840" w:type="dxa"/>
            <w:vAlign w:val="bottom"/>
          </w:tcPr>
          <w:p>
            <w:pPr>
              <w:spacing w:after="0"/>
              <w:rPr>
                <w:sz w:val="21"/>
                <w:szCs w:val="21"/>
                <w:color w:val="auto"/>
              </w:rPr>
            </w:pPr>
          </w:p>
        </w:tc>
        <w:tc>
          <w:tcPr>
            <w:tcW w:w="2820" w:type="dxa"/>
            <w:vAlign w:val="bottom"/>
            <w:gridSpan w:val="2"/>
          </w:tcPr>
          <w:p>
            <w:pPr>
              <w:spacing w:after="0" w:line="243" w:lineRule="exact"/>
              <w:rPr>
                <w:sz w:val="20"/>
                <w:szCs w:val="20"/>
                <w:color w:val="auto"/>
              </w:rPr>
            </w:pPr>
            <w:r>
              <w:rPr>
                <w:rFonts w:ascii="Arial" w:cs="Arial" w:eastAsia="Arial" w:hAnsi="Arial"/>
                <w:sz w:val="22"/>
                <w:szCs w:val="22"/>
                <w:color w:val="auto"/>
              </w:rPr>
              <w:t>Section 3.11(a)(xxi)</w:t>
            </w:r>
          </w:p>
        </w:tc>
      </w:tr>
      <w:tr>
        <w:trPr>
          <w:trHeight w:val="274"/>
        </w:trPr>
        <w:tc>
          <w:tcPr>
            <w:tcW w:w="880" w:type="dxa"/>
            <w:vAlign w:val="bottom"/>
          </w:tcPr>
          <w:p>
            <w:pPr>
              <w:spacing w:after="0"/>
              <w:rPr>
                <w:sz w:val="23"/>
                <w:szCs w:val="23"/>
                <w:color w:val="auto"/>
              </w:rPr>
            </w:pPr>
          </w:p>
        </w:tc>
        <w:tc>
          <w:tcPr>
            <w:tcW w:w="3720" w:type="dxa"/>
            <w:vAlign w:val="bottom"/>
            <w:gridSpan w:val="2"/>
          </w:tcPr>
          <w:p>
            <w:pPr>
              <w:spacing w:after="0"/>
              <w:rPr>
                <w:sz w:val="20"/>
                <w:szCs w:val="20"/>
                <w:color w:val="auto"/>
              </w:rPr>
            </w:pPr>
            <w:r>
              <w:rPr>
                <w:rFonts w:ascii="Arial" w:cs="Arial" w:eastAsia="Arial" w:hAnsi="Arial"/>
                <w:sz w:val="22"/>
                <w:szCs w:val="22"/>
                <w:color w:val="auto"/>
              </w:rPr>
              <w:t>Transfer Taxes</w:t>
            </w:r>
          </w:p>
        </w:tc>
        <w:tc>
          <w:tcPr>
            <w:tcW w:w="3840" w:type="dxa"/>
            <w:vAlign w:val="bottom"/>
          </w:tcPr>
          <w:p>
            <w:pPr>
              <w:spacing w:after="0"/>
              <w:rPr>
                <w:sz w:val="23"/>
                <w:szCs w:val="23"/>
                <w:color w:val="auto"/>
              </w:rPr>
            </w:pPr>
          </w:p>
        </w:tc>
        <w:tc>
          <w:tcPr>
            <w:tcW w:w="2820" w:type="dxa"/>
            <w:vAlign w:val="bottom"/>
            <w:gridSpan w:val="2"/>
          </w:tcPr>
          <w:p>
            <w:pPr>
              <w:spacing w:after="0"/>
              <w:rPr>
                <w:sz w:val="20"/>
                <w:szCs w:val="20"/>
                <w:color w:val="auto"/>
              </w:rPr>
            </w:pPr>
            <w:r>
              <w:rPr>
                <w:rFonts w:ascii="Arial" w:cs="Arial" w:eastAsia="Arial" w:hAnsi="Arial"/>
                <w:sz w:val="22"/>
                <w:szCs w:val="22"/>
                <w:color w:val="auto"/>
              </w:rPr>
              <w:t>Section 7.3</w:t>
            </w:r>
          </w:p>
        </w:tc>
      </w:tr>
      <w:tr>
        <w:trPr>
          <w:trHeight w:val="459"/>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40" w:type="dxa"/>
            <w:vAlign w:val="bottom"/>
          </w:tcPr>
          <w:p>
            <w:pPr>
              <w:jc w:val="right"/>
              <w:ind w:right="2592"/>
              <w:spacing w:after="0"/>
              <w:rPr>
                <w:sz w:val="20"/>
                <w:szCs w:val="20"/>
                <w:color w:val="auto"/>
              </w:rPr>
            </w:pPr>
            <w:r>
              <w:rPr>
                <w:rFonts w:ascii="Arial" w:cs="Arial" w:eastAsia="Arial" w:hAnsi="Arial"/>
                <w:sz w:val="22"/>
                <w:szCs w:val="22"/>
                <w:color w:val="auto"/>
              </w:rPr>
              <w:t>13</w:t>
            </w: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05"/>
        </w:trPr>
        <w:tc>
          <w:tcPr>
            <w:tcW w:w="8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24" w:name="page125"/>
    <w:bookmarkEnd w:id="124"/>
    <w:tbl>
      <w:tblPr>
        <w:tblLayout w:type="fixed"/>
        <w:tblInd w:w="880" w:type="dxa"/>
        <w:tblCellMar>
          <w:top w:w="0" w:type="dxa"/>
          <w:left w:w="0" w:type="dxa"/>
          <w:bottom w:w="0" w:type="dxa"/>
          <w:right w:w="0" w:type="dxa"/>
        </w:tblCellMar>
      </w:tblPr>
      <w:tr>
        <w:trPr>
          <w:trHeight w:val="253"/>
        </w:trPr>
        <w:tc>
          <w:tcPr>
            <w:tcW w:w="7560" w:type="dxa"/>
            <w:vAlign w:val="bottom"/>
            <w:gridSpan w:val="2"/>
          </w:tcPr>
          <w:p>
            <w:pPr>
              <w:spacing w:after="0"/>
              <w:rPr>
                <w:sz w:val="20"/>
                <w:szCs w:val="20"/>
                <w:color w:val="auto"/>
              </w:rPr>
            </w:pPr>
            <w:r>
              <w:rPr>
                <w:rFonts w:ascii="Arial" w:cs="Arial" w:eastAsia="Arial" w:hAnsi="Arial"/>
                <w:sz w:val="22"/>
                <w:szCs w:val="22"/>
                <w:color w:val="auto"/>
              </w:rPr>
              <w:t>Term</w:t>
            </w:r>
          </w:p>
        </w:tc>
        <w:tc>
          <w:tcPr>
            <w:tcW w:w="760" w:type="dxa"/>
            <w:vAlign w:val="bottom"/>
          </w:tcPr>
          <w:p>
            <w:pPr>
              <w:spacing w:after="0"/>
              <w:rPr>
                <w:sz w:val="20"/>
                <w:szCs w:val="20"/>
                <w:color w:val="auto"/>
              </w:rPr>
            </w:pPr>
            <w:r>
              <w:rPr>
                <w:rFonts w:ascii="Arial" w:cs="Arial" w:eastAsia="Arial" w:hAnsi="Arial"/>
                <w:sz w:val="22"/>
                <w:szCs w:val="22"/>
                <w:color w:val="auto"/>
                <w:w w:val="88"/>
              </w:rPr>
              <w:t>Location</w:t>
            </w:r>
          </w:p>
        </w:tc>
      </w:tr>
      <w:tr>
        <w:trPr>
          <w:trHeight w:val="20"/>
        </w:trPr>
        <w:tc>
          <w:tcPr>
            <w:tcW w:w="440" w:type="dxa"/>
            <w:vAlign w:val="bottom"/>
            <w:shd w:val="clear" w:color="auto" w:fill="000000"/>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74"/>
        </w:trPr>
        <w:tc>
          <w:tcPr>
            <w:tcW w:w="7560" w:type="dxa"/>
            <w:vAlign w:val="bottom"/>
            <w:gridSpan w:val="2"/>
          </w:tcPr>
          <w:p>
            <w:pPr>
              <w:spacing w:after="0"/>
              <w:rPr>
                <w:sz w:val="20"/>
                <w:szCs w:val="20"/>
                <w:color w:val="auto"/>
              </w:rPr>
            </w:pPr>
            <w:r>
              <w:rPr>
                <w:rFonts w:ascii="Arial" w:cs="Arial" w:eastAsia="Arial" w:hAnsi="Arial"/>
                <w:sz w:val="22"/>
                <w:szCs w:val="22"/>
                <w:color w:val="auto"/>
              </w:rPr>
              <w:t>Units</w:t>
            </w:r>
          </w:p>
        </w:tc>
        <w:tc>
          <w:tcPr>
            <w:tcW w:w="760" w:type="dxa"/>
            <w:vAlign w:val="bottom"/>
          </w:tcPr>
          <w:p>
            <w:pPr>
              <w:spacing w:after="0"/>
              <w:rPr>
                <w:sz w:val="20"/>
                <w:szCs w:val="20"/>
                <w:color w:val="auto"/>
              </w:rPr>
            </w:pPr>
            <w:r>
              <w:rPr>
                <w:rFonts w:ascii="Arial" w:cs="Arial" w:eastAsia="Arial" w:hAnsi="Arial"/>
                <w:sz w:val="22"/>
                <w:szCs w:val="22"/>
                <w:color w:val="auto"/>
                <w:w w:val="94"/>
              </w:rPr>
              <w:t>Recitals</w:t>
            </w:r>
          </w:p>
        </w:tc>
      </w:tr>
    </w:tbl>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 CLOSING</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Purchase and Sale of Units</w:t>
      </w:r>
      <w:r>
        <w:rPr>
          <w:rFonts w:ascii="Arial" w:cs="Arial" w:eastAsia="Arial" w:hAnsi="Arial"/>
          <w:sz w:val="22"/>
          <w:szCs w:val="22"/>
          <w:color w:val="auto"/>
        </w:rPr>
        <w:t>. On the terms and subject to the conditions contained in this Agreement, at the Closing, Seller will sell, transfer, convey, assign, and deliver to Purchaser, and Purchaser will purchase, acquire, and accept from Seller, all of Seller’s right, title, and interest in the Units.</w:t>
      </w:r>
    </w:p>
    <w:p>
      <w:pPr>
        <w:spacing w:after="0" w:line="18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Closing; Effective Time</w:t>
      </w:r>
      <w:r>
        <w:rPr>
          <w:rFonts w:ascii="Arial" w:cs="Arial" w:eastAsia="Arial" w:hAnsi="Arial"/>
          <w:sz w:val="19"/>
          <w:szCs w:val="19"/>
          <w:color w:val="auto"/>
        </w:rPr>
        <w:t>. On the terms and subject to the conditions contained in this Agreement, the transactions contemplated hereby will be consummated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by electronic and/or overnight courier exchange of documents on the third (3rd) Business Day after the satisfaction or waiver of each condition precedent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(other than conditions that by their nature are to be satisfied at the Closing, but subject to the satisfaction or waiver of such conditions), or such other date, time, and method agreed upon by Purchaser and Seller;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if the satisfaction or waiver of each condition precedent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(other than conditions that by their nature are to be satisfied at the Closing, but subject to the satisfaction or waiver of such conditions) occurs on or prior to November 29, 2020, the Closing shall occur on December 1, 2020. The day on which the Closing actually occurs is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All proceedings to be taken and all documents to be executed and delivered by all parties at the Closing will be deemed to have been taken and executed simultaneously, and no proceedings will be deemed to have been taken nor documents executed or delivered until all have been taken, executed, and delivered. Regardless of the time at which the Closing occurs, the Closing will be deemed to have occurred at 12:01 A.M. Eastern Time on the Closing Date (the “</w:t>
      </w:r>
      <w:r>
        <w:rPr>
          <w:rFonts w:ascii="Arial" w:cs="Arial" w:eastAsia="Arial" w:hAnsi="Arial"/>
          <w:sz w:val="19"/>
          <w:szCs w:val="19"/>
          <w:u w:val="single" w:color="auto"/>
          <w:color w:val="auto"/>
        </w:rPr>
        <w:t>Effective Time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Closing occurs on December 31, 2020, the Effective Time shall be 11:59 P.M. Eastern Time on the Closing Date.</w:t>
      </w:r>
    </w:p>
    <w:p>
      <w:pPr>
        <w:spacing w:after="0" w:line="15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19"/>
          <w:szCs w:val="19"/>
          <w:u w:val="single" w:color="auto"/>
          <w:color w:val="auto"/>
        </w:rPr>
        <w:t>Closing Payment; Adjustments; Payments at Closing</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tabs>
          <w:tab w:leader="none" w:pos="2565"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Closing Payment</w:t>
      </w:r>
      <w:r>
        <w:rPr>
          <w:rFonts w:ascii="Arial" w:cs="Arial" w:eastAsia="Arial" w:hAnsi="Arial"/>
          <w:sz w:val="22"/>
          <w:szCs w:val="22"/>
          <w:color w:val="auto"/>
        </w:rPr>
        <w:t xml:space="preserve">. In consideration for the sale of the Units pursuant to this Agreement, and subject to adjustment in accordance with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at the Closing, Purchaser will pay the Closing Payment in accordance with </w:t>
      </w:r>
      <w:r>
        <w:rPr>
          <w:rFonts w:ascii="Arial" w:cs="Arial" w:eastAsia="Arial" w:hAnsi="Arial"/>
          <w:sz w:val="22"/>
          <w:szCs w:val="22"/>
          <w:u w:val="single" w:color="auto"/>
          <w:color w:val="auto"/>
        </w:rPr>
        <w:t>Section 2.3(c)</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880" w:firstLine="789"/>
        <w:spacing w:after="0" w:line="245" w:lineRule="auto"/>
        <w:tabs>
          <w:tab w:leader="none" w:pos="2577"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Estimated Closing Statement</w:t>
      </w:r>
      <w:r>
        <w:rPr>
          <w:rFonts w:ascii="Arial" w:cs="Arial" w:eastAsia="Arial" w:hAnsi="Arial"/>
          <w:sz w:val="21"/>
          <w:szCs w:val="21"/>
          <w:color w:val="auto"/>
        </w:rPr>
        <w:t>. No later than two Business Days prior to the Closing Date, Seller will deliver to Purchaser a statement (the “</w:t>
      </w:r>
      <w:r>
        <w:rPr>
          <w:rFonts w:ascii="Arial" w:cs="Arial" w:eastAsia="Arial" w:hAnsi="Arial"/>
          <w:sz w:val="21"/>
          <w:szCs w:val="21"/>
          <w:u w:val="single" w:color="auto"/>
          <w:color w:val="auto"/>
        </w:rPr>
        <w:t>Estimated Closing Statement</w:t>
      </w:r>
      <w:r>
        <w:rPr>
          <w:rFonts w:ascii="Arial" w:cs="Arial" w:eastAsia="Arial" w:hAnsi="Arial"/>
          <w:sz w:val="21"/>
          <w:szCs w:val="21"/>
          <w:color w:val="auto"/>
        </w:rPr>
        <w:t>”) detailing (i) Seller’s good faith estimates of (A) Net Working Capital (the “</w:t>
      </w:r>
      <w:r>
        <w:rPr>
          <w:rFonts w:ascii="Arial" w:cs="Arial" w:eastAsia="Arial" w:hAnsi="Arial"/>
          <w:sz w:val="21"/>
          <w:szCs w:val="21"/>
          <w:u w:val="single" w:color="auto"/>
          <w:color w:val="auto"/>
        </w:rPr>
        <w:t>Estimated Net Working Capital</w:t>
      </w:r>
      <w:r>
        <w:rPr>
          <w:rFonts w:ascii="Arial" w:cs="Arial" w:eastAsia="Arial" w:hAnsi="Arial"/>
          <w:sz w:val="21"/>
          <w:szCs w:val="21"/>
          <w:color w:val="auto"/>
        </w:rPr>
        <w:t>”), (B) Closing Cash (the “</w:t>
      </w:r>
      <w:r>
        <w:rPr>
          <w:rFonts w:ascii="Arial" w:cs="Arial" w:eastAsia="Arial" w:hAnsi="Arial"/>
          <w:sz w:val="21"/>
          <w:szCs w:val="21"/>
          <w:u w:val="single" w:color="auto"/>
          <w:color w:val="auto"/>
        </w:rPr>
        <w:t>Estimated Cash</w:t>
      </w:r>
      <w:r>
        <w:rPr>
          <w:rFonts w:ascii="Arial" w:cs="Arial" w:eastAsia="Arial" w:hAnsi="Arial"/>
          <w:sz w:val="21"/>
          <w:szCs w:val="21"/>
          <w:color w:val="auto"/>
        </w:rPr>
        <w:t>”), (C) Closing Indebtedness (the “</w:t>
      </w:r>
      <w:r>
        <w:rPr>
          <w:rFonts w:ascii="Arial" w:cs="Arial" w:eastAsia="Arial" w:hAnsi="Arial"/>
          <w:sz w:val="21"/>
          <w:szCs w:val="21"/>
          <w:u w:val="single" w:color="auto"/>
          <w:color w:val="auto"/>
        </w:rPr>
        <w:t>Estimated Indebtedness</w:t>
      </w:r>
      <w:r>
        <w:rPr>
          <w:rFonts w:ascii="Arial" w:cs="Arial" w:eastAsia="Arial" w:hAnsi="Arial"/>
          <w:sz w:val="21"/>
          <w:szCs w:val="21"/>
          <w:color w:val="auto"/>
        </w:rPr>
        <w:t>”), and (D) Closing Transaction Expenses (the “</w:t>
      </w:r>
      <w:r>
        <w:rPr>
          <w:rFonts w:ascii="Arial" w:cs="Arial" w:eastAsia="Arial" w:hAnsi="Arial"/>
          <w:sz w:val="21"/>
          <w:szCs w:val="21"/>
          <w:u w:val="single" w:color="auto"/>
          <w:color w:val="auto"/>
        </w:rPr>
        <w:t>Estimated Transaction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in each case, together with reasonably detailed supporting calculations and documentation, (ii) the PRF Qualified Expenditures Amount, as set forth on the PRF Qualified Expenditures Schedule, (iii) based on such estimates, Seller’s determination of the Closing Payment, and (iv) wire transfer instructions for the payments to be made by Purchaser pursuant to </w:t>
      </w:r>
      <w:r>
        <w:rPr>
          <w:rFonts w:ascii="Arial" w:cs="Arial" w:eastAsia="Arial" w:hAnsi="Arial"/>
          <w:sz w:val="21"/>
          <w:szCs w:val="21"/>
          <w:u w:val="single" w:color="auto"/>
          <w:color w:val="auto"/>
        </w:rPr>
        <w:t>Section 2.3(c)(ii)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(iv)</w:t>
      </w:r>
      <w:r>
        <w:rPr>
          <w:rFonts w:ascii="Arial" w:cs="Arial" w:eastAsia="Arial" w:hAnsi="Arial"/>
          <w:sz w:val="21"/>
          <w:szCs w:val="21"/>
          <w:color w:val="auto"/>
        </w:rPr>
        <w:t>. The Estimated Closing Statement will be prepared in a manner consistent with (x) the definitions of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125" w:name="page126"/>
    <w:bookmarkEnd w:id="125"/>
    <w:p>
      <w:pPr>
        <w:ind w:left="8" w:right="20"/>
        <w:spacing w:after="0" w:line="250" w:lineRule="auto"/>
        <w:rPr>
          <w:sz w:val="20"/>
          <w:szCs w:val="20"/>
          <w:color w:val="auto"/>
        </w:rPr>
      </w:pPr>
      <w:r>
        <w:rPr>
          <w:rFonts w:ascii="Arial" w:cs="Arial" w:eastAsia="Arial" w:hAnsi="Arial"/>
          <w:sz w:val="22"/>
          <w:szCs w:val="22"/>
          <w:color w:val="auto"/>
        </w:rPr>
        <w:t>terms Net Working Capital, Closing Cash, Closing Indebtedness, and Closing Transaction Expenses, (y) the Net Working Capital Methodology, and (z) the Agreed Accounting Principles.</w:t>
      </w:r>
    </w:p>
    <w:p>
      <w:pPr>
        <w:spacing w:after="0" w:line="175" w:lineRule="exact"/>
        <w:rPr>
          <w:sz w:val="20"/>
          <w:szCs w:val="20"/>
          <w:color w:val="auto"/>
        </w:rPr>
      </w:pPr>
    </w:p>
    <w:p>
      <w:pPr>
        <w:ind w:left="8" w:firstLine="789"/>
        <w:spacing w:after="0" w:line="250" w:lineRule="auto"/>
        <w:tabs>
          <w:tab w:leader="none" w:pos="1693"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Payments at Closing</w:t>
      </w:r>
      <w:r>
        <w:rPr>
          <w:rFonts w:ascii="Arial" w:cs="Arial" w:eastAsia="Arial" w:hAnsi="Arial"/>
          <w:sz w:val="22"/>
          <w:szCs w:val="22"/>
          <w:color w:val="auto"/>
        </w:rPr>
        <w:t>. At the Closing, Purchaser will pay or cause to be paid by wire transfer of immediately available funds:</w:t>
      </w:r>
    </w:p>
    <w:p>
      <w:pPr>
        <w:spacing w:after="0" w:line="174" w:lineRule="exact"/>
        <w:rPr>
          <w:rFonts w:ascii="Arial" w:cs="Arial" w:eastAsia="Arial" w:hAnsi="Arial"/>
          <w:sz w:val="22"/>
          <w:szCs w:val="22"/>
          <w:color w:val="auto"/>
        </w:rPr>
      </w:pPr>
    </w:p>
    <w:p>
      <w:pPr>
        <w:ind w:left="868" w:firstLine="726"/>
        <w:spacing w:after="0" w:line="250" w:lineRule="auto"/>
        <w:tabs>
          <w:tab w:leader="none" w:pos="2451" w:val="left"/>
        </w:tabs>
        <w:numPr>
          <w:ilvl w:val="1"/>
          <w:numId w:val="39"/>
        </w:numPr>
        <w:rPr>
          <w:rFonts w:ascii="Arial" w:cs="Arial" w:eastAsia="Arial" w:hAnsi="Arial"/>
          <w:sz w:val="22"/>
          <w:szCs w:val="22"/>
          <w:color w:val="auto"/>
        </w:rPr>
      </w:pPr>
      <w:r>
        <w:rPr>
          <w:rFonts w:ascii="Arial" w:cs="Arial" w:eastAsia="Arial" w:hAnsi="Arial"/>
          <w:sz w:val="22"/>
          <w:szCs w:val="22"/>
          <w:color w:val="auto"/>
        </w:rPr>
        <w:t xml:space="preserve">to each holder of Estimated Indebtedness set forth in </w:t>
      </w:r>
      <w:r>
        <w:rPr>
          <w:rFonts w:ascii="Arial" w:cs="Arial" w:eastAsia="Arial" w:hAnsi="Arial"/>
          <w:sz w:val="22"/>
          <w:szCs w:val="22"/>
          <w:u w:val="single" w:color="auto"/>
          <w:color w:val="auto"/>
        </w:rPr>
        <w:t>Schedule 2.3(c)(i)</w:t>
      </w:r>
      <w:r>
        <w:rPr>
          <w:rFonts w:ascii="Arial" w:cs="Arial" w:eastAsia="Arial" w:hAnsi="Arial"/>
          <w:sz w:val="22"/>
          <w:szCs w:val="22"/>
          <w:color w:val="auto"/>
        </w:rPr>
        <w:t>, the amount specified in the payoff letter provided by such holder of Estimated Indebtedness;</w:t>
      </w:r>
    </w:p>
    <w:p>
      <w:pPr>
        <w:spacing w:after="0" w:line="174" w:lineRule="exact"/>
        <w:rPr>
          <w:rFonts w:ascii="Arial" w:cs="Arial" w:eastAsia="Arial" w:hAnsi="Arial"/>
          <w:sz w:val="22"/>
          <w:szCs w:val="22"/>
          <w:color w:val="auto"/>
        </w:rPr>
      </w:pPr>
    </w:p>
    <w:p>
      <w:pPr>
        <w:ind w:left="868" w:firstLine="726"/>
        <w:spacing w:after="0" w:line="250" w:lineRule="auto"/>
        <w:tabs>
          <w:tab w:leader="none" w:pos="2511" w:val="left"/>
        </w:tabs>
        <w:numPr>
          <w:ilvl w:val="1"/>
          <w:numId w:val="39"/>
        </w:numPr>
        <w:rPr>
          <w:rFonts w:ascii="Arial" w:cs="Arial" w:eastAsia="Arial" w:hAnsi="Arial"/>
          <w:sz w:val="22"/>
          <w:szCs w:val="22"/>
          <w:color w:val="auto"/>
        </w:rPr>
      </w:pPr>
      <w:r>
        <w:rPr>
          <w:rFonts w:ascii="Arial" w:cs="Arial" w:eastAsia="Arial" w:hAnsi="Arial"/>
          <w:sz w:val="22"/>
          <w:szCs w:val="22"/>
          <w:color w:val="auto"/>
        </w:rPr>
        <w:t>to each payee of the Estimated Transaction Expenses, the amount of the Estimated Transaction Expenses payable thereto;</w:t>
      </w:r>
    </w:p>
    <w:p>
      <w:pPr>
        <w:spacing w:after="0" w:line="174" w:lineRule="exact"/>
        <w:rPr>
          <w:rFonts w:ascii="Arial" w:cs="Arial" w:eastAsia="Arial" w:hAnsi="Arial"/>
          <w:sz w:val="22"/>
          <w:szCs w:val="22"/>
          <w:color w:val="auto"/>
        </w:rPr>
      </w:pPr>
    </w:p>
    <w:p>
      <w:pPr>
        <w:ind w:left="868" w:right="20" w:firstLine="726"/>
        <w:spacing w:after="0" w:line="250" w:lineRule="auto"/>
        <w:tabs>
          <w:tab w:leader="none" w:pos="2571" w:val="left"/>
        </w:tabs>
        <w:numPr>
          <w:ilvl w:val="1"/>
          <w:numId w:val="39"/>
        </w:numPr>
        <w:rPr>
          <w:rFonts w:ascii="Arial" w:cs="Arial" w:eastAsia="Arial" w:hAnsi="Arial"/>
          <w:sz w:val="22"/>
          <w:szCs w:val="22"/>
          <w:color w:val="auto"/>
        </w:rPr>
      </w:pPr>
      <w:r>
        <w:rPr>
          <w:rFonts w:ascii="Arial" w:cs="Arial" w:eastAsia="Arial" w:hAnsi="Arial"/>
          <w:sz w:val="22"/>
          <w:szCs w:val="22"/>
          <w:color w:val="auto"/>
        </w:rPr>
        <w:t>to the Escrow Agent, the Working Capital Escrow Amount, to be held and distributed in accordance with the terms of the Escrow Agreement; and</w:t>
      </w:r>
    </w:p>
    <w:p>
      <w:pPr>
        <w:spacing w:after="0" w:line="174" w:lineRule="exact"/>
        <w:rPr>
          <w:rFonts w:ascii="Arial" w:cs="Arial" w:eastAsia="Arial" w:hAnsi="Arial"/>
          <w:sz w:val="22"/>
          <w:szCs w:val="22"/>
          <w:color w:val="auto"/>
        </w:rPr>
      </w:pPr>
    </w:p>
    <w:p>
      <w:pPr>
        <w:ind w:left="2548" w:hanging="954"/>
        <w:spacing w:after="0"/>
        <w:tabs>
          <w:tab w:leader="none" w:pos="2548" w:val="left"/>
        </w:tabs>
        <w:numPr>
          <w:ilvl w:val="1"/>
          <w:numId w:val="39"/>
        </w:numPr>
        <w:rPr>
          <w:rFonts w:ascii="Arial" w:cs="Arial" w:eastAsia="Arial" w:hAnsi="Arial"/>
          <w:sz w:val="22"/>
          <w:szCs w:val="22"/>
          <w:color w:val="auto"/>
        </w:rPr>
      </w:pPr>
      <w:r>
        <w:rPr>
          <w:rFonts w:ascii="Arial" w:cs="Arial" w:eastAsia="Arial" w:hAnsi="Arial"/>
          <w:sz w:val="22"/>
          <w:szCs w:val="22"/>
          <w:color w:val="auto"/>
        </w:rPr>
        <w:t>to Seller, the Closing Payment.</w:t>
      </w:r>
    </w:p>
    <w:p>
      <w:pPr>
        <w:spacing w:after="0" w:line="206" w:lineRule="exact"/>
        <w:rPr>
          <w:sz w:val="20"/>
          <w:szCs w:val="20"/>
          <w:color w:val="auto"/>
        </w:rPr>
      </w:pPr>
    </w:p>
    <w:p>
      <w:pPr>
        <w:ind w:left="8"/>
        <w:spacing w:after="0"/>
        <w:tabs>
          <w:tab w:leader="none" w:pos="1608"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u w:val="single" w:color="auto"/>
          <w:color w:val="auto"/>
        </w:rPr>
        <w:t>Post-Closing Adjustments</w:t>
      </w:r>
      <w:r>
        <w:rPr>
          <w:rFonts w:ascii="Arial" w:cs="Arial" w:eastAsia="Arial" w:hAnsi="Arial"/>
          <w:sz w:val="19"/>
          <w:szCs w:val="19"/>
          <w:color w:val="auto"/>
        </w:rPr>
        <w:t>.</w:t>
      </w:r>
    </w:p>
    <w:p>
      <w:pPr>
        <w:spacing w:after="0" w:line="206" w:lineRule="exact"/>
        <w:rPr>
          <w:sz w:val="20"/>
          <w:szCs w:val="20"/>
          <w:color w:val="auto"/>
        </w:rPr>
      </w:pPr>
    </w:p>
    <w:p>
      <w:pPr>
        <w:jc w:val="both"/>
        <w:ind w:left="8" w:firstLine="789"/>
        <w:spacing w:after="0" w:line="269" w:lineRule="auto"/>
        <w:tabs>
          <w:tab w:leader="none" w:pos="1693" w:val="left"/>
        </w:tabs>
        <w:numPr>
          <w:ilvl w:val="1"/>
          <w:numId w:val="40"/>
        </w:numPr>
        <w:rPr>
          <w:rFonts w:ascii="Arial" w:cs="Arial" w:eastAsia="Arial" w:hAnsi="Arial"/>
          <w:sz w:val="19"/>
          <w:szCs w:val="19"/>
          <w:color w:val="auto"/>
        </w:rPr>
      </w:pPr>
      <w:r>
        <w:rPr>
          <w:rFonts w:ascii="Arial" w:cs="Arial" w:eastAsia="Arial" w:hAnsi="Arial"/>
          <w:sz w:val="19"/>
          <w:szCs w:val="19"/>
          <w:color w:val="auto"/>
        </w:rPr>
        <w:t>As promptly as practicable, but in any event no later than one hundred twenty (120) days after the Closing Date, Purchaser will deliver to Seller a statement (the “</w:t>
      </w:r>
      <w:r>
        <w:rPr>
          <w:rFonts w:ascii="Arial" w:cs="Arial" w:eastAsia="Arial" w:hAnsi="Arial"/>
          <w:sz w:val="19"/>
          <w:szCs w:val="19"/>
          <w:u w:val="single" w:color="auto"/>
          <w:color w:val="auto"/>
        </w:rPr>
        <w:t>Purchaser Closing Statement</w:t>
      </w:r>
      <w:r>
        <w:rPr>
          <w:rFonts w:ascii="Arial" w:cs="Arial" w:eastAsia="Arial" w:hAnsi="Arial"/>
          <w:sz w:val="19"/>
          <w:szCs w:val="19"/>
          <w:color w:val="auto"/>
        </w:rPr>
        <w:t>”) setting forth Purchaser’s good faith calculation of (i) Net Working Capital, (ii) Closing Cash, (iii) Closing Indebtedness, and (iv) Closing Transaction Expenses, in each case, together with reasonably detailed supporting calculations and documentation. The Purchaser Closing Statement will be prepared in a manner consistent with (x) the definitions of the terms Net Working Capital, Closing Cash, Closing Indebtedness, and Closing Transaction Expenses, (y) the Net Working Capital Methodology, and (z) the Agreed Accounting Principles. The Purchaser Closing Statement will entirely disregard</w:t>
      </w:r>
    </w:p>
    <w:p>
      <w:pPr>
        <w:spacing w:after="0" w:line="4" w:lineRule="exact"/>
        <w:rPr>
          <w:rFonts w:ascii="Arial" w:cs="Arial" w:eastAsia="Arial" w:hAnsi="Arial"/>
          <w:sz w:val="19"/>
          <w:szCs w:val="19"/>
          <w:color w:val="auto"/>
        </w:rPr>
      </w:pPr>
    </w:p>
    <w:p>
      <w:pPr>
        <w:jc w:val="both"/>
        <w:ind w:left="8" w:hanging="8"/>
        <w:spacing w:after="0" w:line="272" w:lineRule="auto"/>
        <w:tabs>
          <w:tab w:leader="none" w:pos="373"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and all effects on the assets or liabilities of the Companies as a result of the transactions contemplated by this Agreement (except for Transaction Expenses which are separately subject to adjustment hereunder) or of any financing or refinancing arrangements entered into at any time by Purchaser or any other transaction entered into by Purchaser in connection with the consummation of the transactions contemplated by this Agreement and (B) any of the plans, transactions, or changes that Purchaser intends to initiate or make or cause to be initiated or made after the Closing with respect to any Company or its respective businesses or assets, or any facts or circumstances that are unique or particular to Purchaser or any of its assets or liabilities. The Purchaser Closing Statement will be based solely on facts and circumstances as they exist as of the Closing and will exclude the effect of any fact, event, change, circumstance, act, development, or decision occurring after the Closing.</w:t>
      </w:r>
    </w:p>
    <w:p>
      <w:pPr>
        <w:spacing w:after="0" w:line="156" w:lineRule="exact"/>
        <w:rPr>
          <w:rFonts w:ascii="Arial" w:cs="Arial" w:eastAsia="Arial" w:hAnsi="Arial"/>
          <w:sz w:val="19"/>
          <w:szCs w:val="19"/>
          <w:color w:val="auto"/>
        </w:rPr>
      </w:pPr>
    </w:p>
    <w:p>
      <w:pPr>
        <w:jc w:val="both"/>
        <w:ind w:left="8" w:firstLine="789"/>
        <w:spacing w:after="0" w:line="287" w:lineRule="auto"/>
        <w:tabs>
          <w:tab w:leader="none" w:pos="1705"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Commencing with Purchaser’s delivery of the Purchaser Closing Statement to Seller pursuant to </w:t>
      </w:r>
      <w:r>
        <w:rPr>
          <w:rFonts w:ascii="Arial" w:cs="Arial" w:eastAsia="Arial" w:hAnsi="Arial"/>
          <w:sz w:val="19"/>
          <w:szCs w:val="19"/>
          <w:u w:val="single" w:color="auto"/>
          <w:color w:val="auto"/>
        </w:rPr>
        <w:t>Section 2.4(a)</w:t>
      </w:r>
      <w:r>
        <w:rPr>
          <w:rFonts w:ascii="Arial" w:cs="Arial" w:eastAsia="Arial" w:hAnsi="Arial"/>
          <w:sz w:val="19"/>
          <w:szCs w:val="19"/>
          <w:color w:val="auto"/>
        </w:rPr>
        <w:t>, Purchaser will and will cause the Companies to (i) reasonably assist Seller and its representatives in the review of the Purchaser Closing Statement and the related determination of the Net Working Capital, Closing Cash, Closing Indebtedness, and Closing Transaction Expenses and any disputes related thereto, (ii)</w:t>
      </w:r>
    </w:p>
    <w:p>
      <w:pPr>
        <w:spacing w:after="0" w:line="143"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75565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9"/>
          <w:szCs w:val="19"/>
          <w:color w:val="auto"/>
        </w:rPr>
        <w:t>provide Seller and its representatives with reasonable access during normal business hours to the books, records (including work papers, schedules, memoranda, and other documents), supporting data, facilities, and employees of the Companies for purposes of Seller’s review of the Purchaser Closing Statement and the related determination of the Net Working Capital, Closing Cash, Closing Indebtedness, and Closing Transaction Expenses and any disputes related thereto, and (iii) reasonably cooperate with Seller and its representatives in connection with such review or determination, including providing on a timely basis all other information reasonably necessary or useful in connection with the review of the Purchaser Closing Statement and the related determination of the Net Working Capital, Closing Cash, Closing Indebtedness, and Closing Transaction Expenses and any disputes related thereto as is requested by Seller or its representatives; provided that neither Purchaser nor the Companies will be required to provide such access to the extent doing so would reasonably be expected to (i) result in the waiver of any attorney-client privilege or other legal privilege or (ii) contravene any applicable Contracts or Laws. Seller will be entitled to conduct the foregoing review of the Purchaser Closing Statement for a period of sixty (60) days after receipt of the Purchaser Closing Statement (the “</w:t>
      </w:r>
      <w:r>
        <w:rPr>
          <w:rFonts w:ascii="Arial" w:cs="Arial" w:eastAsia="Arial" w:hAnsi="Arial"/>
          <w:sz w:val="19"/>
          <w:szCs w:val="19"/>
          <w:u w:val="single" w:color="auto"/>
          <w:color w:val="auto"/>
        </w:rPr>
        <w:t>Review Period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requested in writing, Purchaser will grant Seller a reasonable extension of the Review Period if Seller cannot reasonably be expected to complete its review of the Purchaser Closing Statement within such sixty (60) day period due to outstanding requests for information or information that is only made available shortly before the expiration of such sixty (60) day period.</w:t>
      </w:r>
    </w:p>
    <w:p>
      <w:pPr>
        <w:spacing w:after="0" w:line="157" w:lineRule="exact"/>
        <w:rPr>
          <w:sz w:val="20"/>
          <w:szCs w:val="20"/>
          <w:color w:val="auto"/>
        </w:rPr>
      </w:pPr>
    </w:p>
    <w:p>
      <w:pPr>
        <w:jc w:val="both"/>
        <w:ind w:firstLine="789"/>
        <w:spacing w:after="0" w:line="277" w:lineRule="auto"/>
        <w:tabs>
          <w:tab w:leader="none" w:pos="1685"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 later than the end of the Review Period, Seller will notify Purchaser in writing (a “</w:t>
      </w:r>
      <w:r>
        <w:rPr>
          <w:rFonts w:ascii="Arial" w:cs="Arial" w:eastAsia="Arial" w:hAnsi="Arial"/>
          <w:sz w:val="19"/>
          <w:szCs w:val="19"/>
          <w:u w:val="single" w:color="auto"/>
          <w:color w:val="auto"/>
        </w:rPr>
        <w:t>Dispute</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Notification</w:t>
      </w:r>
      <w:r>
        <w:rPr>
          <w:rFonts w:ascii="Arial" w:cs="Arial" w:eastAsia="Arial" w:hAnsi="Arial"/>
          <w:sz w:val="19"/>
          <w:szCs w:val="19"/>
          <w:color w:val="auto"/>
        </w:rPr>
        <w:t>”) of any objections or proposed changes to the Purchaser Closing Statement specifying in detail such objections or proposed changes (each a “</w:t>
      </w:r>
      <w:r>
        <w:rPr>
          <w:rFonts w:ascii="Arial" w:cs="Arial" w:eastAsia="Arial" w:hAnsi="Arial"/>
          <w:sz w:val="19"/>
          <w:szCs w:val="19"/>
          <w:u w:val="single" w:color="auto"/>
          <w:color w:val="auto"/>
        </w:rPr>
        <w:t>Disputed Matter</w:t>
      </w:r>
      <w:r>
        <w:rPr>
          <w:rFonts w:ascii="Arial" w:cs="Arial" w:eastAsia="Arial" w:hAnsi="Arial"/>
          <w:sz w:val="19"/>
          <w:szCs w:val="19"/>
          <w:color w:val="auto"/>
        </w:rPr>
        <w:t>”), or that Seller has no objection to the Purchaser Closing Statement and the calculations of Net Working Capital, Closing Cash, Closing Indebtedness, and Closing Transaction Expenses contained therein. Purchaser and Seller will negotiate in good faith to reach an agreement with respect to any Disputed Matters and all such discussions related thereto (unless otherwise agreed by Purchaser and Seller) will be governed by Rule 408 of the Federal Rules of Evidence and any similar state rule.</w:t>
      </w:r>
    </w:p>
    <w:p>
      <w:pPr>
        <w:spacing w:after="0" w:line="151" w:lineRule="exact"/>
        <w:rPr>
          <w:rFonts w:ascii="Arial" w:cs="Arial" w:eastAsia="Arial" w:hAnsi="Arial"/>
          <w:sz w:val="19"/>
          <w:szCs w:val="19"/>
          <w:color w:val="auto"/>
        </w:rPr>
      </w:pPr>
    </w:p>
    <w:p>
      <w:pPr>
        <w:jc w:val="both"/>
        <w:ind w:firstLine="789"/>
        <w:spacing w:after="0" w:line="236" w:lineRule="auto"/>
        <w:tabs>
          <w:tab w:leader="none" w:pos="1697"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Seller does not provide Purchaser with a Dispute Notification by the end of the Review Period or if Seller notifies Purchaser in writing that Seller has no objection to the Purchaser Closing Statement, then the Net Working Capital, Closing Cash, Closing Indebtedness, and Closing Transaction Expenses set forth in the Purchaser Closing Statement will be deemed the Final Net Working Capital, Final Cash, Final Indebtedness, and Final Transaction Expenses, respectively.</w:t>
      </w:r>
    </w:p>
    <w:p>
      <w:pPr>
        <w:spacing w:after="0" w:line="187" w:lineRule="exact"/>
        <w:rPr>
          <w:rFonts w:ascii="Arial" w:cs="Arial" w:eastAsia="Arial" w:hAnsi="Arial"/>
          <w:sz w:val="22"/>
          <w:szCs w:val="22"/>
          <w:color w:val="auto"/>
        </w:rPr>
      </w:pPr>
    </w:p>
    <w:p>
      <w:pPr>
        <w:jc w:val="both"/>
        <w:ind w:firstLine="789"/>
        <w:spacing w:after="0" w:line="234" w:lineRule="auto"/>
        <w:tabs>
          <w:tab w:leader="none" w:pos="1685"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Purchaser and Seller are unable to reach an agreement on all Disputed Matters within thirty (30) days after Purchaser’s receipt of a Dispute Notification, then all unresolved Disputed Matters will be submitted to the Accountant who will be engaged and directed to provide, as promptly as possible (and, in any event, within thirty (30) days after such engagement), a final and conclusive resolution of all unresolved Disputed Matters. Each of the Parties will, and will cause their respective directors, managers, officers, employees, and representatives to, provide reasonable cooperation as reasonably requested by the Accountant. Purchaser and Seller agree to execute, if requested by the Accountant,</w:t>
      </w:r>
    </w:p>
    <w:p>
      <w:pPr>
        <w:spacing w:after="0" w:line="19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27" w:name="page128"/>
    <w:bookmarkEnd w:id="127"/>
    <w:p>
      <w:pPr>
        <w:jc w:val="both"/>
        <w:ind w:left="8"/>
        <w:spacing w:after="0" w:line="270" w:lineRule="auto"/>
        <w:rPr>
          <w:sz w:val="20"/>
          <w:szCs w:val="20"/>
          <w:color w:val="auto"/>
        </w:rPr>
      </w:pPr>
      <w:r>
        <w:rPr>
          <w:rFonts w:ascii="Arial" w:cs="Arial" w:eastAsia="Arial" w:hAnsi="Arial"/>
          <w:sz w:val="19"/>
          <w:szCs w:val="19"/>
          <w:color w:val="auto"/>
        </w:rPr>
        <w:t>a reasonable engagement letter in customary form. The Accountant will determine only those issues that constitute unresolved Disputed Matters and may not assign a value to any item in dispute greater than the greatest amount for such item assigned by Purchaser in the Purchaser Closing Statement, on the one hand, or Seller in the Dispute Notification, on the other hand, or less than the smallest amount for such item assigned by Purchaser in the Purchaser Closing Statement, on the one hand, or Seller in the Dispute Notification, on the other hand. The Accountant’s determination will be based solely on written submissions by Purchaser and Seller provided to Accountant within five</w:t>
      </w:r>
    </w:p>
    <w:p>
      <w:pPr>
        <w:spacing w:after="0" w:line="1" w:lineRule="exact"/>
        <w:rPr>
          <w:sz w:val="20"/>
          <w:szCs w:val="20"/>
          <w:color w:val="auto"/>
        </w:rPr>
      </w:pPr>
    </w:p>
    <w:p>
      <w:pPr>
        <w:jc w:val="both"/>
        <w:ind w:left="8" w:hanging="8"/>
        <w:spacing w:after="0" w:line="266" w:lineRule="auto"/>
        <w:tabs>
          <w:tab w:leader="none" w:pos="319" w:val="left"/>
        </w:tabs>
        <w:numPr>
          <w:ilvl w:val="0"/>
          <w:numId w:val="43"/>
        </w:numPr>
        <w:rPr>
          <w:rFonts w:ascii="Arial" w:cs="Arial" w:eastAsia="Arial" w:hAnsi="Arial"/>
          <w:sz w:val="19"/>
          <w:szCs w:val="19"/>
          <w:color w:val="auto"/>
        </w:rPr>
      </w:pPr>
      <w:r>
        <w:rPr>
          <w:rFonts w:ascii="Arial" w:cs="Arial" w:eastAsia="Arial" w:hAnsi="Arial"/>
          <w:sz w:val="19"/>
          <w:szCs w:val="19"/>
          <w:color w:val="auto"/>
        </w:rPr>
        <w:t>Business Days of Accountant’s engagement (</w:t>
      </w:r>
      <w:r>
        <w:rPr>
          <w:rFonts w:ascii="Arial" w:cs="Arial" w:eastAsia="Arial" w:hAnsi="Arial"/>
          <w:sz w:val="19"/>
          <w:szCs w:val="19"/>
          <w:i w:val="1"/>
          <w:iCs w:val="1"/>
          <w:color w:val="auto"/>
        </w:rPr>
        <w:t>i.e.</w:t>
      </w:r>
      <w:r>
        <w:rPr>
          <w:rFonts w:ascii="Arial" w:cs="Arial" w:eastAsia="Arial" w:hAnsi="Arial"/>
          <w:sz w:val="19"/>
          <w:szCs w:val="19"/>
          <w:color w:val="auto"/>
        </w:rPr>
        <w:t>, not on the basis of an independent review). Neither Purchaser nor Seller may make any submissions to the Accountant after such five (5) Business Day period unless Purchaser and Seller mutually agree to such submission and neither Party may have any ex parte communications with the Accountant without the prior consent of the other Party. The Accountant’s determination will be made in accordance with (x) the definitions of the terms Net Working Capital, Closing Cash, Closing Indebtedness, and Closing Transaction Expenses,</w:t>
      </w:r>
    </w:p>
    <w:p>
      <w:pPr>
        <w:spacing w:after="0" w:line="4" w:lineRule="exact"/>
        <w:rPr>
          <w:rFonts w:ascii="Arial" w:cs="Arial" w:eastAsia="Arial" w:hAnsi="Arial"/>
          <w:sz w:val="19"/>
          <w:szCs w:val="19"/>
          <w:color w:val="auto"/>
        </w:rPr>
      </w:pPr>
    </w:p>
    <w:p>
      <w:pPr>
        <w:jc w:val="both"/>
        <w:ind w:left="8"/>
        <w:spacing w:after="0" w:line="233" w:lineRule="auto"/>
        <w:rPr>
          <w:rFonts w:ascii="Arial" w:cs="Arial" w:eastAsia="Arial" w:hAnsi="Arial"/>
          <w:sz w:val="19"/>
          <w:szCs w:val="19"/>
          <w:color w:val="auto"/>
        </w:rPr>
      </w:pPr>
      <w:r>
        <w:rPr>
          <w:rFonts w:ascii="Arial" w:cs="Arial" w:eastAsia="Arial" w:hAnsi="Arial"/>
          <w:sz w:val="22"/>
          <w:szCs w:val="22"/>
          <w:color w:val="auto"/>
        </w:rPr>
        <w:t>(y) the Net Working Capital Methodology, and (z) the Agreed Accounting Principles. The Accountant’s determination will be set forth in a written report, which will include an explanation of the reasons for its determination on each Disputed Matter and will be final, non-appealable, conclusive, and binding on the parties, absent manifest calculation error.</w:t>
      </w:r>
    </w:p>
    <w:p>
      <w:pPr>
        <w:spacing w:after="0" w:line="187" w:lineRule="exact"/>
        <w:rPr>
          <w:rFonts w:ascii="Arial" w:cs="Arial" w:eastAsia="Arial" w:hAnsi="Arial"/>
          <w:sz w:val="19"/>
          <w:szCs w:val="19"/>
          <w:color w:val="auto"/>
        </w:rPr>
      </w:pPr>
    </w:p>
    <w:p>
      <w:pPr>
        <w:jc w:val="both"/>
        <w:ind w:left="8" w:firstLine="789"/>
        <w:spacing w:after="0" w:line="271" w:lineRule="auto"/>
        <w:tabs>
          <w:tab w:leader="none" w:pos="1669"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The procedures set forth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for resolving disputes with respect to the calculations of Net Working Capital, Closing Cash, Closing Indebtedness, and Closing Transaction Expenses will be the sole and exclusive method for resolving any such disputes;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this provision will not prohibit any Party from instituting litigation to enforce any final determination of the Adjusted Closing Payment by the Accountant in any court of competent jurisdiction in accordance with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The terms of appointment and engagement of the Accountant will be as agreed between Purchaser and Seller based on reasonable and customary arrangements for such services, and any associated fees and expenses will be allocated between Purchaser, on the one hand, and Seller, on the other hand, as follows: (i) Seller will be responsible for a portion of the fees and expenses of the Accountant equal to a fraction, the numerator of which is the sum of Disputed Matters submitted to the Accountant that are resolved in favor of Purchaser (that being the difference between the Accountant’s determination and Seller’s determination) and the denominator of which is the sum of all Disputed Matters submitted to the Accountant; and (ii) Purchaser will be responsible for that portion of the fees and expenses of the Accountant that Seller is not responsible for hereunder. Within ten (10) days of the Accountant’s determination of the Disputed Matters, Seller or Purchaser (as applicable) will pay the other the amount required so that the allocation for responsibility for the Accountant’s fees and expenses is consistent with this </w:t>
      </w:r>
      <w:r>
        <w:rPr>
          <w:rFonts w:ascii="Arial" w:cs="Arial" w:eastAsia="Arial" w:hAnsi="Arial"/>
          <w:sz w:val="19"/>
          <w:szCs w:val="19"/>
          <w:u w:val="single" w:color="auto"/>
          <w:color w:val="auto"/>
        </w:rPr>
        <w:t>Section 2.4(f)</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8" w:right="20" w:firstLine="789"/>
        <w:spacing w:after="0" w:line="250" w:lineRule="auto"/>
        <w:tabs>
          <w:tab w:leader="none" w:pos="1705" w:val="left"/>
        </w:tabs>
        <w:numPr>
          <w:ilvl w:val="1"/>
          <w:numId w:val="43"/>
        </w:numPr>
        <w:rPr>
          <w:rFonts w:ascii="Arial" w:cs="Arial" w:eastAsia="Arial" w:hAnsi="Arial"/>
          <w:sz w:val="22"/>
          <w:szCs w:val="22"/>
          <w:color w:val="auto"/>
        </w:rPr>
      </w:pPr>
      <w:r>
        <w:rPr>
          <w:rFonts w:ascii="Arial" w:cs="Arial" w:eastAsia="Arial" w:hAnsi="Arial"/>
          <w:sz w:val="22"/>
          <w:szCs w:val="22"/>
          <w:color w:val="auto"/>
        </w:rPr>
        <w:t>Upon the final determination of the Final Net Working Capital, Final Cash, Final Indebtedness, and Final Transaction Expenses:</w:t>
      </w:r>
    </w:p>
    <w:p>
      <w:pPr>
        <w:spacing w:after="0" w:line="175" w:lineRule="exact"/>
        <w:rPr>
          <w:sz w:val="20"/>
          <w:szCs w:val="20"/>
          <w:color w:val="auto"/>
        </w:rPr>
      </w:pPr>
    </w:p>
    <w:p>
      <w:pPr>
        <w:jc w:val="both"/>
        <w:ind w:left="868" w:firstLine="726"/>
        <w:spacing w:after="0"/>
        <w:tabs>
          <w:tab w:leader="none" w:pos="2451" w:val="left"/>
        </w:tabs>
        <w:numPr>
          <w:ilvl w:val="0"/>
          <w:numId w:val="44"/>
        </w:numPr>
        <w:rPr>
          <w:rFonts w:ascii="Arial" w:cs="Arial" w:eastAsia="Arial" w:hAnsi="Arial"/>
          <w:sz w:val="22"/>
          <w:szCs w:val="22"/>
          <w:color w:val="auto"/>
        </w:rPr>
      </w:pPr>
      <w:r>
        <w:rPr>
          <w:rFonts w:ascii="Arial" w:cs="Arial" w:eastAsia="Arial" w:hAnsi="Arial"/>
          <w:sz w:val="22"/>
          <w:szCs w:val="22"/>
          <w:color w:val="auto"/>
        </w:rPr>
        <w:t>If the Adjusted Closing Payment is equal to the Closing Payment, then no further payment will be required, and, within five (5) Business Days of the final determination, Purchaser and Seller will jointly instruct the Escrow Agent in</w:t>
      </w:r>
    </w:p>
    <w:p>
      <w:pPr>
        <w:spacing w:after="0" w:line="186"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75565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128" w:name="page129"/>
    <w:bookmarkEnd w:id="128"/>
    <w:p>
      <w:pPr>
        <w:ind w:left="1740"/>
        <w:spacing w:after="0" w:line="250" w:lineRule="auto"/>
        <w:rPr>
          <w:sz w:val="20"/>
          <w:szCs w:val="20"/>
          <w:color w:val="auto"/>
        </w:rPr>
      </w:pPr>
      <w:r>
        <w:rPr>
          <w:rFonts w:ascii="Arial" w:cs="Arial" w:eastAsia="Arial" w:hAnsi="Arial"/>
          <w:sz w:val="22"/>
          <w:szCs w:val="22"/>
          <w:color w:val="auto"/>
        </w:rPr>
        <w:t>writing to distribute, by wire transfer of immediately available funds, to Seller the full amount of the Working Capital Escrow Amount from the Escrow Fund.</w:t>
      </w:r>
    </w:p>
    <w:p>
      <w:pPr>
        <w:spacing w:after="0" w:line="175" w:lineRule="exact"/>
        <w:rPr>
          <w:sz w:val="20"/>
          <w:szCs w:val="20"/>
          <w:color w:val="auto"/>
        </w:rPr>
      </w:pPr>
    </w:p>
    <w:p>
      <w:pPr>
        <w:jc w:val="both"/>
        <w:ind w:left="1740" w:firstLine="726"/>
        <w:spacing w:after="0" w:line="236" w:lineRule="auto"/>
        <w:tabs>
          <w:tab w:leader="none" w:pos="3383"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the Adjusted Closing Payment is greater than the Closing Payment, then, within five (5) Business Days of the final determination, (A) Purchaser will pay, by wire transfer of immediately available funds, to Seller such excess, and (B) Purchaser and Seller will jointly instruct the Escrow Agent in writing to distribute, by wire transfer of immediately available funds, to Seller the full amount of the Working Capital Escrow Amount from the Escrow Fund.</w:t>
      </w:r>
    </w:p>
    <w:p>
      <w:pPr>
        <w:spacing w:after="0" w:line="187" w:lineRule="exact"/>
        <w:rPr>
          <w:rFonts w:ascii="Arial" w:cs="Arial" w:eastAsia="Arial" w:hAnsi="Arial"/>
          <w:sz w:val="22"/>
          <w:szCs w:val="22"/>
          <w:color w:val="auto"/>
        </w:rPr>
      </w:pPr>
    </w:p>
    <w:p>
      <w:pPr>
        <w:jc w:val="both"/>
        <w:ind w:left="1740" w:firstLine="726"/>
        <w:spacing w:after="0" w:line="245" w:lineRule="auto"/>
        <w:tabs>
          <w:tab w:leader="none" w:pos="3443" w:val="left"/>
        </w:tabs>
        <w:numPr>
          <w:ilvl w:val="1"/>
          <w:numId w:val="45"/>
        </w:numPr>
        <w:rPr>
          <w:rFonts w:ascii="Arial" w:cs="Arial" w:eastAsia="Arial" w:hAnsi="Arial"/>
          <w:sz w:val="21"/>
          <w:szCs w:val="21"/>
          <w:color w:val="auto"/>
        </w:rPr>
      </w:pPr>
      <w:r>
        <w:rPr>
          <w:rFonts w:ascii="Arial" w:cs="Arial" w:eastAsia="Arial" w:hAnsi="Arial"/>
          <w:sz w:val="21"/>
          <w:szCs w:val="21"/>
          <w:color w:val="auto"/>
        </w:rPr>
        <w:t>If the Adjusted Closing Payment is less than the Closing Payment, then, within five (5) Business Days of the final determination, Purchaser and Seller will jointly instruct the Escrow Agent in writing to distribute, by wire transfer of immediately available funds, to (A) Purchaser an amount equal to such shortfall from (and up to the amount of) the Working Capital Escrow Amount, it being understood and agreed by Purchaser that if the amount of such shortfall is greater than the Working Capital Escrow Amount, Purchaser will be entitled only to the full amount of the Working Capital Escrow Amount, which will be the sole and exclusive remedy and source of recovery for Purchaser with respect to any such shortfall, and Purchaser will not have any claim for, and hereby releases Seller, and all other Persons from any obligation in respect of, any additional amounts in connection therewith, and (B) Seller the remainder of the Working Capital Escrow Amount (if any).</w:t>
      </w:r>
    </w:p>
    <w:p>
      <w:pPr>
        <w:spacing w:after="0" w:line="180" w:lineRule="exact"/>
        <w:rPr>
          <w:rFonts w:ascii="Arial" w:cs="Arial" w:eastAsia="Arial" w:hAnsi="Arial"/>
          <w:sz w:val="21"/>
          <w:szCs w:val="21"/>
          <w:color w:val="auto"/>
        </w:rPr>
      </w:pPr>
    </w:p>
    <w:p>
      <w:pPr>
        <w:ind w:left="880" w:firstLine="789"/>
        <w:spacing w:after="0" w:line="250" w:lineRule="auto"/>
        <w:tabs>
          <w:tab w:leader="none" w:pos="2577"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All payments required pursuant to </w:t>
      </w:r>
      <w:r>
        <w:rPr>
          <w:rFonts w:ascii="Arial" w:cs="Arial" w:eastAsia="Arial" w:hAnsi="Arial"/>
          <w:sz w:val="22"/>
          <w:szCs w:val="22"/>
          <w:u w:val="single" w:color="auto"/>
          <w:color w:val="auto"/>
        </w:rPr>
        <w:t>Section 2.4(g)</w:t>
      </w:r>
      <w:r>
        <w:rPr>
          <w:rFonts w:ascii="Arial" w:cs="Arial" w:eastAsia="Arial" w:hAnsi="Arial"/>
          <w:sz w:val="22"/>
          <w:szCs w:val="22"/>
          <w:color w:val="auto"/>
        </w:rPr>
        <w:t xml:space="preserve"> will be deemed to be adjustments to the purchase price for Tax purposes.</w:t>
      </w:r>
    </w:p>
    <w:p>
      <w:pPr>
        <w:spacing w:after="0" w:line="175"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Tax Withholding</w:t>
      </w:r>
      <w:r>
        <w:rPr>
          <w:rFonts w:ascii="Arial" w:cs="Arial" w:eastAsia="Arial" w:hAnsi="Arial"/>
          <w:sz w:val="21"/>
          <w:szCs w:val="21"/>
          <w:color w:val="auto"/>
        </w:rPr>
        <w:t xml:space="preserve">. Purchaser or any agent of the Purchaser shall be entitled to deduct and withhold from the purchase price, or other payment otherwise payable by it pursuant to this Agreement, any amounts required to be deducted and withheld under the Code (or any provision of state, local or non-U.S. law) with respect to the making of such 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Purchaser shall be required to provide Seller with reasonable advance written notice of any intention to deduct and withhold any such amount otherwise payable to Seller and to cooperate in good faith with Seller to reduce or eliminate any such deduction and withholding;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no deduction and withholding of any amount otherwise payable to Seller shall be made if Seller has delivered the certificate described in </w:t>
      </w:r>
      <w:r>
        <w:rPr>
          <w:rFonts w:ascii="Arial" w:cs="Arial" w:eastAsia="Arial" w:hAnsi="Arial"/>
          <w:sz w:val="21"/>
          <w:szCs w:val="21"/>
          <w:u w:val="single" w:color="auto"/>
          <w:color w:val="auto"/>
        </w:rPr>
        <w:t>Section 8.2(f)</w:t>
      </w:r>
      <w:r>
        <w:rPr>
          <w:rFonts w:ascii="Arial" w:cs="Arial" w:eastAsia="Arial" w:hAnsi="Arial"/>
          <w:sz w:val="21"/>
          <w:szCs w:val="21"/>
          <w:color w:val="auto"/>
        </w:rPr>
        <w:t xml:space="preserve"> and a Form W-9, as required. To the extent that amounts are so withheld, such withheld amounts shall be treated for all purposes of this Agreement as having been paid by the Purchaser.</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RELATING TO THE COMPANIES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Seller represents and warrants to Purchaser as follows:</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Organization and Qualification</w:t>
      </w:r>
      <w:r>
        <w:rPr>
          <w:rFonts w:ascii="Arial" w:cs="Arial" w:eastAsia="Arial" w:hAnsi="Arial"/>
          <w:sz w:val="22"/>
          <w:szCs w:val="22"/>
          <w:color w:val="auto"/>
        </w:rPr>
        <w:t>. Each Company is duly formed, validly existing, and in good standing under the laws of the State of Delaware and has all requisite limited liability company power and authority to own, lease, and operate its properties and assets and carry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jc w:val="both"/>
        <w:spacing w:after="0" w:line="249" w:lineRule="auto"/>
        <w:rPr>
          <w:sz w:val="20"/>
          <w:szCs w:val="20"/>
          <w:color w:val="auto"/>
        </w:rPr>
      </w:pPr>
      <w:r>
        <w:rPr>
          <w:rFonts w:ascii="Arial" w:cs="Arial" w:eastAsia="Arial" w:hAnsi="Arial"/>
          <w:sz w:val="21"/>
          <w:szCs w:val="21"/>
          <w:color w:val="auto"/>
        </w:rPr>
        <w:t>on its business as conducted as of the date of this Agreement. Each Company is duly qualified to do business and is in good standing (with respect to jurisdictions that recognize the concept of good standing) in every jurisdiction in which the conduct of its business or the nature and location of its assets requires such qualification, except where the failure to be so qualified would not reasonably be expected to have a Material Adverse Effect. Each Company has made available to Purchaser complete and correct copies of its Organizational Documents, each as in effect on the date hereof.</w:t>
      </w:r>
    </w:p>
    <w:p>
      <w:pPr>
        <w:spacing w:after="0" w:line="17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Authority</w:t>
      </w:r>
      <w:r>
        <w:rPr>
          <w:rFonts w:ascii="Arial" w:cs="Arial" w:eastAsia="Arial" w:hAnsi="Arial"/>
          <w:sz w:val="19"/>
          <w:szCs w:val="19"/>
          <w:color w:val="auto"/>
        </w:rPr>
        <w:t>. Each Company has all requisite power and authority to execute and deliver this Agreement and the other agreements contemplated hereby to which it is a party, to perform its obligations hereunder and thereunder, and to consummate the transactions contemplated hereby and thereby. The execution, delivery, and performance by each Company of this Agreement and the other agreements contemplated hereby to which it is a party and the consummation by each Company of the transactions contemplated by this Agreement have been duly and validly authorized by requisite action, and no other proceedings on the part of either Company are necessary to authorize the execution, delivery, and performance of this Agreement or to consummate the transactions contemplated by this Agreement. This Agreement has been duly and validly executed and delivered by each Company and, assuming the due authorization, execution, and delivery hereof by the other Parties, constitutes a legal, valid, and binding obligation of each Company, enforceable against such Company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 (the “</w:t>
      </w:r>
      <w:r>
        <w:rPr>
          <w:rFonts w:ascii="Arial" w:cs="Arial" w:eastAsia="Arial" w:hAnsi="Arial"/>
          <w:sz w:val="19"/>
          <w:szCs w:val="19"/>
          <w:u w:val="single" w:color="auto"/>
          <w:color w:val="auto"/>
        </w:rPr>
        <w:t>Enforceability Exception</w:t>
      </w:r>
      <w:r>
        <w:rPr>
          <w:rFonts w:ascii="Arial" w:cs="Arial" w:eastAsia="Arial" w:hAnsi="Arial"/>
          <w:sz w:val="19"/>
          <w:szCs w:val="19"/>
          <w:color w:val="auto"/>
        </w:rPr>
        <w:t>”).</w:t>
      </w:r>
    </w:p>
    <w:p>
      <w:pPr>
        <w:spacing w:after="0" w:line="161"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No Conflict; Required Filings and Consents</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line="274" w:lineRule="auto"/>
        <w:tabs>
          <w:tab w:leader="none" w:pos="2565"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3.3(a)</w:t>
      </w:r>
      <w:r>
        <w:rPr>
          <w:rFonts w:ascii="Arial" w:cs="Arial" w:eastAsia="Arial" w:hAnsi="Arial"/>
          <w:sz w:val="19"/>
          <w:szCs w:val="19"/>
          <w:color w:val="auto"/>
        </w:rPr>
        <w:t xml:space="preserve"> of the Disclosure Schedule, the execution, delivery, and performance by each Company of this Agreement and the other agreements contemplated hereby to which it is a party and the consummation of the transactions contemplated hereby and thereby do not (i) conflict with, result in a breach of, or violate the Organizational Documents of such Company, (ii) assuming that all consents, approvals, authorizations, and permits contemplated by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have been obtained, and all actions, filings, and notifications described in such clauses have been taken or made (as applicable), conflict with, result in a breach of, or violate any Law or Order applicable to such Company or its respective properties or assets, or (iii) conflict with, result in a breach of, or constitute a default or an event creating rights of acceleration of payment or termination, modification, or cancellation, or a loss of rights under, in each case in any material respect, any Material Contract.</w:t>
      </w:r>
    </w:p>
    <w:p>
      <w:pPr>
        <w:spacing w:after="0" w:line="158" w:lineRule="exact"/>
        <w:rPr>
          <w:rFonts w:ascii="Arial" w:cs="Arial" w:eastAsia="Arial" w:hAnsi="Arial"/>
          <w:sz w:val="19"/>
          <w:szCs w:val="19"/>
          <w:color w:val="auto"/>
        </w:rPr>
      </w:pPr>
    </w:p>
    <w:p>
      <w:pPr>
        <w:jc w:val="both"/>
        <w:ind w:left="880" w:firstLine="789"/>
        <w:spacing w:after="0" w:line="282" w:lineRule="auto"/>
        <w:tabs>
          <w:tab w:leader="none" w:pos="2577"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of the Disclosure Schedule, the execution, delivery, and performance by each Company of this Agreement and the other agreements contemplated hereby to which it is a party and the consummation by each Company of the transactions contemplated hereby do not require any consent, approval, authorization, or permit of, action by, filing with, or notification to any Governmental Entity, except for any consents, approvals, authorizations, permits, actions, filings, and notifications required in connection with Antitrust Laws.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ind w:left="880"/>
        <w:spacing w:after="0"/>
        <w:tabs>
          <w:tab w:leader="none" w:pos="248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line="236" w:lineRule="auto"/>
        <w:tabs>
          <w:tab w:leader="none" w:pos="2565"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As of the date of this Agreement, the total number of issued and outstanding limited liability company interests of each Company is as set forth in </w:t>
      </w:r>
      <w:r>
        <w:rPr>
          <w:rFonts w:ascii="Arial" w:cs="Arial" w:eastAsia="Arial" w:hAnsi="Arial"/>
          <w:sz w:val="22"/>
          <w:szCs w:val="22"/>
          <w:u w:val="single" w:color="auto"/>
          <w:color w:val="auto"/>
        </w:rPr>
        <w:t>Section 3.4(a)</w:t>
      </w:r>
      <w:r>
        <w:rPr>
          <w:rFonts w:ascii="Arial" w:cs="Arial" w:eastAsia="Arial" w:hAnsi="Arial"/>
          <w:sz w:val="22"/>
          <w:szCs w:val="22"/>
          <w:color w:val="auto"/>
        </w:rPr>
        <w:t xml:space="preserve"> of the Disclosure Schedule, all of which have been validly issued and are fully paid and nonassessable. As of the date of this Agreement, Seller owns, of record and beneficially, all of the limited liability company interests of each Company, and the Units represent all of the issued and outstanding Equity Interests of the Companies.</w:t>
      </w:r>
    </w:p>
    <w:p>
      <w:pPr>
        <w:spacing w:after="0" w:line="187" w:lineRule="exact"/>
        <w:rPr>
          <w:rFonts w:ascii="Arial" w:cs="Arial" w:eastAsia="Arial" w:hAnsi="Arial"/>
          <w:sz w:val="22"/>
          <w:szCs w:val="22"/>
          <w:color w:val="auto"/>
        </w:rPr>
      </w:pPr>
    </w:p>
    <w:p>
      <w:pPr>
        <w:jc w:val="both"/>
        <w:ind w:left="880" w:firstLine="789"/>
        <w:spacing w:after="0" w:line="277" w:lineRule="auto"/>
        <w:tabs>
          <w:tab w:leader="none" w:pos="2577"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3.4(b)</w:t>
      </w:r>
      <w:r>
        <w:rPr>
          <w:rFonts w:ascii="Arial" w:cs="Arial" w:eastAsia="Arial" w:hAnsi="Arial"/>
          <w:sz w:val="19"/>
          <w:szCs w:val="19"/>
          <w:color w:val="auto"/>
        </w:rPr>
        <w:t xml:space="preserve"> of the Disclosure Schedule, as of the date of this Agreement, there are no outstanding (i) securities of either Company convertible into or exchangeable for limited liability company interests of such Company, (ii) subscriptions, options, calls, warrants, profit interests, preemptive rights, equity appreciation rights, phantom equity, or other similar rights to acquire from either Company, or obligations of either Company to issue, any limited liability company interests or securities convertible into or exchangeable for limited liability company interests of such Company, or (iii) obligations of either Company to repurchase, redeem, or otherwise acquire any limited liability company interests of such Company.</w:t>
      </w:r>
    </w:p>
    <w:p>
      <w:pPr>
        <w:spacing w:after="0" w:line="151" w:lineRule="exact"/>
        <w:rPr>
          <w:rFonts w:ascii="Arial" w:cs="Arial" w:eastAsia="Arial" w:hAnsi="Arial"/>
          <w:sz w:val="19"/>
          <w:szCs w:val="19"/>
          <w:color w:val="auto"/>
        </w:rPr>
      </w:pPr>
    </w:p>
    <w:p>
      <w:pPr>
        <w:jc w:val="both"/>
        <w:ind w:left="880" w:firstLine="789"/>
        <w:spacing w:after="0" w:line="238" w:lineRule="auto"/>
        <w:tabs>
          <w:tab w:leader="none" w:pos="2565"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3.4(c)</w:t>
      </w:r>
      <w:r>
        <w:rPr>
          <w:rFonts w:ascii="Arial" w:cs="Arial" w:eastAsia="Arial" w:hAnsi="Arial"/>
          <w:sz w:val="22"/>
          <w:szCs w:val="22"/>
          <w:color w:val="auto"/>
        </w:rPr>
        <w:t xml:space="preserve"> of the Disclosure Schedule, neither Company is a party to any limited liability company agreement, operating agreement, stockholders’ agreement, voting trust agreement, proxies, registration rights agreement, or other similar agreement or understanding relating to any limited liability company interests or other ownership interests of either Company.</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3.5 </w:t>
      </w:r>
      <w:r>
        <w:rPr>
          <w:rFonts w:ascii="Arial" w:cs="Arial" w:eastAsia="Arial" w:hAnsi="Arial"/>
          <w:sz w:val="22"/>
          <w:szCs w:val="22"/>
          <w:u w:val="single" w:color="auto"/>
          <w:color w:val="auto"/>
        </w:rPr>
        <w:t>Subsidiaries</w:t>
      </w:r>
      <w:r>
        <w:rPr>
          <w:rFonts w:ascii="Arial" w:cs="Arial" w:eastAsia="Arial" w:hAnsi="Arial"/>
          <w:sz w:val="22"/>
          <w:szCs w:val="22"/>
          <w:color w:val="auto"/>
        </w:rPr>
        <w:t>. Neither Company owns, directly or indirectly, any capital stock, limited liability company interest, partnership interest, or other equity interest in any Person.</w:t>
      </w:r>
    </w:p>
    <w:p>
      <w:pPr>
        <w:spacing w:after="0" w:line="17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Section 3.6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Companies have delivered to Purchaser copies of (a) the audited consolidated balance sheets of Seller and, if applicable, the Companies as of December 31, 2019 and December 31, 2018 and the related audited consolidated (as applicable) statements of operations, cash flows, and members’ equity for the fiscal years then ended (the “</w:t>
      </w:r>
      <w:r>
        <w:rPr>
          <w:rFonts w:ascii="Arial" w:cs="Arial" w:eastAsia="Arial" w:hAnsi="Arial"/>
          <w:sz w:val="19"/>
          <w:szCs w:val="19"/>
          <w:u w:val="single" w:color="auto"/>
          <w:color w:val="auto"/>
        </w:rPr>
        <w:t>Audited Financial Statements</w:t>
      </w:r>
      <w:r>
        <w:rPr>
          <w:rFonts w:ascii="Arial" w:cs="Arial" w:eastAsia="Arial" w:hAnsi="Arial"/>
          <w:sz w:val="19"/>
          <w:szCs w:val="19"/>
          <w:color w:val="auto"/>
        </w:rPr>
        <w:t>”) and (b) the unaudited consolidated balance sheets of Seller and the Companies as of September 30, 2020 (the “</w:t>
      </w:r>
      <w:r>
        <w:rPr>
          <w:rFonts w:ascii="Arial" w:cs="Arial" w:eastAsia="Arial" w:hAnsi="Arial"/>
          <w:sz w:val="19"/>
          <w:szCs w:val="19"/>
          <w:u w:val="single" w:color="auto"/>
          <w:color w:val="auto"/>
        </w:rPr>
        <w:t>Balance Sheet Date</w:t>
      </w:r>
      <w:r>
        <w:rPr>
          <w:rFonts w:ascii="Arial" w:cs="Arial" w:eastAsia="Arial" w:hAnsi="Arial"/>
          <w:sz w:val="19"/>
          <w:szCs w:val="19"/>
          <w:color w:val="auto"/>
        </w:rPr>
        <w:t>”) and the related unaudited consolidated statements of operations and cash flows for the nine (9)-month period then ended (collectively, the “</w:t>
      </w:r>
      <w:r>
        <w:rPr>
          <w:rFonts w:ascii="Arial" w:cs="Arial" w:eastAsia="Arial" w:hAnsi="Arial"/>
          <w:sz w:val="19"/>
          <w:szCs w:val="19"/>
          <w:u w:val="single" w:color="auto"/>
          <w:color w:val="auto"/>
        </w:rPr>
        <w:t>Interim Financial Statements</w:t>
      </w:r>
      <w:r>
        <w:rPr>
          <w:rFonts w:ascii="Arial" w:cs="Arial" w:eastAsia="Arial" w:hAnsi="Arial"/>
          <w:sz w:val="19"/>
          <w:szCs w:val="19"/>
          <w:color w:val="auto"/>
        </w:rPr>
        <w:t>” and together with the Audited Financial Statements,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Except as set forth in the Financial Statements (including the notes thereto), the Financial Statements present fairly in all material respects the consolidated financial position of Seller and, as applicable, the Companies as of the dates set forth therein and the consolidated results of operations of Seller and, as applicable, the Companies for the periods then ended, in each case in accordance with GAAP applied consistently with past practices (except, with respect to the Interim Financial Statements, for the absence of footnote disclosure and other presentation items and customary year-end adjustments, the effect of which will not, individually or in the aggregate, be materially adverse). The Companies have designed, implemented and maintained internal controls relevant to the preparation and fair presentation of financial statements that are free from material misstatement in accordance with GAAP, and such internal controls are sufficient to provide reasonable assurance that transactions are executed with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1" w:name="page132"/>
    <w:bookmarkEnd w:id="131"/>
    <w:p>
      <w:pPr>
        <w:ind w:right="20"/>
        <w:spacing w:after="0" w:line="250" w:lineRule="auto"/>
        <w:rPr>
          <w:sz w:val="20"/>
          <w:szCs w:val="20"/>
          <w:color w:val="auto"/>
        </w:rPr>
      </w:pPr>
      <w:r>
        <w:rPr>
          <w:rFonts w:ascii="Arial" w:cs="Arial" w:eastAsia="Arial" w:hAnsi="Arial"/>
          <w:sz w:val="22"/>
          <w:szCs w:val="22"/>
          <w:color w:val="auto"/>
        </w:rPr>
        <w:t>management’s general or specific authorizations and transactions are recorded as necessary to permit preparation of financial statements in accordance with GAAP.</w:t>
      </w:r>
    </w:p>
    <w:p>
      <w:pPr>
        <w:spacing w:after="0" w:line="17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u w:val="single" w:color="auto"/>
          <w:color w:val="auto"/>
        </w:rPr>
        <w:t>Undisclosed Liabilities; Indebtedness</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line="273" w:lineRule="auto"/>
        <w:tabs>
          <w:tab w:leader="none" w:pos="2565" w:val="left"/>
        </w:tabs>
        <w:numPr>
          <w:ilvl w:val="1"/>
          <w:numId w:val="49"/>
        </w:numPr>
        <w:rPr>
          <w:rFonts w:ascii="Arial" w:cs="Arial" w:eastAsia="Arial" w:hAnsi="Arial"/>
          <w:sz w:val="19"/>
          <w:szCs w:val="19"/>
          <w:color w:val="auto"/>
        </w:rPr>
      </w:pPr>
      <w:r>
        <w:rPr>
          <w:rFonts w:ascii="Arial" w:cs="Arial" w:eastAsia="Arial" w:hAnsi="Arial"/>
          <w:sz w:val="19"/>
          <w:szCs w:val="19"/>
          <w:color w:val="auto"/>
        </w:rPr>
        <w:t>Neither Company has any liabilities, commitments, or obligations, asserted or unasserted, known or unknown, absolute or contingent, whether or not accrued, matured or unmatured, except for liabilities, commitments, or obligations (a) reflected in, reserved against on, or otherwise disclosed in the Financial Statements or the notes thereto,</w:t>
      </w:r>
    </w:p>
    <w:p>
      <w:pPr>
        <w:spacing w:after="0" w:line="1" w:lineRule="exact"/>
        <w:rPr>
          <w:rFonts w:ascii="Arial" w:cs="Arial" w:eastAsia="Arial" w:hAnsi="Arial"/>
          <w:sz w:val="19"/>
          <w:szCs w:val="19"/>
          <w:color w:val="auto"/>
        </w:rPr>
      </w:pPr>
    </w:p>
    <w:p>
      <w:pPr>
        <w:jc w:val="both"/>
        <w:ind w:left="880" w:hanging="8"/>
        <w:spacing w:after="0" w:line="233" w:lineRule="auto"/>
        <w:tabs>
          <w:tab w:leader="none" w:pos="1226"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set forth in </w:t>
      </w:r>
      <w:r>
        <w:rPr>
          <w:rFonts w:ascii="Arial" w:cs="Arial" w:eastAsia="Arial" w:hAnsi="Arial"/>
          <w:sz w:val="22"/>
          <w:szCs w:val="22"/>
          <w:u w:val="single" w:color="auto"/>
          <w:color w:val="auto"/>
        </w:rPr>
        <w:t>Section 3.7(a)</w:t>
      </w:r>
      <w:r>
        <w:rPr>
          <w:rFonts w:ascii="Arial" w:cs="Arial" w:eastAsia="Arial" w:hAnsi="Arial"/>
          <w:sz w:val="22"/>
          <w:szCs w:val="22"/>
          <w:color w:val="auto"/>
        </w:rPr>
        <w:t xml:space="preserve"> of the Disclosure Schedule, (c) discharged or paid in full prior to the date of this Agreement or the Closing, (d) incurred pursuant to or in connection with the transactions contemplated by this Agreement, (e) under Contracts arising in the ordinary course of business, or (f) actually taken into account in the final calculation of Net Working Capital pursuant to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2560" w:hanging="891"/>
        <w:spacing w:after="0"/>
        <w:tabs>
          <w:tab w:leader="none" w:pos="2560" w:val="left"/>
        </w:tabs>
        <w:numPr>
          <w:ilvl w:val="1"/>
          <w:numId w:val="50"/>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3.7(b)</w:t>
      </w:r>
      <w:r>
        <w:rPr>
          <w:rFonts w:ascii="Arial" w:cs="Arial" w:eastAsia="Arial" w:hAnsi="Arial"/>
          <w:sz w:val="21"/>
          <w:szCs w:val="21"/>
          <w:color w:val="auto"/>
        </w:rPr>
        <w:t xml:space="preserve"> of the Disclosure Schedule, neither Company has any</w:t>
      </w:r>
    </w:p>
    <w:p>
      <w:pPr>
        <w:spacing w:after="0" w:line="1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Indebtedness.</w:t>
      </w:r>
    </w:p>
    <w:p>
      <w:pPr>
        <w:spacing w:after="0" w:line="188" w:lineRule="exact"/>
        <w:rPr>
          <w:rFonts w:ascii="Arial" w:cs="Arial" w:eastAsia="Arial" w:hAnsi="Arial"/>
          <w:sz w:val="21"/>
          <w:szCs w:val="21"/>
          <w:color w:val="auto"/>
        </w:rPr>
      </w:pPr>
    </w:p>
    <w:p>
      <w:pPr>
        <w:jc w:val="both"/>
        <w:ind w:left="880" w:firstLine="789"/>
        <w:spacing w:after="0" w:line="234" w:lineRule="auto"/>
        <w:tabs>
          <w:tab w:leader="none" w:pos="2565"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Section 3.7(c)</w:t>
      </w:r>
      <w:r>
        <w:rPr>
          <w:rFonts w:ascii="Arial" w:cs="Arial" w:eastAsia="Arial" w:hAnsi="Arial"/>
          <w:sz w:val="22"/>
          <w:szCs w:val="22"/>
          <w:color w:val="auto"/>
        </w:rPr>
        <w:t xml:space="preserve"> of the Disclosure Schedule sets forth a list of each loan, application for assistance or stimulus payment that the Companies received or for which the Companies applied pursuant to any COVID-19 Measures, including any Paycheck Protection Program loan, Economic Stabilization Fund loan or other United States Small Business Administration loan (collectively, the “</w:t>
      </w:r>
      <w:r>
        <w:rPr>
          <w:rFonts w:ascii="Arial" w:cs="Arial" w:eastAsia="Arial" w:hAnsi="Arial"/>
          <w:sz w:val="22"/>
          <w:szCs w:val="22"/>
          <w:u w:val="single" w:color="auto"/>
          <w:color w:val="auto"/>
        </w:rPr>
        <w:t>COVID-19 Assistance</w:t>
      </w:r>
      <w:r>
        <w:rPr>
          <w:rFonts w:ascii="Arial" w:cs="Arial" w:eastAsia="Arial" w:hAnsi="Arial"/>
          <w:sz w:val="22"/>
          <w:szCs w:val="22"/>
          <w:color w:val="auto"/>
        </w:rPr>
        <w:t>”). All certifications, representations and indications made by or on behalf of the Companies to any Person, including any Governmental Entity, in connection with the COVID-19 Assistance were correct and complete in all material respects and were prepared in material compliance with all applicable Laws.</w:t>
      </w:r>
    </w:p>
    <w:p>
      <w:pPr>
        <w:spacing w:after="0" w:line="19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 xml:space="preserve">Section 3.8 </w:t>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Section 3.8(i)</w:t>
      </w:r>
      <w:r>
        <w:rPr>
          <w:rFonts w:ascii="Arial" w:cs="Arial" w:eastAsia="Arial" w:hAnsi="Arial"/>
          <w:sz w:val="19"/>
          <w:szCs w:val="19"/>
          <w:color w:val="auto"/>
        </w:rPr>
        <w:t xml:space="preserve"> of the Disclosure Schedule or as contemplated or permitted by this Agreement, since January 1, 2020, (a) each Company has operated its businesses in the ordinary course of business in all material respects consistent with past practice for each such Company, (b) there has been no Material Adverse Effect, and (c) there has been no action which, if taken or authorized between the date of this Agreement and the Closing Date, would have required the consent of Purchaser pursuant to </w:t>
      </w:r>
      <w:r>
        <w:rPr>
          <w:rFonts w:ascii="Arial" w:cs="Arial" w:eastAsia="Arial" w:hAnsi="Arial"/>
          <w:sz w:val="19"/>
          <w:szCs w:val="19"/>
          <w:u w:val="single" w:color="auto"/>
          <w:color w:val="auto"/>
        </w:rPr>
        <w:t>Section 6.1(c)</w:t>
      </w:r>
      <w:r>
        <w:rPr>
          <w:rFonts w:ascii="Arial" w:cs="Arial" w:eastAsia="Arial" w:hAnsi="Arial"/>
          <w:sz w:val="19"/>
          <w:szCs w:val="19"/>
          <w:color w:val="auto"/>
        </w:rPr>
        <w:t xml:space="preserve"> (excluding </w:t>
      </w:r>
      <w:r>
        <w:rPr>
          <w:rFonts w:ascii="Arial" w:cs="Arial" w:eastAsia="Arial" w:hAnsi="Arial"/>
          <w:sz w:val="19"/>
          <w:szCs w:val="19"/>
          <w:u w:val="single" w:color="auto"/>
          <w:color w:val="auto"/>
        </w:rPr>
        <w:t>Section 6.1(c)(ix)</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Section 3.8(ii)</w:t>
      </w:r>
      <w:r>
        <w:rPr>
          <w:rFonts w:ascii="Arial" w:cs="Arial" w:eastAsia="Arial" w:hAnsi="Arial"/>
          <w:sz w:val="19"/>
          <w:szCs w:val="19"/>
          <w:color w:val="auto"/>
        </w:rPr>
        <w:t xml:space="preserve"> of the Disclosure Schedule, to the Companies’ Knowledge, there are no COVID-19 Measures that prevent the Companies from operating in the ordinary course of business.</w:t>
      </w:r>
    </w:p>
    <w:p>
      <w:pPr>
        <w:spacing w:after="0" w:line="152"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u w:val="single" w:color="auto"/>
          <w:color w:val="auto"/>
        </w:rPr>
        <w:t>Compliance with Laws; Reimbursement Programs</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line="248" w:lineRule="auto"/>
        <w:tabs>
          <w:tab w:leader="none" w:pos="2565"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3.9(a)</w:t>
      </w:r>
      <w:r>
        <w:rPr>
          <w:rFonts w:ascii="Arial" w:cs="Arial" w:eastAsia="Arial" w:hAnsi="Arial"/>
          <w:sz w:val="21"/>
          <w:szCs w:val="21"/>
          <w:color w:val="auto"/>
        </w:rPr>
        <w:t xml:space="preserve"> of the Disclosure Schedule, each Company is, and since the Lookback Date has been, in compliance in all material respects with all Laws and Orders applicable to such Company and its properties and assets and the operation of its business. Since the Lookback Date, no Company has received any verbal or written notice from any Governmental Entity alleging a violation of any applicable Laws or Orders. There is no pending or, to Companies’ Knowledge, threatened Action by or before any Governmental Entity or Company Payment Program alleging a violation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2" w:name="page133"/>
    <w:bookmarkEnd w:id="132"/>
    <w:p>
      <w:pPr>
        <w:jc w:val="both"/>
        <w:spacing w:after="0" w:line="297" w:lineRule="auto"/>
        <w:rPr>
          <w:sz w:val="20"/>
          <w:szCs w:val="20"/>
          <w:color w:val="auto"/>
        </w:rPr>
      </w:pPr>
      <w:r>
        <w:rPr>
          <w:rFonts w:ascii="Arial" w:cs="Arial" w:eastAsia="Arial" w:hAnsi="Arial"/>
          <w:sz w:val="19"/>
          <w:szCs w:val="19"/>
          <w:color w:val="auto"/>
        </w:rPr>
        <w:t>Health Care Laws by any Company, or any of their respective current or former directors, members, employees, agents, officers, managers, independent contractors or agents, and there are no facts, events, circumstances or conditions that could reasonably be expected to form the basis of or give rise to any such Action.</w:t>
      </w:r>
    </w:p>
    <w:p>
      <w:pPr>
        <w:spacing w:after="0" w:line="134" w:lineRule="exact"/>
        <w:rPr>
          <w:sz w:val="20"/>
          <w:szCs w:val="20"/>
          <w:color w:val="auto"/>
        </w:rPr>
      </w:pPr>
    </w:p>
    <w:p>
      <w:pPr>
        <w:jc w:val="both"/>
        <w:ind w:firstLine="789"/>
        <w:spacing w:after="0" w:line="282" w:lineRule="auto"/>
        <w:tabs>
          <w:tab w:leader="none" w:pos="1697"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Since the Lookback Date, each Company has at all times maintained and conducted its business and operations in compliance with a Compliance Program. Except as set forth in </w:t>
      </w:r>
      <w:r>
        <w:rPr>
          <w:rFonts w:ascii="Arial" w:cs="Arial" w:eastAsia="Arial" w:hAnsi="Arial"/>
          <w:sz w:val="19"/>
          <w:szCs w:val="19"/>
          <w:u w:val="single" w:color="auto"/>
          <w:color w:val="auto"/>
        </w:rPr>
        <w:t>Section 3.9(b)</w:t>
      </w:r>
      <w:r>
        <w:rPr>
          <w:rFonts w:ascii="Arial" w:cs="Arial" w:eastAsia="Arial" w:hAnsi="Arial"/>
          <w:sz w:val="19"/>
          <w:szCs w:val="19"/>
          <w:color w:val="auto"/>
        </w:rPr>
        <w:t xml:space="preserve"> of the Disclosure Schedule, each Company has provided or made available to Purchaser a complete and accurate copy of such Company’s current Compliance Program materials (as applicable). For purposes of this </w:t>
      </w:r>
      <w:r>
        <w:rPr>
          <w:rFonts w:ascii="Arial" w:cs="Arial" w:eastAsia="Arial" w:hAnsi="Arial"/>
          <w:sz w:val="19"/>
          <w:szCs w:val="19"/>
          <w:u w:val="single" w:color="auto"/>
          <w:color w:val="auto"/>
        </w:rPr>
        <w:t>Section 3.9</w:t>
      </w:r>
      <w:r>
        <w:rPr>
          <w:rFonts w:ascii="Arial" w:cs="Arial" w:eastAsia="Arial" w:hAnsi="Arial"/>
          <w:sz w:val="19"/>
          <w:szCs w:val="19"/>
          <w:color w:val="auto"/>
        </w:rPr>
        <w:t>, the term “</w:t>
      </w:r>
      <w:r>
        <w:rPr>
          <w:rFonts w:ascii="Arial" w:cs="Arial" w:eastAsia="Arial" w:hAnsi="Arial"/>
          <w:sz w:val="19"/>
          <w:szCs w:val="19"/>
          <w:u w:val="single" w:color="auto"/>
          <w:color w:val="auto"/>
        </w:rPr>
        <w:t>Compliance Program</w:t>
      </w:r>
      <w:r>
        <w:rPr>
          <w:rFonts w:ascii="Arial" w:cs="Arial" w:eastAsia="Arial" w:hAnsi="Arial"/>
          <w:sz w:val="19"/>
          <w:szCs w:val="19"/>
          <w:color w:val="auto"/>
        </w:rPr>
        <w:t>” refers to provider programs of the type described in the Compliance Program Guidance published by the OIG.</w:t>
      </w:r>
    </w:p>
    <w:p>
      <w:pPr>
        <w:spacing w:after="0" w:line="147" w:lineRule="exact"/>
        <w:rPr>
          <w:rFonts w:ascii="Arial" w:cs="Arial" w:eastAsia="Arial" w:hAnsi="Arial"/>
          <w:sz w:val="19"/>
          <w:szCs w:val="19"/>
          <w:color w:val="auto"/>
        </w:rPr>
      </w:pPr>
    </w:p>
    <w:p>
      <w:pPr>
        <w:jc w:val="both"/>
        <w:ind w:firstLine="789"/>
        <w:spacing w:after="0" w:line="235" w:lineRule="auto"/>
        <w:tabs>
          <w:tab w:leader="none" w:pos="1685" w:val="left"/>
        </w:tabs>
        <w:numPr>
          <w:ilvl w:val="0"/>
          <w:numId w:val="52"/>
        </w:numPr>
        <w:rPr>
          <w:rFonts w:ascii="Arial" w:cs="Arial" w:eastAsia="Arial" w:hAnsi="Arial"/>
          <w:sz w:val="22"/>
          <w:szCs w:val="22"/>
          <w:color w:val="auto"/>
        </w:rPr>
      </w:pPr>
      <w:r>
        <w:rPr>
          <w:rFonts w:ascii="Arial" w:cs="Arial" w:eastAsia="Arial" w:hAnsi="Arial"/>
          <w:sz w:val="22"/>
          <w:szCs w:val="22"/>
          <w:color w:val="auto"/>
        </w:rPr>
        <w:t>Since the Lookback Date, neither Company, their employees or, to the Company’s Knowledge, any contractors or other representatives acting on behalf of either Company have (i) used any funds for unlawful contributions, gifts, or entertainment or for other unlawful expenses related to political activity, (ii) made any unlawful payment to foreign or domestic government officials or employees or to foreign or domestic political parties or campaigns, or (iii) violated any provision of the Foreign Corrupt Practices Act of 1977 or other applicable anti-corruption or anti-bribery Laws.</w:t>
      </w:r>
    </w:p>
    <w:p>
      <w:pPr>
        <w:spacing w:after="0" w:line="187" w:lineRule="exact"/>
        <w:rPr>
          <w:rFonts w:ascii="Arial" w:cs="Arial" w:eastAsia="Arial" w:hAnsi="Arial"/>
          <w:sz w:val="22"/>
          <w:szCs w:val="22"/>
          <w:color w:val="auto"/>
        </w:rPr>
      </w:pPr>
    </w:p>
    <w:p>
      <w:pPr>
        <w:jc w:val="both"/>
        <w:ind w:firstLine="789"/>
        <w:spacing w:after="0" w:line="272" w:lineRule="auto"/>
        <w:tabs>
          <w:tab w:leader="none" w:pos="1697"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Neither Company since the Lookback Date: (i) is or has been a party to any corporate integrity agreements, monitoring agreements, consent decrees, settlements, orders, or similar agreements with or imposed by any Governmental Entity; (ii) has been subject to ongoing reporting obligations pursuant to a settlement agreement entered into with any Governmental Entity; (iii) has been assessed a civil money penalty under Section 1128A of the Social Security Act or any regulations promulgated thereunder or any other fine or penalty by any other Governmental Entity in connection with the violation of any Health Care Laws; (iv) has been charged with, convicted of or entered a plea of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any criminal or civil offense relating to the delivery of any item or service under a Governmental Payment Program or any other violation of Health Care Laws; (v) is or has been a defendant in any </w:t>
      </w:r>
      <w:r>
        <w:rPr>
          <w:rFonts w:ascii="Arial" w:cs="Arial" w:eastAsia="Arial" w:hAnsi="Arial"/>
          <w:sz w:val="19"/>
          <w:szCs w:val="19"/>
          <w:i w:val="1"/>
          <w:iCs w:val="1"/>
          <w:color w:val="auto"/>
        </w:rPr>
        <w:t>qui</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tam </w:t>
      </w:r>
      <w:r>
        <w:rPr>
          <w:rFonts w:ascii="Arial" w:cs="Arial" w:eastAsia="Arial" w:hAnsi="Arial"/>
          <w:sz w:val="19"/>
          <w:szCs w:val="19"/>
          <w:color w:val="auto"/>
        </w:rPr>
        <w:t>or False Claims Act proceeding; (v) has made any voluntary disclosure to the OIG, CMS, any Medicare</w:t>
      </w:r>
      <w:r>
        <w:rPr>
          <w:rFonts w:ascii="Arial" w:cs="Arial" w:eastAsia="Arial" w:hAnsi="Arial"/>
          <w:sz w:val="19"/>
          <w:szCs w:val="19"/>
          <w:i w:val="1"/>
          <w:iCs w:val="1"/>
          <w:color w:val="auto"/>
        </w:rPr>
        <w:t xml:space="preserve"> </w:t>
      </w:r>
      <w:r>
        <w:rPr>
          <w:rFonts w:ascii="Arial" w:cs="Arial" w:eastAsia="Arial" w:hAnsi="Arial"/>
          <w:sz w:val="19"/>
          <w:szCs w:val="19"/>
          <w:color w:val="auto"/>
        </w:rPr>
        <w:t>Administrative Contractor, Medicaid program or other Governmental Entity relating to any Governmental Payment Program; or (vi) has received written notice from any Governmental Entity (including, without limitation, any search warrant, subpoena, civil investigative demand or contact letter) that alleges any material noncompliance with, or states that it is subject to any Action with respect to, any Health Care Law.</w:t>
      </w:r>
    </w:p>
    <w:p>
      <w:pPr>
        <w:spacing w:after="0" w:line="155" w:lineRule="exact"/>
        <w:rPr>
          <w:rFonts w:ascii="Arial" w:cs="Arial" w:eastAsia="Arial" w:hAnsi="Arial"/>
          <w:sz w:val="19"/>
          <w:szCs w:val="19"/>
          <w:color w:val="auto"/>
        </w:rPr>
      </w:pPr>
    </w:p>
    <w:p>
      <w:pPr>
        <w:jc w:val="both"/>
        <w:ind w:firstLine="789"/>
        <w:spacing w:after="0" w:line="234" w:lineRule="auto"/>
        <w:tabs>
          <w:tab w:leader="none" w:pos="1685" w:val="left"/>
        </w:tabs>
        <w:numPr>
          <w:ilvl w:val="0"/>
          <w:numId w:val="52"/>
        </w:numPr>
        <w:rPr>
          <w:rFonts w:ascii="Arial" w:cs="Arial" w:eastAsia="Arial" w:hAnsi="Arial"/>
          <w:sz w:val="22"/>
          <w:szCs w:val="22"/>
          <w:color w:val="auto"/>
        </w:rPr>
      </w:pPr>
      <w:r>
        <w:rPr>
          <w:rFonts w:ascii="Arial" w:cs="Arial" w:eastAsia="Arial" w:hAnsi="Arial"/>
          <w:sz w:val="22"/>
          <w:szCs w:val="22"/>
          <w:color w:val="auto"/>
        </w:rPr>
        <w:t>Each Company is, and since the Lookback Date has been, in compliance in all material respects with HIPAA, including without limitation having business associate agreements in effect with all entities acting as business associates (as defined in 45 CFR § 160.103) of such Company, which such agreements satisfy all of the requirements of 45 CFR §§ 164.504(e) and 164.314(a). Each Company is, and since the Lookback Date has been, in compliance with (i) all contracts or other arrangements in effect between such Company and any third party that restrict the use, disclosure or security of Personal Information by such Company or by any other party to such contracts or other</w:t>
      </w:r>
    </w:p>
    <w:p>
      <w:pPr>
        <w:spacing w:after="0" w:line="19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33" w:name="page134"/>
    <w:bookmarkEnd w:id="133"/>
    <w:p>
      <w:pPr>
        <w:jc w:val="both"/>
        <w:spacing w:after="0" w:line="269" w:lineRule="auto"/>
        <w:rPr>
          <w:sz w:val="20"/>
          <w:szCs w:val="20"/>
          <w:color w:val="auto"/>
        </w:rPr>
      </w:pPr>
      <w:r>
        <w:rPr>
          <w:rFonts w:ascii="Arial" w:cs="Arial" w:eastAsia="Arial" w:hAnsi="Arial"/>
          <w:sz w:val="19"/>
          <w:szCs w:val="19"/>
          <w:color w:val="auto"/>
        </w:rPr>
        <w:t>arrangements (collectively, “</w:t>
      </w:r>
      <w:r>
        <w:rPr>
          <w:rFonts w:ascii="Arial" w:cs="Arial" w:eastAsia="Arial" w:hAnsi="Arial"/>
          <w:sz w:val="19"/>
          <w:szCs w:val="19"/>
          <w:u w:val="single" w:color="auto"/>
          <w:color w:val="auto"/>
        </w:rPr>
        <w:t>Privacy Agreements</w:t>
      </w:r>
      <w:r>
        <w:rPr>
          <w:rFonts w:ascii="Arial" w:cs="Arial" w:eastAsia="Arial" w:hAnsi="Arial"/>
          <w:sz w:val="19"/>
          <w:szCs w:val="19"/>
          <w:color w:val="auto"/>
        </w:rPr>
        <w:t>”); and (ii) the terms of any consents, authorizations, waiver of authorization or other permission pursuant to which either Company accesses, uses, discloses, or has accessed, used or disclosed, Personal Information (collectively, “</w:t>
      </w:r>
      <w:r>
        <w:rPr>
          <w:rFonts w:ascii="Arial" w:cs="Arial" w:eastAsia="Arial" w:hAnsi="Arial"/>
          <w:sz w:val="19"/>
          <w:szCs w:val="19"/>
          <w:u w:val="single" w:color="auto"/>
          <w:color w:val="auto"/>
        </w:rPr>
        <w:t>Privacy Consents</w:t>
      </w:r>
      <w:r>
        <w:rPr>
          <w:rFonts w:ascii="Arial" w:cs="Arial" w:eastAsia="Arial" w:hAnsi="Arial"/>
          <w:sz w:val="19"/>
          <w:szCs w:val="19"/>
          <w:color w:val="auto"/>
        </w:rPr>
        <w:t>”). Each Company has the right pursuant to the Privacy Agreements, the Privacy Consents and its respective privacy and security policies to use and disclose Protected Health Information for the purpose such information is and has been used and disclosed. Neither the execution, delivery or performance of this Agreement, nor the consummation of any of the transactions contemplated by this Agreement, including any direct or indirect transfer of Protected Health Information resulting from such transactions, will violate any Company policies, any Privacy Agreements, or any Privacy Consents as such currently exist or as existed at any time during which any of such Protected Health Information was collected or obtained. Each Company has, to the extent applicable, implemented all security management processes required by HIPAA, including a risk analysis, risk management activities, and information system activity review, as described at 45 C.F.R. § 164.308(a)(1)(ii). Neither Company has received any individual complaint regarding such Company or any of its agents, employees or contractors’ uses or disclosures of, or security practices or security incidents regarding, Protected Health Information. Neither Company is subject to any pending Action, or, to the Companies’ Knowledge, is any Action threatened against any Company (and to the Companies’ Knowledge, no such Actions are likely to be asserted or threatened against either Company) by any third party or entity, including any Governmental Entity, alleging (i) a violation of any Company policies, Privacy Consents or any Privacy Agreements; (ii) a violation of any third party or entity’s privacy, personal or confidentiality rights under any Data Privacy and Security Laws, or (iii) the failure of a Company with respect to any security audit. Since the Lookback Date, no “breach” or “security incident” (each as defined by HIPAA) has occurred with respect to any unsecured Protected Health Information held by or on behalf of a Company. Neither Company has been notified nor has been required to notify, either voluntarily or as required by any Privacy Agreement or legal requirement, any affected individual, any customer, any Governmental Entity, or the media of any loss of, or unauthorized access to or acquisition, use, disclosure, modification, or other misuse or breach of Personal Information, and each Company is not currently planning to conduct any such notification or investigating whether any such notification is required.</w:t>
      </w:r>
    </w:p>
    <w:p>
      <w:pPr>
        <w:spacing w:after="0" w:line="200" w:lineRule="exact"/>
        <w:rPr>
          <w:sz w:val="20"/>
          <w:szCs w:val="20"/>
          <w:color w:val="auto"/>
        </w:rPr>
      </w:pPr>
    </w:p>
    <w:p>
      <w:pPr>
        <w:spacing w:after="0" w:line="214" w:lineRule="exact"/>
        <w:rPr>
          <w:sz w:val="20"/>
          <w:szCs w:val="20"/>
          <w:color w:val="auto"/>
        </w:rPr>
      </w:pPr>
    </w:p>
    <w:p>
      <w:pPr>
        <w:jc w:val="both"/>
        <w:ind w:firstLine="789"/>
        <w:spacing w:after="0" w:line="273" w:lineRule="auto"/>
        <w:tabs>
          <w:tab w:leader="none" w:pos="1661"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 Company, nor any of their respective direct equityholders, employees, officers, directors, managers, or independent contractors has at any time since the Lookback Date been (i) suspended, debarred, excluded or otherwise deemed ineligible to participate in any Company Payment Program; (ii) subject to any sanction pursuant to 42 U.S.C. § 1320a-7a or 1320a-8; (iii) convicted of a crime described in 42 U.S.C. § 1320a-7b; (iv) engaged in any activities that are prohibited by or are cause for civil or criminal penalties or mandatory or permissive exclusion under any Health Care Laws pertaining to billing, kickbacks, false claims, claims processing, marketing or self-referrals; (v) been listed on the General Services Administration published list of parties excluded from federal procurement programs and non-procurement programs; or (vi) adopted any board resolutions at the request of any Governmental Entity that restricts the conduct of its business or that impacts the management or operation of its business in any material adverse manner, in each case, pursuant to Health Care Laws.</w:t>
      </w:r>
    </w:p>
    <w:p>
      <w:pPr>
        <w:spacing w:after="0" w:line="16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34" w:name="page135"/>
    <w:bookmarkEnd w:id="134"/>
    <w:p>
      <w:pPr>
        <w:ind w:left="-240" w:firstLine="789"/>
        <w:spacing w:after="0" w:line="250" w:lineRule="auto"/>
        <w:tabs>
          <w:tab w:leader="none" w:pos="1457" w:val="left"/>
        </w:tabs>
        <w:numPr>
          <w:ilvl w:val="0"/>
          <w:numId w:val="54"/>
        </w:numPr>
        <w:rPr>
          <w:rFonts w:ascii="Arial" w:cs="Arial" w:eastAsia="Arial" w:hAnsi="Arial"/>
          <w:sz w:val="22"/>
          <w:szCs w:val="22"/>
          <w:color w:val="auto"/>
        </w:rPr>
      </w:pPr>
      <w:r>
        <w:rPr>
          <w:rFonts w:ascii="Arial" w:cs="Arial" w:eastAsia="Arial" w:hAnsi="Arial"/>
          <w:sz w:val="22"/>
          <w:szCs w:val="22"/>
          <w:color w:val="auto"/>
        </w:rPr>
        <w:t>Since the Lookback Date, each Company (as applicable) has duly filed all required cost reports for all fiscal years including the fiscal year ending December 31, 2019.</w:t>
      </w:r>
    </w:p>
    <w:p>
      <w:pPr>
        <w:spacing w:after="0" w:line="174" w:lineRule="exact"/>
        <w:rPr>
          <w:rFonts w:ascii="Arial" w:cs="Arial" w:eastAsia="Arial" w:hAnsi="Arial"/>
          <w:sz w:val="22"/>
          <w:szCs w:val="22"/>
          <w:color w:val="auto"/>
        </w:rPr>
      </w:pPr>
    </w:p>
    <w:p>
      <w:pPr>
        <w:jc w:val="both"/>
        <w:ind w:left="-240" w:firstLine="789"/>
        <w:spacing w:after="0" w:line="273" w:lineRule="auto"/>
        <w:tabs>
          <w:tab w:leader="none" w:pos="1457"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3.9(h)</w:t>
      </w:r>
      <w:r>
        <w:rPr>
          <w:rFonts w:ascii="Arial" w:cs="Arial" w:eastAsia="Arial" w:hAnsi="Arial"/>
          <w:sz w:val="19"/>
          <w:szCs w:val="19"/>
          <w:color w:val="auto"/>
        </w:rPr>
        <w:t xml:space="preserve"> of the Disclosure Schedule, each Company has, and at all times since the Lookback Date has held, a valid provider contract or other agreement with the Medicare and Medicaid Programs and all Company Payment Programs from which it receives reimbursement on an “in-network basis”. The current provider numbers for Company Payment Programs are listed on </w:t>
      </w:r>
      <w:r>
        <w:rPr>
          <w:rFonts w:ascii="Arial" w:cs="Arial" w:eastAsia="Arial" w:hAnsi="Arial"/>
          <w:sz w:val="19"/>
          <w:szCs w:val="19"/>
          <w:u w:val="single" w:color="auto"/>
          <w:color w:val="auto"/>
        </w:rPr>
        <w:t>Section 3.9(h)</w:t>
      </w:r>
      <w:r>
        <w:rPr>
          <w:rFonts w:ascii="Arial" w:cs="Arial" w:eastAsia="Arial" w:hAnsi="Arial"/>
          <w:sz w:val="19"/>
          <w:szCs w:val="19"/>
          <w:color w:val="auto"/>
        </w:rPr>
        <w:t xml:space="preserve"> of the Disclosure Schedule. Each Company is and, since the Lookback Date, has been, in compliance in all material respects with applicable legal requirements governing hospices and reimbursement and participation in Company Payment Programs and all rules, regulations, program memorandums and manuals of the Company Payment Program applicable to each Company. The Companies are in compliance in all material respects with the conditions of participation in the Governmental Payment Programs, including, but not limited to, the requirements set forth in 42 C.F.R. Part 418. Since the Lookback Date, no Company Payment Program has imposed a fine, penalty or other sanction on any Company or terminated its relationship with any Company.</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240" w:firstLine="789"/>
        <w:spacing w:after="0" w:line="272" w:lineRule="auto"/>
        <w:tabs>
          <w:tab w:leader="none" w:pos="1409"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billing practices of each Company with respect to all Company Payment Programs, are and have been since the Lookback Date in material compliance with all applicable Laws, regulations and policies of such Company Payment Program. All claims submitted to any Company Payment Program by, and the coding and billing practices of, any Company have been timely, accurate, and filed in compliance in all material respects with all Health Care Laws applicable to such Company Payment Program, and each Company has paid or caused to be paid all known and undisputed refunds, penalties, overpayments, fees or other financial assessments or performance requirements which have become due to any Company Payment Program. There is no pending or, to the Companies’ Knowledge, threatened Action (including written or other notice of an intent to audit), by any patient or Company Payment Program with respect to any billing practices and reimbursement claims by either Company, nor any facts, events, circumstances or conditions that could reasonably be expected to give rise to any such Action. Since the Lookback Date, neither Company has been audited or otherwise examined by any Company Payment Program other than in the ordinary course of business.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240" w:firstLine="789"/>
        <w:spacing w:after="0" w:line="246" w:lineRule="auto"/>
        <w:tabs>
          <w:tab w:leader="none" w:pos="1409"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There is no uncured material default or material breach by either Company under any of the Healthcare Operating Agreements, and no event has occurred that, with the giving of notice or the passage of time, or both, would constitute such a default or breach. All Healthcare Operating Agreements with a physician, hospital, medical practice, or other health care facility, clinic, or practitioner have been structured in compliance with all Health Care Laws and reflect fair market value and commercially reasonable terms. Neither Company has assigned, encumbered or granted a lien or security interest in any of its healthcare Permits, Company Payment Program Contracts or Healthcare Operating Agreements.</w:t>
      </w:r>
    </w:p>
    <w:p>
      <w:pPr>
        <w:spacing w:after="0" w:line="18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35" w:name="page136"/>
    <w:bookmarkEnd w:id="135"/>
    <w:p>
      <w:pPr>
        <w:jc w:val="both"/>
        <w:ind w:firstLine="864"/>
        <w:spacing w:after="0" w:line="273"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Permits</w:t>
      </w:r>
      <w:r>
        <w:rPr>
          <w:rFonts w:ascii="Arial" w:cs="Arial" w:eastAsia="Arial" w:hAnsi="Arial"/>
          <w:sz w:val="19"/>
          <w:szCs w:val="19"/>
          <w:color w:val="auto"/>
        </w:rPr>
        <w:t xml:space="preserve">. Each Company (including any of such Company’s employees or independent contractors) possesses all Permits that are required (i) in order to conduct the business as presently conducted by such Company and (ii) in order to be in compliance in all material respects with all applicable Laws and Orders.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of the Disclosure Schedule lists all such Permits including the names of the Permits and their respective dates of issuance and expiration. Such Permits are valid, in good standing and in full force and effect and, assuming that all consents, approvals, authorizations, and permits contemplated by </w:t>
      </w:r>
      <w:r>
        <w:rPr>
          <w:rFonts w:ascii="Arial" w:cs="Arial" w:eastAsia="Arial" w:hAnsi="Arial"/>
          <w:sz w:val="19"/>
          <w:szCs w:val="19"/>
          <w:u w:val="single" w:color="auto"/>
          <w:color w:val="auto"/>
        </w:rPr>
        <w:t>Section 3.3(b)</w:t>
      </w:r>
      <w:r>
        <w:rPr>
          <w:rFonts w:ascii="Arial" w:cs="Arial" w:eastAsia="Arial" w:hAnsi="Arial"/>
          <w:sz w:val="19"/>
          <w:szCs w:val="19"/>
          <w:color w:val="auto"/>
        </w:rPr>
        <w:t xml:space="preserve"> have been obtained, will continue to be valid and in full force and effect on identical terms immediately following the consummation of the transactions contemplated by this Agreement. No Action by any Governmental Entity is pending or, to the Companies’ Knowledge, threatened seeking to revoke, terminate, suspend, cancel, limit, or otherwise adversely modify any of the Permits, or any Permit held by either Company or any health care provider employed by either Company. Since the Lookback Date, neither Company (including any employees or independent contractors) is currently, nor has been, in default or violation in any material respect of any such Permits.</w:t>
      </w:r>
    </w:p>
    <w:p>
      <w:pPr>
        <w:spacing w:after="0" w:line="155"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Contracts</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line="238" w:lineRule="auto"/>
        <w:tabs>
          <w:tab w:leader="none" w:pos="256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Section 3.11</w:t>
      </w:r>
      <w:r>
        <w:rPr>
          <w:rFonts w:ascii="Arial" w:cs="Arial" w:eastAsia="Arial" w:hAnsi="Arial"/>
          <w:sz w:val="22"/>
          <w:szCs w:val="22"/>
          <w:color w:val="auto"/>
        </w:rPr>
        <w:t xml:space="preserve"> of the Disclosure Schedule sets forth a list of the following Contracts to which, as of the date of this Agreement, any Company is a party or by which any of them is bound (collectively, the “</w:t>
      </w:r>
      <w:r>
        <w:rPr>
          <w:rFonts w:ascii="Arial" w:cs="Arial" w:eastAsia="Arial" w:hAnsi="Arial"/>
          <w:sz w:val="22"/>
          <w:szCs w:val="22"/>
          <w:u w:val="single" w:color="auto"/>
          <w:color w:val="auto"/>
        </w:rPr>
        <w:t>Material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Contracts</w:t>
      </w:r>
      <w:r>
        <w:rPr>
          <w:rFonts w:ascii="Arial" w:cs="Arial" w:eastAsia="Arial" w:hAnsi="Arial"/>
          <w:sz w:val="22"/>
          <w:szCs w:val="22"/>
          <w:color w:val="auto"/>
        </w:rPr>
        <w:t xml:space="preserve">”) (provided that </w:t>
      </w:r>
      <w:r>
        <w:rPr>
          <w:rFonts w:ascii="Arial" w:cs="Arial" w:eastAsia="Arial" w:hAnsi="Arial"/>
          <w:sz w:val="22"/>
          <w:szCs w:val="22"/>
          <w:u w:val="single" w:color="auto"/>
          <w:color w:val="auto"/>
        </w:rPr>
        <w:t>Section 3.11</w:t>
      </w:r>
      <w:r>
        <w:rPr>
          <w:rFonts w:ascii="Arial" w:cs="Arial" w:eastAsia="Arial" w:hAnsi="Arial"/>
          <w:sz w:val="22"/>
          <w:szCs w:val="22"/>
          <w:color w:val="auto"/>
        </w:rPr>
        <w:t xml:space="preserve"> of the Disclosure Schedule is not required to identify the applicable subpart of this </w:t>
      </w:r>
      <w:r>
        <w:rPr>
          <w:rFonts w:ascii="Arial" w:cs="Arial" w:eastAsia="Arial" w:hAnsi="Arial"/>
          <w:sz w:val="22"/>
          <w:szCs w:val="22"/>
          <w:u w:val="single" w:color="auto"/>
          <w:color w:val="auto"/>
        </w:rPr>
        <w:t>Section 3.11</w:t>
      </w:r>
      <w:r>
        <w:rPr>
          <w:rFonts w:ascii="Arial" w:cs="Arial" w:eastAsia="Arial" w:hAnsi="Arial"/>
          <w:sz w:val="22"/>
          <w:szCs w:val="22"/>
          <w:color w:val="auto"/>
        </w:rPr>
        <w:t xml:space="preserve"> to which each Material Contract applies):</w:t>
      </w:r>
    </w:p>
    <w:p>
      <w:pPr>
        <w:spacing w:after="0" w:line="184" w:lineRule="exact"/>
        <w:rPr>
          <w:rFonts w:ascii="Arial" w:cs="Arial" w:eastAsia="Arial" w:hAnsi="Arial"/>
          <w:sz w:val="22"/>
          <w:szCs w:val="22"/>
          <w:color w:val="auto"/>
        </w:rPr>
      </w:pPr>
    </w:p>
    <w:p>
      <w:pPr>
        <w:jc w:val="both"/>
        <w:ind w:left="1740" w:firstLine="726"/>
        <w:spacing w:after="0" w:line="257" w:lineRule="auto"/>
        <w:tabs>
          <w:tab w:leader="none" w:pos="3323" w:val="left"/>
        </w:tabs>
        <w:numPr>
          <w:ilvl w:val="1"/>
          <w:numId w:val="55"/>
        </w:numPr>
        <w:rPr>
          <w:rFonts w:ascii="Arial" w:cs="Arial" w:eastAsia="Arial" w:hAnsi="Arial"/>
          <w:sz w:val="21"/>
          <w:szCs w:val="21"/>
          <w:color w:val="auto"/>
        </w:rPr>
      </w:pPr>
      <w:r>
        <w:rPr>
          <w:rFonts w:ascii="Arial" w:cs="Arial" w:eastAsia="Arial" w:hAnsi="Arial"/>
          <w:sz w:val="21"/>
          <w:szCs w:val="21"/>
          <w:color w:val="auto"/>
        </w:rPr>
        <w:t>any Contract (other than purchase orders in the ordinary course of business) requiring payments by or to any Company, taken as a whole, of more than $250,000 on an annual basis and that is not terminable by such Company without penalty or notice of sixty (60) days or less;</w:t>
      </w:r>
    </w:p>
    <w:p>
      <w:pPr>
        <w:spacing w:after="0" w:line="169" w:lineRule="exact"/>
        <w:rPr>
          <w:rFonts w:ascii="Arial" w:cs="Arial" w:eastAsia="Arial" w:hAnsi="Arial"/>
          <w:sz w:val="21"/>
          <w:szCs w:val="21"/>
          <w:color w:val="auto"/>
        </w:rPr>
      </w:pPr>
    </w:p>
    <w:p>
      <w:pPr>
        <w:ind w:left="3380" w:hanging="914"/>
        <w:spacing w:after="0"/>
        <w:tabs>
          <w:tab w:leader="none" w:pos="33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Contract with a Material Supplier involving expenditures in excess of $100,000 per</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calendar year;</w:t>
      </w:r>
    </w:p>
    <w:p>
      <w:pPr>
        <w:spacing w:after="0" w:line="188" w:lineRule="exact"/>
        <w:rPr>
          <w:rFonts w:ascii="Arial" w:cs="Arial" w:eastAsia="Arial" w:hAnsi="Arial"/>
          <w:sz w:val="19"/>
          <w:szCs w:val="19"/>
          <w:color w:val="auto"/>
        </w:rPr>
      </w:pPr>
    </w:p>
    <w:p>
      <w:pPr>
        <w:jc w:val="both"/>
        <w:ind w:left="1740" w:firstLine="726"/>
        <w:spacing w:after="0" w:line="238" w:lineRule="auto"/>
        <w:tabs>
          <w:tab w:leader="none" w:pos="3443" w:val="left"/>
        </w:tabs>
        <w:numPr>
          <w:ilvl w:val="1"/>
          <w:numId w:val="55"/>
        </w:numPr>
        <w:rPr>
          <w:rFonts w:ascii="Arial" w:cs="Arial" w:eastAsia="Arial" w:hAnsi="Arial"/>
          <w:sz w:val="22"/>
          <w:szCs w:val="22"/>
          <w:color w:val="auto"/>
        </w:rPr>
      </w:pPr>
      <w:r>
        <w:rPr>
          <w:rFonts w:ascii="Arial" w:cs="Arial" w:eastAsia="Arial" w:hAnsi="Arial"/>
          <w:sz w:val="22"/>
          <w:szCs w:val="22"/>
          <w:color w:val="auto"/>
        </w:rPr>
        <w:t>any Contract for the lease, sublease, license or occupancy of real property, including each Contract (including all amendments, extensions, renewals, guaranties and other agreements or instruments with respect thereto) pursuant to which any Company leases, subleases, licenses or occupies any Leased Real Property (collectively, the “</w:t>
      </w:r>
      <w:r>
        <w:rPr>
          <w:rFonts w:ascii="Arial" w:cs="Arial" w:eastAsia="Arial" w:hAnsi="Arial"/>
          <w:sz w:val="22"/>
          <w:szCs w:val="22"/>
          <w:u w:val="single" w:color="auto"/>
          <w:color w:val="auto"/>
        </w:rPr>
        <w:t>Leases</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ind w:left="1740" w:firstLine="726"/>
        <w:spacing w:after="0" w:line="274" w:lineRule="auto"/>
        <w:tabs>
          <w:tab w:leader="none" w:pos="3431" w:val="left"/>
        </w:tabs>
        <w:numPr>
          <w:ilvl w:val="1"/>
          <w:numId w:val="55"/>
        </w:numPr>
        <w:rPr>
          <w:rFonts w:ascii="Arial" w:cs="Arial" w:eastAsia="Arial" w:hAnsi="Arial"/>
          <w:sz w:val="21"/>
          <w:szCs w:val="21"/>
          <w:color w:val="auto"/>
        </w:rPr>
      </w:pPr>
      <w:r>
        <w:rPr>
          <w:rFonts w:ascii="Arial" w:cs="Arial" w:eastAsia="Arial" w:hAnsi="Arial"/>
          <w:sz w:val="21"/>
          <w:szCs w:val="21"/>
          <w:color w:val="auto"/>
        </w:rPr>
        <w:t>any Contract pursuant to which any Company leases, either as lessee or as lessor, any personal property (including capital leases) involving annual payments in excess of $100,000;</w:t>
      </w:r>
    </w:p>
    <w:p>
      <w:pPr>
        <w:spacing w:after="0" w:line="150" w:lineRule="exact"/>
        <w:rPr>
          <w:rFonts w:ascii="Arial" w:cs="Arial" w:eastAsia="Arial" w:hAnsi="Arial"/>
          <w:sz w:val="21"/>
          <w:szCs w:val="21"/>
          <w:color w:val="auto"/>
        </w:rPr>
      </w:pPr>
    </w:p>
    <w:p>
      <w:pPr>
        <w:ind w:left="1740" w:firstLine="726"/>
        <w:spacing w:after="0" w:line="250" w:lineRule="auto"/>
        <w:tabs>
          <w:tab w:leader="none" w:pos="3371" w:val="left"/>
        </w:tabs>
        <w:numPr>
          <w:ilvl w:val="1"/>
          <w:numId w:val="55"/>
        </w:numPr>
        <w:rPr>
          <w:rFonts w:ascii="Arial" w:cs="Arial" w:eastAsia="Arial" w:hAnsi="Arial"/>
          <w:sz w:val="22"/>
          <w:szCs w:val="22"/>
          <w:color w:val="auto"/>
        </w:rPr>
      </w:pPr>
      <w:r>
        <w:rPr>
          <w:rFonts w:ascii="Arial" w:cs="Arial" w:eastAsia="Arial" w:hAnsi="Arial"/>
          <w:sz w:val="22"/>
          <w:szCs w:val="22"/>
          <w:color w:val="auto"/>
        </w:rPr>
        <w:t>any Contract that limits, in any material respect, the freedom of any Company to engage in any line of business or to compete with any Person in any area or territory;</w:t>
      </w:r>
    </w:p>
    <w:p>
      <w:pPr>
        <w:spacing w:after="0" w:line="174" w:lineRule="exact"/>
        <w:rPr>
          <w:rFonts w:ascii="Arial" w:cs="Arial" w:eastAsia="Arial" w:hAnsi="Arial"/>
          <w:sz w:val="22"/>
          <w:szCs w:val="22"/>
          <w:color w:val="auto"/>
        </w:rPr>
      </w:pPr>
    </w:p>
    <w:p>
      <w:pPr>
        <w:ind w:left="3420" w:hanging="954"/>
        <w:spacing w:after="0"/>
        <w:tabs>
          <w:tab w:leader="none" w:pos="3420" w:val="left"/>
        </w:tabs>
        <w:numPr>
          <w:ilvl w:val="1"/>
          <w:numId w:val="55"/>
        </w:numPr>
        <w:rPr>
          <w:rFonts w:ascii="Arial" w:cs="Arial" w:eastAsia="Arial" w:hAnsi="Arial"/>
          <w:sz w:val="19"/>
          <w:szCs w:val="19"/>
          <w:color w:val="auto"/>
        </w:rPr>
      </w:pPr>
      <w:r>
        <w:rPr>
          <w:rFonts w:ascii="Arial" w:cs="Arial" w:eastAsia="Arial" w:hAnsi="Arial"/>
          <w:sz w:val="19"/>
          <w:szCs w:val="19"/>
          <w:color w:val="auto"/>
        </w:rPr>
        <w:t>any Contract requiring either Company to act as a guarantor or surety (irrespective of the</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amount involved);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6" w:name="page137"/>
    <w:bookmarkEnd w:id="136"/>
    <w:p>
      <w:pPr>
        <w:ind w:left="620" w:firstLine="726"/>
        <w:spacing w:after="0" w:line="274" w:lineRule="auto"/>
        <w:tabs>
          <w:tab w:leader="none" w:pos="2371"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Contract with respect to any joint venture, strategic alliance, joint development, partnership, or similar arrangement involving the sharing of profits, losses, costs, or liabilities;</w:t>
      </w:r>
    </w:p>
    <w:p>
      <w:pPr>
        <w:spacing w:after="0" w:line="150" w:lineRule="exact"/>
        <w:rPr>
          <w:rFonts w:ascii="Arial" w:cs="Arial" w:eastAsia="Arial" w:hAnsi="Arial"/>
          <w:sz w:val="21"/>
          <w:szCs w:val="21"/>
          <w:color w:val="auto"/>
        </w:rPr>
      </w:pPr>
    </w:p>
    <w:p>
      <w:pPr>
        <w:ind w:left="620" w:right="20" w:firstLine="726"/>
        <w:spacing w:after="0" w:line="250" w:lineRule="auto"/>
        <w:tabs>
          <w:tab w:leader="none" w:pos="2431"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Contract granting any exclusive rights to any other party (including any right of first refusal, right of first offer or right of first negotiation);</w:t>
      </w:r>
    </w:p>
    <w:p>
      <w:pPr>
        <w:spacing w:after="0" w:line="174" w:lineRule="exact"/>
        <w:rPr>
          <w:rFonts w:ascii="Arial" w:cs="Arial" w:eastAsia="Arial" w:hAnsi="Arial"/>
          <w:sz w:val="22"/>
          <w:szCs w:val="22"/>
          <w:color w:val="auto"/>
        </w:rPr>
      </w:pPr>
    </w:p>
    <w:p>
      <w:pPr>
        <w:jc w:val="both"/>
        <w:ind w:left="620" w:firstLine="726"/>
        <w:spacing w:after="0" w:line="297" w:lineRule="auto"/>
        <w:tabs>
          <w:tab w:leader="none" w:pos="2311"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Contract, including the definitive transaction documents, related to an acquisition or divestiture of any business, assets, or securities outside the ordinary course of business (whether by merger, sale, or otherwise) that contains material obligations for performance after the Closing;</w:t>
      </w:r>
    </w:p>
    <w:p>
      <w:pPr>
        <w:spacing w:after="0" w:line="133" w:lineRule="exact"/>
        <w:rPr>
          <w:rFonts w:ascii="Arial" w:cs="Arial" w:eastAsia="Arial" w:hAnsi="Arial"/>
          <w:sz w:val="19"/>
          <w:szCs w:val="19"/>
          <w:color w:val="auto"/>
        </w:rPr>
      </w:pPr>
    </w:p>
    <w:p>
      <w:pPr>
        <w:ind w:left="2240" w:hanging="894"/>
        <w:spacing w:after="0"/>
        <w:tabs>
          <w:tab w:leader="none" w:pos="22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Contract evidencing Indebtedness of the Companies in excess of $100,000 (in the</w:t>
      </w:r>
    </w:p>
    <w:p>
      <w:pPr>
        <w:spacing w:after="0" w:line="4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aggregate);</w:t>
      </w:r>
    </w:p>
    <w:p>
      <w:pPr>
        <w:spacing w:after="0" w:line="188" w:lineRule="exact"/>
        <w:rPr>
          <w:rFonts w:ascii="Arial" w:cs="Arial" w:eastAsia="Arial" w:hAnsi="Arial"/>
          <w:sz w:val="19"/>
          <w:szCs w:val="19"/>
          <w:color w:val="auto"/>
        </w:rPr>
      </w:pPr>
    </w:p>
    <w:p>
      <w:pPr>
        <w:jc w:val="both"/>
        <w:ind w:left="620" w:firstLine="726"/>
        <w:spacing w:after="0"/>
        <w:tabs>
          <w:tab w:leader="none" w:pos="2311"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deferred compensation, change in control or “parachute” agreement, vesting acceleration, debt forgiveness, transaction bonus, severance or other plan or arrangement for the benefit of any officers and/or employees;</w:t>
      </w:r>
    </w:p>
    <w:p>
      <w:pPr>
        <w:spacing w:after="0" w:line="186" w:lineRule="exact"/>
        <w:rPr>
          <w:rFonts w:ascii="Arial" w:cs="Arial" w:eastAsia="Arial" w:hAnsi="Arial"/>
          <w:sz w:val="22"/>
          <w:szCs w:val="22"/>
          <w:color w:val="auto"/>
        </w:rPr>
      </w:pPr>
    </w:p>
    <w:p>
      <w:pPr>
        <w:jc w:val="both"/>
        <w:ind w:left="620" w:firstLine="726"/>
        <w:spacing w:after="0" w:line="238" w:lineRule="auto"/>
        <w:tabs>
          <w:tab w:leader="none" w:pos="2371"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collective bargaining agreement or similar labor agreement with any labor organization, works council, trade union, or other employee representatives or employee representative body representing, or, to the Companies’ Knowledge, purporting to, or seeking to, represent any Company Employee;</w:t>
      </w:r>
    </w:p>
    <w:p>
      <w:pPr>
        <w:spacing w:after="0" w:line="184" w:lineRule="exact"/>
        <w:rPr>
          <w:rFonts w:ascii="Arial" w:cs="Arial" w:eastAsia="Arial" w:hAnsi="Arial"/>
          <w:sz w:val="22"/>
          <w:szCs w:val="22"/>
          <w:color w:val="auto"/>
        </w:rPr>
      </w:pPr>
    </w:p>
    <w:p>
      <w:pPr>
        <w:jc w:val="both"/>
        <w:ind w:left="620" w:firstLine="726"/>
        <w:spacing w:after="0" w:line="238" w:lineRule="auto"/>
        <w:tabs>
          <w:tab w:leader="none" w:pos="2431"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Contract for the employment or engagement of any officer or employee or other service provider on a full-time or part-time basis that provides for annual base compensation in excess of $100,000 or that provides for the payment of any cash compensation upon the consummation of the transactions contemplated by this Agreement;</w:t>
      </w:r>
    </w:p>
    <w:p>
      <w:pPr>
        <w:spacing w:after="0" w:line="184" w:lineRule="exact"/>
        <w:rPr>
          <w:rFonts w:ascii="Arial" w:cs="Arial" w:eastAsia="Arial" w:hAnsi="Arial"/>
          <w:sz w:val="22"/>
          <w:szCs w:val="22"/>
          <w:color w:val="auto"/>
        </w:rPr>
      </w:pPr>
    </w:p>
    <w:p>
      <w:pPr>
        <w:ind w:left="2420" w:hanging="1074"/>
        <w:spacing w:after="0"/>
        <w:tabs>
          <w:tab w:leader="none" w:pos="24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any Contract with a doctor of medicine or other licensed medical provider who is not an</w:t>
      </w:r>
    </w:p>
    <w:p>
      <w:pPr>
        <w:spacing w:after="0" w:line="4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employee;</w:t>
      </w:r>
    </w:p>
    <w:p>
      <w:pPr>
        <w:spacing w:after="0" w:line="188" w:lineRule="exact"/>
        <w:rPr>
          <w:rFonts w:ascii="Arial" w:cs="Arial" w:eastAsia="Arial" w:hAnsi="Arial"/>
          <w:sz w:val="19"/>
          <w:szCs w:val="19"/>
          <w:color w:val="auto"/>
        </w:rPr>
      </w:pPr>
    </w:p>
    <w:p>
      <w:pPr>
        <w:jc w:val="both"/>
        <w:ind w:left="620" w:firstLine="726"/>
        <w:spacing w:after="0"/>
        <w:tabs>
          <w:tab w:leader="none" w:pos="2359"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Contract with any of the top ten (10) referral sources (determined on a consolidated basis and by number of patient referrals from such referral sources during the twelve (12)-month period ended on December 31, 2019) of the Companies (taken as a whole);</w:t>
      </w:r>
    </w:p>
    <w:p>
      <w:pPr>
        <w:spacing w:after="0" w:line="186" w:lineRule="exact"/>
        <w:rPr>
          <w:rFonts w:ascii="Arial" w:cs="Arial" w:eastAsia="Arial" w:hAnsi="Arial"/>
          <w:sz w:val="22"/>
          <w:szCs w:val="22"/>
          <w:color w:val="auto"/>
        </w:rPr>
      </w:pPr>
    </w:p>
    <w:p>
      <w:pPr>
        <w:ind w:left="2420" w:hanging="1074"/>
        <w:spacing w:after="0"/>
        <w:tabs>
          <w:tab w:leader="none" w:pos="24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Contract with any group purchasing organization;</w:t>
      </w:r>
    </w:p>
    <w:p>
      <w:pPr>
        <w:spacing w:after="0" w:line="206" w:lineRule="exact"/>
        <w:rPr>
          <w:rFonts w:ascii="Arial" w:cs="Arial" w:eastAsia="Arial" w:hAnsi="Arial"/>
          <w:sz w:val="22"/>
          <w:szCs w:val="22"/>
          <w:color w:val="auto"/>
        </w:rPr>
      </w:pPr>
    </w:p>
    <w:p>
      <w:pPr>
        <w:ind w:left="620" w:firstLine="726"/>
        <w:spacing w:after="0" w:line="274" w:lineRule="auto"/>
        <w:tabs>
          <w:tab w:leader="none" w:pos="2479"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any Contract pursuant to which any either Company manages the operations of any other Person, or pursuant to which either Company has management services provided to it;</w:t>
      </w:r>
    </w:p>
    <w:p>
      <w:pPr>
        <w:spacing w:after="0" w:line="150" w:lineRule="exact"/>
        <w:rPr>
          <w:rFonts w:ascii="Arial" w:cs="Arial" w:eastAsia="Arial" w:hAnsi="Arial"/>
          <w:sz w:val="21"/>
          <w:szCs w:val="21"/>
          <w:color w:val="auto"/>
        </w:rPr>
      </w:pPr>
    </w:p>
    <w:p>
      <w:pPr>
        <w:jc w:val="both"/>
        <w:ind w:left="620" w:firstLine="726"/>
        <w:spacing w:after="0"/>
        <w:tabs>
          <w:tab w:leader="none" w:pos="2539"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Contract of a Company relating to rights to payment or reimbursement from, and claims against, a Company Payment Program, or regarding participation in a Governmental Payment Program;</w:t>
      </w:r>
    </w:p>
    <w:p>
      <w:pPr>
        <w:spacing w:after="0" w:line="1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37" w:name="page138"/>
    <w:bookmarkEnd w:id="137"/>
    <w:p>
      <w:pPr>
        <w:jc w:val="both"/>
        <w:ind w:left="1740" w:firstLine="726"/>
        <w:spacing w:after="0" w:line="238" w:lineRule="auto"/>
        <w:tabs>
          <w:tab w:leader="none" w:pos="3539"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IP License pursuant to which any Company licenses to or from another Person any Intellectual Property, other than non-exclusive, in-bound licenses of “shrink wrap” and similar generally available commercial end-user licenses to software with an individual acquisition cost of no more than $25,000 per copy or seat;</w:t>
      </w:r>
    </w:p>
    <w:p>
      <w:pPr>
        <w:spacing w:after="0" w:line="184" w:lineRule="exact"/>
        <w:rPr>
          <w:rFonts w:ascii="Arial" w:cs="Arial" w:eastAsia="Arial" w:hAnsi="Arial"/>
          <w:sz w:val="22"/>
          <w:szCs w:val="22"/>
          <w:color w:val="auto"/>
        </w:rPr>
      </w:pPr>
    </w:p>
    <w:p>
      <w:pPr>
        <w:ind w:left="3480" w:hanging="1014"/>
        <w:spacing w:after="0"/>
        <w:tabs>
          <w:tab w:leader="none" w:pos="34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Contract that contains “most favored nation” provisions; and</w:t>
      </w:r>
    </w:p>
    <w:p>
      <w:pPr>
        <w:spacing w:after="0" w:line="206" w:lineRule="exact"/>
        <w:rPr>
          <w:rFonts w:ascii="Arial" w:cs="Arial" w:eastAsia="Arial" w:hAnsi="Arial"/>
          <w:sz w:val="22"/>
          <w:szCs w:val="22"/>
          <w:color w:val="auto"/>
        </w:rPr>
      </w:pPr>
    </w:p>
    <w:p>
      <w:pPr>
        <w:jc w:val="both"/>
        <w:ind w:left="1740" w:firstLine="726"/>
        <w:spacing w:after="0"/>
        <w:tabs>
          <w:tab w:leader="none" w:pos="3539"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Contract between any Company and any third party payor (including, without limitation, any Governmental Payment Program from whom payments have been received by either Company since December 31, 2016) (each, a “</w:t>
      </w:r>
      <w:r>
        <w:rPr>
          <w:rFonts w:ascii="Arial" w:cs="Arial" w:eastAsia="Arial" w:hAnsi="Arial"/>
          <w:sz w:val="22"/>
          <w:szCs w:val="22"/>
          <w:u w:val="single" w:color="auto"/>
          <w:color w:val="auto"/>
        </w:rPr>
        <w:t>Third Party Payor</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880" w:firstLine="789"/>
        <w:spacing w:after="0" w:line="273" w:lineRule="auto"/>
        <w:tabs>
          <w:tab w:leader="none" w:pos="2577"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Companies have made available to Purchaser true and complete copies of each Material Contract. Each Material Contract is in full force and effect and is valid and enforceable in accordance with its terms, except as limited by the Enforceability Exception. Each Company is in compliance in all material respects with the terms and requirements of each Material Contract to which it is a party or is otherwise bound by, and, to the Companies’ Knowledge, each other Person that is party to such Material Contract is in compliance in all material respects with the terms and requirements of such Material Contract. No Company has received written, or, to the Companies’ Knowledge, oral notice from any Person party to any Material Contract threatening any termination, cancellation, or material change to the terms of any Material Contract, and, to the Companies’ Knowledge, no condition or event or facts exist which, with notice, lapse of time or both, would constitute a material default thereof on the part of either Company or would result in a termination thereof or would cause or permit the acceleration or other changes of any right or obligation or the loss of any benefit thereunder.</w:t>
      </w:r>
    </w:p>
    <w:p>
      <w:pPr>
        <w:spacing w:after="0" w:line="15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Absence of Litigation</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of the Disclosure Schedule, (a) there is no Action pending or, to the Companies’ Knowledge, threatened by or against any Company and (b) neither of the Companies is subject to any outstanding Orders to which it is a named party.</w:t>
      </w:r>
    </w:p>
    <w:p>
      <w:pPr>
        <w:spacing w:after="0" w:line="18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Assets</w:t>
      </w:r>
      <w:r>
        <w:rPr>
          <w:rFonts w:ascii="Arial" w:cs="Arial" w:eastAsia="Arial" w:hAnsi="Arial"/>
          <w:sz w:val="21"/>
          <w:szCs w:val="21"/>
          <w:color w:val="auto"/>
        </w:rPr>
        <w:t xml:space="preserve">. The Companies, taken as a whole, have good and valid title to, or in the case of leased or licensed assets or properties, valid leasehold interests in or license to (as applicable) all of the material properties and assets used by Companies in their business, free and clear of all Liens (other than Permitted Liens). Except as set forth in </w:t>
      </w:r>
      <w:r>
        <w:rPr>
          <w:rFonts w:ascii="Arial" w:cs="Arial" w:eastAsia="Arial" w:hAnsi="Arial"/>
          <w:sz w:val="21"/>
          <w:szCs w:val="21"/>
          <w:u w:val="single" w:color="auto"/>
          <w:color w:val="auto"/>
        </w:rPr>
        <w:t>Section 3.13</w:t>
      </w:r>
      <w:r>
        <w:rPr>
          <w:rFonts w:ascii="Arial" w:cs="Arial" w:eastAsia="Arial" w:hAnsi="Arial"/>
          <w:sz w:val="21"/>
          <w:szCs w:val="21"/>
          <w:color w:val="auto"/>
        </w:rPr>
        <w:t xml:space="preserve"> of the Disclosure Schedule, each Company’s properties and assets are sufficient for the conduct of the business of such Company as currently conducted and proposed to be conducted by the Companies as of the date hereof, and all of the material tangible assets used in or necessary for the operation of the businesses of the Companies are in good operating condition and repair taking into account the age of such property (normal wear and tear excepted). Seller does not own any assets or properties used in the business conducted by either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8" w:name="page139"/>
    <w:bookmarkEnd w:id="138"/>
    <w:p>
      <w:pPr>
        <w:ind w:left="8"/>
        <w:spacing w:after="0"/>
        <w:tabs>
          <w:tab w:leader="none" w:pos="1708"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Real Property</w:t>
      </w:r>
      <w:r>
        <w:rPr>
          <w:rFonts w:ascii="Arial" w:cs="Arial" w:eastAsia="Arial" w:hAnsi="Arial"/>
          <w:sz w:val="19"/>
          <w:szCs w:val="19"/>
          <w:color w:val="auto"/>
        </w:rPr>
        <w:t>.</w:t>
      </w:r>
    </w:p>
    <w:p>
      <w:pPr>
        <w:spacing w:after="0" w:line="206" w:lineRule="exact"/>
        <w:rPr>
          <w:sz w:val="20"/>
          <w:szCs w:val="20"/>
          <w:color w:val="auto"/>
        </w:rPr>
      </w:pPr>
    </w:p>
    <w:p>
      <w:pPr>
        <w:ind w:left="8" w:right="20" w:firstLine="789"/>
        <w:spacing w:after="0" w:line="250" w:lineRule="auto"/>
        <w:tabs>
          <w:tab w:leader="none" w:pos="1693" w:val="left"/>
        </w:tabs>
        <w:numPr>
          <w:ilvl w:val="1"/>
          <w:numId w:val="59"/>
        </w:numPr>
        <w:rPr>
          <w:rFonts w:ascii="Arial" w:cs="Arial" w:eastAsia="Arial" w:hAnsi="Arial"/>
          <w:sz w:val="22"/>
          <w:szCs w:val="22"/>
          <w:color w:val="auto"/>
        </w:rPr>
      </w:pPr>
      <w:r>
        <w:rPr>
          <w:rFonts w:ascii="Arial" w:cs="Arial" w:eastAsia="Arial" w:hAnsi="Arial"/>
          <w:sz w:val="22"/>
          <w:szCs w:val="22"/>
          <w:color w:val="auto"/>
        </w:rPr>
        <w:t>Other than the Leased Real Property, neither Company owns any interest in real property. Neither Company is a party to any Contract to acquire an interest in real property.</w:t>
      </w:r>
    </w:p>
    <w:p>
      <w:pPr>
        <w:spacing w:after="0" w:line="174" w:lineRule="exact"/>
        <w:rPr>
          <w:rFonts w:ascii="Arial" w:cs="Arial" w:eastAsia="Arial" w:hAnsi="Arial"/>
          <w:sz w:val="22"/>
          <w:szCs w:val="22"/>
          <w:color w:val="auto"/>
        </w:rPr>
      </w:pPr>
    </w:p>
    <w:p>
      <w:pPr>
        <w:ind w:left="8" w:firstLine="789"/>
        <w:spacing w:after="0" w:line="328" w:lineRule="auto"/>
        <w:tabs>
          <w:tab w:leader="none" w:pos="1705"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Section 3.14(b)</w:t>
      </w:r>
      <w:r>
        <w:rPr>
          <w:rFonts w:ascii="Arial" w:cs="Arial" w:eastAsia="Arial" w:hAnsi="Arial"/>
          <w:sz w:val="19"/>
          <w:szCs w:val="19"/>
          <w:color w:val="auto"/>
        </w:rPr>
        <w:t xml:space="preserve"> of the Disclosure Schedule sets forth a list by street address of all the real property currently leased, subleased, licensed or otherwise occupied by any Company (the “</w:t>
      </w:r>
      <w:r>
        <w:rPr>
          <w:rFonts w:ascii="Arial" w:cs="Arial" w:eastAsia="Arial" w:hAnsi="Arial"/>
          <w:sz w:val="19"/>
          <w:szCs w:val="19"/>
          <w:u w:val="single" w:color="auto"/>
          <w:color w:val="auto"/>
        </w:rPr>
        <w:t>Leased Real Property</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left="8" w:firstLine="789"/>
        <w:spacing w:after="0" w:line="273" w:lineRule="auto"/>
        <w:tabs>
          <w:tab w:leader="none" w:pos="1693" w:val="left"/>
        </w:tabs>
        <w:numPr>
          <w:ilvl w:val="1"/>
          <w:numId w:val="59"/>
        </w:numPr>
        <w:rPr>
          <w:rFonts w:ascii="Arial" w:cs="Arial" w:eastAsia="Arial" w:hAnsi="Arial"/>
          <w:sz w:val="19"/>
          <w:szCs w:val="19"/>
          <w:color w:val="auto"/>
        </w:rPr>
      </w:pPr>
      <w:r>
        <w:rPr>
          <w:rFonts w:ascii="Arial" w:cs="Arial" w:eastAsia="Arial" w:hAnsi="Arial"/>
          <w:sz w:val="19"/>
          <w:szCs w:val="19"/>
          <w:color w:val="auto"/>
        </w:rPr>
        <w:t>Each Company is the sole lessee under each Lease to which it is a party and has a valid and existing leasehold interest in or license to (as applicable), and the right to quiet enjoyment of, the Leased Real Property leased, subleased, or licensed by such Company free and clear of any Liens other than Permitted Liens. The Leases are in full force and effect and are valid, binding and enforceable against the applicable Company party thereto in accordance with their respective terms, except as such enforceability may be limited by the Enforceability Exception. No Company’s possession and quiet enjoyment of its applicable Leased Real Property under any applicable Lease has been disturbed. True, correct and complete copies of all Leases have been made available or provided to Purchaser. All accrued and currently payable base rents, additional rents, and other payments required by each Lease have been paid. Except as set forth in the Leases, the Companies do not have any right or option to purchase the Leased Real Property or any portion thereof or any interest therein.</w:t>
      </w:r>
    </w:p>
    <w:p>
      <w:pPr>
        <w:spacing w:after="0" w:line="160" w:lineRule="exact"/>
        <w:rPr>
          <w:rFonts w:ascii="Arial" w:cs="Arial" w:eastAsia="Arial" w:hAnsi="Arial"/>
          <w:sz w:val="19"/>
          <w:szCs w:val="19"/>
          <w:color w:val="auto"/>
        </w:rPr>
      </w:pPr>
    </w:p>
    <w:p>
      <w:pPr>
        <w:jc w:val="both"/>
        <w:ind w:left="8" w:firstLine="789"/>
        <w:spacing w:after="0" w:line="238" w:lineRule="auto"/>
        <w:tabs>
          <w:tab w:leader="none" w:pos="1705" w:val="left"/>
        </w:tabs>
        <w:numPr>
          <w:ilvl w:val="1"/>
          <w:numId w:val="59"/>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3.14(d)</w:t>
      </w:r>
      <w:r>
        <w:rPr>
          <w:rFonts w:ascii="Arial" w:cs="Arial" w:eastAsia="Arial" w:hAnsi="Arial"/>
          <w:sz w:val="22"/>
          <w:szCs w:val="22"/>
          <w:color w:val="auto"/>
        </w:rPr>
        <w:t xml:space="preserve"> of the Disclosure Schedule, neither of the Companies, nor, to the Companies’ Knowledge, any other party to a Lease is in, or is alleged to be in, breach or default under any Lease to which it is a party, and there is no event, but for the passage of time or the giving of notice or both, which would constitute or result in any such breach or default.</w:t>
      </w:r>
    </w:p>
    <w:p>
      <w:pPr>
        <w:spacing w:after="0" w:line="184" w:lineRule="exact"/>
        <w:rPr>
          <w:rFonts w:ascii="Arial" w:cs="Arial" w:eastAsia="Arial" w:hAnsi="Arial"/>
          <w:sz w:val="22"/>
          <w:szCs w:val="22"/>
          <w:color w:val="auto"/>
        </w:rPr>
      </w:pPr>
    </w:p>
    <w:p>
      <w:pPr>
        <w:jc w:val="both"/>
        <w:ind w:left="8" w:firstLine="789"/>
        <w:spacing w:after="0" w:line="268" w:lineRule="auto"/>
        <w:tabs>
          <w:tab w:leader="none" w:pos="1693"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3.14(e)</w:t>
      </w:r>
      <w:r>
        <w:rPr>
          <w:rFonts w:ascii="Arial" w:cs="Arial" w:eastAsia="Arial" w:hAnsi="Arial"/>
          <w:sz w:val="19"/>
          <w:szCs w:val="19"/>
          <w:color w:val="auto"/>
        </w:rPr>
        <w:t xml:space="preserve"> of the Disclosure Schedule, (i) there are no guaranties of the Leases, (ii) the use of the Leased Real Property by the applicable Company for use in the business of such Company conforms in all material respects to all applicable fire, safety, zoning and building laws and ordinances, laws relating to the disabled, and other applicable Laws and no Company has received any written notice from any Governmental Entity or third party of any material violation of applicable fire, safety, zoning and building laws and ordinances, laws relating to the disabled, and other applicable Laws related to the Leased Real Property, including any written notice of any Action, zoning violation, or any current or any pending tax reassessment, (iii) there are no pending or, to the Companies’ Knowledge, threatened eminent domain, condemnation, zoning, or other Actions affecting the Leased Real Property that would result in the taking of all or any part of the Leased Real Property or that would prevent or hinder the continued use of the Leased Real Property as currently used in the conduct of the business of the Companies, and</w:t>
      </w:r>
    </w:p>
    <w:p>
      <w:pPr>
        <w:spacing w:after="0" w:line="8" w:lineRule="exact"/>
        <w:rPr>
          <w:rFonts w:ascii="Arial" w:cs="Arial" w:eastAsia="Arial" w:hAnsi="Arial"/>
          <w:sz w:val="19"/>
          <w:szCs w:val="19"/>
          <w:color w:val="auto"/>
        </w:rPr>
      </w:pPr>
    </w:p>
    <w:p>
      <w:pPr>
        <w:jc w:val="both"/>
        <w:ind w:left="8" w:hanging="8"/>
        <w:spacing w:after="0" w:line="287" w:lineRule="auto"/>
        <w:tabs>
          <w:tab w:leader="none" w:pos="437"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 Company has subleased, licensed, mortgaged, or otherwise granted any occupancy or use rights with respect to all or any portion of the Leased Real Property, and no Person (other than the Companies) uses or occupies (or, to the Companies’ Knowledge, has a right to use or occupy) the Leased Real Property or any portion thereof. Neither of</w:t>
      </w:r>
    </w:p>
    <w:p>
      <w:pPr>
        <w:spacing w:after="0" w:line="143"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75565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139" w:name="page140"/>
    <w:bookmarkEnd w:id="139"/>
    <w:p>
      <w:pPr>
        <w:ind w:left="8"/>
        <w:spacing w:after="0" w:line="250" w:lineRule="auto"/>
        <w:rPr>
          <w:sz w:val="20"/>
          <w:szCs w:val="20"/>
          <w:color w:val="auto"/>
        </w:rPr>
      </w:pPr>
      <w:r>
        <w:rPr>
          <w:rFonts w:ascii="Arial" w:cs="Arial" w:eastAsia="Arial" w:hAnsi="Arial"/>
          <w:sz w:val="22"/>
          <w:szCs w:val="22"/>
          <w:color w:val="auto"/>
        </w:rPr>
        <w:t>the Companies has collaterally assigned or granted any other security interest in the Leased Real Property or the Leases.</w:t>
      </w:r>
    </w:p>
    <w:p>
      <w:pPr>
        <w:spacing w:after="0" w:line="175" w:lineRule="exact"/>
        <w:rPr>
          <w:sz w:val="20"/>
          <w:szCs w:val="20"/>
          <w:color w:val="auto"/>
        </w:rPr>
      </w:pPr>
    </w:p>
    <w:p>
      <w:pPr>
        <w:jc w:val="both"/>
        <w:ind w:left="8" w:firstLine="789"/>
        <w:spacing w:after="0"/>
        <w:tabs>
          <w:tab w:leader="none" w:pos="1669" w:val="left"/>
        </w:tabs>
        <w:numPr>
          <w:ilvl w:val="0"/>
          <w:numId w:val="61"/>
        </w:numPr>
        <w:rPr>
          <w:rFonts w:ascii="Arial" w:cs="Arial" w:eastAsia="Arial" w:hAnsi="Arial"/>
          <w:sz w:val="22"/>
          <w:szCs w:val="22"/>
          <w:color w:val="auto"/>
        </w:rPr>
      </w:pPr>
      <w:r>
        <w:rPr>
          <w:rFonts w:ascii="Arial" w:cs="Arial" w:eastAsia="Arial" w:hAnsi="Arial"/>
          <w:sz w:val="22"/>
          <w:szCs w:val="22"/>
          <w:color w:val="auto"/>
        </w:rPr>
        <w:t>All Leases have been structured in compliance with all Health Care Laws, and none of the landlords, lessors or other parties to such Leases are referral sources as determined and defined by applicable Health Care Laws.</w:t>
      </w:r>
    </w:p>
    <w:p>
      <w:pPr>
        <w:spacing w:after="0" w:line="186" w:lineRule="exact"/>
        <w:rPr>
          <w:rFonts w:ascii="Arial" w:cs="Arial" w:eastAsia="Arial" w:hAnsi="Arial"/>
          <w:sz w:val="22"/>
          <w:szCs w:val="22"/>
          <w:color w:val="auto"/>
        </w:rPr>
      </w:pPr>
    </w:p>
    <w:p>
      <w:pPr>
        <w:jc w:val="both"/>
        <w:ind w:left="8" w:firstLine="789"/>
        <w:spacing w:after="0" w:line="234" w:lineRule="auto"/>
        <w:tabs>
          <w:tab w:leader="none" w:pos="1705"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3.14(g)</w:t>
      </w:r>
      <w:r>
        <w:rPr>
          <w:rFonts w:ascii="Arial" w:cs="Arial" w:eastAsia="Arial" w:hAnsi="Arial"/>
          <w:sz w:val="22"/>
          <w:szCs w:val="22"/>
          <w:color w:val="auto"/>
        </w:rPr>
        <w:t xml:space="preserve"> of the Disclosure Schedule, all tenant improvements, buildouts or other work to be performed on or about the Leased Real Property by either Company or any landlords, lessors or other parties to the Leases prior to the occupancy of the applicable Leased Real Property by the applicable Company have been completed in accordance with the terms of the Leases. Except as set forth in </w:t>
      </w:r>
      <w:r>
        <w:rPr>
          <w:rFonts w:ascii="Arial" w:cs="Arial" w:eastAsia="Arial" w:hAnsi="Arial"/>
          <w:sz w:val="22"/>
          <w:szCs w:val="22"/>
          <w:u w:val="single" w:color="auto"/>
          <w:color w:val="auto"/>
        </w:rPr>
        <w:t>Section 3.14(g)</w:t>
      </w:r>
      <w:r>
        <w:rPr>
          <w:rFonts w:ascii="Arial" w:cs="Arial" w:eastAsia="Arial" w:hAnsi="Arial"/>
          <w:sz w:val="22"/>
          <w:szCs w:val="22"/>
          <w:color w:val="auto"/>
        </w:rPr>
        <w:t xml:space="preserve"> of the Disclosure Schedule, neither of the Companies has any monetary obligation to the applicable landlords, lessors or other parties to the Leases related to such tenant improvements, buildouts or other work that has not already been performed.</w:t>
      </w:r>
    </w:p>
    <w:p>
      <w:pPr>
        <w:spacing w:after="0" w:line="191" w:lineRule="exact"/>
        <w:rPr>
          <w:sz w:val="20"/>
          <w:szCs w:val="20"/>
          <w:color w:val="auto"/>
        </w:rPr>
      </w:pPr>
    </w:p>
    <w:p>
      <w:pPr>
        <w:ind w:left="8"/>
        <w:spacing w:after="0"/>
        <w:tabs>
          <w:tab w:leader="none" w:pos="1708"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06" w:lineRule="exact"/>
        <w:rPr>
          <w:sz w:val="20"/>
          <w:szCs w:val="20"/>
          <w:color w:val="auto"/>
        </w:rPr>
      </w:pPr>
    </w:p>
    <w:p>
      <w:pPr>
        <w:jc w:val="both"/>
        <w:ind w:left="8" w:firstLine="789"/>
        <w:spacing w:after="0" w:line="276" w:lineRule="auto"/>
        <w:tabs>
          <w:tab w:leader="none" w:pos="1693"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Section 3.15(a)</w:t>
      </w:r>
      <w:r>
        <w:rPr>
          <w:rFonts w:ascii="Arial" w:cs="Arial" w:eastAsia="Arial" w:hAnsi="Arial"/>
          <w:sz w:val="19"/>
          <w:szCs w:val="19"/>
          <w:color w:val="auto"/>
        </w:rPr>
        <w:t xml:space="preserve"> of the Disclosure Schedule sets forth a complete and accurate list of (i) all registered Intellectual Property owned or exclusively licensed by each Company (“</w:t>
      </w:r>
      <w:r>
        <w:rPr>
          <w:rFonts w:ascii="Arial" w:cs="Arial" w:eastAsia="Arial" w:hAnsi="Arial"/>
          <w:sz w:val="19"/>
          <w:szCs w:val="19"/>
          <w:u w:val="single" w:color="auto"/>
          <w:color w:val="auto"/>
        </w:rPr>
        <w:t>Company Registered Intellectual Property</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left="8" w:hanging="8"/>
        <w:spacing w:after="0" w:line="232" w:lineRule="auto"/>
        <w:tabs>
          <w:tab w:leader="none" w:pos="337" w:val="left"/>
        </w:tabs>
        <w:numPr>
          <w:ilvl w:val="0"/>
          <w:numId w:val="63"/>
        </w:numPr>
        <w:rPr>
          <w:rFonts w:ascii="Arial" w:cs="Arial" w:eastAsia="Arial" w:hAnsi="Arial"/>
          <w:sz w:val="22"/>
          <w:szCs w:val="22"/>
          <w:color w:val="auto"/>
        </w:rPr>
      </w:pPr>
      <w:r>
        <w:rPr>
          <w:rFonts w:ascii="Arial" w:cs="Arial" w:eastAsia="Arial" w:hAnsi="Arial"/>
          <w:sz w:val="22"/>
          <w:szCs w:val="22"/>
          <w:color w:val="auto"/>
        </w:rPr>
        <w:t>all material unregistered trademarks, social media accounts, or domain names owned by each Company or used in connection with the business of such Company, and (iii) all Intellectual Property for which an application for registration is currently pending that is, or is purported to be, owned by each Company, in each of the foregoing cases listing the name of the current owner and the jurisdiction in which such item has been filed and the applicable application, registration, or serial or other similar identification number (clauses (i) through (iii) collectively, the “</w:t>
      </w:r>
      <w:r>
        <w:rPr>
          <w:rFonts w:ascii="Arial" w:cs="Arial" w:eastAsia="Arial" w:hAnsi="Arial"/>
          <w:sz w:val="22"/>
          <w:szCs w:val="22"/>
          <w:u w:val="single" w:color="auto"/>
          <w:color w:val="auto"/>
        </w:rPr>
        <w:t>Owned Intellectual Property</w:t>
      </w:r>
      <w:r>
        <w:rPr>
          <w:rFonts w:ascii="Arial" w:cs="Arial" w:eastAsia="Arial" w:hAnsi="Arial"/>
          <w:sz w:val="22"/>
          <w:szCs w:val="22"/>
          <w:color w:val="auto"/>
        </w:rPr>
        <w:t>”). None of the material Company Registered Intellectual Property has lapsed, expired, or been abandoned or withdrawn.</w:t>
      </w:r>
    </w:p>
    <w:p>
      <w:pPr>
        <w:spacing w:after="0" w:line="187" w:lineRule="exact"/>
        <w:rPr>
          <w:rFonts w:ascii="Arial" w:cs="Arial" w:eastAsia="Arial" w:hAnsi="Arial"/>
          <w:sz w:val="22"/>
          <w:szCs w:val="22"/>
          <w:color w:val="auto"/>
        </w:rPr>
      </w:pPr>
    </w:p>
    <w:p>
      <w:pPr>
        <w:jc w:val="both"/>
        <w:ind w:left="8" w:firstLine="789"/>
        <w:spacing w:after="0" w:line="273" w:lineRule="auto"/>
        <w:tabs>
          <w:tab w:leader="none" w:pos="1705"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3.15(b)</w:t>
      </w:r>
      <w:r>
        <w:rPr>
          <w:rFonts w:ascii="Arial" w:cs="Arial" w:eastAsia="Arial" w:hAnsi="Arial"/>
          <w:sz w:val="19"/>
          <w:szCs w:val="19"/>
          <w:color w:val="auto"/>
        </w:rPr>
        <w:t xml:space="preserve"> of the Disclosure Schedule, the Companies, taken as a whole, exclusively own all right, title and interest in and to Owned Intellectual Property, free and clear of all Liens (other than Permitted Liens). All Company Registered Intellectual Property is subsisting and valid and enforceable. Except as set forth in </w:t>
      </w:r>
      <w:r>
        <w:rPr>
          <w:rFonts w:ascii="Arial" w:cs="Arial" w:eastAsia="Arial" w:hAnsi="Arial"/>
          <w:sz w:val="19"/>
          <w:szCs w:val="19"/>
          <w:u w:val="single" w:color="auto"/>
          <w:color w:val="auto"/>
        </w:rPr>
        <w:t>Section 3.15(b)</w:t>
      </w:r>
      <w:r>
        <w:rPr>
          <w:rFonts w:ascii="Arial" w:cs="Arial" w:eastAsia="Arial" w:hAnsi="Arial"/>
          <w:sz w:val="19"/>
          <w:szCs w:val="19"/>
          <w:color w:val="auto"/>
        </w:rPr>
        <w:t xml:space="preserve"> of the Disclosure Schedule, the Companies have the right to use any third party Intellectual Property that is used in or necessary for the business of the Companies as currently conducted or proposed to be conducted by the Companies as of the date hereof. The Company Intellectual Property constitutes all the Intellectual Property used in or necessary for the conduct of the business of the Companies as conducted or proposed to be conducted as of the Closing Date. The Company Intellectual Property shall be available for use by the Companies immediately following the Closing on the same terms and conditions to those under which the Companies owned or used the Company Intellectual Property immediately prior to the Closing.</w:t>
      </w:r>
    </w:p>
    <w:p>
      <w:pPr>
        <w:spacing w:after="0" w:line="160" w:lineRule="exact"/>
        <w:rPr>
          <w:rFonts w:ascii="Arial" w:cs="Arial" w:eastAsia="Arial" w:hAnsi="Arial"/>
          <w:sz w:val="19"/>
          <w:szCs w:val="19"/>
          <w:color w:val="auto"/>
        </w:rPr>
      </w:pPr>
    </w:p>
    <w:p>
      <w:pPr>
        <w:jc w:val="both"/>
        <w:ind w:left="8" w:firstLine="789"/>
        <w:spacing w:after="0"/>
        <w:tabs>
          <w:tab w:leader="none" w:pos="1693" w:val="left"/>
        </w:tabs>
        <w:numPr>
          <w:ilvl w:val="1"/>
          <w:numId w:val="63"/>
        </w:numPr>
        <w:rPr>
          <w:rFonts w:ascii="Arial" w:cs="Arial" w:eastAsia="Arial" w:hAnsi="Arial"/>
          <w:sz w:val="22"/>
          <w:szCs w:val="22"/>
          <w:color w:val="auto"/>
        </w:rPr>
      </w:pPr>
      <w:r>
        <w:rPr>
          <w:rFonts w:ascii="Arial" w:cs="Arial" w:eastAsia="Arial" w:hAnsi="Arial"/>
          <w:sz w:val="22"/>
          <w:szCs w:val="22"/>
          <w:color w:val="auto"/>
        </w:rPr>
        <w:t>No Company nor the operation of such Company’s business is currently infringing, misappropriating, diluting, or otherwise violating, and since the Lookback Date, no Company has infringed, misappropriated, diluted, or otherwise violated, the Intellectual</w:t>
      </w:r>
    </w:p>
    <w:p>
      <w:pPr>
        <w:spacing w:after="0" w:line="186"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75565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140" w:name="page141"/>
    <w:bookmarkEnd w:id="140"/>
    <w:p>
      <w:pPr>
        <w:jc w:val="both"/>
        <w:spacing w:after="0" w:line="244" w:lineRule="auto"/>
        <w:rPr>
          <w:sz w:val="20"/>
          <w:szCs w:val="20"/>
          <w:color w:val="auto"/>
        </w:rPr>
      </w:pPr>
      <w:r>
        <w:rPr>
          <w:rFonts w:ascii="Arial" w:cs="Arial" w:eastAsia="Arial" w:hAnsi="Arial"/>
          <w:sz w:val="21"/>
          <w:szCs w:val="21"/>
          <w:color w:val="auto"/>
        </w:rPr>
        <w:t xml:space="preserve">Property rights of any other Person. Except as set forth in </w:t>
      </w:r>
      <w:r>
        <w:rPr>
          <w:rFonts w:ascii="Arial" w:cs="Arial" w:eastAsia="Arial" w:hAnsi="Arial"/>
          <w:sz w:val="21"/>
          <w:szCs w:val="21"/>
          <w:u w:val="single" w:color="auto"/>
          <w:color w:val="auto"/>
        </w:rPr>
        <w:t>Section 3.15(c)</w:t>
      </w:r>
      <w:r>
        <w:rPr>
          <w:rFonts w:ascii="Arial" w:cs="Arial" w:eastAsia="Arial" w:hAnsi="Arial"/>
          <w:sz w:val="21"/>
          <w:szCs w:val="21"/>
          <w:color w:val="auto"/>
        </w:rPr>
        <w:t xml:space="preserve"> of the Disclosure Schedule, to the Companies’ Knowledge, no Person is infringing, misappropriating, diluting, or otherwise violating, and since the Lookback Date, to the Companies’ Knowledge, no Person has infringed, misappropriated, diluted, or otherwise violated, any of the Owned Intellectual Property. Except as set forth in </w:t>
      </w:r>
      <w:r>
        <w:rPr>
          <w:rFonts w:ascii="Arial" w:cs="Arial" w:eastAsia="Arial" w:hAnsi="Arial"/>
          <w:sz w:val="21"/>
          <w:szCs w:val="21"/>
          <w:u w:val="single" w:color="auto"/>
          <w:color w:val="auto"/>
        </w:rPr>
        <w:t>Section 3.15(c)</w:t>
      </w:r>
      <w:r>
        <w:rPr>
          <w:rFonts w:ascii="Arial" w:cs="Arial" w:eastAsia="Arial" w:hAnsi="Arial"/>
          <w:sz w:val="21"/>
          <w:szCs w:val="21"/>
          <w:color w:val="auto"/>
        </w:rPr>
        <w:t xml:space="preserve"> of the Disclosure Schedule, since the Lookback Date, no Company has received any written, or to the Companies’ Knowledge, oral notice, demand, or claim with respect to any actual or alleged infringement, misappropriation, misuse, or violation of the Intellectual Property of any Person. There is not pending before any Governmental Entity or, to the Companies’ Knowledge, threatened in writing by any Person (including “cease and desist” letters and invitations to take a license) any claim, action, or proceeding alleging any infringement, misappropriation, or other violation of or contesting the use, validity, enforceability, or ownership of any Owned Intellectual Property or the licensed right to use any Company Intellectual Property. There are no judgments, decrees, orders, settlements, covenants not to sue, consents or similar obligations that: (i) restrict the Companies’ rights to use any Intellectual Property, (ii) restrict the Companies’ business in order to accommodate a third party’s Intellectual Property, or (iii) permit third parties to use any Owned Intellectual Property free of charge.</w:t>
      </w:r>
    </w:p>
    <w:p>
      <w:pPr>
        <w:spacing w:after="0" w:line="181" w:lineRule="exact"/>
        <w:rPr>
          <w:sz w:val="20"/>
          <w:szCs w:val="20"/>
          <w:color w:val="auto"/>
        </w:rPr>
      </w:pPr>
    </w:p>
    <w:p>
      <w:pPr>
        <w:jc w:val="both"/>
        <w:ind w:firstLine="789"/>
        <w:spacing w:after="0" w:line="273" w:lineRule="auto"/>
        <w:tabs>
          <w:tab w:leader="none" w:pos="1697"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Companies have taken all commercially reasonable actions to protect and maintain the confidentiality, secrecy and value of the Company Confidential Information and Trade Secrets of the Companies. Neither has such been used by or disclosed to any Person except pursuant to a valid non-disclosure agreement with commercially reasonably protections with respect to the Company Confidential Information and Trade Secrets of the Companies made available to such Person. To the Companies’ Knowledge, there has not been any breach by any third party of any confidentiality obligation to the Companies. All current and, since the Lookback Date, former employees of the Companies have agreed to confidentiality restrictions with the Companies in the forms made available to Purchaser. All current and, since the Lookback Date, former independent contractors and consultants of the Companies who have had access to confidential or proprietary information of the Companies have entered into agreements with the Companies which include commercially reasonable protections for such confidential or proprietary information.</w:t>
      </w:r>
    </w:p>
    <w:p>
      <w:pPr>
        <w:spacing w:after="0" w:line="160" w:lineRule="exact"/>
        <w:rPr>
          <w:rFonts w:ascii="Arial" w:cs="Arial" w:eastAsia="Arial" w:hAnsi="Arial"/>
          <w:sz w:val="19"/>
          <w:szCs w:val="19"/>
          <w:color w:val="auto"/>
        </w:rPr>
      </w:pPr>
    </w:p>
    <w:p>
      <w:pPr>
        <w:jc w:val="both"/>
        <w:ind w:firstLine="789"/>
        <w:spacing w:after="0" w:line="246" w:lineRule="auto"/>
        <w:tabs>
          <w:tab w:leader="none" w:pos="1685" w:val="left"/>
        </w:tabs>
        <w:numPr>
          <w:ilvl w:val="0"/>
          <w:numId w:val="64"/>
        </w:numPr>
        <w:rPr>
          <w:rFonts w:ascii="Arial" w:cs="Arial" w:eastAsia="Arial" w:hAnsi="Arial"/>
          <w:sz w:val="21"/>
          <w:szCs w:val="21"/>
          <w:color w:val="auto"/>
        </w:rPr>
      </w:pPr>
      <w:r>
        <w:rPr>
          <w:rFonts w:ascii="Arial" w:cs="Arial" w:eastAsia="Arial" w:hAnsi="Arial"/>
          <w:sz w:val="21"/>
          <w:szCs w:val="21"/>
          <w:color w:val="auto"/>
        </w:rPr>
        <w:t>Neither this Agreement nor the transactions contemplated by this Agreement, including the assignment to Purchaser by operation of law or otherwise of any Contracts of the Companies, will result in (i) Purchaser granting to any third party any right to or with respect to any Company Intellectual Property; or (ii) Purchaser being obligated to pay any royalties or other amounts to any Person in excess of those payable by any Company prior to the Closing Date. The consummation of the transactions contemplated by this Agreement will not result in the loss of, or otherwise adversely affect, any ownership rights of any Company in any Company Intellectual Property or result in the breach or termination of any license, contract or agreement to which any Company is a party with respect to any Company Intellectual Property (including IP Licenses).</w:t>
      </w:r>
    </w:p>
    <w:p>
      <w:pPr>
        <w:spacing w:after="0" w:line="179" w:lineRule="exact"/>
        <w:rPr>
          <w:rFonts w:ascii="Arial" w:cs="Arial" w:eastAsia="Arial" w:hAnsi="Arial"/>
          <w:sz w:val="21"/>
          <w:szCs w:val="21"/>
          <w:color w:val="auto"/>
        </w:rPr>
      </w:pPr>
    </w:p>
    <w:p>
      <w:pPr>
        <w:ind w:firstLine="789"/>
        <w:spacing w:after="0" w:line="250" w:lineRule="auto"/>
        <w:tabs>
          <w:tab w:leader="none" w:pos="1661"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computers, computer networks, information technology systems, software, platforms, data processing systems, computer hardware, and communication and</w:t>
      </w:r>
    </w:p>
    <w:p>
      <w:pPr>
        <w:spacing w:after="0" w:line="17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41" w:name="page142"/>
    <w:bookmarkEnd w:id="141"/>
    <w:p>
      <w:pPr>
        <w:jc w:val="both"/>
        <w:spacing w:after="0" w:line="275" w:lineRule="auto"/>
        <w:rPr>
          <w:sz w:val="20"/>
          <w:szCs w:val="20"/>
          <w:color w:val="auto"/>
        </w:rPr>
      </w:pPr>
      <w:r>
        <w:rPr>
          <w:rFonts w:ascii="Arial" w:cs="Arial" w:eastAsia="Arial" w:hAnsi="Arial"/>
          <w:sz w:val="19"/>
          <w:szCs w:val="19"/>
          <w:color w:val="auto"/>
        </w:rPr>
        <w:t>storage systems of the Companies (collectively, the “</w:t>
      </w:r>
      <w:r>
        <w:rPr>
          <w:rFonts w:ascii="Arial" w:cs="Arial" w:eastAsia="Arial" w:hAnsi="Arial"/>
          <w:sz w:val="19"/>
          <w:szCs w:val="19"/>
          <w:u w:val="single" w:color="auto"/>
          <w:color w:val="auto"/>
        </w:rPr>
        <w:t>Company Systems</w:t>
      </w:r>
      <w:r>
        <w:rPr>
          <w:rFonts w:ascii="Arial" w:cs="Arial" w:eastAsia="Arial" w:hAnsi="Arial"/>
          <w:sz w:val="19"/>
          <w:szCs w:val="19"/>
          <w:color w:val="auto"/>
        </w:rPr>
        <w:t>”) are reasonably sufficient for the needs of the businesses of the Companies as currently conducted. The Company Systems are free from material bugs and defects and, since the Lookback Date, have not suffered any material malfunction, except malfunctions that have been remediated in all material respects. The Companies maintain reasonable backup, security, and disaster recovery measures with respect to the Company Systems, and no Person has gained unauthorized access to or otherwise breached any Company Systems or the data contained therein. Since the Lookback Date, the Companies have taken commercially reasonable steps to prevent the introduction of any virus, malware, spyware, or other device or code that could reasonably be expected to disrupt, disable, or otherwise impair the normal operation of any Company Systems.</w:t>
      </w:r>
    </w:p>
    <w:p>
      <w:pPr>
        <w:spacing w:after="0" w:line="157" w:lineRule="exact"/>
        <w:rPr>
          <w:sz w:val="20"/>
          <w:szCs w:val="20"/>
          <w:color w:val="auto"/>
        </w:rPr>
      </w:pPr>
    </w:p>
    <w:p>
      <w:pPr>
        <w:jc w:val="both"/>
        <w:ind w:firstLine="789"/>
        <w:spacing w:after="0" w:line="245" w:lineRule="auto"/>
        <w:tabs>
          <w:tab w:leader="none" w:pos="1697" w:val="left"/>
        </w:tabs>
        <w:numPr>
          <w:ilvl w:val="0"/>
          <w:numId w:val="65"/>
        </w:numPr>
        <w:rPr>
          <w:rFonts w:ascii="Arial" w:cs="Arial" w:eastAsia="Arial" w:hAnsi="Arial"/>
          <w:sz w:val="21"/>
          <w:szCs w:val="21"/>
          <w:color w:val="auto"/>
        </w:rPr>
      </w:pPr>
      <w:r>
        <w:rPr>
          <w:rFonts w:ascii="Arial" w:cs="Arial" w:eastAsia="Arial" w:hAnsi="Arial"/>
          <w:sz w:val="21"/>
          <w:szCs w:val="21"/>
          <w:color w:val="auto"/>
        </w:rPr>
        <w:t>Each Company has, since the Lookback Date, implemented and maintained, or uses commercially reasonable efforts to determine that its third party service providers with access to Personal Information maintain, consistent in all material respects with applicable Health Care Laws, all Data Privacy and Security Laws, industry standard practices and the Companies’ contractual obligations to other Persons, commercially reasonable security and data protection, information security and privacy procedures to safeguard, and maintain the confidentiality, integrity, and security of all Company Systems, software, products and services of the Companies, and all information, data, and transactions stored or contained therein or transmitted thereby, including without limitation Personal Information, against any unauthorized or improper use, disclosure, access, transmittal, interruption, modification, or corruption in all material respects.</w:t>
      </w:r>
    </w:p>
    <w:p>
      <w:pPr>
        <w:spacing w:after="0" w:line="184" w:lineRule="exact"/>
        <w:rPr>
          <w:rFonts w:ascii="Arial" w:cs="Arial" w:eastAsia="Arial" w:hAnsi="Arial"/>
          <w:sz w:val="21"/>
          <w:szCs w:val="21"/>
          <w:color w:val="auto"/>
        </w:rPr>
      </w:pPr>
    </w:p>
    <w:p>
      <w:pPr>
        <w:jc w:val="both"/>
        <w:ind w:firstLine="789"/>
        <w:spacing w:after="0" w:line="272" w:lineRule="auto"/>
        <w:tabs>
          <w:tab w:leader="none" w:pos="1697"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Companies and the conduct of the business of the Companies, including with respect to the access, import, export, processing, recording, erasure, sharing, distribution, security, disposal, collection, storage, transmission, transfer, use, disclosure, and destruction (“</w:t>
      </w:r>
      <w:r>
        <w:rPr>
          <w:rFonts w:ascii="Arial" w:cs="Arial" w:eastAsia="Arial" w:hAnsi="Arial"/>
          <w:sz w:val="19"/>
          <w:szCs w:val="19"/>
          <w:u w:val="single" w:color="auto"/>
          <w:color w:val="auto"/>
        </w:rPr>
        <w:t>Processing</w:t>
      </w:r>
      <w:r>
        <w:rPr>
          <w:rFonts w:ascii="Arial" w:cs="Arial" w:eastAsia="Arial" w:hAnsi="Arial"/>
          <w:sz w:val="19"/>
          <w:szCs w:val="19"/>
          <w:color w:val="auto"/>
        </w:rPr>
        <w:t>”) of Personal Information are, and since the Lookback Date, have been, in compliance with all applicable Data Privacy and Security Laws. The Companies maintain policies and procedures related to the Processing of Personal Information as required in all material respects by applicable Data Privacy and Security Laws. The Companies have at all times since the Lookback Date complied in all material respects with the Companies’ privacy policies published or made available to data subjects from which a Company collects Personal Information or other data and such privacy policies are in compliance in all material respects with applicable Data Privacy and Security Laws. Each Company represents that it has the right pursuant to applicable authorizations, Privacy Agreements, Privacy Consents, and/or its privacy policy to Process such data or information for the purpose such data or information is and has been collected, used or disclosed. Since the Lookback Date, the Companies have not supplied or provided access to Personal Information Processed by it to a third party for remuneration or other consideration.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as set forth in</w:t>
      </w:r>
      <w:r>
        <w:rPr>
          <w:rFonts w:ascii="Arial" w:cs="Arial" w:eastAsia="Arial" w:hAnsi="Arial"/>
          <w:sz w:val="19"/>
          <w:szCs w:val="19"/>
          <w:u w:val="single" w:color="auto"/>
          <w:color w:val="auto"/>
        </w:rPr>
        <w:t xml:space="preserve"> Section 3.16 </w:t>
      </w:r>
      <w:r>
        <w:rPr>
          <w:rFonts w:ascii="Arial" w:cs="Arial" w:eastAsia="Arial" w:hAnsi="Arial"/>
          <w:sz w:val="19"/>
          <w:szCs w:val="19"/>
          <w:color w:val="auto"/>
        </w:rPr>
        <w:t>of the Disclosure Schedule:</w:t>
      </w:r>
    </w:p>
    <w:p>
      <w:pPr>
        <w:spacing w:after="0" w:line="206"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42" w:name="page143"/>
    <w:bookmarkEnd w:id="142"/>
    <w:p>
      <w:pPr>
        <w:jc w:val="both"/>
        <w:ind w:left="-240" w:firstLine="789"/>
        <w:spacing w:after="0" w:line="238" w:lineRule="auto"/>
        <w:tabs>
          <w:tab w:leader="none" w:pos="1445" w:val="left"/>
        </w:tabs>
        <w:numPr>
          <w:ilvl w:val="0"/>
          <w:numId w:val="66"/>
        </w:numPr>
        <w:rPr>
          <w:rFonts w:ascii="Arial" w:cs="Arial" w:eastAsia="Arial" w:hAnsi="Arial"/>
          <w:sz w:val="22"/>
          <w:szCs w:val="22"/>
          <w:color w:val="auto"/>
        </w:rPr>
      </w:pPr>
      <w:r>
        <w:rPr>
          <w:rFonts w:ascii="Arial" w:cs="Arial" w:eastAsia="Arial" w:hAnsi="Arial"/>
          <w:sz w:val="22"/>
          <w:szCs w:val="22"/>
          <w:color w:val="auto"/>
        </w:rPr>
        <w:t>Each Company is, and since the Lookback Date has been, in compliance in all material respects with all applicable Environmental Laws. Since the Lookback Date, no Company has received any written notice alleging a material violation of any Environmental Law by such Company or alleging that such Company has any material liability under any Environmental Law.</w:t>
      </w:r>
    </w:p>
    <w:p>
      <w:pPr>
        <w:spacing w:after="0" w:line="184" w:lineRule="exact"/>
        <w:rPr>
          <w:rFonts w:ascii="Arial" w:cs="Arial" w:eastAsia="Arial" w:hAnsi="Arial"/>
          <w:sz w:val="22"/>
          <w:szCs w:val="22"/>
          <w:color w:val="auto"/>
        </w:rPr>
      </w:pPr>
    </w:p>
    <w:p>
      <w:pPr>
        <w:jc w:val="both"/>
        <w:ind w:left="-240" w:firstLine="789"/>
        <w:spacing w:after="0" w:line="248" w:lineRule="auto"/>
        <w:tabs>
          <w:tab w:leader="none" w:pos="1457"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Companies, collectively, hold all material Permits that are necessary under applicable Environmental Laws to conduct the business of the Companies as it is conducted as of the date of this Agreement. The Companies are not, and since the Lookback Date have not been, in material breach or violation of, or material default (with or without notice or lapse of time or both) under, any material Permit issued pursuant to an Environmental Law, and, to Companies’ Knowledge, there is no condition, event or circumstance that would reasonably be expected to prevent or impede the transferability of any such Permit.</w:t>
      </w:r>
    </w:p>
    <w:p>
      <w:pPr>
        <w:spacing w:after="0" w:line="176" w:lineRule="exact"/>
        <w:rPr>
          <w:rFonts w:ascii="Arial" w:cs="Arial" w:eastAsia="Arial" w:hAnsi="Arial"/>
          <w:sz w:val="21"/>
          <w:szCs w:val="21"/>
          <w:color w:val="auto"/>
        </w:rPr>
      </w:pPr>
    </w:p>
    <w:p>
      <w:pPr>
        <w:jc w:val="both"/>
        <w:ind w:left="-240" w:firstLine="789"/>
        <w:spacing w:after="0"/>
        <w:tabs>
          <w:tab w:leader="none" w:pos="1445"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There are no material Actions pending or, to the Companies’ Knowledge, at any time since the Lookback Date, threatened in writing against any Company or any of their properties or assets alleging a violation of or material liability under any Environmental Law.</w:t>
      </w:r>
    </w:p>
    <w:p>
      <w:pPr>
        <w:spacing w:after="0" w:line="186" w:lineRule="exact"/>
        <w:rPr>
          <w:rFonts w:ascii="Arial" w:cs="Arial" w:eastAsia="Arial" w:hAnsi="Arial"/>
          <w:sz w:val="22"/>
          <w:szCs w:val="22"/>
          <w:color w:val="auto"/>
        </w:rPr>
      </w:pPr>
    </w:p>
    <w:p>
      <w:pPr>
        <w:jc w:val="both"/>
        <w:ind w:left="-240" w:firstLine="789"/>
        <w:spacing w:after="0"/>
        <w:tabs>
          <w:tab w:leader="none" w:pos="1457"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 Company has assumed or undertaken any liability of any other Person under any Environmental Law. There are no unsatisfied Orders naming, or Contracts between a Governmental Entity and, any Company relating to Environmental Laws.</w:t>
      </w:r>
    </w:p>
    <w:p>
      <w:pPr>
        <w:spacing w:after="0" w:line="186" w:lineRule="exact"/>
        <w:rPr>
          <w:rFonts w:ascii="Arial" w:cs="Arial" w:eastAsia="Arial" w:hAnsi="Arial"/>
          <w:sz w:val="22"/>
          <w:szCs w:val="22"/>
          <w:color w:val="auto"/>
        </w:rPr>
      </w:pPr>
    </w:p>
    <w:p>
      <w:pPr>
        <w:jc w:val="both"/>
        <w:ind w:left="-240" w:firstLine="789"/>
        <w:spacing w:after="0"/>
        <w:tabs>
          <w:tab w:leader="none" w:pos="1445"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There are no investigations of the any Company or any of their properties or assets pending or threatened in writing by any Governmental Entity that would reasonably be expected to result in the imposition on any Company of any material liability pursuant to any Environmental Law.</w:t>
      </w:r>
    </w:p>
    <w:p>
      <w:pPr>
        <w:spacing w:after="0" w:line="186" w:lineRule="exact"/>
        <w:rPr>
          <w:rFonts w:ascii="Arial" w:cs="Arial" w:eastAsia="Arial" w:hAnsi="Arial"/>
          <w:sz w:val="22"/>
          <w:szCs w:val="22"/>
          <w:color w:val="auto"/>
        </w:rPr>
      </w:pPr>
    </w:p>
    <w:p>
      <w:pPr>
        <w:jc w:val="both"/>
        <w:ind w:left="-240" w:firstLine="789"/>
        <w:spacing w:after="0" w:line="275" w:lineRule="auto"/>
        <w:tabs>
          <w:tab w:leader="none" w:pos="1421"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 Company has Released any Hazardous Materials at, on, under, to, or from any real property, including any Leased Real Property, in quantities or concentrations that require any investigation, cleanup, response, removal, or remediation pursuant to Environmental Law. The Companies have not stored, handled, transported, Released or otherwise disposed of, or arranged for the transport or disposal of, any Hazardous Materials at, on, under, to, or from any Leased Real Property or any other property or location, in each case in quantities or concentrations that require investigation, cleanup, response, removal or remediation for which any Company would have responsibility under applicable Environmental Laws. The Companies are not conducting or funding any investigation, cleanup, removal, or remediation of or response to any release of Hazardous Materials.</w:t>
      </w:r>
    </w:p>
    <w:p>
      <w:pPr>
        <w:spacing w:after="0" w:line="157" w:lineRule="exact"/>
        <w:rPr>
          <w:rFonts w:ascii="Arial" w:cs="Arial" w:eastAsia="Arial" w:hAnsi="Arial"/>
          <w:sz w:val="19"/>
          <w:szCs w:val="19"/>
          <w:color w:val="auto"/>
        </w:rPr>
      </w:pPr>
    </w:p>
    <w:p>
      <w:pPr>
        <w:jc w:val="both"/>
        <w:ind w:left="-240" w:firstLine="789"/>
        <w:spacing w:after="0" w:line="249" w:lineRule="auto"/>
        <w:tabs>
          <w:tab w:leader="none" w:pos="1457"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Companies have delivered to Purchaser copies and results of any reports, data, investigations, audits, assessments (including Phase I environmental site assessments or Phase II assessments), studies, analyses, tests, or monitoring in the possession of the Companies pertaining to: (i) any unresolved claims or liabilities arising under or relating to Environmental Law and (ii) any Hazardous Materials in, on, at, or beneath any property currently or formerly owned, operated, or leased by any Company.</w:t>
      </w:r>
    </w:p>
    <w:p>
      <w:pPr>
        <w:spacing w:after="0" w:line="17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43" w:name="page144"/>
    <w:bookmarkEnd w:id="143"/>
    <w:p>
      <w:pPr>
        <w:spacing w:after="0"/>
        <w:tabs>
          <w:tab w:leader="none" w:pos="170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Employee Benefit Plans</w:t>
      </w:r>
      <w:r>
        <w:rPr>
          <w:rFonts w:ascii="Arial" w:cs="Arial" w:eastAsia="Arial" w:hAnsi="Arial"/>
          <w:sz w:val="19"/>
          <w:szCs w:val="19"/>
          <w:color w:val="auto"/>
        </w:rPr>
        <w:t>.</w:t>
      </w:r>
    </w:p>
    <w:p>
      <w:pPr>
        <w:spacing w:after="0" w:line="206" w:lineRule="exact"/>
        <w:rPr>
          <w:sz w:val="20"/>
          <w:szCs w:val="20"/>
          <w:color w:val="auto"/>
        </w:rPr>
      </w:pPr>
    </w:p>
    <w:p>
      <w:pPr>
        <w:jc w:val="both"/>
        <w:ind w:firstLine="789"/>
        <w:spacing w:after="0" w:line="273" w:lineRule="auto"/>
        <w:tabs>
          <w:tab w:leader="none" w:pos="1685" w:val="left"/>
        </w:tabs>
        <w:numPr>
          <w:ilvl w:val="0"/>
          <w:numId w:val="67"/>
        </w:numPr>
        <w:rPr>
          <w:rFonts w:ascii="Arial" w:cs="Arial" w:eastAsia="Arial" w:hAnsi="Arial"/>
          <w:sz w:val="19"/>
          <w:szCs w:val="19"/>
          <w:color w:val="auto"/>
        </w:rPr>
      </w:pPr>
      <w:r>
        <w:rPr>
          <w:rFonts w:ascii="Arial" w:cs="Arial" w:eastAsia="Arial" w:hAnsi="Arial"/>
          <w:sz w:val="19"/>
          <w:szCs w:val="19"/>
          <w:color w:val="auto"/>
        </w:rPr>
        <w:t>Each deferred compensation, incentive compensation, stock purchase, stock option or other equity-based, retention, change in control, severance or termination pay, hospitalization or other medical, life, dental, vision, disability or other insurance, supplemental unemployment benefits, profit-sharing, pension or retirement plans, programs, agreements or arrangements, and each other fringe or other employee benefit plan, program, agreement or arrangement (including any “employee benefit plan”, within the meaning of Section 3(3) of ERISA), sponsored, maintained or contributed to or required to be contributed to by any Company or any ERISA Affiliate for the benefit of any current or former employee, independent contractor or director (and/or their dependents or beneficiaries) of any Company or under which any Company or ERISA Affiliate has an liability or obligations (collectively, the “</w:t>
      </w:r>
      <w:r>
        <w:rPr>
          <w:rFonts w:ascii="Arial" w:cs="Arial" w:eastAsia="Arial" w:hAnsi="Arial"/>
          <w:sz w:val="19"/>
          <w:szCs w:val="19"/>
          <w:u w:val="single" w:color="auto"/>
          <w:color w:val="auto"/>
        </w:rPr>
        <w:t>Employee</w:t>
      </w:r>
      <w:r>
        <w:rPr>
          <w:rFonts w:ascii="Arial" w:cs="Arial" w:eastAsia="Arial" w:hAnsi="Arial"/>
          <w:sz w:val="19"/>
          <w:szCs w:val="19"/>
          <w:color w:val="auto"/>
        </w:rPr>
        <w:t xml:space="preserve"> </w:t>
      </w:r>
      <w:r>
        <w:rPr>
          <w:rFonts w:ascii="Arial" w:cs="Arial" w:eastAsia="Arial" w:hAnsi="Arial"/>
          <w:sz w:val="19"/>
          <w:szCs w:val="19"/>
          <w:u w:val="single" w:color="auto"/>
          <w:color w:val="auto"/>
        </w:rPr>
        <w:t>Benefit Plans</w:t>
      </w:r>
      <w:r>
        <w:rPr>
          <w:rFonts w:ascii="Arial" w:cs="Arial" w:eastAsia="Arial" w:hAnsi="Arial"/>
          <w:sz w:val="19"/>
          <w:szCs w:val="19"/>
          <w:color w:val="auto"/>
        </w:rPr>
        <w:t xml:space="preserve">”) is set forth in </w:t>
      </w:r>
      <w:r>
        <w:rPr>
          <w:rFonts w:ascii="Arial" w:cs="Arial" w:eastAsia="Arial" w:hAnsi="Arial"/>
          <w:sz w:val="19"/>
          <w:szCs w:val="19"/>
          <w:u w:val="single" w:color="auto"/>
          <w:color w:val="auto"/>
        </w:rPr>
        <w:t>Section 3.17</w:t>
      </w:r>
      <w:r>
        <w:rPr>
          <w:rFonts w:ascii="Arial" w:cs="Arial" w:eastAsia="Arial" w:hAnsi="Arial"/>
          <w:sz w:val="19"/>
          <w:szCs w:val="19"/>
          <w:color w:val="auto"/>
        </w:rPr>
        <w:t xml:space="preserve"> of the Disclosure Schedule. As used herein, “</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entity that is considered a single employer with any Company under Section 414 of the Code.</w:t>
      </w:r>
    </w:p>
    <w:p>
      <w:pPr>
        <w:spacing w:after="0" w:line="160" w:lineRule="exact"/>
        <w:rPr>
          <w:rFonts w:ascii="Arial" w:cs="Arial" w:eastAsia="Arial" w:hAnsi="Arial"/>
          <w:sz w:val="19"/>
          <w:szCs w:val="19"/>
          <w:color w:val="auto"/>
        </w:rPr>
      </w:pPr>
    </w:p>
    <w:p>
      <w:pPr>
        <w:jc w:val="both"/>
        <w:ind w:firstLine="789"/>
        <w:spacing w:after="0" w:line="234" w:lineRule="auto"/>
        <w:tabs>
          <w:tab w:leader="none" w:pos="1697" w:val="left"/>
        </w:tabs>
        <w:numPr>
          <w:ilvl w:val="0"/>
          <w:numId w:val="67"/>
        </w:numPr>
        <w:rPr>
          <w:rFonts w:ascii="Arial" w:cs="Arial" w:eastAsia="Arial" w:hAnsi="Arial"/>
          <w:sz w:val="22"/>
          <w:szCs w:val="22"/>
          <w:color w:val="auto"/>
        </w:rPr>
      </w:pPr>
      <w:r>
        <w:rPr>
          <w:rFonts w:ascii="Arial" w:cs="Arial" w:eastAsia="Arial" w:hAnsi="Arial"/>
          <w:sz w:val="22"/>
          <w:szCs w:val="22"/>
          <w:color w:val="auto"/>
        </w:rPr>
        <w:t>Each Employee Benefit Plan is in compliance in all material respects with applicable Law and has been administered and operated in all material respects in accordance with its terms. Each Employee Benefit Plan that is intended to be “qualified” within the meaning of Section 401(a) of the Code has received a favorable determination letter from the Internal Revenue Service or is a prototype plan that is entitled to rely on an opinion letter issued by the Internal Revenue Service to the prototype plan sponsor regarding qualification of the form of the prototype plan and there are no facts or circumstances that would be reasonably likely to adversely affect the qualified status of any such Employee Benefit Plan.</w:t>
      </w:r>
    </w:p>
    <w:p>
      <w:pPr>
        <w:spacing w:after="0" w:line="190" w:lineRule="exact"/>
        <w:rPr>
          <w:rFonts w:ascii="Arial" w:cs="Arial" w:eastAsia="Arial" w:hAnsi="Arial"/>
          <w:sz w:val="22"/>
          <w:szCs w:val="22"/>
          <w:color w:val="auto"/>
        </w:rPr>
      </w:pPr>
    </w:p>
    <w:p>
      <w:pPr>
        <w:jc w:val="both"/>
        <w:ind w:firstLine="789"/>
        <w:spacing w:after="0" w:line="235" w:lineRule="auto"/>
        <w:tabs>
          <w:tab w:leader="none" w:pos="1685" w:val="left"/>
        </w:tabs>
        <w:numPr>
          <w:ilvl w:val="0"/>
          <w:numId w:val="67"/>
        </w:numPr>
        <w:rPr>
          <w:rFonts w:ascii="Arial" w:cs="Arial" w:eastAsia="Arial" w:hAnsi="Arial"/>
          <w:sz w:val="22"/>
          <w:szCs w:val="22"/>
          <w:color w:val="auto"/>
        </w:rPr>
      </w:pPr>
      <w:r>
        <w:rPr>
          <w:rFonts w:ascii="Arial" w:cs="Arial" w:eastAsia="Arial" w:hAnsi="Arial"/>
          <w:sz w:val="22"/>
          <w:szCs w:val="22"/>
          <w:color w:val="auto"/>
        </w:rPr>
        <w:t>Neither Company, nor, to the Companies’ Knowledge, any trustee or administrator thereof nor any employee or any “fiduciary” has, engaged in any material breach of fiduciary responsibility or any “prohibited transaction” (as such term is defined in Section 406 of ERISA or Section 4975 of the Code) to which Section 406 of ERISA or Section 4975 of the Code applies and which could subject any Employee Benefit Plan or trustee or administration thereof, or any party dealing with any such Employee Benefit Plan, to a Tax or penalty on prohibited transactions imposed by Section 4975 of the Code.</w:t>
      </w:r>
    </w:p>
    <w:p>
      <w:pPr>
        <w:spacing w:after="0" w:line="187" w:lineRule="exact"/>
        <w:rPr>
          <w:rFonts w:ascii="Arial" w:cs="Arial" w:eastAsia="Arial" w:hAnsi="Arial"/>
          <w:sz w:val="22"/>
          <w:szCs w:val="22"/>
          <w:color w:val="auto"/>
        </w:rPr>
      </w:pPr>
    </w:p>
    <w:p>
      <w:pPr>
        <w:jc w:val="both"/>
        <w:ind w:firstLine="789"/>
        <w:spacing w:after="0"/>
        <w:tabs>
          <w:tab w:leader="none" w:pos="179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There is no pending or, to the Companies’ Knowledge, threatened Action with respect to any Employee Benefit Plan (other than routine claims for benefits and appeals of any denied claims) or any fiduciary, administrator, party in interest, or sponsor thereof (in their capacities as such).</w:t>
      </w:r>
    </w:p>
    <w:p>
      <w:pPr>
        <w:spacing w:after="0" w:line="186" w:lineRule="exact"/>
        <w:rPr>
          <w:rFonts w:ascii="Arial" w:cs="Arial" w:eastAsia="Arial" w:hAnsi="Arial"/>
          <w:sz w:val="22"/>
          <w:szCs w:val="22"/>
          <w:color w:val="auto"/>
        </w:rPr>
      </w:pPr>
    </w:p>
    <w:p>
      <w:pPr>
        <w:jc w:val="both"/>
        <w:ind w:firstLine="789"/>
        <w:spacing w:after="0" w:line="235" w:lineRule="auto"/>
        <w:tabs>
          <w:tab w:leader="none" w:pos="1685"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 Employee Benefit Plan is (i) a “multiemployer plan,” as such term is defined in Section 3(37) of ERISA, (ii) a plan that is subject to Title IV of ERISA, Section 302 of ERISA or Section 412 of the Code, (iii) a multiple employer plan as defined in Section 413(c) of the Code, or (iv) a “multiple employer welfare arrangement” as such term is defined in Section 3(40) of ERISA, and no Company, nor any ERISA Affiliate has maintained, contributed to, or been required to contribute to any employee benefit plan described in clauses (i), (ii), (iii) or (iv) above since the Lookback Date.</w:t>
      </w:r>
    </w:p>
    <w:p>
      <w:pPr>
        <w:spacing w:after="0" w:line="18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50" w:right="339" w:bottom="1440" w:gutter="0" w:footer="0" w:header="0"/>
        </w:sectPr>
      </w:pPr>
    </w:p>
    <w:bookmarkStart w:id="144" w:name="page145"/>
    <w:bookmarkEnd w:id="144"/>
    <w:p>
      <w:pPr>
        <w:jc w:val="both"/>
        <w:ind w:left="-240" w:firstLine="789"/>
        <w:spacing w:after="0" w:line="271" w:lineRule="auto"/>
        <w:tabs>
          <w:tab w:leader="none" w:pos="1421" w:val="left"/>
        </w:tabs>
        <w:numPr>
          <w:ilvl w:val="0"/>
          <w:numId w:val="68"/>
        </w:numPr>
        <w:rPr>
          <w:rFonts w:ascii="Arial" w:cs="Arial" w:eastAsia="Arial" w:hAnsi="Arial"/>
          <w:sz w:val="19"/>
          <w:szCs w:val="19"/>
          <w:color w:val="auto"/>
        </w:rPr>
      </w:pPr>
      <w:r>
        <w:rPr>
          <w:rFonts w:ascii="Arial" w:cs="Arial" w:eastAsia="Arial" w:hAnsi="Arial"/>
          <w:sz w:val="19"/>
          <w:szCs w:val="19"/>
          <w:color w:val="auto"/>
        </w:rPr>
        <w:t>With respect to each Employee Benefit Plan, Sellers and the Companies have uploaded to the Data Room complete copies of each of the following documents: (i) a copy of each Employee Benefit Plan (including any amendments thereto and all administration agreements, insurance policies, investment management or advisory agreements and all prior Employee Benefit Plan documents, if amended within the last two years); (ii) a copy of the three most recent Form 5500 annual reports, if any, required under ERISA or the Code; (iii) a copy of the most recent summary plan description (and any summary of material modifications), if any, required under ERISA; (iv) if the Employee Benefit Plan is funded through a trust or any third party funding vehicle, a copy of the trust or other funding agreement (including any amendments thereto); (v) if the Employee Benefit Plan is intended to be qualified under Section 401(a) of the Code, the most recent determination letter received from the Internal Revenue Service; (vi) any actuarial reports (if any); (vii) all correspondence with the Internal Revenue Service, Department of Labor and the PBGC regarding any Employee Benefit Plan; (viii) with respect to each Employee Benefit Plan subject to Title IV of ERISA, a copy of the three most recent Form PBGC-1 reports; (ix) all discrimination tests for each Employee Benefit Plan for the three most recent plan years (if any); and (x) any other related material or documents regarding the Employee Benefit Plans. The Companies have disclosed to Purchaser the terms and conditions of any unwritten Employee Benefit Plan.</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left="-240" w:firstLine="789"/>
        <w:spacing w:after="0" w:line="245" w:lineRule="auto"/>
        <w:tabs>
          <w:tab w:leader="none" w:pos="1457" w:val="left"/>
        </w:tabs>
        <w:numPr>
          <w:ilvl w:val="0"/>
          <w:numId w:val="68"/>
        </w:numPr>
        <w:rPr>
          <w:rFonts w:ascii="Arial" w:cs="Arial" w:eastAsia="Arial" w:hAnsi="Arial"/>
          <w:sz w:val="21"/>
          <w:szCs w:val="21"/>
          <w:color w:val="auto"/>
        </w:rPr>
      </w:pPr>
      <w:r>
        <w:rPr>
          <w:rFonts w:ascii="Arial" w:cs="Arial" w:eastAsia="Arial" w:hAnsi="Arial"/>
          <w:sz w:val="21"/>
          <w:szCs w:val="21"/>
          <w:color w:val="auto"/>
        </w:rPr>
        <w:t>None of the Employee Benefit Plans, nor any other written or oral agreement entered into by any Company provide for continuing medical, dental, vision, life or disability insurance benefits or coverage after termination or retirement from employment, except for COBRA rights under a “group health plan” as defined in Section 4980B(g) of the Code and Section 607 of ERISA. Each Employee Benefit Plan that is a “group health plan” (within the meaning of Section 5000(b)(1) of the Code) is in compliance in all material respects with the applicable requirements of the Affordable Care Act. There exists no basis upon which any Company or any ERISA Affiliate would be expected to be subject to any penalties or assessable payments under Section 4980H of the Code, nor has any Company or any ERISA Affiliate received any correspondence from the IRS or other agencies indicating that such penalties or assessable payments are or may be due.</w:t>
      </w:r>
    </w:p>
    <w:p>
      <w:pPr>
        <w:spacing w:after="0" w:line="184" w:lineRule="exact"/>
        <w:rPr>
          <w:rFonts w:ascii="Arial" w:cs="Arial" w:eastAsia="Arial" w:hAnsi="Arial"/>
          <w:sz w:val="21"/>
          <w:szCs w:val="21"/>
          <w:color w:val="auto"/>
        </w:rPr>
      </w:pPr>
    </w:p>
    <w:p>
      <w:pPr>
        <w:jc w:val="both"/>
        <w:ind w:left="-240" w:firstLine="789"/>
        <w:spacing w:after="0" w:line="279" w:lineRule="auto"/>
        <w:tabs>
          <w:tab w:leader="none" w:pos="1457"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3.17(h)</w:t>
      </w:r>
      <w:r>
        <w:rPr>
          <w:rFonts w:ascii="Arial" w:cs="Arial" w:eastAsia="Arial" w:hAnsi="Arial"/>
          <w:sz w:val="19"/>
          <w:szCs w:val="19"/>
          <w:color w:val="auto"/>
        </w:rPr>
        <w:t xml:space="preserve"> of the Disclosure Schedule, the consummation of the transactions contemplated hereby will not (i) result in an increase in or accelerate the vesting of any of the benefits available under any Employee Benefit Plan, or (ii) otherwise entitle any current or former director or employee of any Company to severance pay or any other payment from the Company. No Company has announced any type of plan or binding commitment to (1) create any additional Employee Benefit Plan, or (2) amend or modify any existing Employee Benefit Plan with any current or former employee, independent contractor or director.</w:t>
      </w:r>
    </w:p>
    <w:p>
      <w:pPr>
        <w:spacing w:after="0" w:line="150" w:lineRule="exact"/>
        <w:rPr>
          <w:rFonts w:ascii="Arial" w:cs="Arial" w:eastAsia="Arial" w:hAnsi="Arial"/>
          <w:sz w:val="19"/>
          <w:szCs w:val="19"/>
          <w:color w:val="auto"/>
        </w:rPr>
      </w:pPr>
    </w:p>
    <w:p>
      <w:pPr>
        <w:jc w:val="both"/>
        <w:ind w:left="-240" w:firstLine="789"/>
        <w:spacing w:after="0" w:line="287" w:lineRule="auto"/>
        <w:tabs>
          <w:tab w:leader="none" w:pos="1409" w:val="left"/>
        </w:tabs>
        <w:numPr>
          <w:ilvl w:val="0"/>
          <w:numId w:val="68"/>
        </w:numPr>
        <w:rPr>
          <w:rFonts w:ascii="Arial" w:cs="Arial" w:eastAsia="Arial" w:hAnsi="Arial"/>
          <w:sz w:val="19"/>
          <w:szCs w:val="19"/>
          <w:color w:val="auto"/>
        </w:rPr>
      </w:pPr>
      <w:r>
        <w:rPr>
          <w:rFonts w:ascii="Arial" w:cs="Arial" w:eastAsia="Arial" w:hAnsi="Arial"/>
          <w:sz w:val="19"/>
          <w:szCs w:val="19"/>
          <w:color w:val="auto"/>
        </w:rPr>
        <w:t>No Company has used the services or workers provided by third party contract labor suppliers, temporary employees, “leased employees” (as that term is defined in Section 414(n) of the Code), or individuals who have provided services as independent contractors, to an extent that would reasonably be expected to result in the disqualification of any of the Employee Benefit Plans or the imposition of penalties or excise taxes with</w:t>
      </w:r>
    </w:p>
    <w:p>
      <w:pPr>
        <w:spacing w:after="0" w:line="14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45" w:name="page146"/>
    <w:bookmarkEnd w:id="145"/>
    <w:p>
      <w:pPr>
        <w:spacing w:after="0" w:line="250" w:lineRule="auto"/>
        <w:rPr>
          <w:sz w:val="20"/>
          <w:szCs w:val="20"/>
          <w:color w:val="auto"/>
        </w:rPr>
      </w:pPr>
      <w:r>
        <w:rPr>
          <w:rFonts w:ascii="Arial" w:cs="Arial" w:eastAsia="Arial" w:hAnsi="Arial"/>
          <w:sz w:val="22"/>
          <w:szCs w:val="22"/>
          <w:color w:val="auto"/>
        </w:rPr>
        <w:t>respect to any of the Employee Benefit Plans by the Internal Revenue Service, the Department of Labor or the Pension Benefit Guaranty Corporation.</w:t>
      </w:r>
    </w:p>
    <w:p>
      <w:pPr>
        <w:spacing w:after="0" w:line="175" w:lineRule="exact"/>
        <w:rPr>
          <w:sz w:val="20"/>
          <w:szCs w:val="20"/>
          <w:color w:val="auto"/>
        </w:rPr>
      </w:pPr>
    </w:p>
    <w:p>
      <w:pPr>
        <w:jc w:val="both"/>
        <w:ind w:firstLine="789"/>
        <w:spacing w:after="0" w:line="274" w:lineRule="auto"/>
        <w:tabs>
          <w:tab w:leader="none" w:pos="1649"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All contributions (including all employer contributions and employee salary reduction contributions) that are due have been made within the time periods prescribed by ERISA and the Code to each Employee Benefit Plan that is an “employee pension benefit plan” (within the meaning of Section 3(2) of ERISA) and all contributions for any period ending on or before the date of this Agreement that are not yet due have been made to each such employee pension benefit plan or properly accrued. All premiums or other payments for all periods ending on or before the Closing Date have been paid with respect to each Employee Benefit Plan that is an employee welfare benefit plan. To the extent required under applicable Laws, all applicable Taxes, including all applicable income and payroll Taxes have been properly withheld from the income from or attributed to any of the benefits received by participants under any and all Employee Benefit Plans.</w:t>
      </w:r>
    </w:p>
    <w:p>
      <w:pPr>
        <w:spacing w:after="0" w:line="158" w:lineRule="exact"/>
        <w:rPr>
          <w:rFonts w:ascii="Arial" w:cs="Arial" w:eastAsia="Arial" w:hAnsi="Arial"/>
          <w:sz w:val="19"/>
          <w:szCs w:val="19"/>
          <w:color w:val="auto"/>
        </w:rPr>
      </w:pPr>
    </w:p>
    <w:p>
      <w:pPr>
        <w:ind w:firstLine="789"/>
        <w:spacing w:after="0" w:line="250" w:lineRule="auto"/>
        <w:tabs>
          <w:tab w:leader="none" w:pos="1697" w:val="left"/>
        </w:tabs>
        <w:numPr>
          <w:ilvl w:val="0"/>
          <w:numId w:val="69"/>
        </w:numPr>
        <w:rPr>
          <w:rFonts w:ascii="Arial" w:cs="Arial" w:eastAsia="Arial" w:hAnsi="Arial"/>
          <w:sz w:val="22"/>
          <w:szCs w:val="22"/>
          <w:color w:val="auto"/>
        </w:rPr>
      </w:pPr>
      <w:r>
        <w:rPr>
          <w:rFonts w:ascii="Arial" w:cs="Arial" w:eastAsia="Arial" w:hAnsi="Arial"/>
          <w:sz w:val="22"/>
          <w:szCs w:val="22"/>
          <w:color w:val="auto"/>
        </w:rPr>
        <w:t>No Company has any obligation to “gross-up” or otherwise indemnify any individual for the imposition of the excise tax under Section 4999 of the Code or under Section 409A of the Code.</w:t>
      </w:r>
    </w:p>
    <w:p>
      <w:pPr>
        <w:spacing w:after="0" w:line="174" w:lineRule="exact"/>
        <w:rPr>
          <w:rFonts w:ascii="Arial" w:cs="Arial" w:eastAsia="Arial" w:hAnsi="Arial"/>
          <w:sz w:val="22"/>
          <w:szCs w:val="22"/>
          <w:color w:val="auto"/>
        </w:rPr>
      </w:pPr>
    </w:p>
    <w:p>
      <w:pPr>
        <w:jc w:val="both"/>
        <w:ind w:firstLine="789"/>
        <w:spacing w:after="0" w:line="238" w:lineRule="auto"/>
        <w:tabs>
          <w:tab w:leader="none" w:pos="1649" w:val="left"/>
        </w:tabs>
        <w:numPr>
          <w:ilvl w:val="0"/>
          <w:numId w:val="69"/>
        </w:numPr>
        <w:rPr>
          <w:rFonts w:ascii="Arial" w:cs="Arial" w:eastAsia="Arial" w:hAnsi="Arial"/>
          <w:sz w:val="22"/>
          <w:szCs w:val="22"/>
          <w:color w:val="auto"/>
        </w:rPr>
      </w:pPr>
      <w:r>
        <w:rPr>
          <w:rFonts w:ascii="Arial" w:cs="Arial" w:eastAsia="Arial" w:hAnsi="Arial"/>
          <w:sz w:val="22"/>
          <w:szCs w:val="22"/>
          <w:color w:val="auto"/>
        </w:rPr>
        <w:t>Each Employee Benefit Plan can be amended, terminated or otherwise discontinued after the Closing Date in accordance with its terms, without material liability to Purchaser, any Company, or any ERISA Affiliate (other than ordinary administration expenses or with respect to benefits previously earned, vested or accrued thereunder).</w:t>
      </w:r>
    </w:p>
    <w:p>
      <w:pPr>
        <w:spacing w:after="0" w:line="184" w:lineRule="exact"/>
        <w:rPr>
          <w:rFonts w:ascii="Arial" w:cs="Arial" w:eastAsia="Arial" w:hAnsi="Arial"/>
          <w:sz w:val="22"/>
          <w:szCs w:val="22"/>
          <w:color w:val="auto"/>
        </w:rPr>
      </w:pPr>
    </w:p>
    <w:p>
      <w:pPr>
        <w:jc w:val="both"/>
        <w:ind w:firstLine="789"/>
        <w:spacing w:after="0"/>
        <w:tabs>
          <w:tab w:leader="none" w:pos="1757"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3.17(m)</w:t>
      </w:r>
      <w:r>
        <w:rPr>
          <w:rFonts w:ascii="Arial" w:cs="Arial" w:eastAsia="Arial" w:hAnsi="Arial"/>
          <w:sz w:val="22"/>
          <w:szCs w:val="22"/>
          <w:color w:val="auto"/>
        </w:rPr>
        <w:t xml:space="preserve"> of the Disclosure Schedule, the Companies have not made any changes to any Employee Benefit Plan resulting from disruptions caused by COVID-19 or any COVID-19 Measures, nor are any such changes contemplated as of the date hereof.</w:t>
      </w:r>
    </w:p>
    <w:p>
      <w:pPr>
        <w:spacing w:after="0" w:line="186"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Labor and Employment Matters</w:t>
      </w:r>
      <w:r>
        <w:rPr>
          <w:rFonts w:ascii="Arial" w:cs="Arial" w:eastAsia="Arial" w:hAnsi="Arial"/>
          <w:sz w:val="19"/>
          <w:szCs w:val="19"/>
          <w:color w:val="auto"/>
        </w:rPr>
        <w:t>.</w:t>
      </w:r>
    </w:p>
    <w:p>
      <w:pPr>
        <w:spacing w:after="0" w:line="206" w:lineRule="exact"/>
        <w:rPr>
          <w:sz w:val="20"/>
          <w:szCs w:val="20"/>
          <w:color w:val="auto"/>
        </w:rPr>
      </w:pPr>
    </w:p>
    <w:p>
      <w:pPr>
        <w:jc w:val="both"/>
        <w:ind w:firstLine="789"/>
        <w:spacing w:after="0" w:line="246" w:lineRule="auto"/>
        <w:tabs>
          <w:tab w:leader="none" w:pos="1685"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3.18(a)</w:t>
      </w:r>
      <w:r>
        <w:rPr>
          <w:rFonts w:ascii="Arial" w:cs="Arial" w:eastAsia="Arial" w:hAnsi="Arial"/>
          <w:sz w:val="21"/>
          <w:szCs w:val="21"/>
          <w:color w:val="auto"/>
        </w:rPr>
        <w:t xml:space="preserve"> of the Disclosure Schedule, each Company is, and has been since the Lookback Date, in compliance in all material respects with all Laws relating to the employment of its employees and the engagement of its consultants and/or independent contractors, including Laws related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classification of employees and contractors, paid sick leave and unemployment insurance.</w:t>
      </w:r>
    </w:p>
    <w:p>
      <w:pPr>
        <w:spacing w:after="0" w:line="179" w:lineRule="exact"/>
        <w:rPr>
          <w:rFonts w:ascii="Arial" w:cs="Arial" w:eastAsia="Arial" w:hAnsi="Arial"/>
          <w:sz w:val="21"/>
          <w:szCs w:val="21"/>
          <w:color w:val="auto"/>
        </w:rPr>
      </w:pPr>
    </w:p>
    <w:p>
      <w:pPr>
        <w:jc w:val="both"/>
        <w:ind w:firstLine="789"/>
        <w:spacing w:after="0" w:line="238" w:lineRule="auto"/>
        <w:tabs>
          <w:tab w:leader="none" w:pos="1697"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u w:val="single" w:color="auto"/>
          <w:color w:val="auto"/>
        </w:rPr>
        <w:t>Section 3.18(b)</w:t>
      </w:r>
      <w:r>
        <w:rPr>
          <w:rFonts w:ascii="Arial" w:cs="Arial" w:eastAsia="Arial" w:hAnsi="Arial"/>
          <w:sz w:val="22"/>
          <w:szCs w:val="22"/>
          <w:color w:val="auto"/>
        </w:rPr>
        <w:t xml:space="preserve"> of the Disclosure Schedule, there is no collective bargaining or other labor union agreement to which any Company is a party or by which it is bound. There is not any union representing or purporting to represent any employee of any Company with respect to such employment, and no union or group of</w:t>
      </w:r>
    </w:p>
    <w:p>
      <w:pPr>
        <w:spacing w:after="0" w:line="18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46" w:name="page147"/>
    <w:bookmarkEnd w:id="146"/>
    <w:p>
      <w:pPr>
        <w:spacing w:after="0" w:line="250" w:lineRule="auto"/>
        <w:rPr>
          <w:sz w:val="20"/>
          <w:szCs w:val="20"/>
          <w:color w:val="auto"/>
        </w:rPr>
      </w:pPr>
      <w:r>
        <w:rPr>
          <w:rFonts w:ascii="Arial" w:cs="Arial" w:eastAsia="Arial" w:hAnsi="Arial"/>
          <w:sz w:val="22"/>
          <w:szCs w:val="22"/>
          <w:color w:val="auto"/>
        </w:rPr>
        <w:t>employees is seeking or has sought, since the Lookback Date, to organize employees for the purpose of collective bargaining.</w:t>
      </w:r>
    </w:p>
    <w:p>
      <w:pPr>
        <w:spacing w:after="0" w:line="175" w:lineRule="exact"/>
        <w:rPr>
          <w:sz w:val="20"/>
          <w:szCs w:val="20"/>
          <w:color w:val="auto"/>
        </w:rPr>
      </w:pPr>
    </w:p>
    <w:p>
      <w:pPr>
        <w:jc w:val="both"/>
        <w:ind w:firstLine="789"/>
        <w:spacing w:after="0" w:line="275" w:lineRule="auto"/>
        <w:tabs>
          <w:tab w:leader="none" w:pos="1685"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3.18(c)</w:t>
      </w:r>
      <w:r>
        <w:rPr>
          <w:rFonts w:ascii="Arial" w:cs="Arial" w:eastAsia="Arial" w:hAnsi="Arial"/>
          <w:sz w:val="19"/>
          <w:szCs w:val="19"/>
          <w:color w:val="auto"/>
        </w:rPr>
        <w:t xml:space="preserve"> of the Disclosure Schedule, there is not, nor has there been since the Lookback Date, any pending or threatened (i) strike, slowdown, picketing, work stoppage, or employee grievance process affecting any Company, (ii) charge, grievance proceeding, or other claim against or affecting any Company relating to the alleged violation of any Law pertaining to labor relations or employment matters, (iii) any charge or complaint filed by an employee or union with the National Labor Relations Board, the Equal Employment Opportunity Commission, Department of Labor, or any comparable Governmental Entity, (iv) to the Companies’ Knowledge, labor or employment dispute against or affecting any Company, or (v) application for certification of a collective bargaining agent with respect to the employees of any Company.</w:t>
      </w:r>
    </w:p>
    <w:p>
      <w:pPr>
        <w:spacing w:after="0" w:line="157" w:lineRule="exact"/>
        <w:rPr>
          <w:rFonts w:ascii="Arial" w:cs="Arial" w:eastAsia="Arial" w:hAnsi="Arial"/>
          <w:sz w:val="19"/>
          <w:szCs w:val="19"/>
          <w:color w:val="auto"/>
        </w:rPr>
      </w:pPr>
    </w:p>
    <w:p>
      <w:pPr>
        <w:jc w:val="both"/>
        <w:ind w:firstLine="789"/>
        <w:spacing w:after="0" w:line="238" w:lineRule="auto"/>
        <w:tabs>
          <w:tab w:leader="none" w:pos="1697" w:val="left"/>
        </w:tabs>
        <w:numPr>
          <w:ilvl w:val="0"/>
          <w:numId w:val="71"/>
        </w:numPr>
        <w:rPr>
          <w:rFonts w:ascii="Arial" w:cs="Arial" w:eastAsia="Arial" w:hAnsi="Arial"/>
          <w:sz w:val="22"/>
          <w:szCs w:val="22"/>
          <w:color w:val="auto"/>
        </w:rPr>
      </w:pPr>
      <w:r>
        <w:rPr>
          <w:rFonts w:ascii="Arial" w:cs="Arial" w:eastAsia="Arial" w:hAnsi="Arial"/>
          <w:sz w:val="22"/>
          <w:szCs w:val="22"/>
          <w:color w:val="auto"/>
        </w:rPr>
        <w:t>During the last three (3) years, no Company has effectuated a “plant closing” or “mass layoff” (as defined in the WARN Act, or any similar state or local Law) affecting any site of employment or employee of any Company. Neither Company intends to execute a “plant closing” or “mass layoff” (as defined in the WARN Act, or any similar state or local Law) prior to the Closing.</w:t>
      </w:r>
    </w:p>
    <w:p>
      <w:pPr>
        <w:spacing w:after="0" w:line="184" w:lineRule="exact"/>
        <w:rPr>
          <w:rFonts w:ascii="Arial" w:cs="Arial" w:eastAsia="Arial" w:hAnsi="Arial"/>
          <w:sz w:val="22"/>
          <w:szCs w:val="22"/>
          <w:color w:val="auto"/>
        </w:rPr>
      </w:pPr>
    </w:p>
    <w:p>
      <w:pPr>
        <w:jc w:val="both"/>
        <w:ind w:firstLine="789"/>
        <w:spacing w:after="0" w:line="238" w:lineRule="auto"/>
        <w:tabs>
          <w:tab w:leader="none" w:pos="1685" w:val="left"/>
        </w:tabs>
        <w:numPr>
          <w:ilvl w:val="0"/>
          <w:numId w:val="71"/>
        </w:numPr>
        <w:rPr>
          <w:rFonts w:ascii="Arial" w:cs="Arial" w:eastAsia="Arial" w:hAnsi="Arial"/>
          <w:sz w:val="22"/>
          <w:szCs w:val="22"/>
          <w:color w:val="auto"/>
        </w:rPr>
      </w:pPr>
      <w:r>
        <w:rPr>
          <w:rFonts w:ascii="Arial" w:cs="Arial" w:eastAsia="Arial" w:hAnsi="Arial"/>
          <w:sz w:val="22"/>
          <w:szCs w:val="22"/>
          <w:color w:val="auto"/>
        </w:rPr>
        <w:t>To the Companies’ Knowledge, no employee, independent contractor or consultant of any Company is in violation of any term of any employment contract, independent contractor agreement, non-disclosure agreement, non-competition agreement, or any restrictive covenant to any third party entity relating to the right of any such Person to be employed or retained by any Company.</w:t>
      </w:r>
    </w:p>
    <w:p>
      <w:pPr>
        <w:spacing w:after="0" w:line="184" w:lineRule="exact"/>
        <w:rPr>
          <w:rFonts w:ascii="Arial" w:cs="Arial" w:eastAsia="Arial" w:hAnsi="Arial"/>
          <w:sz w:val="22"/>
          <w:szCs w:val="22"/>
          <w:color w:val="auto"/>
        </w:rPr>
      </w:pPr>
    </w:p>
    <w:p>
      <w:pPr>
        <w:jc w:val="both"/>
        <w:ind w:firstLine="789"/>
        <w:spacing w:after="0" w:line="236" w:lineRule="auto"/>
        <w:tabs>
          <w:tab w:leader="none" w:pos="1661"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Companies are in compliance, and have complied since the Lookback Date, in all material respects with the Immigration Reform and Control Act of 1986 (“</w:t>
      </w:r>
      <w:r>
        <w:rPr>
          <w:rFonts w:ascii="Arial" w:cs="Arial" w:eastAsia="Arial" w:hAnsi="Arial"/>
          <w:sz w:val="22"/>
          <w:szCs w:val="22"/>
          <w:u w:val="single" w:color="auto"/>
          <w:color w:val="auto"/>
        </w:rPr>
        <w:t>IRCA</w:t>
      </w:r>
      <w:r>
        <w:rPr>
          <w:rFonts w:ascii="Arial" w:cs="Arial" w:eastAsia="Arial" w:hAnsi="Arial"/>
          <w:sz w:val="22"/>
          <w:szCs w:val="22"/>
          <w:color w:val="auto"/>
        </w:rPr>
        <w:t>”), including Form I-9 (Employment Eligibility Verification Form) requirements and any applicable mandatory E-Verify obligations. No Company has been cited or fined, nor has any legal proceeding been initiated or threatened against any Company, by reason of any actual or alleged failure to comply with IRCA.</w:t>
      </w:r>
    </w:p>
    <w:p>
      <w:pPr>
        <w:spacing w:after="0" w:line="187" w:lineRule="exact"/>
        <w:rPr>
          <w:rFonts w:ascii="Arial" w:cs="Arial" w:eastAsia="Arial" w:hAnsi="Arial"/>
          <w:sz w:val="22"/>
          <w:szCs w:val="22"/>
          <w:color w:val="auto"/>
        </w:rPr>
      </w:pPr>
    </w:p>
    <w:p>
      <w:pPr>
        <w:jc w:val="both"/>
        <w:ind w:firstLine="789"/>
        <w:spacing w:after="0" w:line="236" w:lineRule="auto"/>
        <w:tabs>
          <w:tab w:leader="none" w:pos="1697" w:val="left"/>
        </w:tabs>
        <w:numPr>
          <w:ilvl w:val="0"/>
          <w:numId w:val="71"/>
        </w:numPr>
        <w:rPr>
          <w:rFonts w:ascii="Arial" w:cs="Arial" w:eastAsia="Arial" w:hAnsi="Arial"/>
          <w:sz w:val="22"/>
          <w:szCs w:val="22"/>
          <w:color w:val="auto"/>
        </w:rPr>
      </w:pPr>
      <w:r>
        <w:rPr>
          <w:rFonts w:ascii="Arial" w:cs="Arial" w:eastAsia="Arial" w:hAnsi="Arial"/>
          <w:sz w:val="22"/>
          <w:szCs w:val="22"/>
          <w:color w:val="auto"/>
        </w:rPr>
        <w:t>Neither Company is delinquent in payments to any of the employees of such Company for any wages, salaries, commissions, bonuses or other direct compensation for any services performed for any of them or any other amounts required to be reimbursed to such employees (including paid time off and other benefits) or in the payment to the appropriate Governmental Entity of all required Taxes, insurance, social security and withholding thereon.</w:t>
      </w:r>
    </w:p>
    <w:p>
      <w:pPr>
        <w:spacing w:after="0" w:line="187" w:lineRule="exact"/>
        <w:rPr>
          <w:rFonts w:ascii="Arial" w:cs="Arial" w:eastAsia="Arial" w:hAnsi="Arial"/>
          <w:sz w:val="22"/>
          <w:szCs w:val="22"/>
          <w:color w:val="auto"/>
        </w:rPr>
      </w:pPr>
    </w:p>
    <w:p>
      <w:pPr>
        <w:jc w:val="both"/>
        <w:ind w:firstLine="789"/>
        <w:spacing w:after="0" w:line="236" w:lineRule="auto"/>
        <w:tabs>
          <w:tab w:leader="none" w:pos="1697"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Companies have properly classified individuals providing services to the Companies as independent contractors or employees and as exempt or non-exempt from the application of state and federal wage and hour Laws for all purposes, as the case may be, and has properly reported all compensation paid to such service providers for all purposes, and no legal proceeding has been initiated or threatened in writing against any Company with respect to any of the foregoing.</w:t>
      </w:r>
    </w:p>
    <w:p>
      <w:pPr>
        <w:spacing w:after="0" w:line="18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47" w:name="page148"/>
    <w:bookmarkEnd w:id="147"/>
    <w:p>
      <w:pPr>
        <w:jc w:val="both"/>
        <w:ind w:firstLine="789"/>
        <w:spacing w:after="0" w:line="236" w:lineRule="auto"/>
        <w:tabs>
          <w:tab w:leader="none" w:pos="1649"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All employees of the Companies are employees “at-will,” unless otherwise set forth on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3.18(i)</w:t>
      </w:r>
      <w:r>
        <w:rPr>
          <w:rFonts w:ascii="Arial" w:cs="Arial" w:eastAsia="Arial" w:hAnsi="Arial"/>
          <w:sz w:val="22"/>
          <w:szCs w:val="22"/>
          <w:color w:val="auto"/>
        </w:rPr>
        <w:t xml:space="preserve"> of the Disclosure Schedule. No employee or other service provider of any Company has informed such Company (in writing, or to the Companies’ Knowledge, orally) of any plan to terminate employment with or services for such applicable Company, and to the Companies’ Knowledge, no such Person has any plans to terminate employment with or services for any Company.</w:t>
      </w:r>
    </w:p>
    <w:p>
      <w:pPr>
        <w:spacing w:after="0" w:line="187" w:lineRule="exact"/>
        <w:rPr>
          <w:sz w:val="20"/>
          <w:szCs w:val="20"/>
          <w:color w:val="auto"/>
        </w:rPr>
      </w:pPr>
    </w:p>
    <w:p>
      <w:pPr>
        <w:spacing w:after="0"/>
        <w:tabs>
          <w:tab w:leader="none" w:pos="170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 Except as set forth in</w:t>
      </w:r>
      <w:r>
        <w:rPr>
          <w:rFonts w:ascii="Arial" w:cs="Arial" w:eastAsia="Arial" w:hAnsi="Arial"/>
          <w:sz w:val="19"/>
          <w:szCs w:val="19"/>
          <w:u w:val="single" w:color="auto"/>
          <w:color w:val="auto"/>
        </w:rPr>
        <w:t xml:space="preserve"> Section 3.19 </w:t>
      </w:r>
      <w:r>
        <w:rPr>
          <w:rFonts w:ascii="Arial" w:cs="Arial" w:eastAsia="Arial" w:hAnsi="Arial"/>
          <w:sz w:val="19"/>
          <w:szCs w:val="19"/>
          <w:color w:val="auto"/>
        </w:rPr>
        <w:t>of the Disclosure Schedule:</w:t>
      </w:r>
    </w:p>
    <w:p>
      <w:pPr>
        <w:spacing w:after="0" w:line="206" w:lineRule="exact"/>
        <w:rPr>
          <w:sz w:val="20"/>
          <w:szCs w:val="20"/>
          <w:color w:val="auto"/>
        </w:rPr>
      </w:pPr>
    </w:p>
    <w:p>
      <w:pPr>
        <w:jc w:val="both"/>
        <w:ind w:firstLine="789"/>
        <w:spacing w:after="0" w:line="234" w:lineRule="auto"/>
        <w:tabs>
          <w:tab w:leader="none" w:pos="1685"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income and other material Tax Returns required to be filed by the Companies and/or the Seller with respect to the Companies (including, for the sake of clarity, with the assets and operations of the Companies) have been filed (taking into account applicable extensions to file such Tax Returns) with the appropriate Governmental Entity. All such Tax Returns are true, correct and complete in all material respects. All Taxes shown to be due and owing on a Tax Return and all other income and material Taxes due and owing by the Companies or by Seller with respect to the Companies (whether or not shown on any Tax Return) have been paid in full to the appropriate Governmental Entity.</w:t>
      </w:r>
    </w:p>
    <w:p>
      <w:pPr>
        <w:spacing w:after="0" w:line="190" w:lineRule="exact"/>
        <w:rPr>
          <w:rFonts w:ascii="Arial" w:cs="Arial" w:eastAsia="Arial" w:hAnsi="Arial"/>
          <w:sz w:val="22"/>
          <w:szCs w:val="22"/>
          <w:color w:val="auto"/>
        </w:rPr>
      </w:pPr>
    </w:p>
    <w:p>
      <w:pPr>
        <w:jc w:val="both"/>
        <w:ind w:firstLine="789"/>
        <w:spacing w:after="0"/>
        <w:tabs>
          <w:tab w:leader="none" w:pos="1697" w:val="left"/>
        </w:tabs>
        <w:numPr>
          <w:ilvl w:val="0"/>
          <w:numId w:val="73"/>
        </w:numPr>
        <w:rPr>
          <w:rFonts w:ascii="Arial" w:cs="Arial" w:eastAsia="Arial" w:hAnsi="Arial"/>
          <w:sz w:val="22"/>
          <w:szCs w:val="22"/>
          <w:color w:val="auto"/>
        </w:rPr>
      </w:pPr>
      <w:r>
        <w:rPr>
          <w:rFonts w:ascii="Arial" w:cs="Arial" w:eastAsia="Arial" w:hAnsi="Arial"/>
          <w:sz w:val="22"/>
          <w:szCs w:val="22"/>
          <w:color w:val="auto"/>
        </w:rPr>
        <w:t>Neither Company is a party to any agreement that contains any Tax allocation, indemnification or sharing provision (other than commercial agreements entered into in the ordinary course of business the primary purpose of which is not Tax).</w:t>
      </w:r>
    </w:p>
    <w:p>
      <w:pPr>
        <w:spacing w:after="0" w:line="186" w:lineRule="exact"/>
        <w:rPr>
          <w:rFonts w:ascii="Arial" w:cs="Arial" w:eastAsia="Arial" w:hAnsi="Arial"/>
          <w:sz w:val="22"/>
          <w:szCs w:val="22"/>
          <w:color w:val="auto"/>
        </w:rPr>
      </w:pPr>
    </w:p>
    <w:p>
      <w:pPr>
        <w:jc w:val="both"/>
        <w:ind w:firstLine="789"/>
        <w:spacing w:after="0" w:line="236" w:lineRule="auto"/>
        <w:tabs>
          <w:tab w:leader="none" w:pos="1685"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There is no Action pending or threatened in writing concerning any liability for Taxes of either Company or Seller with respect to either Company. Neither the Companies or Seller with respect to either Company has received any notice of reassessment, deficiency, claim, adjustment or proposed adjustment or any other written notice indicating an intent to open an audit or other review in connection with any Taxes, which notice has not been satisfied by payment in full or been withdrawn.</w:t>
      </w:r>
    </w:p>
    <w:p>
      <w:pPr>
        <w:spacing w:after="0" w:line="187" w:lineRule="exact"/>
        <w:rPr>
          <w:rFonts w:ascii="Arial" w:cs="Arial" w:eastAsia="Arial" w:hAnsi="Arial"/>
          <w:sz w:val="22"/>
          <w:szCs w:val="22"/>
          <w:color w:val="auto"/>
        </w:rPr>
      </w:pPr>
    </w:p>
    <w:p>
      <w:pPr>
        <w:jc w:val="both"/>
        <w:ind w:firstLine="789"/>
        <w:spacing w:after="0" w:line="238" w:lineRule="auto"/>
        <w:tabs>
          <w:tab w:leader="none" w:pos="1697" w:val="left"/>
        </w:tabs>
        <w:numPr>
          <w:ilvl w:val="0"/>
          <w:numId w:val="73"/>
        </w:numPr>
        <w:rPr>
          <w:rFonts w:ascii="Arial" w:cs="Arial" w:eastAsia="Arial" w:hAnsi="Arial"/>
          <w:sz w:val="22"/>
          <w:szCs w:val="22"/>
          <w:color w:val="auto"/>
        </w:rPr>
      </w:pPr>
      <w:r>
        <w:rPr>
          <w:rFonts w:ascii="Arial" w:cs="Arial" w:eastAsia="Arial" w:hAnsi="Arial"/>
          <w:sz w:val="22"/>
          <w:szCs w:val="22"/>
          <w:color w:val="auto"/>
        </w:rPr>
        <w:t>Neither Seller with respect to either Company nor either Company has waived or extended any statute of limitations in respect of Taxes, agreed to any extension of time with respect to a Tax assessment or deficiency, which period (after giving effect to such extension or waiver) has not expired or agreed to a Tax assessment or deficiency that has not been paid or otherwise satisfied.</w:t>
      </w:r>
    </w:p>
    <w:p>
      <w:pPr>
        <w:spacing w:after="0" w:line="184" w:lineRule="exact"/>
        <w:rPr>
          <w:rFonts w:ascii="Arial" w:cs="Arial" w:eastAsia="Arial" w:hAnsi="Arial"/>
          <w:sz w:val="22"/>
          <w:szCs w:val="22"/>
          <w:color w:val="auto"/>
        </w:rPr>
      </w:pPr>
    </w:p>
    <w:p>
      <w:pPr>
        <w:jc w:val="both"/>
        <w:ind w:firstLine="789"/>
        <w:spacing w:after="0" w:line="252" w:lineRule="auto"/>
        <w:tabs>
          <w:tab w:leader="none" w:pos="1685" w:val="left"/>
        </w:tabs>
        <w:numPr>
          <w:ilvl w:val="0"/>
          <w:numId w:val="73"/>
        </w:numPr>
        <w:rPr>
          <w:rFonts w:ascii="Arial" w:cs="Arial" w:eastAsia="Arial" w:hAnsi="Arial"/>
          <w:sz w:val="21"/>
          <w:szCs w:val="21"/>
          <w:color w:val="auto"/>
        </w:rPr>
      </w:pPr>
      <w:r>
        <w:rPr>
          <w:rFonts w:ascii="Arial" w:cs="Arial" w:eastAsia="Arial" w:hAnsi="Arial"/>
          <w:sz w:val="21"/>
          <w:szCs w:val="21"/>
          <w:color w:val="auto"/>
        </w:rPr>
        <w:t>Neither Company has any liability for the unpaid Taxes of any Person (other than the Companies) under Treasury Regulations Section 1.1502-6 (or any similar provision of state, local, or foreign Law), as a transferee or successor, as a result of joint and several liability, by contract, or otherwise. Neither Company has been a member of a group filing a consolidated, unitary or combined Tax Return.</w:t>
      </w:r>
    </w:p>
    <w:p>
      <w:pPr>
        <w:spacing w:after="0" w:line="173" w:lineRule="exact"/>
        <w:rPr>
          <w:rFonts w:ascii="Arial" w:cs="Arial" w:eastAsia="Arial" w:hAnsi="Arial"/>
          <w:sz w:val="21"/>
          <w:szCs w:val="21"/>
          <w:color w:val="auto"/>
        </w:rPr>
      </w:pPr>
    </w:p>
    <w:p>
      <w:pPr>
        <w:jc w:val="both"/>
        <w:ind w:firstLine="789"/>
        <w:spacing w:after="0" w:line="287" w:lineRule="auto"/>
        <w:tabs>
          <w:tab w:leader="none" w:pos="1661" w:val="left"/>
        </w:tabs>
        <w:numPr>
          <w:ilvl w:val="0"/>
          <w:numId w:val="73"/>
        </w:numPr>
        <w:rPr>
          <w:rFonts w:ascii="Arial" w:cs="Arial" w:eastAsia="Arial" w:hAnsi="Arial"/>
          <w:sz w:val="19"/>
          <w:szCs w:val="19"/>
          <w:color w:val="auto"/>
        </w:rPr>
      </w:pPr>
      <w:r>
        <w:rPr>
          <w:rFonts w:ascii="Arial" w:cs="Arial" w:eastAsia="Arial" w:hAnsi="Arial"/>
          <w:sz w:val="19"/>
          <w:szCs w:val="19"/>
          <w:color w:val="auto"/>
        </w:rPr>
        <w:t>All material Taxes required to be withheld by either Company with respect to any amounts paid or owing to any employee, independent contractor, creditor, member, equityholder or other third party have been withheld and have been paid over in the appropriate amounts to the proper Governmental Entity in accordance with applicable Law and all Forms W-2 and 1099 (and any corresponding forms for applicable state and local</w:t>
      </w:r>
    </w:p>
    <w:p>
      <w:pPr>
        <w:spacing w:after="0" w:line="14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Tax purposes) required with respect thereto have been properly completed and timely filed.</w:t>
      </w:r>
    </w:p>
    <w:p>
      <w:pPr>
        <w:spacing w:after="0" w:line="206" w:lineRule="exact"/>
        <w:rPr>
          <w:sz w:val="20"/>
          <w:szCs w:val="20"/>
          <w:color w:val="auto"/>
        </w:rPr>
      </w:pPr>
    </w:p>
    <w:p>
      <w:pPr>
        <w:ind w:firstLine="789"/>
        <w:spacing w:after="0" w:line="250" w:lineRule="auto"/>
        <w:tabs>
          <w:tab w:leader="none" w:pos="1697" w:val="left"/>
        </w:tabs>
        <w:numPr>
          <w:ilvl w:val="0"/>
          <w:numId w:val="74"/>
        </w:numPr>
        <w:rPr>
          <w:rFonts w:ascii="Arial" w:cs="Arial" w:eastAsia="Arial" w:hAnsi="Arial"/>
          <w:sz w:val="22"/>
          <w:szCs w:val="22"/>
          <w:color w:val="auto"/>
        </w:rPr>
      </w:pPr>
      <w:r>
        <w:rPr>
          <w:rFonts w:ascii="Arial" w:cs="Arial" w:eastAsia="Arial" w:hAnsi="Arial"/>
          <w:sz w:val="22"/>
          <w:szCs w:val="22"/>
          <w:color w:val="auto"/>
        </w:rPr>
        <w:t>Neither Company is a party to any “reportable transaction” as defined in Section 6707(A)(c)(1) of the Code and Treasury Regulations Section 1.6011-4(b)(1).</w:t>
      </w:r>
    </w:p>
    <w:p>
      <w:pPr>
        <w:spacing w:after="0" w:line="174" w:lineRule="exact"/>
        <w:rPr>
          <w:rFonts w:ascii="Arial" w:cs="Arial" w:eastAsia="Arial" w:hAnsi="Arial"/>
          <w:sz w:val="22"/>
          <w:szCs w:val="22"/>
          <w:color w:val="auto"/>
        </w:rPr>
      </w:pPr>
    </w:p>
    <w:p>
      <w:pPr>
        <w:jc w:val="both"/>
        <w:ind w:firstLine="789"/>
        <w:spacing w:after="0" w:line="238" w:lineRule="auto"/>
        <w:tabs>
          <w:tab w:leader="none" w:pos="1697" w:val="left"/>
        </w:tabs>
        <w:numPr>
          <w:ilvl w:val="0"/>
          <w:numId w:val="74"/>
        </w:numPr>
        <w:rPr>
          <w:rFonts w:ascii="Arial" w:cs="Arial" w:eastAsia="Arial" w:hAnsi="Arial"/>
          <w:sz w:val="22"/>
          <w:szCs w:val="22"/>
          <w:color w:val="auto"/>
        </w:rPr>
      </w:pPr>
      <w:r>
        <w:rPr>
          <w:rFonts w:ascii="Arial" w:cs="Arial" w:eastAsia="Arial" w:hAnsi="Arial"/>
          <w:sz w:val="22"/>
          <w:szCs w:val="22"/>
          <w:color w:val="auto"/>
        </w:rPr>
        <w:t>At all times since its formation, Seller has been properly classified as a partnership for federal income Tax purposes. At all times since the formation of each Company (including, for this purpose, any predecessors thereof), such Company has been properly classified as a disregarded entity from Seller for federal income Tax purposes (and all applicable state and local income Tax purposes).</w:t>
      </w:r>
    </w:p>
    <w:p>
      <w:pPr>
        <w:spacing w:after="0" w:line="184" w:lineRule="exact"/>
        <w:rPr>
          <w:rFonts w:ascii="Arial" w:cs="Arial" w:eastAsia="Arial" w:hAnsi="Arial"/>
          <w:sz w:val="22"/>
          <w:szCs w:val="22"/>
          <w:color w:val="auto"/>
        </w:rPr>
      </w:pPr>
    </w:p>
    <w:p>
      <w:pPr>
        <w:jc w:val="both"/>
        <w:ind w:firstLine="789"/>
        <w:spacing w:after="0" w:line="236" w:lineRule="auto"/>
        <w:tabs>
          <w:tab w:leader="none" w:pos="1649" w:val="left"/>
        </w:tabs>
        <w:numPr>
          <w:ilvl w:val="0"/>
          <w:numId w:val="74"/>
        </w:numPr>
        <w:rPr>
          <w:rFonts w:ascii="Arial" w:cs="Arial" w:eastAsia="Arial" w:hAnsi="Arial"/>
          <w:sz w:val="22"/>
          <w:szCs w:val="22"/>
          <w:color w:val="auto"/>
        </w:rPr>
      </w:pPr>
      <w:r>
        <w:rPr>
          <w:rFonts w:ascii="Arial" w:cs="Arial" w:eastAsia="Arial" w:hAnsi="Arial"/>
          <w:sz w:val="22"/>
          <w:szCs w:val="22"/>
          <w:color w:val="auto"/>
        </w:rPr>
        <w:t>Neither Company currently is the beneficiary of any extension of time within which to file any Tax Return. Since the Lookback Date, no written claim has been made by a Governmental Entity in a jurisdiction where Seller or either Company does not file Tax Returns that either Company is or may be subject to taxation by that jurisdiction. There are no Liens for any Taxes (other than Permitted Liens) on any of the properties or assets of either Company.</w:t>
      </w:r>
    </w:p>
    <w:p>
      <w:pPr>
        <w:spacing w:after="0" w:line="187" w:lineRule="exact"/>
        <w:rPr>
          <w:rFonts w:ascii="Arial" w:cs="Arial" w:eastAsia="Arial" w:hAnsi="Arial"/>
          <w:sz w:val="22"/>
          <w:szCs w:val="22"/>
          <w:color w:val="auto"/>
        </w:rPr>
      </w:pPr>
    </w:p>
    <w:p>
      <w:pPr>
        <w:jc w:val="both"/>
        <w:ind w:firstLine="789"/>
        <w:spacing w:after="0" w:line="236" w:lineRule="auto"/>
        <w:tabs>
          <w:tab w:leader="none" w:pos="1649"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 Taxes that the Company and/or the Seller with respect to the Companies have been required to collect in respect of sales of goods or the provision of services have been collected and have been paid over in the appropriate amounts to the proper Governmental Entity in accordance with applicable Law, and, to the extent applicable, all documentation and adequate records have been maintained in all material respects with respect to any customer exemptions with respect thereto.</w:t>
      </w:r>
    </w:p>
    <w:p>
      <w:pPr>
        <w:spacing w:after="0" w:line="187" w:lineRule="exact"/>
        <w:rPr>
          <w:rFonts w:ascii="Arial" w:cs="Arial" w:eastAsia="Arial" w:hAnsi="Arial"/>
          <w:sz w:val="22"/>
          <w:szCs w:val="22"/>
          <w:color w:val="auto"/>
        </w:rPr>
      </w:pPr>
    </w:p>
    <w:p>
      <w:pPr>
        <w:ind w:firstLine="789"/>
        <w:spacing w:after="0" w:line="328" w:lineRule="auto"/>
        <w:tabs>
          <w:tab w:leader="none" w:pos="1697" w:val="left"/>
        </w:tabs>
        <w:numPr>
          <w:ilvl w:val="0"/>
          <w:numId w:val="74"/>
        </w:numPr>
        <w:rPr>
          <w:rFonts w:ascii="Arial" w:cs="Arial" w:eastAsia="Arial" w:hAnsi="Arial"/>
          <w:sz w:val="19"/>
          <w:szCs w:val="19"/>
          <w:color w:val="auto"/>
        </w:rPr>
      </w:pPr>
      <w:r>
        <w:rPr>
          <w:rFonts w:ascii="Arial" w:cs="Arial" w:eastAsia="Arial" w:hAnsi="Arial"/>
          <w:sz w:val="19"/>
          <w:szCs w:val="19"/>
          <w:color w:val="auto"/>
        </w:rPr>
        <w:t>Seller is not a “foreign person” as defined in Code Section 1445(f)(3), and the rules and regulations promulgated thereunder, or a “disregarded entity” as defined in Treasury Regulations Section 1.1445-2(b)(2)(iii).</w:t>
      </w:r>
    </w:p>
    <w:p>
      <w:pPr>
        <w:spacing w:after="0" w:line="104" w:lineRule="exact"/>
        <w:rPr>
          <w:rFonts w:ascii="Arial" w:cs="Arial" w:eastAsia="Arial" w:hAnsi="Arial"/>
          <w:sz w:val="19"/>
          <w:szCs w:val="19"/>
          <w:color w:val="auto"/>
        </w:rPr>
      </w:pPr>
    </w:p>
    <w:p>
      <w:pPr>
        <w:jc w:val="both"/>
        <w:ind w:firstLine="789"/>
        <w:spacing w:after="0" w:line="238" w:lineRule="auto"/>
        <w:tabs>
          <w:tab w:leader="none" w:pos="1649" w:val="left"/>
        </w:tabs>
        <w:numPr>
          <w:ilvl w:val="0"/>
          <w:numId w:val="74"/>
        </w:numPr>
        <w:rPr>
          <w:rFonts w:ascii="Arial" w:cs="Arial" w:eastAsia="Arial" w:hAnsi="Arial"/>
          <w:sz w:val="22"/>
          <w:szCs w:val="22"/>
          <w:color w:val="auto"/>
        </w:rPr>
      </w:pPr>
      <w:r>
        <w:rPr>
          <w:rFonts w:ascii="Arial" w:cs="Arial" w:eastAsia="Arial" w:hAnsi="Arial"/>
          <w:sz w:val="22"/>
          <w:szCs w:val="22"/>
          <w:color w:val="auto"/>
        </w:rPr>
        <w:t>Neither Company possesses or holds any material property or obligation, including uncashed checks to vendors, customers or employees, non-refunded overpayments, credits or unclaimed amounts or intangibles, that is, or may become, escheatable or reportable as unclaimed property to any Governmental Entity under any applicable escheatment, unclaimed property or similar laws.</w:t>
      </w:r>
    </w:p>
    <w:p>
      <w:pPr>
        <w:spacing w:after="0" w:line="184" w:lineRule="exact"/>
        <w:rPr>
          <w:rFonts w:ascii="Arial" w:cs="Arial" w:eastAsia="Arial" w:hAnsi="Arial"/>
          <w:sz w:val="22"/>
          <w:szCs w:val="22"/>
          <w:color w:val="auto"/>
        </w:rPr>
      </w:pPr>
    </w:p>
    <w:p>
      <w:pPr>
        <w:ind w:firstLine="789"/>
        <w:spacing w:after="0" w:line="328" w:lineRule="auto"/>
        <w:tabs>
          <w:tab w:leader="none" w:pos="1757" w:val="left"/>
        </w:tabs>
        <w:numPr>
          <w:ilvl w:val="0"/>
          <w:numId w:val="74"/>
        </w:numPr>
        <w:rPr>
          <w:rFonts w:ascii="Arial" w:cs="Arial" w:eastAsia="Arial" w:hAnsi="Arial"/>
          <w:sz w:val="19"/>
          <w:szCs w:val="19"/>
          <w:color w:val="auto"/>
        </w:rPr>
      </w:pPr>
      <w:r>
        <w:rPr>
          <w:rFonts w:ascii="Arial" w:cs="Arial" w:eastAsia="Arial" w:hAnsi="Arial"/>
          <w:sz w:val="19"/>
          <w:szCs w:val="19"/>
          <w:color w:val="auto"/>
        </w:rPr>
        <w:t>Neither Seller with respect to either Company nor either Company is subject to or has requested any private letter ruling, technical advice memoranda, or any similar ruling with regard to Tax matters.</w:t>
      </w:r>
    </w:p>
    <w:p>
      <w:pPr>
        <w:spacing w:after="0" w:line="104" w:lineRule="exact"/>
        <w:rPr>
          <w:rFonts w:ascii="Arial" w:cs="Arial" w:eastAsia="Arial" w:hAnsi="Arial"/>
          <w:sz w:val="19"/>
          <w:szCs w:val="19"/>
          <w:color w:val="auto"/>
        </w:rPr>
      </w:pPr>
    </w:p>
    <w:p>
      <w:pPr>
        <w:jc w:val="both"/>
        <w:ind w:firstLine="789"/>
        <w:spacing w:after="0" w:line="249" w:lineRule="auto"/>
        <w:tabs>
          <w:tab w:leader="none" w:pos="1697"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liability of the Companies for unpaid Taxes as of the date of the Financial Statements did not, in the aggregate, exceed by any material amount the amount of any accruals for Taxes (excluding reserves for deferred Taxes) reflected on the Financial Statements, and as of the Closing Date will not exceed by any material amount the amount of such accruals as adjusted for the passage of time in accordance with the past practices and customs of the Companies or Seller with respect to the Companies.</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49" w:name="page150"/>
    <w:bookmarkEnd w:id="149"/>
    <w:p>
      <w:pPr>
        <w:jc w:val="both"/>
        <w:ind w:left="880" w:firstLine="789"/>
        <w:spacing w:after="0"/>
        <w:tabs>
          <w:tab w:leader="none" w:pos="2577"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books and records relating to Taxes of each Company (including related work papers) has been adequately maintained in all material respects for all taxable periods with respect to which the applicable statute of limitations remains open.</w:t>
      </w:r>
    </w:p>
    <w:p>
      <w:pPr>
        <w:spacing w:after="0" w:line="186" w:lineRule="exact"/>
        <w:rPr>
          <w:rFonts w:ascii="Arial" w:cs="Arial" w:eastAsia="Arial" w:hAnsi="Arial"/>
          <w:sz w:val="22"/>
          <w:szCs w:val="22"/>
          <w:color w:val="auto"/>
        </w:rPr>
      </w:pPr>
    </w:p>
    <w:p>
      <w:pPr>
        <w:ind w:left="880" w:firstLine="789"/>
        <w:spacing w:after="0" w:line="328" w:lineRule="auto"/>
        <w:tabs>
          <w:tab w:leader="none" w:pos="2577" w:val="left"/>
        </w:tabs>
        <w:numPr>
          <w:ilvl w:val="0"/>
          <w:numId w:val="75"/>
        </w:numPr>
        <w:rPr>
          <w:rFonts w:ascii="Arial" w:cs="Arial" w:eastAsia="Arial" w:hAnsi="Arial"/>
          <w:sz w:val="19"/>
          <w:szCs w:val="19"/>
          <w:color w:val="auto"/>
        </w:rPr>
      </w:pPr>
      <w:r>
        <w:rPr>
          <w:rFonts w:ascii="Arial" w:cs="Arial" w:eastAsia="Arial" w:hAnsi="Arial"/>
          <w:sz w:val="19"/>
          <w:szCs w:val="19"/>
          <w:color w:val="auto"/>
        </w:rPr>
        <w:t>Neither Seller with respect to either Company nor either Company has granted to any Person any power of attorney with respect to any Tax matter that currently is in force with respect to either of the Companies.</w:t>
      </w:r>
    </w:p>
    <w:p>
      <w:pPr>
        <w:spacing w:after="0" w:line="104" w:lineRule="exact"/>
        <w:rPr>
          <w:rFonts w:ascii="Arial" w:cs="Arial" w:eastAsia="Arial" w:hAnsi="Arial"/>
          <w:sz w:val="19"/>
          <w:szCs w:val="19"/>
          <w:color w:val="auto"/>
        </w:rPr>
      </w:pPr>
    </w:p>
    <w:p>
      <w:pPr>
        <w:jc w:val="both"/>
        <w:ind w:left="880" w:firstLine="789"/>
        <w:spacing w:after="0" w:line="297" w:lineRule="auto"/>
        <w:tabs>
          <w:tab w:leader="none" w:pos="2577" w:val="left"/>
        </w:tabs>
        <w:numPr>
          <w:ilvl w:val="0"/>
          <w:numId w:val="75"/>
        </w:numPr>
        <w:rPr>
          <w:rFonts w:ascii="Arial" w:cs="Arial" w:eastAsia="Arial" w:hAnsi="Arial"/>
          <w:sz w:val="19"/>
          <w:szCs w:val="19"/>
          <w:color w:val="auto"/>
        </w:rPr>
      </w:pPr>
      <w:r>
        <w:rPr>
          <w:rFonts w:ascii="Arial" w:cs="Arial" w:eastAsia="Arial" w:hAnsi="Arial"/>
          <w:sz w:val="19"/>
          <w:szCs w:val="19"/>
          <w:color w:val="auto"/>
        </w:rPr>
        <w:t>Neither Company has (i) claimed or received any credits under Sections 7001 through 7005 of the Families First Coronavirus Response Act or Section 2301 of the CARES Act or (ii) deferred the employee-portion of any payroll Taxes under the Presidential Memorandum of August 8, 2020, or similar legislation, orders or guidance.</w:t>
      </w:r>
    </w:p>
    <w:p>
      <w:pPr>
        <w:spacing w:after="0" w:line="133" w:lineRule="exact"/>
        <w:rPr>
          <w:rFonts w:ascii="Arial" w:cs="Arial" w:eastAsia="Arial" w:hAnsi="Arial"/>
          <w:sz w:val="19"/>
          <w:szCs w:val="19"/>
          <w:color w:val="auto"/>
        </w:rPr>
      </w:pPr>
    </w:p>
    <w:p>
      <w:pPr>
        <w:ind w:left="2540" w:hanging="871"/>
        <w:spacing w:after="0"/>
        <w:tabs>
          <w:tab w:leader="none" w:pos="25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Neither Company has a permanent establishment in any foreign country.</w:t>
      </w:r>
    </w:p>
    <w:p>
      <w:pPr>
        <w:spacing w:after="0" w:line="20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3.20</w:t>
      </w:r>
      <w:r>
        <w:rPr>
          <w:rFonts w:ascii="Arial" w:cs="Arial" w:eastAsia="Arial" w:hAnsi="Arial"/>
          <w:sz w:val="19"/>
          <w:szCs w:val="19"/>
          <w:color w:val="auto"/>
        </w:rPr>
        <w:t xml:space="preserve"> of the Disclosure Schedule sets forth a true, correct and complete list of each insurance policy maintained by each Company (collectively, the “</w:t>
      </w:r>
      <w:r>
        <w:rPr>
          <w:rFonts w:ascii="Arial" w:cs="Arial" w:eastAsia="Arial" w:hAnsi="Arial"/>
          <w:sz w:val="19"/>
          <w:szCs w:val="19"/>
          <w:u w:val="single" w:color="auto"/>
          <w:color w:val="auto"/>
        </w:rPr>
        <w:t>Insurance Policies</w:t>
      </w:r>
      <w:r>
        <w:rPr>
          <w:rFonts w:ascii="Arial" w:cs="Arial" w:eastAsia="Arial" w:hAnsi="Arial"/>
          <w:sz w:val="19"/>
          <w:szCs w:val="19"/>
          <w:color w:val="auto"/>
        </w:rPr>
        <w:t xml:space="preserve">”). All Insurance Policies are in full force and effect and shall remain in full force and effect immediately following the consummation of the transactions contemplated by this Agreement. Each Company is in compliance in all material respects with the terms and provisions of the Insurance Policies applicable to it. All premiums due and payable under the Insurance Policies have been paid in accordance with the payment terms of each Insurance Policy. The Insurance Policies do not provide for any retrospective premium adjustment or other experience-based liability on the part of any Company. No Company has received any written notice that any Insurance Policy will be terminated, cancelled, or not renewed, or of any material alteration of coverage under any such Insurance Policy, or of an increase in or an intent to increase premiums in any material respect in respect of any such Insurance Policy. True and complete copies of all Insurance Policies have been made available to Purchaser. All such Insurance Policies (a) are valid and binding in accordance with their terms, and (b) have not been subject to any lapse in coverage. Except as set forth on </w:t>
      </w:r>
      <w:r>
        <w:rPr>
          <w:rFonts w:ascii="Arial" w:cs="Arial" w:eastAsia="Arial" w:hAnsi="Arial"/>
          <w:sz w:val="19"/>
          <w:szCs w:val="19"/>
          <w:u w:val="single" w:color="auto"/>
          <w:color w:val="auto"/>
        </w:rPr>
        <w:t>Section 3.20</w:t>
      </w:r>
      <w:r>
        <w:rPr>
          <w:rFonts w:ascii="Arial" w:cs="Arial" w:eastAsia="Arial" w:hAnsi="Arial"/>
          <w:sz w:val="19"/>
          <w:szCs w:val="19"/>
          <w:color w:val="auto"/>
        </w:rPr>
        <w:t xml:space="preserve"> of the Disclosure Schedule, there are no material claims related to the business of the Companies pending under any such Insurance Policies as to which coverage has been questioned, denied or disputed or in respect of which there is an outstanding reservation of rights. No Company is in material default under, or has otherwise failed to comply with, in any material respect, any provision contained in any such Insurance Policy. To the Companies’ Knowledge, the Insurance Policies are sufficient for compliance with all applicable Laws and Contracts to which either Company is bound.</w:t>
      </w:r>
    </w:p>
    <w:p>
      <w:pPr>
        <w:spacing w:after="0" w:line="15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Section 3.21 </w:t>
      </w: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 3.21</w:t>
      </w:r>
      <w:r>
        <w:rPr>
          <w:rFonts w:ascii="Arial" w:cs="Arial" w:eastAsia="Arial" w:hAnsi="Arial"/>
          <w:sz w:val="22"/>
          <w:szCs w:val="22"/>
          <w:color w:val="auto"/>
        </w:rPr>
        <w:t xml:space="preserve"> of the Disclosure Schedule, no executive officer, director, or manager of any Company or any Person owning, directly or indirectly, any Units is a party to any Material Contract or has any interest in any property owned by any Company or has engaged in any transaction with any Company within the last twelve months (in each case, other than (a) in respect of employment relationships or (b) that are provided for in the Organizational Documents of any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0" w:name="page151"/>
    <w:bookmarkEnd w:id="150"/>
    <w:p>
      <w:pPr>
        <w:jc w:val="both"/>
        <w:ind w:firstLine="864"/>
        <w:spacing w:after="0" w:line="238" w:lineRule="auto"/>
        <w:rPr>
          <w:sz w:val="20"/>
          <w:szCs w:val="20"/>
          <w:color w:val="auto"/>
        </w:rPr>
      </w:pPr>
      <w:r>
        <w:rPr>
          <w:rFonts w:ascii="Arial" w:cs="Arial" w:eastAsia="Arial" w:hAnsi="Arial"/>
          <w:sz w:val="22"/>
          <w:szCs w:val="22"/>
          <w:color w:val="auto"/>
        </w:rPr>
        <w:t xml:space="preserve">Section 3.22 </w:t>
      </w:r>
      <w:r>
        <w:rPr>
          <w:rFonts w:ascii="Arial" w:cs="Arial" w:eastAsia="Arial" w:hAnsi="Arial"/>
          <w:sz w:val="22"/>
          <w:szCs w:val="22"/>
          <w:u w:val="single" w:color="auto"/>
          <w:color w:val="auto"/>
        </w:rPr>
        <w:t>Brokers</w:t>
      </w:r>
      <w:r>
        <w:rPr>
          <w:rFonts w:ascii="Arial" w:cs="Arial" w:eastAsia="Arial" w:hAnsi="Arial"/>
          <w:sz w:val="22"/>
          <w:szCs w:val="22"/>
          <w:color w:val="auto"/>
        </w:rPr>
        <w:t>. Other than Cain Brothers, a Division of KeyBanc Capital Markets (the fees of which will be included as Transaction Expenses), no broker, agent, finder, investment banker, or other firm is or will be entitled to any brokerage, finder’s, or other fee or commission in connection with the transactions contemplated by this Agreement based upon agreements, arrangements, or understandings with, by, or on behalf of the Companies.</w:t>
      </w:r>
    </w:p>
    <w:p>
      <w:pPr>
        <w:spacing w:after="0" w:line="18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3.23 </w:t>
      </w:r>
      <w:r>
        <w:rPr>
          <w:rFonts w:ascii="Arial" w:cs="Arial" w:eastAsia="Arial" w:hAnsi="Arial"/>
          <w:sz w:val="19"/>
          <w:szCs w:val="19"/>
          <w:u w:val="single" w:color="auto"/>
          <w:color w:val="auto"/>
        </w:rPr>
        <w:t>Provider Relief Fund Participation</w:t>
      </w:r>
      <w:r>
        <w:rPr>
          <w:rFonts w:ascii="Arial" w:cs="Arial" w:eastAsia="Arial" w:hAnsi="Arial"/>
          <w:sz w:val="19"/>
          <w:szCs w:val="19"/>
          <w:color w:val="auto"/>
        </w:rPr>
        <w:t>. All representations and certifications made in Queen City’s attestation related to the Provider Relief Funds were true and correct in all material respects when submitted. Queen City used the proceeds from the Provider Relief Funds solely for the purposes permitted by the CARES Act, as described in the applicable Provider Relief Fund Terms and Conditions and any DHHS guidance related thereto. Queen City has complied with, and continues to comply with, in all material respects, all aspects of the Provider Relief Fund program under the CARES Act, including any applicable reporting and auditing requirements. Queen City has maintained accounting records associated with the Provider Relief Funds received by or on behalf of Queen City in compliance with the applicable Provider Relief Fund Terms and Conditions and related guidance available as of the date hereof. Any Provider Relief Funds that have not been so used as of the date of this Agreement are maintained in the bank account(s) of Queen City, as required by applicable Law, and have not been distributed to any other Person, or otherwise utilized or expended other than as permitted by applicable Laws, the Provider Relief Fund Terms and Conditions and any DHHS guidance related thereto.</w:t>
      </w:r>
    </w:p>
    <w:p>
      <w:pPr>
        <w:spacing w:after="0" w:line="15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Section 3.24 </w:t>
      </w:r>
      <w:r>
        <w:rPr>
          <w:rFonts w:ascii="Arial" w:cs="Arial" w:eastAsia="Arial" w:hAnsi="Arial"/>
          <w:sz w:val="22"/>
          <w:szCs w:val="22"/>
          <w:u w:val="single" w:color="auto"/>
          <w:color w:val="auto"/>
        </w:rPr>
        <w:t>Payors and Suppliers</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3.24</w:t>
      </w:r>
      <w:r>
        <w:rPr>
          <w:rFonts w:ascii="Arial" w:cs="Arial" w:eastAsia="Arial" w:hAnsi="Arial"/>
          <w:sz w:val="22"/>
          <w:szCs w:val="22"/>
          <w:color w:val="auto"/>
        </w:rPr>
        <w:t xml:space="preserve"> of the Disclosure Schedule contains a list of (a) the top ten (10) Third Party Payors (based on consolidated revenue generated from such Third Party Payors) of the Companies (taken as a whole) (the “</w:t>
      </w:r>
      <w:r>
        <w:rPr>
          <w:rFonts w:ascii="Arial" w:cs="Arial" w:eastAsia="Arial" w:hAnsi="Arial"/>
          <w:sz w:val="22"/>
          <w:szCs w:val="22"/>
          <w:u w:val="single" w:color="auto"/>
          <w:color w:val="auto"/>
        </w:rPr>
        <w:t>Material Payors</w:t>
      </w:r>
      <w:r>
        <w:rPr>
          <w:rFonts w:ascii="Arial" w:cs="Arial" w:eastAsia="Arial" w:hAnsi="Arial"/>
          <w:sz w:val="22"/>
          <w:szCs w:val="22"/>
          <w:color w:val="auto"/>
        </w:rPr>
        <w:t xml:space="preserve"> ”); and (b) the top ten (10) suppliers (based on consolidated gross expenditures) of Companies (taken as a whole) (the “</w:t>
      </w:r>
      <w:r>
        <w:rPr>
          <w:rFonts w:ascii="Arial" w:cs="Arial" w:eastAsia="Arial" w:hAnsi="Arial"/>
          <w:sz w:val="22"/>
          <w:szCs w:val="22"/>
          <w:u w:val="single" w:color="auto"/>
          <w:color w:val="auto"/>
        </w:rPr>
        <w:t>Material Suppliers</w:t>
      </w:r>
      <w:r>
        <w:rPr>
          <w:rFonts w:ascii="Arial" w:cs="Arial" w:eastAsia="Arial" w:hAnsi="Arial"/>
          <w:sz w:val="22"/>
          <w:szCs w:val="22"/>
          <w:color w:val="auto"/>
        </w:rPr>
        <w:t xml:space="preserve">”), in each case, as of the twelve (12) month period ending on September 30, 2020. Neither Seller nor any Company has received any written, or, to the Companies’ Knowledge, oral notice that any of the Material Payors or Material Suppliers identified on </w:t>
      </w:r>
      <w:r>
        <w:rPr>
          <w:rFonts w:ascii="Arial" w:cs="Arial" w:eastAsia="Arial" w:hAnsi="Arial"/>
          <w:sz w:val="22"/>
          <w:szCs w:val="22"/>
          <w:u w:val="single" w:color="auto"/>
          <w:color w:val="auto"/>
        </w:rPr>
        <w:t>Section 3.24</w:t>
      </w:r>
      <w:r>
        <w:rPr>
          <w:rFonts w:ascii="Arial" w:cs="Arial" w:eastAsia="Arial" w:hAnsi="Arial"/>
          <w:sz w:val="22"/>
          <w:szCs w:val="22"/>
          <w:color w:val="auto"/>
        </w:rPr>
        <w:t xml:space="preserve"> of the Disclosure Schedule intend to cease doing business, materially decrease the reimbursement or other compensation paid to any Company, or materially reduce the volume of business it conducts, with any Company.</w:t>
      </w:r>
    </w:p>
    <w:p>
      <w:pPr>
        <w:spacing w:after="0" w:line="187"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3.25 </w:t>
      </w:r>
      <w:r>
        <w:rPr>
          <w:rFonts w:ascii="Arial" w:cs="Arial" w:eastAsia="Arial" w:hAnsi="Arial"/>
          <w:sz w:val="22"/>
          <w:szCs w:val="22"/>
          <w:u w:val="single" w:color="auto"/>
          <w:color w:val="auto"/>
        </w:rPr>
        <w:t>Accounts Receivable</w:t>
      </w:r>
      <w:r>
        <w:rPr>
          <w:rFonts w:ascii="Arial" w:cs="Arial" w:eastAsia="Arial" w:hAnsi="Arial"/>
          <w:sz w:val="22"/>
          <w:szCs w:val="22"/>
          <w:color w:val="auto"/>
        </w:rPr>
        <w:t>. Subject to any reserves set forth therein, the accounts receivable shown on the Financial Statements are valid and genuine, and have arisen solely out of bona fide transactions and sales made in the ordinary course of business in each case with Persons other than Affiliates. Except as set forth on Section 3.25 of the Disclosure Schedule, there is no contest, claim, defense or right of setoff under any Contract relating to the amount or validity of such accounts receivable (other than contractual allowances or other write-downs in accordance with the express terms of applicable payor agreement).</w:t>
      </w:r>
    </w:p>
    <w:p>
      <w:pPr>
        <w:spacing w:after="0" w:line="188"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3.26 </w:t>
      </w:r>
      <w:r>
        <w:rPr>
          <w:rFonts w:ascii="Arial" w:cs="Arial" w:eastAsia="Arial" w:hAnsi="Arial"/>
          <w:sz w:val="22"/>
          <w:szCs w:val="22"/>
          <w:u w:val="single" w:color="auto"/>
          <w:color w:val="auto"/>
        </w:rPr>
        <w:t>No Additional Representations</w:t>
      </w:r>
      <w:r>
        <w:rPr>
          <w:rFonts w:ascii="Arial" w:cs="Arial" w:eastAsia="Arial" w:hAnsi="Arial"/>
          <w:sz w:val="22"/>
          <w:szCs w:val="22"/>
          <w:color w:val="auto"/>
        </w:rPr>
        <w:t>. EXCEPT FOR THE REPRESENTATIONS AND WARRANTIES CONTAINED IN THIS ARTICLE III (AS MODIFIED BY THE DISCLOSURE SCHEDULE), NEITHER Company NOR (EXCEPT FOR THE REPRESENTATIONS AND WARRANTIES CONTAINED IN ARTICLE IV (AS MODIFIED BY THE DISCLOSURE SCHEDULE)) SELLER MAKES ANY EXPRESS OR IMPLIED REPRESENTATION OR WARRANTY, AND SELLER AND THE COMPANIES HEREBY DISCLAIM ANY SUCH REPRESENTATION OR WARRANTY WITH RESPECT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1" w:name="page152"/>
    <w:bookmarkEnd w:id="151"/>
    <w:p>
      <w:pPr>
        <w:jc w:val="both"/>
        <w:spacing w:after="0" w:line="246" w:lineRule="auto"/>
        <w:rPr>
          <w:sz w:val="20"/>
          <w:szCs w:val="20"/>
          <w:color w:val="auto"/>
        </w:rPr>
      </w:pPr>
      <w:r>
        <w:rPr>
          <w:rFonts w:ascii="Arial" w:cs="Arial" w:eastAsia="Arial" w:hAnsi="Arial"/>
          <w:sz w:val="21"/>
          <w:szCs w:val="21"/>
          <w:color w:val="auto"/>
        </w:rPr>
        <w:t>TO THE EXECUTION AND DELIVERY OF THIS AGREEMENT AND THE CONSUMMATION OF THE TRANSACTIONS CONTEMPLATED BY THIS AGREEMENT OR WITH RESPECT TO ANY OTHER INFORMATION PROVIDED, OR MADE AVAILABLE, TO PURCHASER OR ANY OF ITS AFFILIATES, AGENTS, OR REPRESENTATIVES IN CONNECTION WITH THE TRANSACTIONS CONTEMPLATED HEREBY. PURCHASER WILL ACQUIRE THE COMPANIES WITHOUT ANY REPRESENTATION OR WARRANTY AS TO MERCHANTABILITY OR FITNESS FOR ANY PARTICULAR PURPOSE, IN AN “AS IS” CONDITION, AND ON A “WHERE IS” BASIS, EXCEPT AS OTHERWISE EXPRESSLY REPRESENTED OR WARRANTED IN THIS ARTICLE III (AS MODIFIED BY THE DISCLOSURE SCHEDULE) OR IN ARTICLE IV (AS MODIFIED BY THE DISCLOSURE SCHEDULE).</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SELLER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Seller represents and warrants to Purchaser as follows:</w:t>
      </w:r>
    </w:p>
    <w:p>
      <w:pPr>
        <w:spacing w:after="0" w:line="20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u w:val="single" w:color="auto"/>
          <w:color w:val="auto"/>
        </w:rPr>
        <w:t>Organization and Existence</w:t>
      </w:r>
      <w:r>
        <w:rPr>
          <w:rFonts w:ascii="Arial" w:cs="Arial" w:eastAsia="Arial" w:hAnsi="Arial"/>
          <w:sz w:val="21"/>
          <w:szCs w:val="21"/>
          <w:color w:val="auto"/>
        </w:rPr>
        <w:t>. Seller is duly formed, and is in good standing, under the Laws of the State of Delaware, and Seller has all requisite limited liability company power and authority to own or lease (as applicable) all of its properties and assets and to carry on its business as conducted as of the date of this Agreement.</w:t>
      </w:r>
    </w:p>
    <w:p>
      <w:pPr>
        <w:spacing w:after="0" w:line="169"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u w:val="single" w:color="auto"/>
          <w:color w:val="auto"/>
        </w:rPr>
        <w:t>Seller’s Capacity and Authority</w:t>
      </w:r>
      <w:r>
        <w:rPr>
          <w:rFonts w:ascii="Arial" w:cs="Arial" w:eastAsia="Arial" w:hAnsi="Arial"/>
          <w:sz w:val="21"/>
          <w:szCs w:val="21"/>
          <w:color w:val="auto"/>
        </w:rPr>
        <w:t>. Seller has all requisite limited liability company power and authority to enter into and perform this Agreement and all the other documents and agreements to be executed or delivered by Seller in connection with the transactions contemplated by this Agreement. The execution, delivery and performance of this Agreement and the other documents and agreements by Seller and the consummation by Seller of the transactions contemplated hereby and thereby have been duly and validly authorized by requisite action of Seller. No other proceedings on the part of Seller are necessary to authorize the execution, delivery and performance of this Agreement and the other documents and agreements to be executed by Seller and the consummation by Seller of the transactions contemplated hereby and thereby. This Agreement has been duly and validly executed and delivered by Seller and, assuming due authorization, execution, and delivery hereof by the other Parties, constitutes a legal, valid, and binding obligation of Seller, enforceable against Seller in accordance with its terms, subject to the Enforceability Exception.</w:t>
      </w:r>
    </w:p>
    <w:p>
      <w:pPr>
        <w:spacing w:after="0" w:line="181"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4.3</w:t>
      </w:r>
      <w:r>
        <w:rPr>
          <w:sz w:val="20"/>
          <w:szCs w:val="20"/>
          <w:color w:val="auto"/>
        </w:rPr>
        <w:tab/>
      </w:r>
      <w:r>
        <w:rPr>
          <w:rFonts w:ascii="Arial" w:cs="Arial" w:eastAsia="Arial" w:hAnsi="Arial"/>
          <w:sz w:val="19"/>
          <w:szCs w:val="19"/>
          <w:u w:val="single" w:color="auto"/>
          <w:color w:val="auto"/>
        </w:rPr>
        <w:t>Consents; Non-contravention</w:t>
      </w:r>
      <w:r>
        <w:rPr>
          <w:rFonts w:ascii="Arial" w:cs="Arial" w:eastAsia="Arial" w:hAnsi="Arial"/>
          <w:sz w:val="19"/>
          <w:szCs w:val="19"/>
          <w:color w:val="auto"/>
        </w:rPr>
        <w:t>.</w:t>
      </w:r>
    </w:p>
    <w:p>
      <w:pPr>
        <w:spacing w:after="0" w:line="206" w:lineRule="exact"/>
        <w:rPr>
          <w:sz w:val="20"/>
          <w:szCs w:val="20"/>
          <w:color w:val="auto"/>
        </w:rPr>
      </w:pPr>
    </w:p>
    <w:p>
      <w:pPr>
        <w:jc w:val="both"/>
        <w:ind w:left="980" w:firstLine="788"/>
        <w:spacing w:after="0" w:line="277" w:lineRule="auto"/>
        <w:tabs>
          <w:tab w:leader="none" w:pos="2656"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of the Disclosure Schedule, the execution, delivery and performance of this Agreement and the other documents and agreements contemplated by this Agreement to which Seller is a party, and the consummation of the transactions contemplated hereby and thereby do not: (i) violate any provision of the Organizational Documents of Seller; (ii) violate any Law or Order to which Seller is subject or otherwise bound; or (iii) conflict with, result in a breach of, or constitute a default under, any Contract to which Seller is a party, subject or otherwise bound, other than (y) any such conflicts, breaches, defaults, or violations that, individually or in the aggregate, would not materially and adversely affect the ability of Seller to perform 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2" w:name="page153"/>
    <w:bookmarkEnd w:id="152"/>
    <w:p>
      <w:pPr>
        <w:jc w:val="both"/>
        <w:ind w:left="980"/>
        <w:spacing w:after="0"/>
        <w:rPr>
          <w:sz w:val="20"/>
          <w:szCs w:val="20"/>
          <w:color w:val="auto"/>
        </w:rPr>
      </w:pPr>
      <w:r>
        <w:rPr>
          <w:rFonts w:ascii="Arial" w:cs="Arial" w:eastAsia="Arial" w:hAnsi="Arial"/>
          <w:sz w:val="22"/>
          <w:szCs w:val="22"/>
          <w:color w:val="auto"/>
        </w:rPr>
        <w:t>of its obligations under this Agreement, and (z) other than any authorizations, consents, approvals, notices, filings, exemptions or other actions that may be required by reason of the identity of Purchaser or Purchaser’s participation in the transactions contemplated hereby and thereby.</w:t>
      </w:r>
    </w:p>
    <w:p>
      <w:pPr>
        <w:spacing w:after="0" w:line="186" w:lineRule="exact"/>
        <w:rPr>
          <w:sz w:val="20"/>
          <w:szCs w:val="20"/>
          <w:color w:val="auto"/>
        </w:rPr>
      </w:pPr>
    </w:p>
    <w:p>
      <w:pPr>
        <w:jc w:val="both"/>
        <w:ind w:left="980" w:firstLine="788"/>
        <w:spacing w:after="0" w:line="277" w:lineRule="auto"/>
        <w:tabs>
          <w:tab w:leader="none" w:pos="2669"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of the Disclosure Schedule, the execution, delivery, and performance by Seller of this Agreement and the other agreements contemplated hereby to which Seller is a party and the consummation by Seller of the transactions contemplated hereby do not require any consent, approval, authorization, or permit of, action by, filing with, or notification to any Governmental Entity, except for (i) any consents, approvals, authorizations, permits, actions, filings, or notifications required as a result of the identity of Purchaser or Purchaser’s participation in the transactions contemplated by this Agreement, and (ii) any consents, approvals, authorizations, permits, actions, filings, and notifications required in connection with Antitrust Laws.</w:t>
      </w:r>
    </w:p>
    <w:p>
      <w:pPr>
        <w:spacing w:after="0" w:line="15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Units</w:t>
      </w:r>
      <w:r>
        <w:rPr>
          <w:rFonts w:ascii="Arial" w:cs="Arial" w:eastAsia="Arial" w:hAnsi="Arial"/>
          <w:sz w:val="22"/>
          <w:szCs w:val="22"/>
          <w:color w:val="auto"/>
        </w:rPr>
        <w:t>. Seller is the sole record and beneficial owner of the Units, free and clear of all Liens (other than (x) transfer restrictions imposed by applicable Laws and (y) Permitted Liens).</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Brokers</w:t>
      </w:r>
      <w:r>
        <w:rPr>
          <w:rFonts w:ascii="Arial" w:cs="Arial" w:eastAsia="Arial" w:hAnsi="Arial"/>
          <w:sz w:val="22"/>
          <w:szCs w:val="22"/>
          <w:color w:val="auto"/>
        </w:rPr>
        <w:t>. Other than Cain Brothers, a Division of KeyBanc Capital Markets (the fees of which will be included as Transaction Expenses), no broker, agent, finder, investment banker, or other firm is or will be entitled to any brokerage, finder’s, or other fee or commission in connection with the transactions contemplated by this Agreement based upon agreements, arrangements, or understandings with, by, or on behalf of Seller.</w:t>
      </w:r>
    </w:p>
    <w:p>
      <w:pPr>
        <w:spacing w:after="0" w:line="185"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 xml:space="preserve">Section 4.6 </w:t>
      </w:r>
      <w:r>
        <w:rPr>
          <w:rFonts w:ascii="Arial" w:cs="Arial" w:eastAsia="Arial" w:hAnsi="Arial"/>
          <w:sz w:val="21"/>
          <w:szCs w:val="21"/>
          <w:u w:val="single" w:color="auto"/>
          <w:color w:val="auto"/>
        </w:rPr>
        <w:t>Absence of Litigation</w:t>
      </w:r>
      <w:r>
        <w:rPr>
          <w:rFonts w:ascii="Arial" w:cs="Arial" w:eastAsia="Arial" w:hAnsi="Arial"/>
          <w:sz w:val="21"/>
          <w:szCs w:val="21"/>
          <w:color w:val="auto"/>
        </w:rPr>
        <w:t>. There is no Action pending or, to the Companies’ Knowledge, threatened by or against Seller that seeks to prevent or challenge the transactions contemplated by this Agreement. Neither Seller nor any of its assets or properties are subject to or bound by any Order that would reasonably be expected to prevent, impair, delay, or impede the consummation of the transactions contemplated by this Agreement.</w:t>
      </w:r>
    </w:p>
    <w:p>
      <w:pPr>
        <w:spacing w:after="0" w:line="174"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 xml:space="preserve">Section 4.7 </w:t>
      </w:r>
      <w:r>
        <w:rPr>
          <w:rFonts w:ascii="Arial" w:cs="Arial" w:eastAsia="Arial" w:hAnsi="Arial"/>
          <w:sz w:val="22"/>
          <w:szCs w:val="22"/>
          <w:u w:val="single" w:color="auto"/>
          <w:color w:val="auto"/>
        </w:rPr>
        <w:t>DISCLAIMER</w:t>
      </w:r>
      <w:r>
        <w:rPr>
          <w:rFonts w:ascii="Arial" w:cs="Arial" w:eastAsia="Arial" w:hAnsi="Arial"/>
          <w:sz w:val="22"/>
          <w:szCs w:val="22"/>
          <w:color w:val="auto"/>
        </w:rPr>
        <w:t xml:space="preserve">. EXCEPT FOR THE REPRESENTATIONS AND WARRANTIES CONTAINED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(AS MODIFIED BY THE DISCLOSURE SCHEDULE), SELLER DOES NOT MAKE ANY EXPRESS OR IMPLIED REPRESENTATION OR WARRANTY, AND SELLER HEREBY DISCLAIMS ANY SUCH REPRESENTATION OR WARRANTY WITH RESPECT TO THE EXECUTION AND DELIVERY OF THIS AGREEMENT AND THE CONSUMMATION OF THE TRANSACTIONS CONTEMPLATED BY THIS AGREEMENT OR WITH RESPECT TO ANY OTHER INFORMATION PROVIDED, OR MADE AVAILABLE, TO PURCHASER OR ANY OF ITS AFFILIATES, AGENTS, OR REPRESENTATIVES IN CONNECTION WITH THE TRANSACTIONS CONTEMPLATED HEREBY. PURCHASER WILL ACQUIRE THE COMPANIES WITHOUT ANY REPRESENTATION OR WARRANTY AS TO MERCHANTABILITY OR FITNESS FOR ANY PARTICULAR PURPOSE, IN AN “AS IS” CONDITION, AND ON A “WHERE IS” BASIS, EXCEPT AS OTHERWISE EXPRESSLY REPRESENTED OR WARRANTED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(AS MODIFIED BY THE DISCLOSURE SCHEDULE) OR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(AS MODIFIED BY THE DISCLOSURE SCHEDULE).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3" w:name="page154"/>
    <w:bookmarkEnd w:id="153"/>
    <w:p>
      <w:pPr>
        <w:jc w:val="center"/>
        <w:ind w:right="60"/>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PURCHASER</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Purchaser represents and warrants to the Companies and Seller as follows:</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Organization</w:t>
      </w:r>
      <w:r>
        <w:rPr>
          <w:rFonts w:ascii="Arial" w:cs="Arial" w:eastAsia="Arial" w:hAnsi="Arial"/>
          <w:sz w:val="22"/>
          <w:szCs w:val="22"/>
          <w:color w:val="auto"/>
        </w:rPr>
        <w:t>. Purchaser (a) is duly incorporated, validly existing, and in good standing (with respect to jurisdictions that recognize the concept of good standing) under the Laws of the jurisdiction of its incorporation and (b) has all requisite corporate or other power and authority to own, lease, and operate its properties and assets and to carry on its business as it is now being conducted.</w:t>
      </w:r>
    </w:p>
    <w:p>
      <w:pPr>
        <w:spacing w:after="0" w:line="185"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u w:val="single" w:color="auto"/>
          <w:color w:val="auto"/>
        </w:rPr>
        <w:t>Authority</w:t>
      </w:r>
      <w:r>
        <w:rPr>
          <w:rFonts w:ascii="Arial" w:cs="Arial" w:eastAsia="Arial" w:hAnsi="Arial"/>
          <w:sz w:val="19"/>
          <w:szCs w:val="19"/>
          <w:color w:val="auto"/>
        </w:rPr>
        <w:t>. Purchaser has all necessary corporate or other power and authority to execute and deliver this Agreement and the other agreements contemplated hereby, to perform its obligations hereunder and thereunder, and to consummate the transactions contemplated hereby and thereby. The execution, delivery, and performance by Purchaser of this Agreement and the other agreements contemplated hereby and the consummation by Purchaser of the transactions contemplated hereby and thereby have been duly and validly authorized by all necessary corporate or other action, and no other proceedings on the part of Purchaser are necessary to authorize the execution, delivery, and performance of this Agreement or to consummate the transactions contemplated hereby. This Agreement has been duly and validly executed and delivered by Purchaser and, assuming due authorization, execution, and delivery hereof by the other Parties, constitutes a legal, valid, and binding obligation of Purchaser, enforceable against Purchaser in accordance with its terms, subject to the Enforceability Exception.</w:t>
      </w:r>
    </w:p>
    <w:p>
      <w:pPr>
        <w:spacing w:after="0" w:line="15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5.3</w:t>
      </w:r>
      <w:r>
        <w:rPr>
          <w:sz w:val="20"/>
          <w:szCs w:val="20"/>
          <w:color w:val="auto"/>
        </w:rPr>
        <w:tab/>
      </w:r>
      <w:r>
        <w:rPr>
          <w:rFonts w:ascii="Arial" w:cs="Arial" w:eastAsia="Arial" w:hAnsi="Arial"/>
          <w:sz w:val="19"/>
          <w:szCs w:val="19"/>
          <w:u w:val="single" w:color="auto"/>
          <w:color w:val="auto"/>
        </w:rPr>
        <w:t>No Conflict; Required Filings and Consents</w:t>
      </w:r>
      <w:r>
        <w:rPr>
          <w:rFonts w:ascii="Arial" w:cs="Arial" w:eastAsia="Arial" w:hAnsi="Arial"/>
          <w:sz w:val="19"/>
          <w:szCs w:val="19"/>
          <w:color w:val="auto"/>
        </w:rPr>
        <w:t>.</w:t>
      </w:r>
    </w:p>
    <w:p>
      <w:pPr>
        <w:spacing w:after="0" w:line="206" w:lineRule="exact"/>
        <w:rPr>
          <w:sz w:val="20"/>
          <w:szCs w:val="20"/>
          <w:color w:val="auto"/>
        </w:rPr>
      </w:pPr>
    </w:p>
    <w:p>
      <w:pPr>
        <w:jc w:val="both"/>
        <w:ind w:left="880" w:right="20" w:firstLine="789"/>
        <w:spacing w:after="0" w:line="276" w:lineRule="auto"/>
        <w:tabs>
          <w:tab w:leader="none" w:pos="2565"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The execution, delivery, and performance by Purchaser of this Agreement and the other agreements contemplated hereby and the consummation by Purchaser of the transactions contemplated hereby and thereby do not</w:t>
      </w:r>
    </w:p>
    <w:p>
      <w:pPr>
        <w:spacing w:after="0" w:line="1" w:lineRule="exact"/>
        <w:rPr>
          <w:rFonts w:ascii="Arial" w:cs="Arial" w:eastAsia="Arial" w:hAnsi="Arial"/>
          <w:sz w:val="19"/>
          <w:szCs w:val="19"/>
          <w:color w:val="auto"/>
        </w:rPr>
      </w:pPr>
    </w:p>
    <w:p>
      <w:pPr>
        <w:jc w:val="both"/>
        <w:ind w:left="880" w:hanging="8"/>
        <w:spacing w:after="0" w:line="243" w:lineRule="auto"/>
        <w:tabs>
          <w:tab w:leader="none" w:pos="1168"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conflict with, result in a breach of, or violate the Organizational Documents of Purchaser, (ii) assuming that all consents, approvals, authorizations, and permits contemplated by </w:t>
      </w:r>
      <w:r>
        <w:rPr>
          <w:rFonts w:ascii="Arial" w:cs="Arial" w:eastAsia="Arial" w:hAnsi="Arial"/>
          <w:sz w:val="21"/>
          <w:szCs w:val="21"/>
          <w:u w:val="single" w:color="auto"/>
          <w:color w:val="auto"/>
        </w:rPr>
        <w:t>Section 5.3(b)</w:t>
      </w:r>
      <w:r>
        <w:rPr>
          <w:rFonts w:ascii="Arial" w:cs="Arial" w:eastAsia="Arial" w:hAnsi="Arial"/>
          <w:sz w:val="21"/>
          <w:szCs w:val="21"/>
          <w:color w:val="auto"/>
        </w:rPr>
        <w:t xml:space="preserve"> have been obtained, and all actions, filings, and notifications described in such clause have been taken or made (as applicable), conflict with, result in a breach of, or violate any Law applicable to Purchaser or any Order to which Purchaser is a named party, or (iii) conflict with, result in a breach of, or constitute a default or an event creating rights of acceleration of payment or termination, modification, or cancellation, or a loss of rights under any Contract to which Purchaser is a party or by which Purchaser or its assets, rights, or properties are bound or affected.</w:t>
      </w:r>
    </w:p>
    <w:p>
      <w:pPr>
        <w:spacing w:after="0" w:line="187" w:lineRule="exact"/>
        <w:rPr>
          <w:rFonts w:ascii="Arial" w:cs="Arial" w:eastAsia="Arial" w:hAnsi="Arial"/>
          <w:sz w:val="21"/>
          <w:szCs w:val="21"/>
          <w:color w:val="auto"/>
        </w:rPr>
      </w:pPr>
    </w:p>
    <w:p>
      <w:pPr>
        <w:jc w:val="both"/>
        <w:ind w:left="880" w:firstLine="789"/>
        <w:spacing w:after="0" w:line="236" w:lineRule="auto"/>
        <w:tabs>
          <w:tab w:leader="none" w:pos="2577"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execution, delivery, and performance by Purchaser of this Agreement and the other agreements contemplated hereby and the consummation by Purchaser of the transactions contemplated hereby and thereby do not require any consent, approval, authorization, or permit of, action by, filing with, or notification to any Governmental Entity, except for any consent, approval, authorization, permit, action, filing, or notification required in connection with Antitrust Laws.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4" w:name="page155"/>
    <w:bookmarkEnd w:id="154"/>
    <w:p>
      <w:pPr>
        <w:jc w:val="both"/>
        <w:ind w:left="880" w:firstLine="789"/>
        <w:spacing w:after="0" w:line="276" w:lineRule="auto"/>
        <w:tabs>
          <w:tab w:leader="none" w:pos="2565" w:val="left"/>
        </w:tabs>
        <w:numPr>
          <w:ilvl w:val="1"/>
          <w:numId w:val="80"/>
        </w:numPr>
        <w:rPr>
          <w:rFonts w:ascii="Arial" w:cs="Arial" w:eastAsia="Arial" w:hAnsi="Arial"/>
          <w:sz w:val="19"/>
          <w:szCs w:val="19"/>
          <w:color w:val="auto"/>
        </w:rPr>
      </w:pPr>
      <w:r>
        <w:rPr>
          <w:rFonts w:ascii="Arial" w:cs="Arial" w:eastAsia="Arial" w:hAnsi="Arial"/>
          <w:sz w:val="19"/>
          <w:szCs w:val="19"/>
          <w:color w:val="auto"/>
        </w:rPr>
        <w:t>Neither Purchaser nor any of its Affiliates owns interests in any Person or is aware of any facts or circumstances (including any other transaction pending or under consideration by Purchaser or any of its Affiliates) that</w:t>
      </w:r>
    </w:p>
    <w:p>
      <w:pPr>
        <w:spacing w:after="0" w:line="1" w:lineRule="exact"/>
        <w:rPr>
          <w:rFonts w:ascii="Arial" w:cs="Arial" w:eastAsia="Arial" w:hAnsi="Arial"/>
          <w:sz w:val="19"/>
          <w:szCs w:val="19"/>
          <w:color w:val="auto"/>
        </w:rPr>
      </w:pPr>
    </w:p>
    <w:p>
      <w:pPr>
        <w:jc w:val="both"/>
        <w:ind w:left="880" w:hanging="8"/>
        <w:spacing w:after="0" w:line="246" w:lineRule="auto"/>
        <w:tabs>
          <w:tab w:leader="none" w:pos="1211" w:val="left"/>
        </w:tabs>
        <w:numPr>
          <w:ilvl w:val="0"/>
          <w:numId w:val="81"/>
        </w:numPr>
        <w:rPr>
          <w:rFonts w:ascii="Arial" w:cs="Arial" w:eastAsia="Arial" w:hAnsi="Arial"/>
          <w:sz w:val="21"/>
          <w:szCs w:val="21"/>
          <w:color w:val="auto"/>
        </w:rPr>
      </w:pPr>
      <w:r>
        <w:rPr>
          <w:rFonts w:ascii="Arial" w:cs="Arial" w:eastAsia="Arial" w:hAnsi="Arial"/>
          <w:sz w:val="21"/>
          <w:szCs w:val="21"/>
          <w:color w:val="auto"/>
        </w:rPr>
        <w:t>would reasonably be expected to prevent, impair, delay, or impede the consummation of the transactions contemplated by this Agreement or (ii) could cause a Governmental Entity to seek to (A) prevent, impair, delay, or impede the consummation of the transactions contemplated hereby or (B) impose a condition or conditions that could, individually or in the aggregate, have a Material Adverse Effect.</w:t>
      </w:r>
    </w:p>
    <w:p>
      <w:pPr>
        <w:spacing w:after="0" w:line="180"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1"/>
          <w:szCs w:val="21"/>
          <w:color w:val="auto"/>
        </w:rPr>
        <w:t xml:space="preserve">Section 5.4 </w:t>
      </w:r>
      <w:r>
        <w:rPr>
          <w:rFonts w:ascii="Arial" w:cs="Arial" w:eastAsia="Arial" w:hAnsi="Arial"/>
          <w:sz w:val="21"/>
          <w:szCs w:val="21"/>
          <w:u w:val="single" w:color="auto"/>
          <w:color w:val="auto"/>
        </w:rPr>
        <w:t>Absence of Litigation</w:t>
      </w:r>
      <w:r>
        <w:rPr>
          <w:rFonts w:ascii="Arial" w:cs="Arial" w:eastAsia="Arial" w:hAnsi="Arial"/>
          <w:sz w:val="21"/>
          <w:szCs w:val="21"/>
          <w:color w:val="auto"/>
        </w:rPr>
        <w:t>. There is no Action pending or, to Purchaser’s knowledge, threatened by or against Purchaser that seeks to prevent or challenge the transactions contemplated by this Agreement. Neither Purchaser nor any of its assets or properties are subject to or bound by any Order that would reasonably be expected to prevent, impair, delay, or impede the consummation of the transactions contemplated by this Agreement.</w:t>
      </w:r>
    </w:p>
    <w:p>
      <w:pPr>
        <w:spacing w:after="0" w:line="17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Brokers</w:t>
      </w:r>
      <w:r>
        <w:rPr>
          <w:rFonts w:ascii="Arial" w:cs="Arial" w:eastAsia="Arial" w:hAnsi="Arial"/>
          <w:sz w:val="22"/>
          <w:szCs w:val="22"/>
          <w:color w:val="auto"/>
        </w:rPr>
        <w:t>. Other than Raymond James &amp; Associates (the fees and expenses of which will be paid by Purchaser), no broker, agent, finder, investment banker, or other firm is or will be entitled to any brokerage, finder’s, or other fee or commission in connection with the transactions contemplated by this Agreement based upon agreements, arrangements, or understandings with, by, or on behalf of Purchaser.</w:t>
      </w:r>
    </w:p>
    <w:p>
      <w:pPr>
        <w:spacing w:after="0" w:line="185"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Availability of Funds</w:t>
      </w:r>
      <w:r>
        <w:rPr>
          <w:rFonts w:ascii="Arial" w:cs="Arial" w:eastAsia="Arial" w:hAnsi="Arial"/>
          <w:sz w:val="22"/>
          <w:szCs w:val="22"/>
          <w:color w:val="auto"/>
        </w:rPr>
        <w:t>. Purchaser (a) has, and at the Closing will have, sufficient internal funds (without giving effect to any unfunded financing regardless of whether any such financing is committed) available to pay the Closing Payment, any other amounts to be paid by Purchaser hereunder, and any expenses incurred by Purchaser in connection with the transactions contemplated by this Agreement, (b) has, and at the Closing will have, the resources and capabilities (financial or otherwise) to perform its obligations under this Agreement, and (c) has not incurred any liability or obligation of any kind that would impair or adversely affect such resources and capabilities. Purchaser’s obligations under this Agreement are not subject to any conditions regarding any Person’s ability to obtain financing for the consummation of the transactions contemplated by this Agreement.</w:t>
      </w:r>
    </w:p>
    <w:p>
      <w:pPr>
        <w:spacing w:after="0" w:line="18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u w:val="single" w:color="auto"/>
          <w:color w:val="auto"/>
        </w:rPr>
        <w:t>Solvency</w:t>
      </w:r>
      <w:r>
        <w:rPr>
          <w:rFonts w:ascii="Arial" w:cs="Arial" w:eastAsia="Arial" w:hAnsi="Arial"/>
          <w:sz w:val="19"/>
          <w:szCs w:val="19"/>
          <w:color w:val="auto"/>
        </w:rPr>
        <w:t>. Purchaser is not entering into the transactions contemplated by this Agreement with the actual intent to hinder, delay, or defraud any present or future creditors of the Companies. Purchaser is solvent as of the date of this Agreement and, assuming the satisfaction of the conditions to Purchaser’s obligation to consummate the transactions contemplated by this Agreement, Purchaser and the Companies (on both a stand-alone and a combined basis), immediately after giving effect to the Closing, including the payment of the Closing Payment and all other amounts incurred or otherwise payable by Purchaser in connection with the transactions contemplated by this Agreement, will not (a) be insolvent or left with unreasonably small capital, (b) have incurred debts beyond their ability to pay such debts as they mature, or (c) have liabilities (including contingent and unliquidated debts) in excess of the fair saleable value of their assets.</w:t>
      </w:r>
    </w:p>
    <w:p>
      <w:pPr>
        <w:spacing w:after="0" w:line="157"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RWI Policy</w:t>
      </w:r>
      <w:r>
        <w:rPr>
          <w:rFonts w:ascii="Arial" w:cs="Arial" w:eastAsia="Arial" w:hAnsi="Arial"/>
          <w:sz w:val="22"/>
          <w:szCs w:val="22"/>
          <w:color w:val="auto"/>
        </w:rPr>
        <w:t>. All premiums on and fees and expenses (including any underwriting fees and surplus lines taxes) relating to the RWI Policy have been paid to the extent due. Subject only to the execution and delivery of this Agreement, the RWI Policy will be bound, and, upon binding, the RWI Policy Binder Agreement will be in full force and effect. The RWI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5" w:name="page156"/>
    <w:bookmarkEnd w:id="155"/>
    <w:p>
      <w:pPr>
        <w:jc w:val="both"/>
        <w:spacing w:after="0" w:line="236" w:lineRule="auto"/>
        <w:rPr>
          <w:sz w:val="20"/>
          <w:szCs w:val="20"/>
          <w:color w:val="auto"/>
        </w:rPr>
      </w:pPr>
      <w:r>
        <w:rPr>
          <w:rFonts w:ascii="Arial" w:cs="Arial" w:eastAsia="Arial" w:hAnsi="Arial"/>
          <w:sz w:val="22"/>
          <w:szCs w:val="22"/>
          <w:color w:val="auto"/>
        </w:rPr>
        <w:t>Policy (a) shall not permit the insurer(s) and underwriter thereunder to pursue, directly or indirectly, and will require the insurer(s) and underwriter thereunder to waive, any subrogation rights, contribution rights, or rights acquired by assignment against Seller or the Companies (other than in connection with Fraud) with respect to any claim made by any insured thereunder, and (b) shall provide that Purchaser and its Affiliates will have no obligation to pursue any claim against Seller or the Companies in connection with any loss thereunder.</w:t>
      </w:r>
    </w:p>
    <w:p>
      <w:pPr>
        <w:spacing w:after="0" w:line="187"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Section 5.9 </w:t>
      </w:r>
      <w:r>
        <w:rPr>
          <w:rFonts w:ascii="Arial" w:cs="Arial" w:eastAsia="Arial" w:hAnsi="Arial"/>
          <w:sz w:val="21"/>
          <w:szCs w:val="21"/>
          <w:u w:val="single" w:color="auto"/>
          <w:color w:val="auto"/>
        </w:rPr>
        <w:t>Investment Intention</w:t>
      </w:r>
      <w:r>
        <w:rPr>
          <w:rFonts w:ascii="Arial" w:cs="Arial" w:eastAsia="Arial" w:hAnsi="Arial"/>
          <w:sz w:val="21"/>
          <w:szCs w:val="21"/>
          <w:color w:val="auto"/>
        </w:rPr>
        <w:t>. Purchaser is acquiring the Units for its own account, for investment purposes only and not with a view to, or for sale in connection with, any distribution (as such term is used in Section 2(11) of the Securities Act) thereof in violation of the Securities Act, or any applicable foreign securities Laws. Purchaser is an experienced and highly sophisticated investor in securities of companies and agrees that it is able to fend for itself, can bear the economic risk of its investment, and has such knowledge and experience in financial and business matters that it is capable of evaluating the merits and risks of the investment in the Units. Purchaser understand that the Units have not been registered under the Securities Act, any state securities Law or any applicable state or foreign securities Law, and cannot be sold unless subsequently registered under the Securities Act or applicable or applicable foreign securities Laws or pursuant to an applicable exemption therefrom and pursuant to state securities Laws, as applicable.</w:t>
      </w:r>
    </w:p>
    <w:p>
      <w:pPr>
        <w:spacing w:after="0" w:line="184"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Plant Closing and Mass Layoffs</w:t>
      </w:r>
      <w:r>
        <w:rPr>
          <w:rFonts w:ascii="Arial" w:cs="Arial" w:eastAsia="Arial" w:hAnsi="Arial"/>
          <w:sz w:val="22"/>
          <w:szCs w:val="22"/>
          <w:color w:val="auto"/>
        </w:rPr>
        <w:t>. Purchaser does not currently plan any plant closings, reductions in force, or terminations of employees of any Company that would trigger obligations or result in liability for Seller or the Companies under the WARN Act or similar Laws.</w:t>
      </w:r>
    </w:p>
    <w:p>
      <w:pPr>
        <w:spacing w:after="0" w:line="186"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19"/>
          <w:szCs w:val="19"/>
          <w:u w:val="single" w:color="auto"/>
          <w:color w:val="auto"/>
        </w:rPr>
        <w:t>Acknowledgements</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line="234" w:lineRule="auto"/>
        <w:tabs>
          <w:tab w:leader="none" w:pos="2565"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Purchaser acknowledges (for itself and on behalf of its Affiliates) that the representations and warranties contained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of this Agreement (as modified by the Disclosure Schedule) are the only representations and warranties made by the Companies, Seller, or any other Person (other than Purchaser) in connection with the transactions contemplated by this Agreement and supersede any and all previous or contemporaneous written or oral statements made by any such Person. There are no representations or warranties (express or implied) in respect of any Company, or the business, operations, assets, properties, liabilities, or condition (financial or otherwise) of the Companies other than those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this Agreement (as modified by the Disclosure Schedule).</w:t>
      </w:r>
    </w:p>
    <w:p>
      <w:pPr>
        <w:spacing w:after="0" w:line="186" w:lineRule="exact"/>
        <w:rPr>
          <w:rFonts w:ascii="Arial" w:cs="Arial" w:eastAsia="Arial" w:hAnsi="Arial"/>
          <w:sz w:val="22"/>
          <w:szCs w:val="22"/>
          <w:color w:val="auto"/>
        </w:rPr>
      </w:pPr>
    </w:p>
    <w:p>
      <w:pPr>
        <w:jc w:val="both"/>
        <w:ind w:left="880" w:firstLine="789"/>
        <w:spacing w:after="0" w:line="275" w:lineRule="auto"/>
        <w:tabs>
          <w:tab w:leader="none" w:pos="2577" w:val="left"/>
        </w:tabs>
        <w:numPr>
          <w:ilvl w:val="0"/>
          <w:numId w:val="82"/>
        </w:numPr>
        <w:rPr>
          <w:rFonts w:ascii="Arial" w:cs="Arial" w:eastAsia="Arial" w:hAnsi="Arial"/>
          <w:sz w:val="19"/>
          <w:szCs w:val="19"/>
          <w:color w:val="auto"/>
        </w:rPr>
      </w:pPr>
      <w:r>
        <w:rPr>
          <w:rFonts w:ascii="Arial" w:cs="Arial" w:eastAsia="Arial" w:hAnsi="Arial"/>
          <w:sz w:val="19"/>
          <w:szCs w:val="19"/>
          <w:color w:val="auto"/>
        </w:rPr>
        <w:t>Purchaser acknowledges (for itself and on behalf of its Affiliates) that (i) it is a sophisticated purchaser, (ii) it has, with the assistance of its expert advisors, including legal counsel, conducted its own independent review, analysis, and investigation of the Companies and each of their businesses, operations, assets, properties, liabilities, and condition (financial and otherwise) as it deems necessary in connection with the execution of this Agreement and the consummation of the transactions contemplated hereby, (iii) it and its representatives have been permitted full access to the books, records, facilities, equipment, Tax Returns, contracts, properties, assets, and personnel of the Companies, and (iv) it and its representatives have had an opportunity to meet with representatives of the Companies to discuss the businesses, operations, assets, properties, liabilities,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6" w:name="page157"/>
    <w:bookmarkEnd w:id="156"/>
    <w:p>
      <w:pPr>
        <w:jc w:val="both"/>
        <w:ind w:left="880"/>
        <w:spacing w:after="0" w:line="252" w:lineRule="auto"/>
        <w:rPr>
          <w:sz w:val="20"/>
          <w:szCs w:val="20"/>
          <w:color w:val="auto"/>
        </w:rPr>
      </w:pPr>
      <w:r>
        <w:rPr>
          <w:rFonts w:ascii="Arial" w:cs="Arial" w:eastAsia="Arial" w:hAnsi="Arial"/>
          <w:sz w:val="21"/>
          <w:szCs w:val="21"/>
          <w:color w:val="auto"/>
        </w:rPr>
        <w:t xml:space="preserve">condition (financial and otherwise) of the Companies. In making its decision to enter into this Agreement and to consummate the transactions contemplated by this Agreement, Purchaser has relied solely upon its own investigation, analysis, evaluation, and diligence of the Companies and the representations and warranties contained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of this Agreement (as modified by the Disclosure Schedule).</w:t>
      </w:r>
    </w:p>
    <w:p>
      <w:pPr>
        <w:spacing w:after="0" w:line="174" w:lineRule="exact"/>
        <w:rPr>
          <w:sz w:val="20"/>
          <w:szCs w:val="20"/>
          <w:color w:val="auto"/>
        </w:rPr>
      </w:pPr>
    </w:p>
    <w:p>
      <w:pPr>
        <w:jc w:val="both"/>
        <w:ind w:left="880" w:firstLine="789"/>
        <w:spacing w:after="0" w:line="244" w:lineRule="auto"/>
        <w:tabs>
          <w:tab w:leader="none" w:pos="2565"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Purchaser and its representatives have received and may receive from or on behalf of Seller or the Companies certain estimates, budgets, forecasts, plans, and financial projections (in each case, not included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of this Agreement (to the extent actually included in such Articles) and, collectively, “</w:t>
      </w:r>
      <w:r>
        <w:rPr>
          <w:rFonts w:ascii="Arial" w:cs="Arial" w:eastAsia="Arial" w:hAnsi="Arial"/>
          <w:sz w:val="21"/>
          <w:szCs w:val="21"/>
          <w:u w:val="single" w:color="auto"/>
          <w:color w:val="auto"/>
        </w:rPr>
        <w:t>Forward Looking Statements</w:t>
      </w:r>
      <w:r>
        <w:rPr>
          <w:rFonts w:ascii="Arial" w:cs="Arial" w:eastAsia="Arial" w:hAnsi="Arial"/>
          <w:sz w:val="21"/>
          <w:szCs w:val="21"/>
          <w:color w:val="auto"/>
        </w:rPr>
        <w:t xml:space="preserve">”), and Purchaser acknowledges (for itself and on behalf of its Affiliates) that (i) there are uncertainties inherent in making Forward Looking Statements and (ii) it is familiar with such uncertainties and is taking full responsibility for making its own evaluation of the adequacy and accuracy of all Forward Looking Statements (including the reasonableness of the assumptions underlying Forward Looking Statements). Without limiting the generality of the foregoing, neither Seller nor the Companies nor any other Person has made any representation or warranty with respect to, and no such Persons will be subject to any liability resulting from, (1) the provision of any Forward Looking Statements, or (2) any materials, documents, or information contained in the Data Room or otherwise delivered or made available in any manner to Purchaser or its representatives (including in any management presentations), in each case, except as expressly set forth in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of this Agreement (as modified by the Disclosure Schedule).</w:t>
      </w:r>
    </w:p>
    <w:p>
      <w:pPr>
        <w:spacing w:after="0" w:line="183"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No Additional Representations</w:t>
      </w:r>
      <w:r>
        <w:rPr>
          <w:rFonts w:ascii="Arial" w:cs="Arial" w:eastAsia="Arial" w:hAnsi="Arial"/>
          <w:sz w:val="22"/>
          <w:szCs w:val="22"/>
          <w:color w:val="auto"/>
        </w:rPr>
        <w:t xml:space="preserve">. PURCHASER ACKNOWLEDGES THAT, EXCEPT FOR THE REPRESENTATIONS AND WARRANTIES EXPRESSLY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(AS MODIFIED BY THE DISCLOSURE SCHEDULE), NEITHER ANY COMPANY NOR SELLER IS MAKING ANY REPRESENTATION OR WARRANTY, EXPRESS OR IMPLIED, OF ANY NATURE WHATSOEVER, INCLUDING WITH RESPECT TO ANY COMPANY, OR ANY OF THE ASSETS, RIGHTS, OR PROPERTIES OF ANY COMPANY. EXCEPT FOR THE REPRESENTATIONS AND WARRANTIES EXPRESSLY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(AS MODIFIED BY THE DISCLOSURE SCHEDULE), THE CONDITION OF THE ASSETS, PROPERTIES, AND RIGHTS OF THE COMPANIES WILL BE “AS IS” AND “WHERE IS.”</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COVENANTS</w:t>
      </w:r>
    </w:p>
    <w:p>
      <w:pPr>
        <w:spacing w:after="0" w:line="188"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Conduct of Business Pending the Closing</w:t>
      </w:r>
      <w:r>
        <w:rPr>
          <w:rFonts w:ascii="Arial" w:cs="Arial" w:eastAsia="Arial" w:hAnsi="Arial"/>
          <w:sz w:val="22"/>
          <w:szCs w:val="22"/>
          <w:color w:val="auto"/>
        </w:rPr>
        <w:t xml:space="preserve">. From the date of this Agreement to the Closing or the earlier termination of this Agreement, except (x) as contemplated by this Agreement or required by Law, (y) as set forth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of the Disclosure Schedule, or (z) if Purchaser otherwise consents in writing (which consent will not be unreasonably withheld, conditioned, or delayed): (a) the Companies will use commercially reasonable efforts to cause the business of the Companies to be conducted in all material respects in the ordinary course of business; (b) the Companies will use commercially reasonable efforts (i) to preserve substantially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7" w:name="page158"/>
    <w:bookmarkEnd w:id="157"/>
    <w:p>
      <w:pPr>
        <w:spacing w:after="0" w:line="250" w:lineRule="auto"/>
        <w:rPr>
          <w:sz w:val="20"/>
          <w:szCs w:val="20"/>
          <w:color w:val="auto"/>
        </w:rPr>
      </w:pPr>
      <w:r>
        <w:rPr>
          <w:rFonts w:ascii="Arial" w:cs="Arial" w:eastAsia="Arial" w:hAnsi="Arial"/>
          <w:sz w:val="22"/>
          <w:szCs w:val="22"/>
          <w:color w:val="auto"/>
        </w:rPr>
        <w:t>intact their respective business organization and assets; and (ii) to keep available the services of their respective current officers and Key Employees; and (c) neither Company will:</w:t>
      </w:r>
    </w:p>
    <w:p>
      <w:pPr>
        <w:spacing w:after="0" w:line="175" w:lineRule="exact"/>
        <w:rPr>
          <w:sz w:val="20"/>
          <w:szCs w:val="20"/>
          <w:color w:val="auto"/>
        </w:rPr>
      </w:pPr>
    </w:p>
    <w:p>
      <w:pPr>
        <w:ind w:left="3320" w:hanging="854"/>
        <w:spacing w:after="0"/>
        <w:tabs>
          <w:tab w:leader="none" w:pos="332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amend or modify its Organizational Documents;</w:t>
      </w:r>
    </w:p>
    <w:p>
      <w:pPr>
        <w:spacing w:after="0" w:line="206" w:lineRule="exact"/>
        <w:rPr>
          <w:rFonts w:ascii="Arial" w:cs="Arial" w:eastAsia="Arial" w:hAnsi="Arial"/>
          <w:sz w:val="22"/>
          <w:szCs w:val="22"/>
          <w:color w:val="auto"/>
        </w:rPr>
      </w:pPr>
    </w:p>
    <w:p>
      <w:pPr>
        <w:ind w:left="1740" w:right="20" w:firstLine="726"/>
        <w:spacing w:after="0" w:line="250" w:lineRule="auto"/>
        <w:tabs>
          <w:tab w:leader="none" w:pos="3383" w:val="left"/>
        </w:tabs>
        <w:numPr>
          <w:ilvl w:val="0"/>
          <w:numId w:val="84"/>
        </w:numPr>
        <w:rPr>
          <w:rFonts w:ascii="Arial" w:cs="Arial" w:eastAsia="Arial" w:hAnsi="Arial"/>
          <w:sz w:val="22"/>
          <w:szCs w:val="22"/>
          <w:color w:val="auto"/>
        </w:rPr>
      </w:pPr>
      <w:r>
        <w:rPr>
          <w:rFonts w:ascii="Arial" w:cs="Arial" w:eastAsia="Arial" w:hAnsi="Arial"/>
          <w:sz w:val="22"/>
          <w:szCs w:val="22"/>
          <w:color w:val="auto"/>
        </w:rPr>
        <w:t>adopt a plan of complete or partial liquidation, dissolution, merger, consolidation, recapitalization, restructuring or other reorganization;</w:t>
      </w:r>
    </w:p>
    <w:p>
      <w:pPr>
        <w:spacing w:after="0" w:line="174" w:lineRule="exact"/>
        <w:rPr>
          <w:rFonts w:ascii="Arial" w:cs="Arial" w:eastAsia="Arial" w:hAnsi="Arial"/>
          <w:sz w:val="22"/>
          <w:szCs w:val="22"/>
          <w:color w:val="auto"/>
        </w:rPr>
      </w:pPr>
    </w:p>
    <w:p>
      <w:pPr>
        <w:jc w:val="both"/>
        <w:ind w:left="1740" w:firstLine="726"/>
        <w:spacing w:after="0" w:line="252" w:lineRule="auto"/>
        <w:tabs>
          <w:tab w:leader="none" w:pos="3443" w:val="left"/>
        </w:tabs>
        <w:numPr>
          <w:ilvl w:val="0"/>
          <w:numId w:val="84"/>
        </w:numPr>
        <w:rPr>
          <w:rFonts w:ascii="Arial" w:cs="Arial" w:eastAsia="Arial" w:hAnsi="Arial"/>
          <w:sz w:val="21"/>
          <w:szCs w:val="21"/>
          <w:color w:val="auto"/>
        </w:rPr>
      </w:pPr>
      <w:r>
        <w:rPr>
          <w:rFonts w:ascii="Arial" w:cs="Arial" w:eastAsia="Arial" w:hAnsi="Arial"/>
          <w:sz w:val="21"/>
          <w:szCs w:val="21"/>
          <w:color w:val="auto"/>
        </w:rPr>
        <w:t>issue, deliver or sell, or authorize or propose the issuance, delivery or sale of, any of its equity interests, or any securities convertible into or exercisable for, or any rights, warrants or options to acquire, any such equity interests, or enter into any agreement with respect to any of the foregoing, other than issuances of equity issuances by any Company to Seller;</w:t>
      </w:r>
    </w:p>
    <w:p>
      <w:pPr>
        <w:spacing w:after="0" w:line="173" w:lineRule="exact"/>
        <w:rPr>
          <w:rFonts w:ascii="Arial" w:cs="Arial" w:eastAsia="Arial" w:hAnsi="Arial"/>
          <w:sz w:val="21"/>
          <w:szCs w:val="21"/>
          <w:color w:val="auto"/>
        </w:rPr>
      </w:pPr>
    </w:p>
    <w:p>
      <w:pPr>
        <w:ind w:left="1740" w:firstLine="726"/>
        <w:spacing w:after="0" w:line="250" w:lineRule="auto"/>
        <w:tabs>
          <w:tab w:leader="none" w:pos="3431" w:val="left"/>
        </w:tabs>
        <w:numPr>
          <w:ilvl w:val="0"/>
          <w:numId w:val="84"/>
        </w:numPr>
        <w:rPr>
          <w:rFonts w:ascii="Arial" w:cs="Arial" w:eastAsia="Arial" w:hAnsi="Arial"/>
          <w:sz w:val="22"/>
          <w:szCs w:val="22"/>
          <w:color w:val="auto"/>
        </w:rPr>
      </w:pPr>
      <w:r>
        <w:rPr>
          <w:rFonts w:ascii="Arial" w:cs="Arial" w:eastAsia="Arial" w:hAnsi="Arial"/>
          <w:sz w:val="22"/>
          <w:szCs w:val="22"/>
          <w:color w:val="auto"/>
        </w:rPr>
        <w:t>make any material change in its accounting methods, principles, or practices other than in a manner consistent with GAAP;</w:t>
      </w:r>
    </w:p>
    <w:p>
      <w:pPr>
        <w:spacing w:after="0" w:line="174" w:lineRule="exact"/>
        <w:rPr>
          <w:rFonts w:ascii="Arial" w:cs="Arial" w:eastAsia="Arial" w:hAnsi="Arial"/>
          <w:sz w:val="22"/>
          <w:szCs w:val="22"/>
          <w:color w:val="auto"/>
        </w:rPr>
      </w:pPr>
    </w:p>
    <w:p>
      <w:pPr>
        <w:jc w:val="both"/>
        <w:ind w:left="1740" w:firstLine="726"/>
        <w:spacing w:after="0" w:line="249" w:lineRule="auto"/>
        <w:tabs>
          <w:tab w:leader="none" w:pos="3371" w:val="left"/>
        </w:tabs>
        <w:numPr>
          <w:ilvl w:val="0"/>
          <w:numId w:val="84"/>
        </w:numPr>
        <w:rPr>
          <w:rFonts w:ascii="Arial" w:cs="Arial" w:eastAsia="Arial" w:hAnsi="Arial"/>
          <w:sz w:val="21"/>
          <w:szCs w:val="21"/>
          <w:color w:val="auto"/>
        </w:rPr>
      </w:pPr>
      <w:r>
        <w:rPr>
          <w:rFonts w:ascii="Arial" w:cs="Arial" w:eastAsia="Arial" w:hAnsi="Arial"/>
          <w:sz w:val="21"/>
          <w:szCs w:val="21"/>
          <w:color w:val="auto"/>
        </w:rPr>
        <w:t>(A) make or change any election concerning Taxes of either Company; (B) file any amended Tax Return for either Company; (C) settle any Tax claim or assessment with any Governmental Entity with respect to either Company; (D) consent to any extension or waiver of the limitation period applicable to any Tax claim, proceeding or assessment of either Company; or (E) fail to file any Tax Return of either Company or to timely pay any Tax owed by either Company;</w:t>
      </w:r>
    </w:p>
    <w:p>
      <w:pPr>
        <w:spacing w:after="0" w:line="178" w:lineRule="exact"/>
        <w:rPr>
          <w:rFonts w:ascii="Arial" w:cs="Arial" w:eastAsia="Arial" w:hAnsi="Arial"/>
          <w:sz w:val="21"/>
          <w:szCs w:val="21"/>
          <w:color w:val="auto"/>
        </w:rPr>
      </w:pPr>
    </w:p>
    <w:p>
      <w:pPr>
        <w:jc w:val="both"/>
        <w:ind w:left="1740" w:firstLine="726"/>
        <w:spacing w:after="0" w:line="252" w:lineRule="auto"/>
        <w:tabs>
          <w:tab w:leader="none" w:pos="3431" w:val="left"/>
        </w:tabs>
        <w:numPr>
          <w:ilvl w:val="0"/>
          <w:numId w:val="84"/>
        </w:numPr>
        <w:rPr>
          <w:rFonts w:ascii="Arial" w:cs="Arial" w:eastAsia="Arial" w:hAnsi="Arial"/>
          <w:sz w:val="21"/>
          <w:szCs w:val="21"/>
          <w:color w:val="auto"/>
        </w:rPr>
      </w:pPr>
      <w:r>
        <w:rPr>
          <w:rFonts w:ascii="Arial" w:cs="Arial" w:eastAsia="Arial" w:hAnsi="Arial"/>
          <w:sz w:val="21"/>
          <w:szCs w:val="21"/>
          <w:color w:val="auto"/>
        </w:rPr>
        <w:t>sell, lease, license, or otherwise transfer, abandon, or permit to lapse any of its material properties or assets, except (A) dispositions of inventory, equipment, or other assets in the ordinary course of business or that are no longer used or useful in the conduct of the business of the Companies or (B) transfers between the Companies or between either Company and Seller;</w:t>
      </w:r>
    </w:p>
    <w:p>
      <w:pPr>
        <w:spacing w:after="0" w:line="173" w:lineRule="exact"/>
        <w:rPr>
          <w:rFonts w:ascii="Arial" w:cs="Arial" w:eastAsia="Arial" w:hAnsi="Arial"/>
          <w:sz w:val="21"/>
          <w:szCs w:val="21"/>
          <w:color w:val="auto"/>
        </w:rPr>
      </w:pPr>
    </w:p>
    <w:p>
      <w:pPr>
        <w:jc w:val="both"/>
        <w:ind w:left="1740" w:firstLine="726"/>
        <w:spacing w:after="0"/>
        <w:tabs>
          <w:tab w:leader="none" w:pos="3491"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incur any Indebtedness or capitalized lease obligation that will not be included as Estimated Indebtedness, or guarantee any such Indebtedness, or issue or sell any debt securities or guarantee any debt securities of others;</w:t>
      </w:r>
    </w:p>
    <w:p>
      <w:pPr>
        <w:spacing w:after="0" w:line="186" w:lineRule="exact"/>
        <w:rPr>
          <w:rFonts w:ascii="Arial" w:cs="Arial" w:eastAsia="Arial" w:hAnsi="Arial"/>
          <w:sz w:val="22"/>
          <w:szCs w:val="22"/>
          <w:color w:val="auto"/>
        </w:rPr>
      </w:pPr>
    </w:p>
    <w:p>
      <w:pPr>
        <w:jc w:val="both"/>
        <w:ind w:left="1740" w:firstLine="726"/>
        <w:spacing w:after="0" w:line="238" w:lineRule="auto"/>
        <w:tabs>
          <w:tab w:leader="none" w:pos="3551" w:val="left"/>
        </w:tabs>
        <w:numPr>
          <w:ilvl w:val="0"/>
          <w:numId w:val="84"/>
        </w:numPr>
        <w:rPr>
          <w:rFonts w:ascii="Arial" w:cs="Arial" w:eastAsia="Arial" w:hAnsi="Arial"/>
          <w:sz w:val="22"/>
          <w:szCs w:val="22"/>
          <w:color w:val="auto"/>
        </w:rPr>
      </w:pPr>
      <w:r>
        <w:rPr>
          <w:rFonts w:ascii="Arial" w:cs="Arial" w:eastAsia="Arial" w:hAnsi="Arial"/>
          <w:sz w:val="22"/>
          <w:szCs w:val="22"/>
          <w:color w:val="auto"/>
        </w:rPr>
        <w:t>pay, discharge or satisfy, in an amount in excess of $100,000 in the aggregate, any claims, liabilities or obligations (absolute, accrued, asserted or unasserted, contingent or otherwise) arising other than in the ordinary course of business, other than the payment, discharge or satisfaction of liabilities reflected or reserved against in the Financial Statements;</w:t>
      </w:r>
    </w:p>
    <w:p>
      <w:pPr>
        <w:spacing w:after="0" w:line="184" w:lineRule="exact"/>
        <w:rPr>
          <w:rFonts w:ascii="Arial" w:cs="Arial" w:eastAsia="Arial" w:hAnsi="Arial"/>
          <w:sz w:val="22"/>
          <w:szCs w:val="22"/>
          <w:color w:val="auto"/>
        </w:rPr>
      </w:pPr>
    </w:p>
    <w:p>
      <w:pPr>
        <w:ind w:left="1740" w:firstLine="726"/>
        <w:spacing w:after="0" w:line="250" w:lineRule="auto"/>
        <w:tabs>
          <w:tab w:leader="none" w:pos="3431" w:val="left"/>
        </w:tabs>
        <w:numPr>
          <w:ilvl w:val="0"/>
          <w:numId w:val="84"/>
        </w:numPr>
        <w:rPr>
          <w:rFonts w:ascii="Arial" w:cs="Arial" w:eastAsia="Arial" w:hAnsi="Arial"/>
          <w:sz w:val="22"/>
          <w:szCs w:val="22"/>
          <w:color w:val="auto"/>
        </w:rPr>
      </w:pPr>
      <w:r>
        <w:rPr>
          <w:rFonts w:ascii="Arial" w:cs="Arial" w:eastAsia="Arial" w:hAnsi="Arial"/>
          <w:sz w:val="22"/>
          <w:szCs w:val="22"/>
          <w:color w:val="auto"/>
        </w:rPr>
        <w:t>make any capital expenditures, capital additions or capital improvements, in excess of $75,000 in the aggregate;</w:t>
      </w:r>
    </w:p>
    <w:p>
      <w:pPr>
        <w:spacing w:after="0" w:line="174" w:lineRule="exact"/>
        <w:rPr>
          <w:rFonts w:ascii="Arial" w:cs="Arial" w:eastAsia="Arial" w:hAnsi="Arial"/>
          <w:sz w:val="22"/>
          <w:szCs w:val="22"/>
          <w:color w:val="auto"/>
        </w:rPr>
      </w:pPr>
    </w:p>
    <w:p>
      <w:pPr>
        <w:ind w:left="3360" w:hanging="894"/>
        <w:spacing w:after="0"/>
        <w:tabs>
          <w:tab w:leader="none" w:pos="33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cancel or materially reduce the amount of any insurance coverage provided by existing</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insurance policies;</w:t>
      </w:r>
    </w:p>
    <w:p>
      <w:pPr>
        <w:spacing w:after="0" w:line="188" w:lineRule="exact"/>
        <w:rPr>
          <w:rFonts w:ascii="Arial" w:cs="Arial" w:eastAsia="Arial" w:hAnsi="Arial"/>
          <w:sz w:val="19"/>
          <w:szCs w:val="19"/>
          <w:color w:val="auto"/>
        </w:rPr>
      </w:pPr>
    </w:p>
    <w:p>
      <w:pPr>
        <w:ind w:left="3420" w:hanging="954"/>
        <w:spacing w:after="0"/>
        <w:tabs>
          <w:tab w:leader="none" w:pos="342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terminate or waive any rights reasonably expected to be worth more than $25,000 in the</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aggregate;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8" w:name="page159"/>
    <w:bookmarkEnd w:id="158"/>
    <w:p>
      <w:pPr>
        <w:jc w:val="both"/>
        <w:ind w:left="1740" w:firstLine="726"/>
        <w:spacing w:after="0" w:line="238" w:lineRule="auto"/>
        <w:tabs>
          <w:tab w:leader="none" w:pos="3491" w:val="left"/>
        </w:tabs>
        <w:numPr>
          <w:ilvl w:val="0"/>
          <w:numId w:val="85"/>
        </w:numPr>
        <w:rPr>
          <w:rFonts w:ascii="Arial" w:cs="Arial" w:eastAsia="Arial" w:hAnsi="Arial"/>
          <w:sz w:val="22"/>
          <w:szCs w:val="22"/>
          <w:color w:val="auto"/>
        </w:rPr>
      </w:pPr>
      <w:r>
        <w:rPr>
          <w:rFonts w:ascii="Arial" w:cs="Arial" w:eastAsia="Arial" w:hAnsi="Arial"/>
          <w:sz w:val="22"/>
          <w:szCs w:val="22"/>
          <w:color w:val="auto"/>
        </w:rPr>
        <w:t>enter into, terminate or amend, in a manner that will materially and adversely affect the Companies’ business, (A) any agreement involving the obligation to pay or the right to receive $100,000 or more, (B) any Material Contract or (C) any agreement relating to the license, transfer or other disposition or acquisition of Intellectual Property;</w:t>
      </w:r>
    </w:p>
    <w:p>
      <w:pPr>
        <w:spacing w:after="0" w:line="184" w:lineRule="exact"/>
        <w:rPr>
          <w:rFonts w:ascii="Arial" w:cs="Arial" w:eastAsia="Arial" w:hAnsi="Arial"/>
          <w:sz w:val="22"/>
          <w:szCs w:val="22"/>
          <w:color w:val="auto"/>
        </w:rPr>
      </w:pPr>
    </w:p>
    <w:p>
      <w:pPr>
        <w:ind w:left="3540" w:hanging="1074"/>
        <w:spacing w:after="0"/>
        <w:tabs>
          <w:tab w:leader="none" w:pos="35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enter into any collective bargaining agreement, works council agreement, or other labor</w:t>
      </w:r>
    </w:p>
    <w:p>
      <w:pPr>
        <w:spacing w:after="0" w:line="42" w:lineRule="exact"/>
        <w:rPr>
          <w:rFonts w:ascii="Arial" w:cs="Arial" w:eastAsia="Arial" w:hAnsi="Arial"/>
          <w:sz w:val="19"/>
          <w:szCs w:val="19"/>
          <w:color w:val="auto"/>
        </w:rPr>
      </w:pPr>
    </w:p>
    <w:p>
      <w:pPr>
        <w:ind w:left="1740"/>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8" w:lineRule="exact"/>
        <w:rPr>
          <w:rFonts w:ascii="Arial" w:cs="Arial" w:eastAsia="Arial" w:hAnsi="Arial"/>
          <w:sz w:val="19"/>
          <w:szCs w:val="19"/>
          <w:color w:val="auto"/>
        </w:rPr>
      </w:pPr>
    </w:p>
    <w:p>
      <w:pPr>
        <w:jc w:val="both"/>
        <w:ind w:left="1740" w:firstLine="726"/>
        <w:spacing w:after="0" w:line="279" w:lineRule="auto"/>
        <w:tabs>
          <w:tab w:leader="none" w:pos="3539" w:val="left"/>
        </w:tabs>
        <w:numPr>
          <w:ilvl w:val="0"/>
          <w:numId w:val="85"/>
        </w:numPr>
        <w:rPr>
          <w:rFonts w:ascii="Arial" w:cs="Arial" w:eastAsia="Arial" w:hAnsi="Arial"/>
          <w:sz w:val="19"/>
          <w:szCs w:val="19"/>
          <w:color w:val="auto"/>
        </w:rPr>
      </w:pPr>
      <w:r>
        <w:rPr>
          <w:rFonts w:ascii="Arial" w:cs="Arial" w:eastAsia="Arial" w:hAnsi="Arial"/>
          <w:sz w:val="19"/>
          <w:szCs w:val="19"/>
          <w:color w:val="auto"/>
        </w:rPr>
        <w:t>(A) make or grant any compensation or salary increase to any employee or independent contractor whose annual compensation is in excess of $150,000, (B) amend or terminate any Employee Benefit Plan or adopt any new Employee Benefit Plan, (C) take any action to accelerate the vesting or payment of compensation or benefits under any Employee Benefit Plan, or (D) terminate the employment of any director or officer of any Company or Key Employee (except, in the case of clauses (A) through (D) above, in the ordinary course of business or for which has been accrued or approved prior to the date hereof);</w:t>
      </w:r>
    </w:p>
    <w:p>
      <w:pPr>
        <w:spacing w:after="0" w:line="150" w:lineRule="exact"/>
        <w:rPr>
          <w:rFonts w:ascii="Arial" w:cs="Arial" w:eastAsia="Arial" w:hAnsi="Arial"/>
          <w:sz w:val="19"/>
          <w:szCs w:val="19"/>
          <w:color w:val="auto"/>
        </w:rPr>
      </w:pPr>
    </w:p>
    <w:p>
      <w:pPr>
        <w:jc w:val="both"/>
        <w:ind w:left="1740" w:firstLine="726"/>
        <w:spacing w:after="0"/>
        <w:tabs>
          <w:tab w:leader="none" w:pos="3479" w:val="left"/>
        </w:tabs>
        <w:numPr>
          <w:ilvl w:val="0"/>
          <w:numId w:val="85"/>
        </w:numPr>
        <w:rPr>
          <w:rFonts w:ascii="Arial" w:cs="Arial" w:eastAsia="Arial" w:hAnsi="Arial"/>
          <w:sz w:val="22"/>
          <w:szCs w:val="22"/>
          <w:color w:val="auto"/>
        </w:rPr>
      </w:pPr>
      <w:r>
        <w:rPr>
          <w:rFonts w:ascii="Arial" w:cs="Arial" w:eastAsia="Arial" w:hAnsi="Arial"/>
          <w:sz w:val="22"/>
          <w:szCs w:val="22"/>
          <w:color w:val="auto"/>
        </w:rPr>
        <w:t>enter into any agreement with respect to or consummate (A) any merger, consolidation, or other business combination or (B) the purchase of all or a substantial portion of the assets or any stock of any business or Person;</w:t>
      </w:r>
    </w:p>
    <w:p>
      <w:pPr>
        <w:spacing w:after="0" w:line="186" w:lineRule="exact"/>
        <w:rPr>
          <w:rFonts w:ascii="Arial" w:cs="Arial" w:eastAsia="Arial" w:hAnsi="Arial"/>
          <w:sz w:val="22"/>
          <w:szCs w:val="22"/>
          <w:color w:val="auto"/>
        </w:rPr>
      </w:pPr>
    </w:p>
    <w:p>
      <w:pPr>
        <w:ind w:left="1740" w:firstLine="726"/>
        <w:spacing w:after="0" w:line="328" w:lineRule="auto"/>
        <w:tabs>
          <w:tab w:leader="none" w:pos="3539" w:val="left"/>
        </w:tabs>
        <w:numPr>
          <w:ilvl w:val="0"/>
          <w:numId w:val="85"/>
        </w:numPr>
        <w:rPr>
          <w:rFonts w:ascii="Arial" w:cs="Arial" w:eastAsia="Arial" w:hAnsi="Arial"/>
          <w:sz w:val="19"/>
          <w:szCs w:val="19"/>
          <w:color w:val="auto"/>
        </w:rPr>
      </w:pPr>
      <w:r>
        <w:rPr>
          <w:rFonts w:ascii="Arial" w:cs="Arial" w:eastAsia="Arial" w:hAnsi="Arial"/>
          <w:sz w:val="19"/>
          <w:szCs w:val="19"/>
          <w:color w:val="auto"/>
        </w:rPr>
        <w:t>make any loans, advances, or capital contributions to, guarantees for the benefit of, or investments in any Persons (except to employees in the ordinary course of business or any Company);</w:t>
      </w:r>
    </w:p>
    <w:p>
      <w:pPr>
        <w:spacing w:after="0" w:line="104" w:lineRule="exact"/>
        <w:rPr>
          <w:rFonts w:ascii="Arial" w:cs="Arial" w:eastAsia="Arial" w:hAnsi="Arial"/>
          <w:sz w:val="19"/>
          <w:szCs w:val="19"/>
          <w:color w:val="auto"/>
        </w:rPr>
      </w:pPr>
    </w:p>
    <w:p>
      <w:pPr>
        <w:jc w:val="both"/>
        <w:ind w:left="1740" w:firstLine="726"/>
        <w:spacing w:after="0" w:line="248" w:lineRule="auto"/>
        <w:tabs>
          <w:tab w:leader="none" w:pos="3599"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commence any Action other than (A) for the routine collection of bills, (B) in such cases where a Company in good faith determines that failure to commence such Action would result in the material impairment of a valuable aspect of such Company’s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Company consults with Purchaser prior to the filing of such Action or (C) for a breach of this Agreement; or enter into settlement agreements with respect to any such lawsuits with a value reasonably expected to be greater than $100,000 individually or $250,000 in the aggregate; or</w:t>
      </w:r>
    </w:p>
    <w:p>
      <w:pPr>
        <w:spacing w:after="0" w:line="176" w:lineRule="exact"/>
        <w:rPr>
          <w:rFonts w:ascii="Arial" w:cs="Arial" w:eastAsia="Arial" w:hAnsi="Arial"/>
          <w:sz w:val="21"/>
          <w:szCs w:val="21"/>
          <w:color w:val="auto"/>
        </w:rPr>
      </w:pPr>
    </w:p>
    <w:p>
      <w:pPr>
        <w:ind w:left="3660" w:hanging="1194"/>
        <w:spacing w:after="0"/>
        <w:tabs>
          <w:tab w:leader="none" w:pos="36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agree, resolve, or commit to do any of the foregoing.</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anything in this Agreement to the contrary, the Companies will be permitted to maintain through the Closing Date the cash management systems of the Companies, and periodically settle intercompany balances (including through dividends and capital contributions and all such intercompany balances will be settled at the Closing in accordance with their terms). Notwithstanding anything in this Agreement to the contrary, the Companies shall not dividend or distribute any Cash to Seller at any time between the date of this Agreement and the Closing.</w:t>
      </w:r>
    </w:p>
    <w:p>
      <w:pPr>
        <w:spacing w:after="0" w:line="187"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6.2</w:t>
      </w:r>
      <w:r>
        <w:rPr>
          <w:sz w:val="20"/>
          <w:szCs w:val="20"/>
          <w:color w:val="auto"/>
        </w:rPr>
        <w:tab/>
      </w:r>
      <w:r>
        <w:rPr>
          <w:rFonts w:ascii="Arial" w:cs="Arial" w:eastAsia="Arial" w:hAnsi="Arial"/>
          <w:sz w:val="19"/>
          <w:szCs w:val="19"/>
          <w:u w:val="single" w:color="auto"/>
          <w:color w:val="auto"/>
        </w:rPr>
        <w:t>Access to Information; Confidentiality</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tabs>
          <w:tab w:leader="none" w:pos="2565"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6.2(b)</w:t>
      </w:r>
      <w:r>
        <w:rPr>
          <w:rFonts w:ascii="Arial" w:cs="Arial" w:eastAsia="Arial" w:hAnsi="Arial"/>
          <w:sz w:val="22"/>
          <w:szCs w:val="22"/>
          <w:color w:val="auto"/>
        </w:rPr>
        <w:t>, from the date of this Agreement to the Closing or the earlier termination of this Agreement, upon reasonable prior written notice, the Companies will, and will cause their respective officers, directors, managers, Key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9" w:name="page160"/>
    <w:bookmarkEnd w:id="159"/>
    <w:p>
      <w:pPr>
        <w:jc w:val="both"/>
        <w:ind w:left="880"/>
        <w:spacing w:after="0" w:line="269" w:lineRule="auto"/>
        <w:rPr>
          <w:sz w:val="20"/>
          <w:szCs w:val="20"/>
          <w:color w:val="auto"/>
        </w:rPr>
      </w:pPr>
      <w:r>
        <w:rPr>
          <w:rFonts w:ascii="Arial" w:cs="Arial" w:eastAsia="Arial" w:hAnsi="Arial"/>
          <w:sz w:val="19"/>
          <w:szCs w:val="19"/>
          <w:color w:val="auto"/>
        </w:rPr>
        <w:t xml:space="preserve">Employees, and representatives to, afford the officers, employees, and representatives (including legal counsel and accountants) of Purchaser reasonable access during normal business hours, consistent with applicable Law, to its Key Employees and books and records, and will furnish Purchaser with all financial, operating, and other data and information as Purchaser may from time to time reasonably request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access will not include (i) information that, if provided to Purchaser, would violate applicable Laws, the Organizational Documents of any Company, or any Contract to which any Company is a party or bound, (ii) bids, letters of intent, expressions of interest, communications, or other proposals received from others at any time prior to the date hereof in connection with the transactions contemplated by this Agreement or similar transactions with respect to any Company or otherwise or information or analyses relating to such communications, (iii) any information, the disclosure of which would cause the waiver of any legal privilege available to any Company or any of its Affiliates relating to such information or to cause such Company or any of its Affiliates to breach a confidentiality obligation by which it is bound, or (iv) any internal valuations of the Companies or information or analysis relating to such valuations. Any such access will be conducted during regular business hours in the presence of a representative(s) of Seller and under commercially reasonable circumstances and will be subject to restrictions reasonably imposed by the Companies. Purchaser will, and will cause its representatives to, use commercially reasonable efforts to minimize any disruption to the business of the Companies in connection with such access. Purchaser will, and will cause its representatives to, abide in all material respects by any rules reasonably imposed by the Companies in connection with access provided pursuant to this </w:t>
      </w:r>
      <w:r>
        <w:rPr>
          <w:rFonts w:ascii="Arial" w:cs="Arial" w:eastAsia="Arial" w:hAnsi="Arial"/>
          <w:sz w:val="19"/>
          <w:szCs w:val="19"/>
          <w:u w:val="single" w:color="auto"/>
          <w:color w:val="auto"/>
        </w:rPr>
        <w:t>Section 6.2(a)</w:t>
      </w:r>
      <w:r>
        <w:rPr>
          <w:rFonts w:ascii="Arial" w:cs="Arial" w:eastAsia="Arial" w:hAnsi="Arial"/>
          <w:sz w:val="19"/>
          <w:szCs w:val="19"/>
          <w:color w:val="auto"/>
        </w:rPr>
        <w:t>. Notwithstanding anything in this Agreement to the contrary, prior to the Closing, without the prior written consent of Seller (which shall not be unreasonably withheld), (x) Purchaser will not contact any employees of any Company (other than the Key Employees), (y) Purchaser will not contact any suppliers to or customers of any Company, and (z) Purchaser will have no right to perform invasive or subsurface investigations of the properties of the Companies.</w:t>
      </w:r>
    </w:p>
    <w:p>
      <w:pPr>
        <w:spacing w:after="0" w:line="200" w:lineRule="exact"/>
        <w:rPr>
          <w:sz w:val="20"/>
          <w:szCs w:val="20"/>
          <w:color w:val="auto"/>
        </w:rPr>
      </w:pPr>
    </w:p>
    <w:p>
      <w:pPr>
        <w:spacing w:after="0" w:line="219" w:lineRule="exact"/>
        <w:rPr>
          <w:sz w:val="20"/>
          <w:szCs w:val="20"/>
          <w:color w:val="auto"/>
        </w:rPr>
      </w:pPr>
    </w:p>
    <w:p>
      <w:pPr>
        <w:jc w:val="both"/>
        <w:ind w:left="880" w:firstLine="789"/>
        <w:spacing w:after="0" w:line="249" w:lineRule="auto"/>
        <w:tabs>
          <w:tab w:leader="none" w:pos="2577"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All information furnished by the Companies pursuant to </w:t>
      </w:r>
      <w:r>
        <w:rPr>
          <w:rFonts w:ascii="Arial" w:cs="Arial" w:eastAsia="Arial" w:hAnsi="Arial"/>
          <w:sz w:val="21"/>
          <w:szCs w:val="21"/>
          <w:u w:val="single" w:color="auto"/>
          <w:color w:val="auto"/>
        </w:rPr>
        <w:t>Section 6.2(a)</w:t>
      </w:r>
      <w:r>
        <w:rPr>
          <w:rFonts w:ascii="Arial" w:cs="Arial" w:eastAsia="Arial" w:hAnsi="Arial"/>
          <w:sz w:val="21"/>
          <w:szCs w:val="21"/>
          <w:color w:val="auto"/>
        </w:rPr>
        <w:t xml:space="preserve"> or otherwise will be subject to the Confidentiality Agreement, dated September 8, 2020, between Purchaser or its Affiliates and Seller or its representatives (the “</w:t>
      </w: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xml:space="preserve">”), which Confidentiality Agreement, subject to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will remain in full force and effect in accordance with its terms until the Closing Date, at which time the Confidentiality Agreement and the obligations of the Parties under this </w:t>
      </w:r>
      <w:r>
        <w:rPr>
          <w:rFonts w:ascii="Arial" w:cs="Arial" w:eastAsia="Arial" w:hAnsi="Arial"/>
          <w:sz w:val="21"/>
          <w:szCs w:val="21"/>
          <w:u w:val="single" w:color="auto"/>
          <w:color w:val="auto"/>
        </w:rPr>
        <w:t>Section 6.2(b)</w:t>
      </w:r>
      <w:r>
        <w:rPr>
          <w:rFonts w:ascii="Arial" w:cs="Arial" w:eastAsia="Arial" w:hAnsi="Arial"/>
          <w:sz w:val="21"/>
          <w:szCs w:val="21"/>
          <w:color w:val="auto"/>
        </w:rPr>
        <w:t xml:space="preserve"> will terminate.</w:t>
      </w:r>
    </w:p>
    <w:p>
      <w:pPr>
        <w:spacing w:after="0" w:line="178"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u w:val="single" w:color="auto"/>
          <w:color w:val="auto"/>
        </w:rPr>
        <w:t>No Control of Other Party’s Business</w:t>
      </w:r>
      <w:r>
        <w:rPr>
          <w:rFonts w:ascii="Arial" w:cs="Arial" w:eastAsia="Arial" w:hAnsi="Arial"/>
          <w:sz w:val="21"/>
          <w:szCs w:val="21"/>
          <w:color w:val="auto"/>
        </w:rPr>
        <w:t>. Nothing contained in this Agreement will give Purchaser, directly or indirectly, the right to control or direct Seller’s or the Companies’ operations prior to the Closing, and nothing contained in this Agreement will give Seller or the Companies, directly or indirectly, the right to control or direct Purchaser’s operations. Prior to the Closing, the Companies, Seller and Purchaser will each exercise, consistent with the terms and conditions of this Agreement, complete control and supervision over its respective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0" w:name="page161"/>
    <w:bookmarkEnd w:id="160"/>
    <w:p>
      <w:pPr>
        <w:spacing w:after="0"/>
        <w:tabs>
          <w:tab w:leader="none" w:pos="1600" w:val="left"/>
        </w:tabs>
        <w:rPr>
          <w:sz w:val="20"/>
          <w:szCs w:val="20"/>
          <w:color w:val="auto"/>
        </w:rPr>
      </w:pPr>
      <w:r>
        <w:rPr>
          <w:rFonts w:ascii="Arial" w:cs="Arial" w:eastAsia="Arial" w:hAnsi="Arial"/>
          <w:sz w:val="22"/>
          <w:szCs w:val="22"/>
          <w:color w:val="auto"/>
        </w:rPr>
        <w:t>Section 6.4</w:t>
      </w:r>
      <w:r>
        <w:rPr>
          <w:sz w:val="20"/>
          <w:szCs w:val="20"/>
          <w:color w:val="auto"/>
        </w:rPr>
        <w:tab/>
      </w:r>
      <w:r>
        <w:rPr>
          <w:rFonts w:ascii="Arial" w:cs="Arial" w:eastAsia="Arial" w:hAnsi="Arial"/>
          <w:sz w:val="19"/>
          <w:szCs w:val="19"/>
          <w:u w:val="single" w:color="auto"/>
          <w:color w:val="auto"/>
        </w:rPr>
        <w:t>Efforts to Consummate</w:t>
      </w:r>
      <w:r>
        <w:rPr>
          <w:rFonts w:ascii="Arial" w:cs="Arial" w:eastAsia="Arial" w:hAnsi="Arial"/>
          <w:sz w:val="19"/>
          <w:szCs w:val="19"/>
          <w:color w:val="auto"/>
        </w:rPr>
        <w:t>.</w:t>
      </w:r>
    </w:p>
    <w:p>
      <w:pPr>
        <w:spacing w:after="0" w:line="206" w:lineRule="exact"/>
        <w:rPr>
          <w:sz w:val="20"/>
          <w:szCs w:val="20"/>
          <w:color w:val="auto"/>
        </w:rPr>
      </w:pPr>
    </w:p>
    <w:p>
      <w:pPr>
        <w:jc w:val="both"/>
        <w:ind w:firstLine="789"/>
        <w:spacing w:after="0" w:line="282" w:lineRule="auto"/>
        <w:tabs>
          <w:tab w:leader="none" w:pos="1685"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each Party will use its commercially reasonable efforts to take, or cause to be taken, and to assist and cooperate with the other parties in taking or causing to be taken, all actions and to use its commercially reasonable efforts to do, or cause to be done, all things necessary, proper, or advisable under this Agreement and applicable Law to cause the conditions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to be satisfied and to consummate and make effective the transactions contemplated by this Agreement.</w:t>
      </w:r>
    </w:p>
    <w:p>
      <w:pPr>
        <w:spacing w:after="0" w:line="147" w:lineRule="exact"/>
        <w:rPr>
          <w:rFonts w:ascii="Arial" w:cs="Arial" w:eastAsia="Arial" w:hAnsi="Arial"/>
          <w:sz w:val="19"/>
          <w:szCs w:val="19"/>
          <w:color w:val="auto"/>
        </w:rPr>
      </w:pPr>
    </w:p>
    <w:p>
      <w:pPr>
        <w:jc w:val="both"/>
        <w:ind w:firstLine="789"/>
        <w:spacing w:after="0" w:line="246" w:lineRule="auto"/>
        <w:tabs>
          <w:tab w:leader="none" w:pos="1697"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Purchaser and Seller agree to use their best efforts to (i) defend against any Action challenging this Agreement or the consummation of the transactions contemplated hereby and (ii) oppose, lift, or rescind any injunction or restraining order or other Order adversely affecting the ability of the parties to consummate the transactions contemplated hereby. Nothing in this Agreement (including the cooperation or the use of best efforts) will include any requirement of the Companies or Seller to (1) waive any of the conditions set forth in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or (2) expend money, commence or participate in any litigation or arbitration proceeding, or offer or grant any accommodation (financial or otherwise) to any third party.</w:t>
      </w:r>
    </w:p>
    <w:p>
      <w:pPr>
        <w:spacing w:after="0" w:line="184" w:lineRule="exact"/>
        <w:rPr>
          <w:rFonts w:ascii="Arial" w:cs="Arial" w:eastAsia="Arial" w:hAnsi="Arial"/>
          <w:sz w:val="21"/>
          <w:szCs w:val="21"/>
          <w:color w:val="auto"/>
        </w:rPr>
      </w:pPr>
    </w:p>
    <w:p>
      <w:pPr>
        <w:jc w:val="both"/>
        <w:ind w:firstLine="789"/>
        <w:spacing w:after="0" w:line="271" w:lineRule="auto"/>
        <w:tabs>
          <w:tab w:leader="none" w:pos="1685"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Each Party will, or in the case of Seller, will cause the Companies to: (i) take all actions necessary to file or cause to be filed the filings required of it or any of its Affiliates under the HSR Act, which filings will include a request for early termination of the applicable waiting period under the HSR Act, and under any other applicable Antitrust Laws, as promptly as practicable but in no event later than November 12, 2020; (ii) take all actions necessary to obtain the required consents from Antitrust Authorities as promptly as practicable and in any event prior to the Outside Date; (iii) at the earliest practicable date comply with (or properly reduce the scope of) any formal or informal request for additional information or documentary material received by it or any of its Affiliates from any Governmental Entity, and (iv) consult and cooperate with each other Party, and consider in good faith the views of such other Party, in connection with any analyses, appearances, presentations, memoranda, briefs, arguments, opinions, and proposals made or submitted by or on behalf of any Party in connection with proceedings under or relating to any Antitrust Laws. With respect to hospice and home healthcare provider related Permits, the Purchaser will timely file all required post-Closing notices, including CMS Form 855-A, and any notices of change of ownership or licensure required by the State Health Authority, with the applicable Governmental Entities, all at Purchaser’s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Seller shall, at Purchaser’s expense, provide all assistance reasonably requested by Purchaser to make such filings.</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firstLine="789"/>
        <w:spacing w:after="0" w:line="235" w:lineRule="auto"/>
        <w:tabs>
          <w:tab w:leader="none" w:pos="1697" w:val="left"/>
        </w:tabs>
        <w:numPr>
          <w:ilvl w:val="0"/>
          <w:numId w:val="88"/>
        </w:numPr>
        <w:rPr>
          <w:rFonts w:ascii="Arial" w:cs="Arial" w:eastAsia="Arial" w:hAnsi="Arial"/>
          <w:sz w:val="22"/>
          <w:szCs w:val="22"/>
          <w:color w:val="auto"/>
        </w:rPr>
      </w:pPr>
      <w:r>
        <w:rPr>
          <w:rFonts w:ascii="Arial" w:cs="Arial" w:eastAsia="Arial" w:hAnsi="Arial"/>
          <w:sz w:val="22"/>
          <w:szCs w:val="22"/>
          <w:color w:val="auto"/>
        </w:rPr>
        <w:t>Purchaser will (i) promptly notify Seller of any written communication made to or received by Purchaser from any Governmental Entity regarding any of the transactions contemplated hereby, and, subject to applicable Law, permit Seller to review in advance any proposed written communication to any such Governmental Entity and incorporate Seller’s reasonable comments thereto, (ii) not agree to participate in any substantive meeting or discussion with any Governmental Entity in respect of any filing, investigation, or inquiry concerning this Agreement or the transactions contemplated</w:t>
      </w:r>
    </w:p>
    <w:p>
      <w:pPr>
        <w:spacing w:after="0" w:line="18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61" w:name="page162"/>
    <w:bookmarkEnd w:id="161"/>
    <w:p>
      <w:pPr>
        <w:jc w:val="both"/>
        <w:spacing w:after="0" w:line="236" w:lineRule="auto"/>
        <w:rPr>
          <w:sz w:val="20"/>
          <w:szCs w:val="20"/>
          <w:color w:val="auto"/>
        </w:rPr>
      </w:pPr>
      <w:r>
        <w:rPr>
          <w:rFonts w:ascii="Arial" w:cs="Arial" w:eastAsia="Arial" w:hAnsi="Arial"/>
          <w:sz w:val="22"/>
          <w:szCs w:val="22"/>
          <w:color w:val="auto"/>
        </w:rPr>
        <w:t>hereby unless, to the extent reasonably practicable, it consults with Seller in advance and, to the extent permitted by such Governmental Entity, gives Seller the opportunity to attend, and (iii) furnish Seller with copies of all correspondence, filings, and written communications between Purchaser and its Affiliates and their respective representatives, on one hand, and any such Governmental Entity or its respective staff, on the other hand, with respect to this Agreement and the transactions contemplated hereby.</w:t>
      </w:r>
    </w:p>
    <w:p>
      <w:pPr>
        <w:spacing w:after="0" w:line="187" w:lineRule="exact"/>
        <w:rPr>
          <w:sz w:val="20"/>
          <w:szCs w:val="20"/>
          <w:color w:val="auto"/>
        </w:rPr>
      </w:pPr>
    </w:p>
    <w:p>
      <w:pPr>
        <w:jc w:val="both"/>
        <w:ind w:firstLine="789"/>
        <w:spacing w:after="0" w:line="238" w:lineRule="auto"/>
        <w:tabs>
          <w:tab w:leader="none" w:pos="1685" w:val="left"/>
        </w:tabs>
        <w:numPr>
          <w:ilvl w:val="0"/>
          <w:numId w:val="89"/>
        </w:numPr>
        <w:rPr>
          <w:rFonts w:ascii="Arial" w:cs="Arial" w:eastAsia="Arial" w:hAnsi="Arial"/>
          <w:sz w:val="22"/>
          <w:szCs w:val="22"/>
          <w:color w:val="auto"/>
        </w:rPr>
      </w:pPr>
      <w:r>
        <w:rPr>
          <w:rFonts w:ascii="Arial" w:cs="Arial" w:eastAsia="Arial" w:hAnsi="Arial"/>
          <w:sz w:val="22"/>
          <w:szCs w:val="22"/>
          <w:color w:val="auto"/>
        </w:rPr>
        <w:t>Purchaser will be responsible for the payment of all filing fees under the HSR Act. Purchaser will be responsible for the payment of Seller’s and any of its Affiliates’ expenses, including reasonable legal fees and expenses, in complying with any request for additional information or documentary material from any Antitrust Authority.</w:t>
      </w:r>
    </w:p>
    <w:p>
      <w:pPr>
        <w:spacing w:after="0" w:line="184" w:lineRule="exact"/>
        <w:rPr>
          <w:rFonts w:ascii="Arial" w:cs="Arial" w:eastAsia="Arial" w:hAnsi="Arial"/>
          <w:sz w:val="22"/>
          <w:szCs w:val="22"/>
          <w:color w:val="auto"/>
        </w:rPr>
      </w:pPr>
    </w:p>
    <w:p>
      <w:pPr>
        <w:jc w:val="both"/>
        <w:ind w:firstLine="789"/>
        <w:spacing w:after="0" w:line="274" w:lineRule="auto"/>
        <w:tabs>
          <w:tab w:leader="none" w:pos="1661" w:val="left"/>
        </w:tabs>
        <w:numPr>
          <w:ilvl w:val="0"/>
          <w:numId w:val="89"/>
        </w:numPr>
        <w:rPr>
          <w:rFonts w:ascii="Arial" w:cs="Arial" w:eastAsia="Arial" w:hAnsi="Arial"/>
          <w:sz w:val="19"/>
          <w:szCs w:val="19"/>
          <w:color w:val="auto"/>
        </w:rPr>
      </w:pPr>
      <w:r>
        <w:rPr>
          <w:rFonts w:ascii="Arial" w:cs="Arial" w:eastAsia="Arial" w:hAnsi="Arial"/>
          <w:sz w:val="19"/>
          <w:szCs w:val="19"/>
          <w:color w:val="auto"/>
        </w:rPr>
        <w:t>Purchaser will not, and will cause its Affiliates not to, acquire or agree to acquire, by merging with or into or consolidating with, or by purchasing any portion of the assets of or equity in, or by any other manner, any business or any corporation, partnership, association, or other business organization or division thereof if the entering into of a definitive agreement relating to, or the consummation of, such acquisition, merger, or consolidation could: (i) impose any delay in the obtaining of, or increase the risk of not obtaining, any consents of any Governmental Entity necessary to consummate the transactions contemplated hereby or the expiration or termination of any applicable waiting period, (ii) increase the risk of any Governmental Entity’s entering an Order prohibiting the consummation of the transactions contemplated hereby, (iii) increase the risk of not being able to remove any such Order on appeal or otherwise, or (iv) prevent, impair, delay, or impede the consummation of the transactions contemplated hereby.</w:t>
      </w:r>
    </w:p>
    <w:p>
      <w:pPr>
        <w:spacing w:after="0" w:line="158" w:lineRule="exact"/>
        <w:rPr>
          <w:rFonts w:ascii="Arial" w:cs="Arial" w:eastAsia="Arial" w:hAnsi="Arial"/>
          <w:sz w:val="19"/>
          <w:szCs w:val="19"/>
          <w:color w:val="auto"/>
        </w:rPr>
      </w:pPr>
    </w:p>
    <w:p>
      <w:pPr>
        <w:jc w:val="both"/>
        <w:ind w:firstLine="789"/>
        <w:spacing w:after="0" w:line="279" w:lineRule="auto"/>
        <w:tabs>
          <w:tab w:leader="none" w:pos="1697" w:val="left"/>
        </w:tabs>
        <w:numPr>
          <w:ilvl w:val="0"/>
          <w:numId w:val="89"/>
        </w:numPr>
        <w:rPr>
          <w:rFonts w:ascii="Arial" w:cs="Arial" w:eastAsia="Arial" w:hAnsi="Arial"/>
          <w:sz w:val="19"/>
          <w:szCs w:val="19"/>
          <w:color w:val="auto"/>
        </w:rPr>
      </w:pPr>
      <w:r>
        <w:rPr>
          <w:rFonts w:ascii="Arial" w:cs="Arial" w:eastAsia="Arial" w:hAnsi="Arial"/>
          <w:sz w:val="19"/>
          <w:szCs w:val="19"/>
          <w:color w:val="auto"/>
        </w:rPr>
        <w:t>Purchaser will, and will cause its Affiliates to, take all actions necessary to avoid or eliminate each and every impediment under any Antitrust Law so as to enable the consummation of the transactions contemplated hereby to occur as soon as reasonably practicable (and in any event no later than the Outside Date), including taking all actions requested by any Antitrust Authority or necessary to resolve any objections that may be asserted by any Antitrust Authority with respect to the transactions contemplated by this Agreement under any Antitrust Law. Without limiting the generality of the foregoing, Purchaser will, in each case at Purchaser’s sole cost and expense:</w:t>
      </w:r>
    </w:p>
    <w:p>
      <w:pPr>
        <w:spacing w:after="0" w:line="150" w:lineRule="exact"/>
        <w:rPr>
          <w:rFonts w:ascii="Arial" w:cs="Arial" w:eastAsia="Arial" w:hAnsi="Arial"/>
          <w:sz w:val="19"/>
          <w:szCs w:val="19"/>
          <w:color w:val="auto"/>
        </w:rPr>
      </w:pPr>
    </w:p>
    <w:p>
      <w:pPr>
        <w:jc w:val="both"/>
        <w:ind w:left="860" w:firstLine="726"/>
        <w:spacing w:after="0" w:line="270" w:lineRule="auto"/>
        <w:tabs>
          <w:tab w:leader="none" w:pos="2443" w:val="left"/>
        </w:tabs>
        <w:numPr>
          <w:ilvl w:val="2"/>
          <w:numId w:val="89"/>
        </w:numPr>
        <w:rPr>
          <w:rFonts w:ascii="Arial" w:cs="Arial" w:eastAsia="Arial" w:hAnsi="Arial"/>
          <w:sz w:val="19"/>
          <w:szCs w:val="19"/>
          <w:color w:val="auto"/>
        </w:rPr>
      </w:pPr>
      <w:r>
        <w:rPr>
          <w:rFonts w:ascii="Arial" w:cs="Arial" w:eastAsia="Arial" w:hAnsi="Arial"/>
          <w:sz w:val="19"/>
          <w:szCs w:val="19"/>
          <w:color w:val="auto"/>
        </w:rPr>
        <w:t>comply with all restrictions and conditions, if any, imposed or requested by any (A) Antitrust Authority in connection with granting any necessary clearance or terminating any applicable waiting period including (1) agreeing to sell, divest, hold separate, license, cause a third party to acquire, or otherwise dispose of, any Subsidiary, operations, divisions, businesses, product lines, customers, or assets of Purchaser, its Affiliates, Seller, or the Companies contemporaneously with or after the Closing and regardless as to whether a third party purchaser has been identified or approved prior to the Closing (a “</w:t>
      </w:r>
      <w:r>
        <w:rPr>
          <w:rFonts w:ascii="Arial" w:cs="Arial" w:eastAsia="Arial" w:hAnsi="Arial"/>
          <w:sz w:val="19"/>
          <w:szCs w:val="19"/>
          <w:u w:val="single" w:color="auto"/>
          <w:color w:val="auto"/>
        </w:rPr>
        <w:t>Divestiture</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left="860" w:hanging="5"/>
        <w:spacing w:after="0" w:line="287" w:lineRule="auto"/>
        <w:tabs>
          <w:tab w:leader="none" w:pos="1176" w:val="left"/>
        </w:tabs>
        <w:numPr>
          <w:ilvl w:val="1"/>
          <w:numId w:val="89"/>
        </w:numPr>
        <w:rPr>
          <w:rFonts w:ascii="Arial" w:cs="Arial" w:eastAsia="Arial" w:hAnsi="Arial"/>
          <w:sz w:val="19"/>
          <w:szCs w:val="19"/>
          <w:color w:val="auto"/>
        </w:rPr>
      </w:pPr>
      <w:r>
        <w:rPr>
          <w:rFonts w:ascii="Arial" w:cs="Arial" w:eastAsia="Arial" w:hAnsi="Arial"/>
          <w:sz w:val="19"/>
          <w:szCs w:val="19"/>
          <w:color w:val="auto"/>
        </w:rPr>
        <w:t>taking or committing to take such other actions that may limit Purchaser’s, its Affiliates’, Seller’s, or the Companies’ freedom of action with respect to, or its ability to retain, one or more of its operations, divisions, businesses, products lines, customers, or assets, and (3) entering into any Order, consent decree,</w:t>
      </w:r>
    </w:p>
    <w:p>
      <w:pPr>
        <w:spacing w:after="0" w:line="143"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62" w:name="page163"/>
    <w:bookmarkEnd w:id="162"/>
    <w:p>
      <w:pPr>
        <w:ind w:left="860"/>
        <w:spacing w:after="0"/>
        <w:rPr>
          <w:sz w:val="20"/>
          <w:szCs w:val="20"/>
          <w:color w:val="auto"/>
        </w:rPr>
      </w:pPr>
      <w:r>
        <w:rPr>
          <w:rFonts w:ascii="Arial" w:cs="Arial" w:eastAsia="Arial" w:hAnsi="Arial"/>
          <w:sz w:val="19"/>
          <w:szCs w:val="19"/>
          <w:color w:val="auto"/>
        </w:rPr>
        <w:t>or other agreement to effectuate any of the foregoing or (B) third party in connection with a Divestiture;</w:t>
      </w:r>
    </w:p>
    <w:p>
      <w:pPr>
        <w:spacing w:after="0" w:line="241" w:lineRule="exact"/>
        <w:rPr>
          <w:sz w:val="20"/>
          <w:szCs w:val="20"/>
          <w:color w:val="auto"/>
        </w:rPr>
      </w:pPr>
    </w:p>
    <w:p>
      <w:pPr>
        <w:jc w:val="both"/>
        <w:ind w:left="860" w:firstLine="726"/>
        <w:spacing w:after="0"/>
        <w:tabs>
          <w:tab w:leader="none" w:pos="2503" w:val="left"/>
        </w:tabs>
        <w:numPr>
          <w:ilvl w:val="1"/>
          <w:numId w:val="90"/>
        </w:numPr>
        <w:rPr>
          <w:rFonts w:ascii="Arial" w:cs="Arial" w:eastAsia="Arial" w:hAnsi="Arial"/>
          <w:sz w:val="22"/>
          <w:szCs w:val="22"/>
          <w:color w:val="auto"/>
        </w:rPr>
      </w:pPr>
      <w:r>
        <w:rPr>
          <w:rFonts w:ascii="Arial" w:cs="Arial" w:eastAsia="Arial" w:hAnsi="Arial"/>
          <w:sz w:val="22"/>
          <w:szCs w:val="22"/>
          <w:color w:val="auto"/>
        </w:rPr>
        <w:t>terminate any Contract or other business relationship as may be required to obtain any necessary clearance of any Antitrust Authority or to obtain termination of any applicable waiting period under any Antitrust Laws;</w:t>
      </w:r>
    </w:p>
    <w:p>
      <w:pPr>
        <w:spacing w:after="0" w:line="186" w:lineRule="exact"/>
        <w:rPr>
          <w:rFonts w:ascii="Arial" w:cs="Arial" w:eastAsia="Arial" w:hAnsi="Arial"/>
          <w:sz w:val="22"/>
          <w:szCs w:val="22"/>
          <w:color w:val="auto"/>
        </w:rPr>
      </w:pPr>
    </w:p>
    <w:p>
      <w:pPr>
        <w:ind w:left="860" w:right="20" w:firstLine="726"/>
        <w:spacing w:after="0" w:line="250" w:lineRule="auto"/>
        <w:tabs>
          <w:tab w:leader="none" w:pos="2563" w:val="left"/>
        </w:tabs>
        <w:numPr>
          <w:ilvl w:val="1"/>
          <w:numId w:val="90"/>
        </w:numPr>
        <w:rPr>
          <w:rFonts w:ascii="Arial" w:cs="Arial" w:eastAsia="Arial" w:hAnsi="Arial"/>
          <w:sz w:val="22"/>
          <w:szCs w:val="22"/>
          <w:color w:val="auto"/>
        </w:rPr>
      </w:pPr>
      <w:r>
        <w:rPr>
          <w:rFonts w:ascii="Arial" w:cs="Arial" w:eastAsia="Arial" w:hAnsi="Arial"/>
          <w:sz w:val="22"/>
          <w:szCs w:val="22"/>
          <w:color w:val="auto"/>
        </w:rPr>
        <w:t>without the prior written consent of Seller, not extend any waiting period or enter into any agreement or understanding with any Antitrust Authority; and</w:t>
      </w:r>
    </w:p>
    <w:p>
      <w:pPr>
        <w:spacing w:after="0" w:line="174" w:lineRule="exact"/>
        <w:rPr>
          <w:rFonts w:ascii="Arial" w:cs="Arial" w:eastAsia="Arial" w:hAnsi="Arial"/>
          <w:sz w:val="22"/>
          <w:szCs w:val="22"/>
          <w:color w:val="auto"/>
        </w:rPr>
      </w:pPr>
    </w:p>
    <w:p>
      <w:pPr>
        <w:jc w:val="both"/>
        <w:ind w:left="860" w:firstLine="726"/>
        <w:spacing w:after="0" w:line="275" w:lineRule="auto"/>
        <w:tabs>
          <w:tab w:leader="none" w:pos="2551" w:val="left"/>
        </w:tabs>
        <w:numPr>
          <w:ilvl w:val="1"/>
          <w:numId w:val="90"/>
        </w:numPr>
        <w:rPr>
          <w:rFonts w:ascii="Arial" w:cs="Arial" w:eastAsia="Arial" w:hAnsi="Arial"/>
          <w:sz w:val="19"/>
          <w:szCs w:val="19"/>
          <w:color w:val="auto"/>
        </w:rPr>
      </w:pPr>
      <w:r>
        <w:rPr>
          <w:rFonts w:ascii="Arial" w:cs="Arial" w:eastAsia="Arial" w:hAnsi="Arial"/>
          <w:sz w:val="19"/>
          <w:szCs w:val="19"/>
          <w:color w:val="auto"/>
        </w:rPr>
        <w:t>oppose fully and vigorously any request for, the entry of, and seek to have vacated or terminated, any Order, judgment, decree, injunction, or ruling of any Antitrust Authority that could prevent, impair, delay, or impede the Closing, including by defending through litigation any action asserted by any Person in any court or before any Antitrust Authority and by exhausting all avenues of appeal, including appealing properly any adverse decision or Order by any Antitrust Authority, or, if requested by Seller, Purchaser will commence or threaten to commence and pursue vigorously any action Seller believes to be helpful in obtaining any necessary clearance of any Antitrust Authority or obtaining termination of any applicable waiting period under any Antitrust Laws, or in terminating any outstanding action.</w:t>
      </w:r>
    </w:p>
    <w:p>
      <w:pPr>
        <w:spacing w:after="0" w:line="157" w:lineRule="exact"/>
        <w:rPr>
          <w:rFonts w:ascii="Arial" w:cs="Arial" w:eastAsia="Arial" w:hAnsi="Arial"/>
          <w:sz w:val="19"/>
          <w:szCs w:val="19"/>
          <w:color w:val="auto"/>
        </w:rPr>
      </w:pPr>
    </w:p>
    <w:p>
      <w:pPr>
        <w:jc w:val="both"/>
        <w:ind w:firstLine="789"/>
        <w:spacing w:after="0" w:line="252" w:lineRule="auto"/>
        <w:tabs>
          <w:tab w:leader="none" w:pos="1697"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Purchaser will negotiate in good faith with all Antitrust Authorities and all third parties in connection with a Divestiture or any other matter referred to in </w:t>
      </w:r>
      <w:r>
        <w:rPr>
          <w:rFonts w:ascii="Arial" w:cs="Arial" w:eastAsia="Arial" w:hAnsi="Arial"/>
          <w:sz w:val="21"/>
          <w:szCs w:val="21"/>
          <w:u w:val="single" w:color="auto"/>
          <w:color w:val="auto"/>
        </w:rPr>
        <w:t>Section 6.4(g)</w:t>
      </w:r>
      <w:r>
        <w:rPr>
          <w:rFonts w:ascii="Arial" w:cs="Arial" w:eastAsia="Arial" w:hAnsi="Arial"/>
          <w:sz w:val="21"/>
          <w:szCs w:val="21"/>
          <w:color w:val="auto"/>
        </w:rPr>
        <w:t xml:space="preserve"> in order to enter into definitive agreements with all such Persons within thirty (30) days after receipt by Purchaser of any request for additional documents and information or the commencement of a second phase investigation by any Antitrust Authority.</w:t>
      </w:r>
    </w:p>
    <w:p>
      <w:pPr>
        <w:spacing w:after="0" w:line="174"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Section 6.5</w:t>
      </w:r>
      <w:r>
        <w:rPr>
          <w:sz w:val="20"/>
          <w:szCs w:val="20"/>
          <w:color w:val="auto"/>
        </w:rPr>
        <w:tab/>
      </w:r>
      <w:r>
        <w:rPr>
          <w:rFonts w:ascii="Arial" w:cs="Arial" w:eastAsia="Arial" w:hAnsi="Arial"/>
          <w:sz w:val="19"/>
          <w:szCs w:val="19"/>
          <w:u w:val="single" w:color="auto"/>
          <w:color w:val="auto"/>
        </w:rPr>
        <w:t>Directors’ and Officers’ Indemnification and Insurance</w:t>
      </w:r>
      <w:r>
        <w:rPr>
          <w:rFonts w:ascii="Arial" w:cs="Arial" w:eastAsia="Arial" w:hAnsi="Arial"/>
          <w:sz w:val="19"/>
          <w:szCs w:val="19"/>
          <w:color w:val="auto"/>
        </w:rPr>
        <w:t>.</w:t>
      </w:r>
    </w:p>
    <w:p>
      <w:pPr>
        <w:spacing w:after="0" w:line="206" w:lineRule="exact"/>
        <w:rPr>
          <w:sz w:val="20"/>
          <w:szCs w:val="20"/>
          <w:color w:val="auto"/>
        </w:rPr>
      </w:pPr>
    </w:p>
    <w:p>
      <w:pPr>
        <w:jc w:val="both"/>
        <w:ind w:left="100" w:firstLine="788"/>
        <w:spacing w:after="0" w:line="272" w:lineRule="auto"/>
        <w:tabs>
          <w:tab w:leader="none" w:pos="1776" w:val="left"/>
        </w:tabs>
        <w:numPr>
          <w:ilvl w:val="0"/>
          <w:numId w:val="92"/>
        </w:numPr>
        <w:rPr>
          <w:rFonts w:ascii="Arial" w:cs="Arial" w:eastAsia="Arial" w:hAnsi="Arial"/>
          <w:sz w:val="19"/>
          <w:szCs w:val="19"/>
          <w:color w:val="auto"/>
        </w:rPr>
      </w:pPr>
      <w:r>
        <w:rPr>
          <w:rFonts w:ascii="Arial" w:cs="Arial" w:eastAsia="Arial" w:hAnsi="Arial"/>
          <w:sz w:val="19"/>
          <w:szCs w:val="19"/>
          <w:color w:val="auto"/>
        </w:rPr>
        <w:t>From and after the Closing Date, Purchaser will and will cause the Companies to (i) indemnify and hold harmless (and release from any liability to Purchaser or the Companies) each Person who on or prior to the Closing Date was a director, manager, or officer of any Company (each,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from all (A) attorneys’ fees and all other costs, charges, and expenses (collectively, “</w:t>
      </w:r>
      <w:r>
        <w:rPr>
          <w:rFonts w:ascii="Arial" w:cs="Arial" w:eastAsia="Arial" w:hAnsi="Arial"/>
          <w:sz w:val="19"/>
          <w:szCs w:val="19"/>
          <w:u w:val="single" w:color="auto"/>
          <w:color w:val="auto"/>
        </w:rPr>
        <w:t>D&amp;O Expenses</w:t>
      </w:r>
      <w:r>
        <w:rPr>
          <w:rFonts w:ascii="Arial" w:cs="Arial" w:eastAsia="Arial" w:hAnsi="Arial"/>
          <w:sz w:val="19"/>
          <w:szCs w:val="19"/>
          <w:color w:val="auto"/>
        </w:rPr>
        <w:t>”) paid or incurred in connection with investigating, defending, being a witness in, participating in (including on appeal), or preparing to defend, be a witness in, or participate in any threatened, pending, or completed Action based on, arising out of, or relating to the fact that such Person is or was a director, manager, or officer, of any Company arising out of acts or omissions occurring on or prior to the Closing (including in respect of acts or omissions in connection with this Agreement and the transactions contemplated thereby) (a “</w:t>
      </w:r>
      <w:r>
        <w:rPr>
          <w:rFonts w:ascii="Arial" w:cs="Arial" w:eastAsia="Arial" w:hAnsi="Arial"/>
          <w:sz w:val="19"/>
          <w:szCs w:val="19"/>
          <w:u w:val="single" w:color="auto"/>
          <w:color w:val="auto"/>
        </w:rPr>
        <w:t>D&amp;O Indemnifiable Claim</w:t>
      </w:r>
      <w:r>
        <w:rPr>
          <w:rFonts w:ascii="Arial" w:cs="Arial" w:eastAsia="Arial" w:hAnsi="Arial"/>
          <w:sz w:val="19"/>
          <w:szCs w:val="19"/>
          <w:color w:val="auto"/>
        </w:rPr>
        <w:t>”) and (B) losses, claims, damages, judgments, or amounts paid in settlement (collectively, “</w:t>
      </w:r>
      <w:r>
        <w:rPr>
          <w:rFonts w:ascii="Arial" w:cs="Arial" w:eastAsia="Arial" w:hAnsi="Arial"/>
          <w:sz w:val="19"/>
          <w:szCs w:val="19"/>
          <w:u w:val="single" w:color="auto"/>
          <w:color w:val="auto"/>
        </w:rPr>
        <w:t>D&amp;O Costs</w:t>
      </w:r>
      <w:r>
        <w:rPr>
          <w:rFonts w:ascii="Arial" w:cs="Arial" w:eastAsia="Arial" w:hAnsi="Arial"/>
          <w:sz w:val="19"/>
          <w:szCs w:val="19"/>
          <w:color w:val="auto"/>
        </w:rPr>
        <w:t xml:space="preserve">”) in respect of any D&amp;O Indemnifiable Claim and (ii) pay on an as-incurred basis all D&amp;O Expenses in advance of the final disposition of any Action that is the subject of the right to indemnification;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Person to whom such D&amp;O Expenses are to be</w:t>
      </w:r>
    </w:p>
    <w:p>
      <w:pPr>
        <w:spacing w:after="0" w:line="161"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75565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63" w:name="page164"/>
    <w:bookmarkEnd w:id="163"/>
    <w:p>
      <w:pPr>
        <w:jc w:val="both"/>
        <w:ind w:left="108"/>
        <w:spacing w:after="0" w:line="238" w:lineRule="auto"/>
        <w:rPr>
          <w:sz w:val="20"/>
          <w:szCs w:val="20"/>
          <w:color w:val="auto"/>
        </w:rPr>
      </w:pPr>
      <w:r>
        <w:rPr>
          <w:rFonts w:ascii="Arial" w:cs="Arial" w:eastAsia="Arial" w:hAnsi="Arial"/>
          <w:sz w:val="22"/>
          <w:szCs w:val="22"/>
          <w:color w:val="auto"/>
        </w:rPr>
        <w:t xml:space="preserve">advanced provides an undertaking to repay such advances if it is ultimately determined that such Person is not entitled to indemnification. Notwithstanding anything in this Agreement to the contrary, the obligations of Purchaser and Companies under this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with respect to any Action will continue in effect until the final resolution of such Action.</w:t>
      </w:r>
    </w:p>
    <w:p>
      <w:pPr>
        <w:spacing w:after="0" w:line="185" w:lineRule="exact"/>
        <w:rPr>
          <w:sz w:val="20"/>
          <w:szCs w:val="20"/>
          <w:color w:val="auto"/>
        </w:rPr>
      </w:pPr>
    </w:p>
    <w:p>
      <w:pPr>
        <w:jc w:val="both"/>
        <w:ind w:left="8" w:firstLine="789"/>
        <w:spacing w:after="0" w:line="249" w:lineRule="auto"/>
        <w:tabs>
          <w:tab w:leader="none" w:pos="1705" w:val="left"/>
        </w:tabs>
        <w:numPr>
          <w:ilvl w:val="1"/>
          <w:numId w:val="93"/>
        </w:numPr>
        <w:rPr>
          <w:rFonts w:ascii="Arial" w:cs="Arial" w:eastAsia="Arial" w:hAnsi="Arial"/>
          <w:sz w:val="21"/>
          <w:szCs w:val="21"/>
          <w:color w:val="auto"/>
        </w:rPr>
      </w:pPr>
      <w:r>
        <w:rPr>
          <w:rFonts w:ascii="Arial" w:cs="Arial" w:eastAsia="Arial" w:hAnsi="Arial"/>
          <w:sz w:val="21"/>
          <w:szCs w:val="21"/>
          <w:color w:val="auto"/>
        </w:rPr>
        <w:t>Until the sixth (6th) anniversary of the Closing Date, Purchaser will, and will cause each Company to, cause to be maintained in effect provisions in the Organizational Documents of such Company (or in such documents of any successor to the business of such Company) regarding exculpation and elimination of liability of and indemnification in favor of each Indemnitee, in each case that are no less advantageous to the intended beneficiaries than the corresponding provisions in existence as of the Closing.</w:t>
      </w:r>
    </w:p>
    <w:p>
      <w:pPr>
        <w:spacing w:after="0" w:line="178" w:lineRule="exact"/>
        <w:rPr>
          <w:rFonts w:ascii="Arial" w:cs="Arial" w:eastAsia="Arial" w:hAnsi="Arial"/>
          <w:sz w:val="21"/>
          <w:szCs w:val="21"/>
          <w:color w:val="auto"/>
        </w:rPr>
      </w:pPr>
    </w:p>
    <w:p>
      <w:pPr>
        <w:jc w:val="both"/>
        <w:ind w:left="8" w:firstLine="789"/>
        <w:spacing w:after="0" w:line="270" w:lineRule="auto"/>
        <w:tabs>
          <w:tab w:leader="none" w:pos="1693" w:val="left"/>
        </w:tabs>
        <w:numPr>
          <w:ilvl w:val="1"/>
          <w:numId w:val="93"/>
        </w:numPr>
        <w:rPr>
          <w:rFonts w:ascii="Arial" w:cs="Arial" w:eastAsia="Arial" w:hAnsi="Arial"/>
          <w:sz w:val="19"/>
          <w:szCs w:val="19"/>
          <w:color w:val="auto"/>
        </w:rPr>
      </w:pPr>
      <w:r>
        <w:rPr>
          <w:rFonts w:ascii="Arial" w:cs="Arial" w:eastAsia="Arial" w:hAnsi="Arial"/>
          <w:sz w:val="19"/>
          <w:szCs w:val="19"/>
          <w:color w:val="auto"/>
        </w:rPr>
        <w:t>At the Closing, Purchaser will cause the Companies to purchase, and the Companies will purchase (at Purchaser’s sole cost and expense) and maintain in effect for a period of six (6) years thereafter, (i) an extended reporting period (“tail”) to the current policy of directors’ and officers’ liability insurance maintained by the Companies, which period will be effective for a period from the Closing through and including the date six (6) years after the Closing Date with respect to claims arising from facts or events that occurred on or before the Closing and</w:t>
      </w:r>
    </w:p>
    <w:p>
      <w:pPr>
        <w:spacing w:after="0" w:line="4" w:lineRule="exact"/>
        <w:rPr>
          <w:rFonts w:ascii="Arial" w:cs="Arial" w:eastAsia="Arial" w:hAnsi="Arial"/>
          <w:sz w:val="19"/>
          <w:szCs w:val="19"/>
          <w:color w:val="auto"/>
        </w:rPr>
      </w:pPr>
    </w:p>
    <w:p>
      <w:pPr>
        <w:jc w:val="both"/>
        <w:ind w:left="8" w:hanging="8"/>
        <w:spacing w:after="0" w:line="246" w:lineRule="exact"/>
        <w:tabs>
          <w:tab w:leader="none" w:pos="337" w:val="left"/>
        </w:tabs>
        <w:numPr>
          <w:ilvl w:val="0"/>
          <w:numId w:val="94"/>
        </w:numPr>
        <w:rPr>
          <w:rFonts w:ascii="Arial" w:cs="Arial" w:eastAsia="Arial" w:hAnsi="Arial"/>
          <w:sz w:val="22"/>
          <w:szCs w:val="22"/>
          <w:color w:val="auto"/>
        </w:rPr>
      </w:pPr>
      <w:r>
        <w:rPr>
          <w:rFonts w:ascii="Arial" w:cs="Arial" w:eastAsia="Arial" w:hAnsi="Arial"/>
          <w:sz w:val="22"/>
          <w:szCs w:val="22"/>
          <w:color w:val="auto"/>
        </w:rPr>
        <w:t>“run</w:t>
      </w:r>
      <w:r>
        <w:rPr>
          <w:rFonts w:ascii="MS PGothic" w:cs="MS PGothic" w:eastAsia="MS PGothic" w:hAnsi="MS PGothic"/>
          <w:sz w:val="22"/>
          <w:szCs w:val="22"/>
          <w:color w:val="auto"/>
        </w:rPr>
        <w:t>‑</w:t>
      </w:r>
      <w:r>
        <w:rPr>
          <w:rFonts w:ascii="Arial" w:cs="Arial" w:eastAsia="Arial" w:hAnsi="Arial"/>
          <w:sz w:val="22"/>
          <w:szCs w:val="22"/>
          <w:color w:val="auto"/>
        </w:rPr>
        <w:t>off” coverage as provided by the Companies’ fiduciary and employee benefit policies, in each case, covering those Persons who are covered on the date hereof by such policies and with terms, conditions, retentions, and limits of liability that are no less advantageous than the coverage provided under the Companies’ existing policies. Purchaser will, and will cause each Company to, maintain such insurance policies and not cancel or change such insurance policies in any respect.</w:t>
      </w:r>
    </w:p>
    <w:p>
      <w:pPr>
        <w:spacing w:after="0" w:line="185" w:lineRule="exact"/>
        <w:rPr>
          <w:rFonts w:ascii="Arial" w:cs="Arial" w:eastAsia="Arial" w:hAnsi="Arial"/>
          <w:sz w:val="22"/>
          <w:szCs w:val="22"/>
          <w:color w:val="auto"/>
        </w:rPr>
      </w:pPr>
    </w:p>
    <w:p>
      <w:pPr>
        <w:jc w:val="both"/>
        <w:ind w:left="8" w:firstLine="789"/>
        <w:spacing w:after="0" w:line="282" w:lineRule="auto"/>
        <w:tabs>
          <w:tab w:leader="none" w:pos="1705"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In the event that Purchaser or any of its successors or assigns (i) consolidates any Company with or merges any Company into any other Person and such Company is not the continuing or surviving company or entity of such consolidation or merger or (ii) transfers or conveys all or substantially all of such Company’s properties and assets to any Person, then in each such case, proper provision will be made so that the successors and assigns of such Company will assume all of the obligations thereof set forth in this </w:t>
      </w:r>
      <w:r>
        <w:rPr>
          <w:rFonts w:ascii="Arial" w:cs="Arial" w:eastAsia="Arial" w:hAnsi="Arial"/>
          <w:sz w:val="19"/>
          <w:szCs w:val="19"/>
          <w:u w:val="single" w:color="auto"/>
          <w:color w:val="auto"/>
        </w:rPr>
        <w:t>Section 6.5</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left="8" w:firstLine="789"/>
        <w:spacing w:after="0" w:line="273" w:lineRule="auto"/>
        <w:tabs>
          <w:tab w:leader="none" w:pos="1693" w:val="left"/>
        </w:tabs>
        <w:numPr>
          <w:ilvl w:val="1"/>
          <w:numId w:val="94"/>
        </w:numPr>
        <w:rPr>
          <w:rFonts w:ascii="Arial" w:cs="Arial" w:eastAsia="Arial" w:hAnsi="Arial"/>
          <w:sz w:val="19"/>
          <w:szCs w:val="19"/>
          <w:color w:val="auto"/>
        </w:rPr>
      </w:pPr>
      <w:r>
        <w:rPr>
          <w:rFonts w:ascii="Arial" w:cs="Arial" w:eastAsia="Arial" w:hAnsi="Arial"/>
          <w:sz w:val="19"/>
          <w:szCs w:val="19"/>
          <w:color w:val="auto"/>
        </w:rPr>
        <w:t>Purchaser hereby acknowledges (on behalf of itself and its Affiliates (including, after the Closing, the Companies)) that the Indemnitees may have certain rights to indemnification, advancement of expenses, or insurance provided by current equityholders or other Affiliates of Seller, the Companies or their respective equityholders (the “</w:t>
      </w:r>
      <w:r>
        <w:rPr>
          <w:rFonts w:ascii="Arial" w:cs="Arial" w:eastAsia="Arial" w:hAnsi="Arial"/>
          <w:sz w:val="19"/>
          <w:szCs w:val="19"/>
          <w:u w:val="single" w:color="auto"/>
          <w:color w:val="auto"/>
        </w:rPr>
        <w:t>Indemnitee Affiliates</w:t>
      </w:r>
      <w:r>
        <w:rPr>
          <w:rFonts w:ascii="Arial" w:cs="Arial" w:eastAsia="Arial" w:hAnsi="Arial"/>
          <w:sz w:val="19"/>
          <w:szCs w:val="19"/>
          <w:color w:val="auto"/>
        </w:rPr>
        <w:t>”) separate from the indemnification obligations of Purchaser and the Companies hereunder. The Parties agree that (i) Purchaser and the Companies are the indemnitors of first resort (</w:t>
      </w:r>
      <w:r>
        <w:rPr>
          <w:rFonts w:ascii="Arial" w:cs="Arial" w:eastAsia="Arial" w:hAnsi="Arial"/>
          <w:sz w:val="19"/>
          <w:szCs w:val="19"/>
          <w:i w:val="1"/>
          <w:iCs w:val="1"/>
          <w:color w:val="auto"/>
        </w:rPr>
        <w:t>i.e.</w:t>
      </w:r>
      <w:r>
        <w:rPr>
          <w:rFonts w:ascii="Arial" w:cs="Arial" w:eastAsia="Arial" w:hAnsi="Arial"/>
          <w:sz w:val="19"/>
          <w:szCs w:val="19"/>
          <w:color w:val="auto"/>
        </w:rPr>
        <w:t>, their obligations to the Indemnitees are primary and any obligation of any Indemnitee Affiliate to advance expenses or to provide indemnification for the same expenses or liabilities incurred by the Indemnitees are secondary), (ii) Purchaser and the Companies will be required to advance the full amount of expenses incurred by the Indemnitees and will be liable for the full amount of all D&amp;O Costs and D&amp;O Expenses to the extent legally permitted, without regard to any rights the Indemnitees may have against any Indemnitee Affiliate, and (iii) Purchaser and the Companies (on</w:t>
      </w:r>
    </w:p>
    <w:p>
      <w:pPr>
        <w:spacing w:after="0" w:line="161"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75565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164" w:name="page165"/>
    <w:bookmarkEnd w:id="164"/>
    <w:p>
      <w:pPr>
        <w:jc w:val="both"/>
        <w:ind w:left="880"/>
        <w:spacing w:after="0" w:line="282" w:lineRule="auto"/>
        <w:rPr>
          <w:sz w:val="20"/>
          <w:szCs w:val="20"/>
          <w:color w:val="auto"/>
        </w:rPr>
      </w:pPr>
      <w:r>
        <w:rPr>
          <w:rFonts w:ascii="Arial" w:cs="Arial" w:eastAsia="Arial" w:hAnsi="Arial"/>
          <w:sz w:val="19"/>
          <w:szCs w:val="19"/>
          <w:color w:val="auto"/>
        </w:rPr>
        <w:t>behalf of themselves and their respective Affiliates) irrevocably waive, relinquish, and release the Indemnitee Affiliates from any and all claims against the Indemnitee Affiliates for contribution, subrogation, or any other recovery of any kind in respect thereof, in each case, if and to the extent an Indemnitee is entitled to indemnification under the Organizational Documents of any Company and, in case of any advances, subject to such Indemnitee’s providing an undertaking to repay such advances if it is ultimately determined that such Person is not entitled to indemnification.</w:t>
      </w:r>
    </w:p>
    <w:p>
      <w:pPr>
        <w:spacing w:after="0" w:line="147" w:lineRule="exact"/>
        <w:rPr>
          <w:sz w:val="20"/>
          <w:szCs w:val="20"/>
          <w:color w:val="auto"/>
        </w:rPr>
      </w:pPr>
    </w:p>
    <w:p>
      <w:pPr>
        <w:jc w:val="both"/>
        <w:ind w:left="980" w:firstLine="788"/>
        <w:spacing w:after="0" w:line="275" w:lineRule="auto"/>
        <w:tabs>
          <w:tab w:leader="none" w:pos="2633"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in this Agreement to the contrary,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will survive the consummation of the Closing. The obligations of Purchaser and the Companies under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will not be terminated or modified in such a manner as to adversely affect any Person to whom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applies without the consent of the affected person (it being expressly agreed that the Persons to whom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applies will be third party beneficiaries of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are (i) intended to be for the benefit of, and will be enforceable by, each such Person, his or her heirs, and his or her representatives and (ii) in addition to, and not in substitution for, any other rights to indemnification or contribution that any such person may have under this Agreement, by contract, or otherwise.</w:t>
      </w:r>
    </w:p>
    <w:p>
      <w:pPr>
        <w:spacing w:after="0" w:line="15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 xml:space="preserve">Section 6.6 </w:t>
      </w:r>
      <w:r>
        <w:rPr>
          <w:rFonts w:ascii="Arial" w:cs="Arial" w:eastAsia="Arial" w:hAnsi="Arial"/>
          <w:sz w:val="19"/>
          <w:szCs w:val="19"/>
          <w:u w:val="single" w:color="auto"/>
          <w:color w:val="auto"/>
        </w:rPr>
        <w:t>Legal Privileges</w:t>
      </w:r>
      <w:r>
        <w:rPr>
          <w:rFonts w:ascii="Arial" w:cs="Arial" w:eastAsia="Arial" w:hAnsi="Arial"/>
          <w:sz w:val="19"/>
          <w:szCs w:val="19"/>
          <w:color w:val="auto"/>
        </w:rPr>
        <w:t>. All attorney-client, work product and other legal privileges that may exist with respect to the Companies with respect to communications taking place at or prior to the Closing pertaining to the negotiation of this Agreement, the agreements contemplated hereby, and the transactions contemplated hereby and thereby will be deemed privileges exclusive to Seller. Seller and Purchaser will use all commercially reasonable efforts after the Closing Date to preserve all such privileges and neither Seller nor Purchaser will knowingly waive any such privilege without the prior written consent of the other party (which consent will not be unreasonably withheld, conditioned or delayed).</w:t>
      </w:r>
    </w:p>
    <w:p>
      <w:pPr>
        <w:spacing w:after="0" w:line="15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Public Announcements</w:t>
      </w:r>
      <w:r>
        <w:rPr>
          <w:rFonts w:ascii="Arial" w:cs="Arial" w:eastAsia="Arial" w:hAnsi="Arial"/>
          <w:sz w:val="19"/>
          <w:szCs w:val="19"/>
          <w:color w:val="auto"/>
        </w:rPr>
        <w:t xml:space="preserve">. Neither Purchaser nor Seller will, and each will cause its respective Affiliates not to, without the prior written consent of, in the case of Purchaser, Seller, or in the case of Seller, Purchaser, make any public statement or press release or any other announcement or communication to the employees, customers, or suppliers of the Companies with respect to this Agreement or the transactions contemplated hereby, or otherwise disclose to any Person the existence, terms, content, or effect of this Agreement, except to the extent that disclosure is required by Law or to comply with the obligations set forth in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Agreement will restrict or prohibit Seller or the Companies from making any announcement prior to the Closing to Seller’s or the Companies’ employees, customers, suppliers, and other business relations to the extent Purchaser and Seller mutually determine in good faith after consultation that such announcement is necessary or advisable. Notwithstanding the foregoing, from and after the Closing, Stonehenge Partners, Inc. may issue any announcement or communication related to this Agreement or the transactions contemplated hereby in connection with fundraising, marketing, regulatory, compliance, audit, or reporting in the ordinary course of business, including to current and prospective investors in Stonehenge Partners, Inc. and its Affiliates. Notwithstanding anything in this Agreement to the contrary, in no event will Purchaser or, after the Closing, the Companies, have any right to use Stonehenge Partners, Inc.’s name, marks, logos, or any abbreviation, variation, or derivative thereof, in any press release, public announcement or other public document or communication without the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5" w:name="page166"/>
    <w:bookmarkEnd w:id="165"/>
    <w:p>
      <w:pPr>
        <w:jc w:val="both"/>
        <w:spacing w:after="0" w:line="282" w:lineRule="auto"/>
        <w:rPr>
          <w:sz w:val="20"/>
          <w:szCs w:val="20"/>
          <w:color w:val="auto"/>
        </w:rPr>
      </w:pPr>
      <w:r>
        <w:rPr>
          <w:rFonts w:ascii="Arial" w:cs="Arial" w:eastAsia="Arial" w:hAnsi="Arial"/>
          <w:sz w:val="19"/>
          <w:szCs w:val="19"/>
          <w:color w:val="auto"/>
        </w:rPr>
        <w:t>express written consent of Stonehenge Partners, Inc., except to the extent required by Law. Effective as of the Closing Date, each of the Companies grants to Seller, Stonehenge Partners, Inc. and its Affiliates and each of their respective successors and assigns a non-exclusive, perpetual, royalty-free, worldwide right and license to use the name and related marks and logos of the Companies on its printed materials and website and in other forms and media for the sole purpose of describing the prior ownership of, or Stonehenge Partners, Inc.’s and any of its Affiliates’ current or former interest in, Seller and the Companies.</w:t>
      </w:r>
    </w:p>
    <w:p>
      <w:pPr>
        <w:spacing w:after="0" w:line="14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Section 6.8 </w:t>
      </w:r>
      <w:r>
        <w:rPr>
          <w:rFonts w:ascii="Arial" w:cs="Arial" w:eastAsia="Arial" w:hAnsi="Arial"/>
          <w:sz w:val="19"/>
          <w:szCs w:val="19"/>
          <w:u w:val="single" w:color="auto"/>
          <w:color w:val="auto"/>
        </w:rPr>
        <w:t>Post-Closing Access</w:t>
      </w:r>
      <w:r>
        <w:rPr>
          <w:rFonts w:ascii="Arial" w:cs="Arial" w:eastAsia="Arial" w:hAnsi="Arial"/>
          <w:sz w:val="19"/>
          <w:szCs w:val="19"/>
          <w:color w:val="auto"/>
        </w:rPr>
        <w:t xml:space="preserve">. For a period of six (6) years after the Closing Date, Purchaser will cause the Companies to provide Seller and its representatives with reasonable access, upon reasonable prior notice, during normal business hours to the personnel, books, and records (for the purpose of examining and copying) of the Companies with respect to periods or occurrences prior to or on the Closing Date in connection with any matter, whether or not relating to or arising out of this Agreement or the transactions contemplated hereby. For a period of six (6) years after the Closing Date, without the prior written consent of Seller, Purchaser will not, and will cause the Companies and their respective Affiliates not to, alter, dispose of, or destroy any books and records of any Company, or any portions thereof, relating to periods prior to the Closing Date without first offering such records to Seller, and Seller will have ninety (90) days after such offer to agree to take possession thereof. Purchaser will cause the Companies to make available to Seller and its representatives such records and personnel of the Companies familiar therewith as may be reasonably requested by Seller, upon reasonable prior notice, in connection with claims by or against Seller or any of its Affiliates related to the Companies or the transactions contemplated by this Agreement. Other than to the extent relating to Taxes for a Pre-Closing Tax Period or any Straddle Period, nothing in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shall require Purchaser to provide Seller or its representatives with any access, books or records of the Companies to the extent Purchaser reasonably determines in good faith that such access, books or records would disclose competitively sensitive information or information protected by attorney-client privilege or attorney work product doctrine.</w:t>
      </w:r>
    </w:p>
    <w:p>
      <w:pPr>
        <w:spacing w:after="0" w:line="160"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6.9</w:t>
      </w:r>
      <w:r>
        <w:rPr>
          <w:sz w:val="20"/>
          <w:szCs w:val="20"/>
          <w:color w:val="auto"/>
        </w:rPr>
        <w:tab/>
      </w:r>
      <w:r>
        <w:rPr>
          <w:rFonts w:ascii="Arial" w:cs="Arial" w:eastAsia="Arial" w:hAnsi="Arial"/>
          <w:sz w:val="19"/>
          <w:szCs w:val="19"/>
          <w:u w:val="single" w:color="auto"/>
          <w:color w:val="auto"/>
        </w:rPr>
        <w:t>Employee Matters</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line="244" w:lineRule="auto"/>
        <w:tabs>
          <w:tab w:leader="none" w:pos="2565"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Purchaser acknowledges and agrees that the employment of the employees of the Companies will not terminate because of the Closing and that the employment of such employees will continue after the Closing, subject to </w:t>
      </w:r>
      <w:r>
        <w:rPr>
          <w:rFonts w:ascii="Arial" w:cs="Arial" w:eastAsia="Arial" w:hAnsi="Arial"/>
          <w:sz w:val="21"/>
          <w:szCs w:val="21"/>
          <w:u w:val="single" w:color="auto"/>
          <w:color w:val="auto"/>
        </w:rPr>
        <w:t>Section 6.9(e)</w:t>
      </w:r>
      <w:r>
        <w:rPr>
          <w:rFonts w:ascii="Arial" w:cs="Arial" w:eastAsia="Arial" w:hAnsi="Arial"/>
          <w:sz w:val="21"/>
          <w:szCs w:val="21"/>
          <w:color w:val="auto"/>
        </w:rPr>
        <w:t xml:space="preserve">. For at least one (1) year following the Closing, or such longer period of time required by applicable Law, subject to </w:t>
      </w:r>
      <w:r>
        <w:rPr>
          <w:rFonts w:ascii="Arial" w:cs="Arial" w:eastAsia="Arial" w:hAnsi="Arial"/>
          <w:sz w:val="21"/>
          <w:szCs w:val="21"/>
          <w:u w:val="single" w:color="auto"/>
          <w:color w:val="auto"/>
        </w:rPr>
        <w:t>Section 6.9(e)</w:t>
      </w:r>
      <w:r>
        <w:rPr>
          <w:rFonts w:ascii="Arial" w:cs="Arial" w:eastAsia="Arial" w:hAnsi="Arial"/>
          <w:sz w:val="21"/>
          <w:szCs w:val="21"/>
          <w:color w:val="auto"/>
        </w:rPr>
        <w:t>, Purchaser will provide or cause the Companies to provide to each employee who is employed by any Company as of immediately prior to the Closing (“</w:t>
      </w:r>
      <w:r>
        <w:rPr>
          <w:rFonts w:ascii="Arial" w:cs="Arial" w:eastAsia="Arial" w:hAnsi="Arial"/>
          <w:sz w:val="21"/>
          <w:szCs w:val="21"/>
          <w:u w:val="single" w:color="auto"/>
          <w:color w:val="auto"/>
        </w:rPr>
        <w:t>Company Employees</w:t>
      </w:r>
      <w:r>
        <w:rPr>
          <w:rFonts w:ascii="Arial" w:cs="Arial" w:eastAsia="Arial" w:hAnsi="Arial"/>
          <w:sz w:val="21"/>
          <w:szCs w:val="21"/>
          <w:color w:val="auto"/>
        </w:rPr>
        <w:t>”) (i) a salary or wage level and bonus opportunities at least equal to the salary or wage level and bonus opportunities to which they were entitled immediately prior to the Closing and (ii) benefits, perquisites, and other terms and conditions of employment that are at least equivalent to the benefits, perquisites, and other terms and conditions that they were entitled to receive immediately prior to the Closing (including benefits pursuant to qualified and non-qualified retirement and savings plans, medical, dental, and pharmaceutical plans and programs, travel and meal allowances, and severance plans and policies).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6" w:name="page167"/>
    <w:bookmarkEnd w:id="166"/>
    <w:p>
      <w:pPr>
        <w:jc w:val="both"/>
        <w:ind w:left="8" w:firstLine="789"/>
        <w:spacing w:after="0" w:line="271" w:lineRule="auto"/>
        <w:tabs>
          <w:tab w:leader="none" w:pos="1705" w:val="left"/>
        </w:tabs>
        <w:numPr>
          <w:ilvl w:val="1"/>
          <w:numId w:val="97"/>
        </w:numPr>
        <w:rPr>
          <w:rFonts w:ascii="Arial" w:cs="Arial" w:eastAsia="Arial" w:hAnsi="Arial"/>
          <w:sz w:val="19"/>
          <w:szCs w:val="19"/>
          <w:color w:val="auto"/>
        </w:rPr>
      </w:pPr>
      <w:r>
        <w:rPr>
          <w:rFonts w:ascii="Arial" w:cs="Arial" w:eastAsia="Arial" w:hAnsi="Arial"/>
          <w:sz w:val="19"/>
          <w:szCs w:val="19"/>
          <w:color w:val="auto"/>
        </w:rPr>
        <w:t>Without limiting the generality of the foregoing, Purchaser will cause the Companies (i) to keep in effect for at least one (1) year following the Closing severance and retention plans, practices, and policies applicable to Company Employees as of immediately prior to the Closing that are not less favorable than such plans, practices, and policies in effect as of immediately prior to the Closing with respect to such Company Employees, and Purchaser will, and will cause the Companies to, indemnify and hold harmless Seller from any severance, termination, or retention liabilities or obligations with respect to such employees effective on and after the Closing and (ii) to ensure, and the Companies immediately following the Closing agree to ensure, that all Company Employees who were notified of their target bonuses for the current fiscal year receive annual bonuses at least equal to the target bonuses to which such employees would be entitled under the applicable bonus arrangements of the Companies as of immediately prior to the Closing. Purchaser will, or will cause the Companies to, make available to Company Employees participation in a defined contribution retirement savings plan with a cash or deferred feature as soon as practicable following Closing, but in no event later than thirty (30) days following Closing. Company Employees will have the ability to roll over distributions from the Queen City Hospice, LLC 401(k) Plan, including any outstanding participant loans, to the defined contribution plan made available to them by Purchaser or the Companies.</w:t>
      </w:r>
    </w:p>
    <w:p>
      <w:pPr>
        <w:spacing w:after="0" w:line="164" w:lineRule="exact"/>
        <w:rPr>
          <w:rFonts w:ascii="Arial" w:cs="Arial" w:eastAsia="Arial" w:hAnsi="Arial"/>
          <w:sz w:val="19"/>
          <w:szCs w:val="19"/>
          <w:color w:val="auto"/>
        </w:rPr>
      </w:pPr>
    </w:p>
    <w:p>
      <w:pPr>
        <w:ind w:left="1688" w:hanging="891"/>
        <w:spacing w:after="0"/>
        <w:tabs>
          <w:tab w:leader="none" w:pos="1688" w:val="left"/>
        </w:tabs>
        <w:numPr>
          <w:ilvl w:val="1"/>
          <w:numId w:val="97"/>
        </w:numPr>
        <w:rPr>
          <w:rFonts w:ascii="Arial" w:cs="Arial" w:eastAsia="Arial" w:hAnsi="Arial"/>
          <w:sz w:val="19"/>
          <w:szCs w:val="19"/>
          <w:color w:val="auto"/>
        </w:rPr>
      </w:pPr>
      <w:r>
        <w:rPr>
          <w:rFonts w:ascii="Arial" w:cs="Arial" w:eastAsia="Arial" w:hAnsi="Arial"/>
          <w:sz w:val="19"/>
          <w:szCs w:val="19"/>
          <w:color w:val="auto"/>
        </w:rPr>
        <w:t>Following the Closing, Purchaser will use commercially reasonable efforts to cause the Companies</w:t>
      </w:r>
    </w:p>
    <w:p>
      <w:pPr>
        <w:spacing w:after="0" w:line="42" w:lineRule="exact"/>
        <w:rPr>
          <w:rFonts w:ascii="Arial" w:cs="Arial" w:eastAsia="Arial" w:hAnsi="Arial"/>
          <w:sz w:val="19"/>
          <w:szCs w:val="19"/>
          <w:color w:val="auto"/>
        </w:rPr>
      </w:pPr>
    </w:p>
    <w:p>
      <w:pPr>
        <w:jc w:val="both"/>
        <w:ind w:left="8" w:hanging="8"/>
        <w:spacing w:after="0" w:line="273" w:lineRule="auto"/>
        <w:tabs>
          <w:tab w:leader="none" w:pos="296" w:val="left"/>
        </w:tabs>
        <w:numPr>
          <w:ilvl w:val="0"/>
          <w:numId w:val="98"/>
        </w:numPr>
        <w:rPr>
          <w:rFonts w:ascii="Arial" w:cs="Arial" w:eastAsia="Arial" w:hAnsi="Arial"/>
          <w:sz w:val="19"/>
          <w:szCs w:val="19"/>
          <w:color w:val="auto"/>
        </w:rPr>
      </w:pPr>
      <w:r>
        <w:rPr>
          <w:rFonts w:ascii="Arial" w:cs="Arial" w:eastAsia="Arial" w:hAnsi="Arial"/>
          <w:sz w:val="19"/>
          <w:szCs w:val="19"/>
          <w:color w:val="auto"/>
        </w:rPr>
        <w:t>to ensure that no limitations or exclusions as to pre-existing conditions, evidence of insurability or good health, waiting periods or actively-at-work exclusions, or other limitations or restrictions on coverage are applicable to any Company Employees or their dependents or beneficiaries under any health and welfare benefit plans in which such employees may be eligible to participate and (ii) to provide or cause to be provided any costs or expenses incurred by Company Employees (and their dependents or beneficiaries) up to (and including) the Closing will be taken into account for purposes of satisfying applicable deductible, co-payment, coinsurance, maximum out-of-pocket provisions, and like adjustments or limitations on coverage under any such health and welfare benefit plans.</w:t>
      </w:r>
    </w:p>
    <w:p>
      <w:pPr>
        <w:spacing w:after="0" w:line="159" w:lineRule="exact"/>
        <w:rPr>
          <w:rFonts w:ascii="Arial" w:cs="Arial" w:eastAsia="Arial" w:hAnsi="Arial"/>
          <w:sz w:val="19"/>
          <w:szCs w:val="19"/>
          <w:color w:val="auto"/>
        </w:rPr>
      </w:pPr>
    </w:p>
    <w:p>
      <w:pPr>
        <w:jc w:val="both"/>
        <w:ind w:left="8" w:firstLine="789"/>
        <w:spacing w:after="0" w:line="275" w:lineRule="auto"/>
        <w:tabs>
          <w:tab w:leader="none" w:pos="1705" w:val="left"/>
        </w:tabs>
        <w:numPr>
          <w:ilvl w:val="1"/>
          <w:numId w:val="98"/>
        </w:numPr>
        <w:rPr>
          <w:rFonts w:ascii="Arial" w:cs="Arial" w:eastAsia="Arial" w:hAnsi="Arial"/>
          <w:sz w:val="19"/>
          <w:szCs w:val="19"/>
          <w:color w:val="auto"/>
        </w:rPr>
      </w:pPr>
      <w:r>
        <w:rPr>
          <w:rFonts w:ascii="Arial" w:cs="Arial" w:eastAsia="Arial" w:hAnsi="Arial"/>
          <w:sz w:val="19"/>
          <w:szCs w:val="19"/>
          <w:color w:val="auto"/>
        </w:rPr>
        <w:t>With respect to each employee benefit plan, policy, allowance, or practice, including severance, vacation, and paid time off plans, policies, allowances, or practices, sponsored or maintained by the Companies or their Affiliates (excluding equity or equity-based, defined benefit, retiree health or welfare, change in control and retention benefits), Purchaser will cause the Companies to grant, or cause to be granted to, all Company Employees from and after the Closing credit for all service with the Companies, and their respective predecessors, prior to the Closing for all purposes (including eligibility to participate, vesting credit, eligibility to commence benefits, benefit accrual, early retirement subsidies, and severance), provided that no such credit shall be granted to the extent it results in the duplication of benefits or compensation for the same period of service.</w:t>
      </w:r>
    </w:p>
    <w:p>
      <w:pPr>
        <w:spacing w:after="0" w:line="157" w:lineRule="exact"/>
        <w:rPr>
          <w:sz w:val="20"/>
          <w:szCs w:val="20"/>
          <w:color w:val="auto"/>
        </w:rPr>
      </w:pPr>
    </w:p>
    <w:p>
      <w:pPr>
        <w:ind w:left="4648"/>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75565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550" w:right="339" w:bottom="1440" w:gutter="0" w:footer="0" w:header="0"/>
        </w:sectPr>
      </w:pPr>
    </w:p>
    <w:bookmarkStart w:id="167" w:name="page168"/>
    <w:bookmarkEnd w:id="167"/>
    <w:p>
      <w:pPr>
        <w:jc w:val="both"/>
        <w:ind w:left="880" w:firstLine="789"/>
        <w:spacing w:after="0" w:line="277" w:lineRule="auto"/>
        <w:tabs>
          <w:tab w:leader="none" w:pos="2565" w:val="left"/>
        </w:tabs>
        <w:numPr>
          <w:ilvl w:val="0"/>
          <w:numId w:val="99"/>
        </w:numPr>
        <w:rPr>
          <w:rFonts w:ascii="Arial" w:cs="Arial" w:eastAsia="Arial" w:hAnsi="Arial"/>
          <w:sz w:val="19"/>
          <w:szCs w:val="19"/>
          <w:color w:val="auto"/>
        </w:rPr>
      </w:pPr>
      <w:r>
        <w:rPr>
          <w:rFonts w:ascii="Arial" w:cs="Arial" w:eastAsia="Arial" w:hAnsi="Arial"/>
          <w:sz w:val="19"/>
          <w:szCs w:val="19"/>
          <w:color w:val="auto"/>
        </w:rPr>
        <w:t xml:space="preserve">Nothing in this Agreement, whether express or implied, will: (i) confer upon any Company Employee (or beneficiary thereof) any rights or remedies, including any right to employment or continued employment for any period or terms of employment, (ii) be interpreted to prevent or restrict the Companies or Purchaser (or Affiliate thereof) from modifying or terminating the employment or terms of employment of any Company Employee (including the amendment or termination of any employee benefit or compensation plan, program or arrangement, after the Closing Date, subject to the provisions of this </w:t>
      </w:r>
      <w:r>
        <w:rPr>
          <w:rFonts w:ascii="Arial" w:cs="Arial" w:eastAsia="Arial" w:hAnsi="Arial"/>
          <w:sz w:val="19"/>
          <w:szCs w:val="19"/>
          <w:u w:val="single" w:color="auto"/>
          <w:color w:val="auto"/>
        </w:rPr>
        <w:t>Section 6.9</w:t>
      </w:r>
      <w:r>
        <w:rPr>
          <w:rFonts w:ascii="Arial" w:cs="Arial" w:eastAsia="Arial" w:hAnsi="Arial"/>
          <w:sz w:val="19"/>
          <w:szCs w:val="19"/>
          <w:color w:val="auto"/>
        </w:rPr>
        <w:t>), or (iii) be treated as an amendment or other modification of any Employee Benefit Plan or other employee benefit plan or arrangement.</w:t>
      </w:r>
    </w:p>
    <w:p>
      <w:pPr>
        <w:spacing w:after="0" w:line="152"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Payoff Letters</w:t>
      </w:r>
      <w:r>
        <w:rPr>
          <w:rFonts w:ascii="Arial" w:cs="Arial" w:eastAsia="Arial" w:hAnsi="Arial"/>
          <w:sz w:val="19"/>
          <w:szCs w:val="19"/>
          <w:color w:val="auto"/>
        </w:rPr>
        <w:t>. Seller or the Companies will have obtained and delivered to Purchaser at least two</w:t>
      </w:r>
    </w:p>
    <w:p>
      <w:pPr>
        <w:spacing w:after="0" w:line="8" w:lineRule="exact"/>
        <w:rPr>
          <w:sz w:val="20"/>
          <w:szCs w:val="20"/>
          <w:color w:val="auto"/>
        </w:rPr>
      </w:pPr>
    </w:p>
    <w:p>
      <w:pPr>
        <w:jc w:val="both"/>
        <w:ind w:firstLine="8"/>
        <w:spacing w:after="0" w:line="277" w:lineRule="auto"/>
        <w:tabs>
          <w:tab w:leader="none" w:pos="3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Business Days prior to the Closing Date payoff letters or evidence of termination of any revolving loan or credit facility, as applicable, with respect to any Estimated Indebtedness set forth in </w:t>
      </w:r>
      <w:r>
        <w:rPr>
          <w:rFonts w:ascii="Arial" w:cs="Arial" w:eastAsia="Arial" w:hAnsi="Arial"/>
          <w:sz w:val="19"/>
          <w:szCs w:val="19"/>
          <w:u w:val="single" w:color="auto"/>
          <w:color w:val="auto"/>
        </w:rPr>
        <w:t>Schedule 2.3(c)(i)</w:t>
      </w:r>
      <w:r>
        <w:rPr>
          <w:rFonts w:ascii="Arial" w:cs="Arial" w:eastAsia="Arial" w:hAnsi="Arial"/>
          <w:sz w:val="19"/>
          <w:szCs w:val="19"/>
          <w:color w:val="auto"/>
        </w:rPr>
        <w:t>, which shall provide for release and termination of all security interests in respect of such indebtedness upon the applicable holders’ receipt of the applicable payoff amounts, and customary release letters, lien terminations (including UCC-3 financing statements) or other instruments in form and substance sufficient to secure the complete discharge and termination of any liens securing such indebtedness.</w:t>
      </w:r>
    </w:p>
    <w:p>
      <w:pPr>
        <w:spacing w:after="0" w:line="152"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RWI Policy</w:t>
      </w:r>
      <w:r>
        <w:rPr>
          <w:rFonts w:ascii="Arial" w:cs="Arial" w:eastAsia="Arial" w:hAnsi="Arial"/>
          <w:sz w:val="19"/>
          <w:szCs w:val="19"/>
          <w:color w:val="auto"/>
        </w:rPr>
        <w:t>. Immediately after the execution and delivery of this Agreement, Purchaser will instruct the insurer(s) and underwriter of the RWI Policy to bind the RWI Policy, and Purchaser will fulfill as soon as practicable all contingencies or conditions included in the RWI Policy Binder Agreement and will otherwise use commercially reasonable efforts to ensure that the RWI Policy is issued as soon as practicable thereafter. Purchaser may not amend, terminate, modify, or permit to lapse the RWI Policy or the RWI Policy Binder Agreement in a manner that would adversely affect Seller without the prior written consent of Seller or otherwise take any action that could reasonably be expected to result in the failure of the RWI Policy to be issued in accordance with the terms of the RWI Policy Binder Agreement. Purchaser will deliver to Seller (a) a copy of the RWI Policy Binder Agreement promptly after the binding of the RWI Policy; (b) a copy of the RWI Policy promptly after the issuance of the RWI Policy; and (c) each amendment to the RWI Policy promptly after the adoption thereof.</w:t>
      </w:r>
    </w:p>
    <w:p>
      <w:pPr>
        <w:spacing w:after="0" w:line="15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Exclusivity</w:t>
      </w:r>
      <w:r>
        <w:rPr>
          <w:rFonts w:ascii="Arial" w:cs="Arial" w:eastAsia="Arial" w:hAnsi="Arial"/>
          <w:sz w:val="19"/>
          <w:szCs w:val="19"/>
          <w:color w:val="auto"/>
        </w:rPr>
        <w:t>. During the period from the date of this Agreement until the earlier of the Closing Date or the termination of this Agreement in accordance with its terms, neither Seller nor the Companies will, or permit any of their respective Affiliates, officers, directors, representatives, consultants, financial advisors, attorneys, accountants or other agents to:</w:t>
      </w:r>
    </w:p>
    <w:p>
      <w:pPr>
        <w:spacing w:after="0" w:line="1" w:lineRule="exact"/>
        <w:rPr>
          <w:sz w:val="20"/>
          <w:szCs w:val="20"/>
          <w:color w:val="auto"/>
        </w:rPr>
      </w:pPr>
    </w:p>
    <w:p>
      <w:pPr>
        <w:jc w:val="both"/>
        <w:ind w:firstLine="8"/>
        <w:spacing w:after="0" w:line="243" w:lineRule="auto"/>
        <w:tabs>
          <w:tab w:leader="none" w:pos="31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solicit, initiate discussions or engage in negotiations with any Person (whether such negotiations are initiated by Seller, the Companies, an Affiliate of the Companies or Seller, a third party or otherwise), other than Purchaser or its Affiliates, relating to the possible acquisition of any material portion of the equity or assets of Seller or the Companies (whether by way of merger, purchase of equity, purchase of assets, loan or otherwise) or a refinancing or recapitalization of the Companies or Seller (an “</w:t>
      </w:r>
      <w:r>
        <w:rPr>
          <w:rFonts w:ascii="Arial" w:cs="Arial" w:eastAsia="Arial" w:hAnsi="Arial"/>
          <w:sz w:val="21"/>
          <w:szCs w:val="21"/>
          <w:u w:val="single" w:color="auto"/>
          <w:color w:val="auto"/>
        </w:rPr>
        <w:t>Acquisition Transaction</w:t>
      </w:r>
      <w:r>
        <w:rPr>
          <w:rFonts w:ascii="Arial" w:cs="Arial" w:eastAsia="Arial" w:hAnsi="Arial"/>
          <w:sz w:val="21"/>
          <w:szCs w:val="21"/>
          <w:color w:val="auto"/>
        </w:rPr>
        <w:t xml:space="preserve">”); (b) provide non-public information or documentation with respect to the Companies to any Person, other than Purchaser or its Affiliates or its or their respective representatives, relating to an Acquisition Transaction; or (c) enter into any definitive agreement with any Person, other than Purchaser or its Affiliates effecting an Acquisition Transaction;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Purchaser hereby acknowledges that prior to the date of this Agreement, Seller and the Companies have provided information relating to Seller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8" w:name="page169"/>
    <w:bookmarkEnd w:id="168"/>
    <w:p>
      <w:pPr>
        <w:jc w:val="both"/>
        <w:spacing w:after="0" w:line="257" w:lineRule="auto"/>
        <w:rPr>
          <w:sz w:val="20"/>
          <w:szCs w:val="20"/>
          <w:color w:val="auto"/>
        </w:rPr>
      </w:pPr>
      <w:r>
        <w:rPr>
          <w:rFonts w:ascii="Arial" w:cs="Arial" w:eastAsia="Arial" w:hAnsi="Arial"/>
          <w:sz w:val="21"/>
          <w:szCs w:val="21"/>
          <w:color w:val="auto"/>
        </w:rPr>
        <w:t xml:space="preserve">the Companies and have afforded access to, and engaged in discussions with, other Persons in connection with a proposed Acquisition Transaction and that such information, access and discussions could reasonably allow the Person to form a basis for an Acquisition Transaction without any breach by Seller or the Companies of this </w:t>
      </w:r>
      <w:r>
        <w:rPr>
          <w:rFonts w:ascii="Arial" w:cs="Arial" w:eastAsia="Arial" w:hAnsi="Arial"/>
          <w:sz w:val="21"/>
          <w:szCs w:val="21"/>
          <w:u w:val="single" w:color="auto"/>
          <w:color w:val="auto"/>
        </w:rPr>
        <w:t>Section 6.12</w:t>
      </w:r>
      <w:r>
        <w:rPr>
          <w:rFonts w:ascii="Arial" w:cs="Arial" w:eastAsia="Arial" w:hAnsi="Arial"/>
          <w:sz w:val="21"/>
          <w:szCs w:val="21"/>
          <w:color w:val="auto"/>
        </w:rPr>
        <w:t>.</w:t>
      </w:r>
    </w:p>
    <w:p>
      <w:pPr>
        <w:spacing w:after="0" w:line="169"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22"/>
          <w:szCs w:val="22"/>
          <w:color w:val="auto"/>
        </w:rPr>
        <w:t>Section 6.13</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06" w:lineRule="exact"/>
        <w:rPr>
          <w:sz w:val="20"/>
          <w:szCs w:val="20"/>
          <w:color w:val="auto"/>
        </w:rPr>
      </w:pPr>
    </w:p>
    <w:p>
      <w:pPr>
        <w:jc w:val="both"/>
        <w:ind w:left="880" w:firstLine="789"/>
        <w:spacing w:after="0" w:line="297" w:lineRule="auto"/>
        <w:tabs>
          <w:tab w:leader="none" w:pos="2565"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At any time and from time to time after the Closing, Purchaser and Seller will execute and deliver all documents, instruments, agreements, assignments, and assurances and take and do all such other actions and things as may be reasonably requested by the other Parties to carry out the transactions contemplated by this Agreement.</w:t>
      </w:r>
    </w:p>
    <w:p>
      <w:pPr>
        <w:spacing w:after="0" w:line="133" w:lineRule="exact"/>
        <w:rPr>
          <w:rFonts w:ascii="Arial" w:cs="Arial" w:eastAsia="Arial" w:hAnsi="Arial"/>
          <w:sz w:val="19"/>
          <w:szCs w:val="19"/>
          <w:color w:val="auto"/>
        </w:rPr>
      </w:pPr>
    </w:p>
    <w:p>
      <w:pPr>
        <w:jc w:val="both"/>
        <w:ind w:left="880" w:firstLine="789"/>
        <w:spacing w:after="0" w:line="270" w:lineRule="auto"/>
        <w:tabs>
          <w:tab w:leader="none" w:pos="257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In addition, prior to (subject to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and until the one (1) year anniversary of, the Closing, Seller will provide to Purchaser information reasonably requested by Purchaser that is not already in Purchaser’s or the Companies’ possession to enable Purchaser’s parent to make any required filing with the Securities and Exchange Commission in connection with a filing under Rule 3-05 of Regulation S-X of the Securities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requested cooperation or provision of information will not unreasonably interfere with the business or ongoing operations of Seller or any Company or be required if such cooperation causes any representation or warranty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to be breached or causes any closing condition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to fail to be satisfied or otherwise causes the breach of this Agreement or any Contract by the applicable Company party thereto. All such cooperation or assistance by Seller contemplated by this </w:t>
      </w:r>
      <w:r>
        <w:rPr>
          <w:rFonts w:ascii="Arial" w:cs="Arial" w:eastAsia="Arial" w:hAnsi="Arial"/>
          <w:sz w:val="19"/>
          <w:szCs w:val="19"/>
          <w:u w:val="single" w:color="auto"/>
          <w:color w:val="auto"/>
        </w:rPr>
        <w:t>Section 6.13(b)</w:t>
      </w:r>
      <w:r>
        <w:rPr>
          <w:rFonts w:ascii="Arial" w:cs="Arial" w:eastAsia="Arial" w:hAnsi="Arial"/>
          <w:sz w:val="19"/>
          <w:szCs w:val="19"/>
          <w:color w:val="auto"/>
        </w:rPr>
        <w:t xml:space="preserve"> will be at Purchaser’s sole cost and expense. Purchaser will promptly reimburse Seller and the Companies (as applicable) for any expenses and costs incurred in connection with Seller’s obligations under this </w:t>
      </w:r>
      <w:r>
        <w:rPr>
          <w:rFonts w:ascii="Arial" w:cs="Arial" w:eastAsia="Arial" w:hAnsi="Arial"/>
          <w:sz w:val="19"/>
          <w:szCs w:val="19"/>
          <w:u w:val="single" w:color="auto"/>
          <w:color w:val="auto"/>
        </w:rPr>
        <w:t>Section 6.13(b)</w:t>
      </w:r>
      <w:r>
        <w:rPr>
          <w:rFonts w:ascii="Arial" w:cs="Arial" w:eastAsia="Arial" w:hAnsi="Arial"/>
          <w:sz w:val="19"/>
          <w:szCs w:val="19"/>
          <w:color w:val="auto"/>
        </w:rPr>
        <w:t xml:space="preserve"> and will indemnify and hold harmless the Seller, the Companies and their respective equityholders, directors, officers, employees, representatives, attorneys and advisors from and against any and all liabilities, losses, damages, claims, costs or expenses suffered or incurred by any of them in connection with Seller’s obligations or actions taken in accordance with this </w:t>
      </w:r>
      <w:r>
        <w:rPr>
          <w:rFonts w:ascii="Arial" w:cs="Arial" w:eastAsia="Arial" w:hAnsi="Arial"/>
          <w:sz w:val="19"/>
          <w:szCs w:val="19"/>
          <w:u w:val="single" w:color="auto"/>
          <w:color w:val="auto"/>
        </w:rPr>
        <w:t>Section 6.13(b)</w:t>
      </w:r>
      <w:r>
        <w:rPr>
          <w:rFonts w:ascii="Arial" w:cs="Arial" w:eastAsia="Arial" w:hAnsi="Arial"/>
          <w:sz w:val="19"/>
          <w:szCs w:val="19"/>
          <w:color w:val="auto"/>
        </w:rPr>
        <w:t xml:space="preserve"> and any information utilized in connection therewith. Nothing in this </w:t>
      </w:r>
      <w:r>
        <w:rPr>
          <w:rFonts w:ascii="Arial" w:cs="Arial" w:eastAsia="Arial" w:hAnsi="Arial"/>
          <w:sz w:val="19"/>
          <w:szCs w:val="19"/>
          <w:u w:val="single" w:color="auto"/>
          <w:color w:val="auto"/>
        </w:rPr>
        <w:t>Section 6.13(b)</w:t>
      </w:r>
      <w:r>
        <w:rPr>
          <w:rFonts w:ascii="Arial" w:cs="Arial" w:eastAsia="Arial" w:hAnsi="Arial"/>
          <w:sz w:val="19"/>
          <w:szCs w:val="19"/>
          <w:color w:val="auto"/>
        </w:rPr>
        <w:t xml:space="preserve"> shall require Seller to provide Purchaser or its representatives with any information to the extent Seller reasonably determines in good faith that such information would disclose competitively sensitive information or information protected by attorney-client privilege or attorney work product doctrine.</w:t>
      </w:r>
    </w:p>
    <w:p>
      <w:pPr>
        <w:spacing w:after="0" w:line="200" w:lineRule="exact"/>
        <w:rPr>
          <w:sz w:val="20"/>
          <w:szCs w:val="20"/>
          <w:color w:val="auto"/>
        </w:rPr>
      </w:pPr>
    </w:p>
    <w:p>
      <w:pPr>
        <w:spacing w:after="0" w:line="211"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 xml:space="preserve">Section 6.14 </w:t>
      </w:r>
      <w:r>
        <w:rPr>
          <w:rFonts w:ascii="Arial" w:cs="Arial" w:eastAsia="Arial" w:hAnsi="Arial"/>
          <w:sz w:val="21"/>
          <w:szCs w:val="21"/>
          <w:u w:val="single" w:color="auto"/>
          <w:color w:val="auto"/>
        </w:rPr>
        <w:t>Ohio Workers’ Compensation Rebate</w:t>
      </w:r>
      <w:r>
        <w:rPr>
          <w:rFonts w:ascii="Arial" w:cs="Arial" w:eastAsia="Arial" w:hAnsi="Arial"/>
          <w:sz w:val="21"/>
          <w:szCs w:val="21"/>
          <w:color w:val="auto"/>
        </w:rPr>
        <w:t>. To the extent that the Companies have not received by the Closing Date the full amount of the rebate (in the form of a check or otherwise) that the Companies are entitled to receive from the Ohio Bureau of Workers’ Compensation (the “</w:t>
      </w:r>
      <w:r>
        <w:rPr>
          <w:rFonts w:ascii="Arial" w:cs="Arial" w:eastAsia="Arial" w:hAnsi="Arial"/>
          <w:sz w:val="21"/>
          <w:szCs w:val="21"/>
          <w:u w:val="single" w:color="auto"/>
          <w:color w:val="auto"/>
        </w:rPr>
        <w:t>Bureau</w:t>
      </w:r>
      <w:r>
        <w:rPr>
          <w:rFonts w:ascii="Arial" w:cs="Arial" w:eastAsia="Arial" w:hAnsi="Arial"/>
          <w:sz w:val="21"/>
          <w:szCs w:val="21"/>
          <w:color w:val="auto"/>
        </w:rPr>
        <w:t>”) in connection with the Bureau’s approval of a dividend on November 2, 2020 (the “</w:t>
      </w:r>
      <w:r>
        <w:rPr>
          <w:rFonts w:ascii="Arial" w:cs="Arial" w:eastAsia="Arial" w:hAnsi="Arial"/>
          <w:sz w:val="21"/>
          <w:szCs w:val="21"/>
          <w:u w:val="single" w:color="auto"/>
          <w:color w:val="auto"/>
        </w:rPr>
        <w:t>Rebate</w:t>
      </w:r>
      <w:r>
        <w:rPr>
          <w:rFonts w:ascii="Arial" w:cs="Arial" w:eastAsia="Arial" w:hAnsi="Arial"/>
          <w:sz w:val="21"/>
          <w:szCs w:val="21"/>
          <w:color w:val="auto"/>
        </w:rPr>
        <w:t>”), after the Closing Date and upon receipt of any such funds, Purchaser shall, and/or shall cause the Companies to, remit the full amount of any such Rebate received by the Companies to Seller as promptly as practicable (but in no event later than 3 Business Days) after any Companies’ receipt of such Rebate.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9" w:name="page170"/>
    <w:bookmarkEnd w:id="169"/>
    <w:p>
      <w:pPr>
        <w:ind w:left="4920"/>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TAX MATTERS</w:t>
      </w:r>
    </w:p>
    <w:p>
      <w:pPr>
        <w:spacing w:after="0" w:line="188"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 xml:space="preserve">Section 7.1 </w:t>
      </w:r>
      <w:r>
        <w:rPr>
          <w:rFonts w:ascii="Arial" w:cs="Arial" w:eastAsia="Arial" w:hAnsi="Arial"/>
          <w:sz w:val="22"/>
          <w:szCs w:val="22"/>
          <w:u w:val="single" w:color="auto"/>
          <w:color w:val="auto"/>
        </w:rPr>
        <w:t>Preparation and Filing of Tax Returns</w:t>
      </w:r>
      <w:r>
        <w:rPr>
          <w:rFonts w:ascii="Arial" w:cs="Arial" w:eastAsia="Arial" w:hAnsi="Arial"/>
          <w:sz w:val="22"/>
          <w:szCs w:val="22"/>
          <w:color w:val="auto"/>
        </w:rPr>
        <w:t>. Purchaser will prepare or cause to be prepared and file or cause to be filed all Tax Returns required to be filed by the Companies (which, for the sake of clarity, excludes Tax Returns of Seller) for all periods ending prior to, on, or including the Closing Date, but only if not filed on or prior to the Closing. All such Tax Returns will be prepared and filed consistent with the past practices of the Companies; provided that, notwithstanding any provision to the contrary, no position will be taken in any such Tax Return that is not supportable on a “more likely than not” basis. At least twenty (20) Business Days prior to the date on which each such Tax Return is filed, Purchaser will submit such Tax Return to Seller for Seller’s review and comments, but only to the extent such Tax Returns will be filed prior to the determination of Closing Indebtedness and Final Net Working Capital. Purchaser will make any changes reasonably requested by Seller.</w:t>
      </w:r>
    </w:p>
    <w:p>
      <w:pPr>
        <w:spacing w:after="0" w:line="193"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Apportionment of Taxes</w:t>
      </w:r>
      <w:r>
        <w:rPr>
          <w:rFonts w:ascii="Arial" w:cs="Arial" w:eastAsia="Arial" w:hAnsi="Arial"/>
          <w:sz w:val="21"/>
          <w:szCs w:val="21"/>
          <w:color w:val="auto"/>
        </w:rPr>
        <w:t>. All Taxes with respect to the Companies that relate to a Straddle Period will be apportioned between the Pre-Closing Tax Period and the post-Closing portion of the Straddle Period as follows: (a) in the case of Taxes that are based upon or measured by reference to income, receipts, profits, sales, or payroll, such Taxes apportioned to the Pre-Closing Tax Period will be deemed equal to the amount which would be payable if the Tax year (or other Tax reporting period to the extent such Taxes are reported and paid other than on an annual basis) ended at the end of the day on the Closing Date; and (b) in the case of all other Taxes, such Taxes apportioned to the Pre-Closing Tax Period will be deemed to be the amount of such Taxes for the entire period (or, in the case of such Taxes determined on an arrears basis, the amount of such Taxes for the immediately preceding period), multiplied by a fraction, the numerator of which is the number of calendar days in the period ending on and including the Closing Date and the denominator of which is the number of calendar days in the entire period.</w:t>
      </w:r>
    </w:p>
    <w:p>
      <w:pPr>
        <w:spacing w:after="0" w:line="18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u w:val="single" w:color="auto"/>
          <w:color w:val="auto"/>
        </w:rPr>
        <w:t>Transfer Taxes</w:t>
      </w:r>
      <w:r>
        <w:rPr>
          <w:rFonts w:ascii="Arial" w:cs="Arial" w:eastAsia="Arial" w:hAnsi="Arial"/>
          <w:sz w:val="22"/>
          <w:szCs w:val="22"/>
          <w:color w:val="auto"/>
        </w:rPr>
        <w:t>. Purchaser will pay, and will indemnify and hold Seller harmless against, any transfer, documentary, sales, use, registration, and real property transfer or gains tax, stamp tax, excise tax, stock transfer tax, or other similar Tax imposed on any Company or Seller as a result of the transactions contemplated by this Agreement (collectively, “</w:t>
      </w:r>
      <w:r>
        <w:rPr>
          <w:rFonts w:ascii="Arial" w:cs="Arial" w:eastAsia="Arial" w:hAnsi="Arial"/>
          <w:sz w:val="22"/>
          <w:szCs w:val="22"/>
          <w:u w:val="single" w:color="auto"/>
          <w:color w:val="auto"/>
        </w:rPr>
        <w:t>Transfer Taxes</w:t>
      </w:r>
      <w:r>
        <w:rPr>
          <w:rFonts w:ascii="Arial" w:cs="Arial" w:eastAsia="Arial" w:hAnsi="Arial"/>
          <w:sz w:val="22"/>
          <w:szCs w:val="22"/>
          <w:color w:val="auto"/>
        </w:rPr>
        <w:t>”), and any penalties or interest with respect to the Transfer Taxes. Seller will cooperate with Purchaser in the filing of any returns with respect to the Transfer Taxes, including by promptly supplying any information in its possession that is reasonably necessary to complete such returns.</w:t>
      </w:r>
    </w:p>
    <w:p>
      <w:pPr>
        <w:spacing w:after="0" w:line="18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Filing and Amendment of Tax Returns</w:t>
      </w:r>
      <w:r>
        <w:rPr>
          <w:rFonts w:ascii="Arial" w:cs="Arial" w:eastAsia="Arial" w:hAnsi="Arial"/>
          <w:sz w:val="19"/>
          <w:szCs w:val="19"/>
          <w:color w:val="auto"/>
        </w:rPr>
        <w:t xml:space="preserve">. Prior to the determination of Final Closing Indebtedness and Final Net Working Capital, without the prior written consent of Seller (which may be withheld for any reason or for no reason), Purchaser will not (a) except for Tax Returns that are filed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in jurisdictions where the Companies have previously filed Tax Returns, file or amend or permit any member of the Companies to file or amend any Tax Return relating to a Pre-Closing Tax Period, (b) with respect to Tax Returns filed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after the date such Tax Returns are filed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amend or permit any Company to amend any such Tax Return, (c) make or change any Tax election or accounting method or practice with respect to, or that has retroactive effect to, any Pre-Closing Tax Period, or (d) initiate any voluntary disclosure proceeding relating to a Pre-Closing Tax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0" w:name="page171"/>
    <w:bookmarkEnd w:id="170"/>
    <w:p>
      <w:pPr>
        <w:jc w:val="both"/>
        <w:ind w:firstLine="864"/>
        <w:spacing w:after="0" w:line="245" w:lineRule="auto"/>
        <w:rPr>
          <w:sz w:val="20"/>
          <w:szCs w:val="20"/>
          <w:color w:val="auto"/>
        </w:rPr>
      </w:pPr>
      <w:r>
        <w:rPr>
          <w:rFonts w:ascii="Arial" w:cs="Arial" w:eastAsia="Arial" w:hAnsi="Arial"/>
          <w:sz w:val="21"/>
          <w:szCs w:val="21"/>
          <w:color w:val="auto"/>
        </w:rPr>
        <w:t xml:space="preserve">Section 7.5 </w:t>
      </w:r>
      <w:r>
        <w:rPr>
          <w:rFonts w:ascii="Arial" w:cs="Arial" w:eastAsia="Arial" w:hAnsi="Arial"/>
          <w:sz w:val="21"/>
          <w:szCs w:val="21"/>
          <w:u w:val="single" w:color="auto"/>
          <w:color w:val="auto"/>
        </w:rPr>
        <w:t>Tax Refunds</w:t>
      </w:r>
      <w:r>
        <w:rPr>
          <w:rFonts w:ascii="Arial" w:cs="Arial" w:eastAsia="Arial" w:hAnsi="Arial"/>
          <w:sz w:val="21"/>
          <w:szCs w:val="21"/>
          <w:color w:val="auto"/>
        </w:rPr>
        <w:t>. Except to the extent reflected as an asset in Final Net Working Capital, any Tax refunds that are received by Purchaser or any Company, and any amounts credited against Tax to which Purchaser or any Company becomes entitled in a Tax period ending after the Closing Date, in each case, that relate to Ohio commercial activity Taxes for Tax periods or portions thereof ending on or before the Closing Date will be for the account of Seller. Purchaser will pay over to Seller any such refund or the amount of any such credit within five (5) days after actual receipt of such refund or entitlement to such credit against Taxes. In addition, if the amount of City of Columbus income Taxes for the taxable period beginning on January 1, 2020 and ending on the Closing Date included in Accrued Identified Taxes exceeds the actual amount of such Taxes, then Purchaser shall pay Seller the amount of such excess within five (5) days after the City of Columbus municipal income Tax Return for 2020 is filed.</w:t>
      </w:r>
    </w:p>
    <w:p>
      <w:pPr>
        <w:spacing w:after="0" w:line="184"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u w:val="single" w:color="auto"/>
          <w:color w:val="auto"/>
        </w:rPr>
        <w:t>Tax Allocation</w:t>
      </w:r>
      <w:r>
        <w:rPr>
          <w:rFonts w:ascii="Arial" w:cs="Arial" w:eastAsia="Arial" w:hAnsi="Arial"/>
          <w:sz w:val="19"/>
          <w:szCs w:val="19"/>
          <w:color w:val="auto"/>
        </w:rPr>
        <w:t>. The Adjusted Closing Payment payable to Seller, together with all assumed liabilities and other capitalized costs for federal income Tax purposes, will be allocated among the Companies and the assets of the Companies for all Tax purposes in accordance with Section 1060 of the Code and the Treasury Regulations promulgated thereunder and the methodology (the “</w:t>
      </w:r>
      <w:r>
        <w:rPr>
          <w:rFonts w:ascii="Arial" w:cs="Arial" w:eastAsia="Arial" w:hAnsi="Arial"/>
          <w:sz w:val="19"/>
          <w:szCs w:val="19"/>
          <w:u w:val="single" w:color="auto"/>
          <w:color w:val="auto"/>
        </w:rPr>
        <w:t>Allocation Methodology</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7.6</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Allocation</w:t>
      </w:r>
      <w:r>
        <w:rPr>
          <w:rFonts w:ascii="Arial" w:cs="Arial" w:eastAsia="Arial" w:hAnsi="Arial"/>
          <w:sz w:val="19"/>
          <w:szCs w:val="19"/>
          <w:color w:val="auto"/>
        </w:rPr>
        <w:t>”). No later than thirty</w:t>
      </w:r>
    </w:p>
    <w:p>
      <w:pPr>
        <w:spacing w:after="0" w:line="3" w:lineRule="exact"/>
        <w:rPr>
          <w:sz w:val="20"/>
          <w:szCs w:val="20"/>
          <w:color w:val="auto"/>
        </w:rPr>
      </w:pPr>
    </w:p>
    <w:p>
      <w:pPr>
        <w:jc w:val="both"/>
        <w:ind w:firstLine="8"/>
        <w:spacing w:after="0" w:line="269" w:lineRule="auto"/>
        <w:tabs>
          <w:tab w:leader="none" w:pos="42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days after the determination of the final determination of the Adjusted Closing Payment pursuant to </w:t>
      </w:r>
      <w:r>
        <w:rPr>
          <w:rFonts w:ascii="Arial" w:cs="Arial" w:eastAsia="Arial" w:hAnsi="Arial"/>
          <w:sz w:val="19"/>
          <w:szCs w:val="19"/>
          <w:u w:val="single" w:color="auto"/>
          <w:color w:val="auto"/>
        </w:rPr>
        <w:t>Section 2.4</w:t>
      </w:r>
      <w:r>
        <w:rPr>
          <w:rFonts w:ascii="Arial" w:cs="Arial" w:eastAsia="Arial" w:hAnsi="Arial"/>
          <w:sz w:val="19"/>
          <w:szCs w:val="19"/>
          <w:color w:val="auto"/>
        </w:rPr>
        <w:t>, Purchaser will provide Seller with a draft schedule of the Allocation prepared in accordance with the Allocation Methodology (the “</w:t>
      </w:r>
      <w:r>
        <w:rPr>
          <w:rFonts w:ascii="Arial" w:cs="Arial" w:eastAsia="Arial" w:hAnsi="Arial"/>
          <w:sz w:val="19"/>
          <w:szCs w:val="19"/>
          <w:u w:val="single" w:color="auto"/>
          <w:color w:val="auto"/>
        </w:rPr>
        <w:t>Draft</w:t>
      </w:r>
      <w:r>
        <w:rPr>
          <w:rFonts w:ascii="Arial" w:cs="Arial" w:eastAsia="Arial" w:hAnsi="Arial"/>
          <w:sz w:val="19"/>
          <w:szCs w:val="19"/>
          <w:color w:val="auto"/>
        </w:rPr>
        <w:t xml:space="preserve"> </w:t>
      </w:r>
      <w:r>
        <w:rPr>
          <w:rFonts w:ascii="Arial" w:cs="Arial" w:eastAsia="Arial" w:hAnsi="Arial"/>
          <w:sz w:val="19"/>
          <w:szCs w:val="19"/>
          <w:u w:val="single" w:color="auto"/>
          <w:color w:val="auto"/>
        </w:rPr>
        <w:t>Allocation Schedule</w:t>
      </w:r>
      <w:r>
        <w:rPr>
          <w:rFonts w:ascii="Arial" w:cs="Arial" w:eastAsia="Arial" w:hAnsi="Arial"/>
          <w:sz w:val="19"/>
          <w:szCs w:val="19"/>
          <w:color w:val="auto"/>
        </w:rPr>
        <w:t xml:space="preserve">”). If Seller objects to any item on such Draft Allocation Schedule, Seller shall, within thirty (30) days after delivery of such Draft Allocation Schedule, notify Purchaser in writing that Seller so objects, describing with reasonable detail any such item, including the factual or legal basis for any such objection. If a notice of objection shall be duly delivered, Purchaser and Seller shall negotiate in good faith and use their commercially reasonable efforts to resolve such items. If such notice of objection is not so duly delivered, or if Purchaser and Seller are able to agree on a resolution on all disputed items in the Draft Allocation Schedule, then the Draft Allocation Schedule, as initially prepared by Purchaser pursuant to this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or as modified in accordance with such resolution, shall be the final determination of the Allocation (the “</w:t>
      </w:r>
      <w:r>
        <w:rPr>
          <w:rFonts w:ascii="Arial" w:cs="Arial" w:eastAsia="Arial" w:hAnsi="Arial"/>
          <w:sz w:val="19"/>
          <w:szCs w:val="19"/>
          <w:u w:val="single" w:color="auto"/>
          <w:color w:val="auto"/>
        </w:rPr>
        <w:t>Final Allocation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If Purchaser and Seller are unable to agree on a resolution to any disputed items within ten (10) Business Days after the expiration of the foregoing thirty (30) day period, such unresolved disputed items shall be submitted to the Accountant for resolution in accordance with the dispute resolution procedures set forth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(provided that, any fees and expenses of the Accountant incurred in connection with the determination of the Final Allocation Schedule pursuant to this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shall be borne 50% by Purchaser and 50% by the Seller), which resolution shall be made in accordance with the provisions of the first sentence of this </w:t>
      </w:r>
      <w:r>
        <w:rPr>
          <w:rFonts w:ascii="Arial" w:cs="Arial" w:eastAsia="Arial" w:hAnsi="Arial"/>
          <w:sz w:val="19"/>
          <w:szCs w:val="19"/>
          <w:u w:val="single" w:color="auto"/>
          <w:color w:val="auto"/>
        </w:rPr>
        <w:t>Section 7.6</w:t>
      </w:r>
      <w:r>
        <w:rPr>
          <w:rFonts w:ascii="Arial" w:cs="Arial" w:eastAsia="Arial" w:hAnsi="Arial"/>
          <w:sz w:val="19"/>
          <w:szCs w:val="19"/>
          <w:color w:val="auto"/>
        </w:rPr>
        <w:t>, shall be limited to the remaining unresolved disputed items and shall be conclusive and binding upon the Parties. In such case, the Draft Allocation Schedule, as modified by the Accountant in accordance with the immediately preceding sentence, shall be the Final Allocation Schedule.</w:t>
      </w:r>
    </w:p>
    <w:p>
      <w:pPr>
        <w:spacing w:after="0" w:line="200" w:lineRule="exact"/>
        <w:rPr>
          <w:sz w:val="20"/>
          <w:szCs w:val="20"/>
          <w:color w:val="auto"/>
        </w:rPr>
      </w:pPr>
    </w:p>
    <w:p>
      <w:pPr>
        <w:spacing w:after="0" w:line="21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Section 7.7 </w:t>
      </w:r>
      <w:r>
        <w:rPr>
          <w:rFonts w:ascii="Arial" w:cs="Arial" w:eastAsia="Arial" w:hAnsi="Arial"/>
          <w:sz w:val="22"/>
          <w:szCs w:val="22"/>
          <w:u w:val="single" w:color="auto"/>
          <w:color w:val="auto"/>
        </w:rPr>
        <w:t>Cooperation and Exchange of Information</w:t>
      </w:r>
      <w:r>
        <w:rPr>
          <w:rFonts w:ascii="Arial" w:cs="Arial" w:eastAsia="Arial" w:hAnsi="Arial"/>
          <w:sz w:val="22"/>
          <w:szCs w:val="22"/>
          <w:color w:val="auto"/>
        </w:rPr>
        <w:t>. Seller and Purchaser shall provide each other with such cooperation and information as either of them reasonably may request of the other in filing any Tax Return of the Companies or in connection with any audit or other proceeding in respect of Taxes of the Companies. Such cooperation and information shall include providing copies of relevant Tax Returns or portions thereof, together with accompanying schedules, related work papers and documents relating to rulings or other determinations by tax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1" w:name="page172"/>
    <w:bookmarkEnd w:id="171"/>
    <w:p>
      <w:pPr>
        <w:jc w:val="both"/>
        <w:spacing w:after="0" w:line="287" w:lineRule="auto"/>
        <w:rPr>
          <w:sz w:val="20"/>
          <w:szCs w:val="20"/>
          <w:color w:val="auto"/>
        </w:rPr>
      </w:pPr>
      <w:r>
        <w:rPr>
          <w:rFonts w:ascii="Arial" w:cs="Arial" w:eastAsia="Arial" w:hAnsi="Arial"/>
          <w:sz w:val="19"/>
          <w:szCs w:val="19"/>
          <w:color w:val="auto"/>
        </w:rPr>
        <w:t>authorities. Each of Seller and Purchaser shall retain all Tax Returns, schedules and work papers, records and other documents in its possession relating to Tax matters of the Companies for any taxable period beginning before the Closing Date until the expiration of the statute of limitations of the taxable periods to which such Tax Returns and other documents relate, without regard to extensions except to the extent notified by the other Party in writing of such extensions for the respective Tax periods.</w:t>
      </w:r>
    </w:p>
    <w:p>
      <w:pPr>
        <w:spacing w:after="0" w:line="137"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CONDITIONS</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Conditions to Obligations of Each Party</w:t>
      </w:r>
      <w:r>
        <w:rPr>
          <w:rFonts w:ascii="Arial" w:cs="Arial" w:eastAsia="Arial" w:hAnsi="Arial"/>
          <w:sz w:val="22"/>
          <w:szCs w:val="22"/>
          <w:color w:val="auto"/>
        </w:rPr>
        <w:t>. The respective obligations of each party to this Agreement to effect the transactions contemplated hereby will be subject to the satisfaction (or waiver by the party entitled to the benefit thereof to the extent permitted by Law) at or prior to the Closing of the following conditions:</w:t>
      </w:r>
    </w:p>
    <w:p>
      <w:pPr>
        <w:spacing w:after="0" w:line="186" w:lineRule="exact"/>
        <w:rPr>
          <w:sz w:val="20"/>
          <w:szCs w:val="20"/>
          <w:color w:val="auto"/>
        </w:rPr>
      </w:pPr>
    </w:p>
    <w:p>
      <w:pPr>
        <w:jc w:val="both"/>
        <w:ind w:left="880" w:firstLine="789"/>
        <w:spacing w:after="0"/>
        <w:tabs>
          <w:tab w:leader="none" w:pos="2565"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Prohibition; Illegality</w:t>
      </w:r>
      <w:r>
        <w:rPr>
          <w:rFonts w:ascii="Arial" w:cs="Arial" w:eastAsia="Arial" w:hAnsi="Arial"/>
          <w:sz w:val="22"/>
          <w:szCs w:val="22"/>
          <w:color w:val="auto"/>
        </w:rPr>
        <w:t>. No federal, state, local, or foreign Law or Order (that is final and non-appealable and that has not been vacated, withdrawn, or overturned) will be in effect that prohibits the consummation of the transactions contemplated hereby.</w:t>
      </w:r>
    </w:p>
    <w:p>
      <w:pPr>
        <w:spacing w:after="0" w:line="186" w:lineRule="exact"/>
        <w:rPr>
          <w:rFonts w:ascii="Arial" w:cs="Arial" w:eastAsia="Arial" w:hAnsi="Arial"/>
          <w:sz w:val="22"/>
          <w:szCs w:val="22"/>
          <w:color w:val="auto"/>
        </w:rPr>
      </w:pPr>
    </w:p>
    <w:p>
      <w:pPr>
        <w:ind w:left="2560" w:hanging="891"/>
        <w:spacing w:after="0"/>
        <w:tabs>
          <w:tab w:leader="none" w:pos="2560"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Antitrust Laws</w:t>
      </w:r>
      <w:r>
        <w:rPr>
          <w:rFonts w:ascii="Arial" w:cs="Arial" w:eastAsia="Arial" w:hAnsi="Arial"/>
          <w:sz w:val="21"/>
          <w:szCs w:val="21"/>
          <w:color w:val="auto"/>
        </w:rPr>
        <w:t>. The applicable waiting period under the HSR Act will have expired or been</w:t>
      </w:r>
    </w:p>
    <w:p>
      <w:pPr>
        <w:spacing w:after="0" w:line="19"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22"/>
          <w:szCs w:val="22"/>
          <w:color w:val="auto"/>
        </w:rPr>
        <w:t>terminated.</w:t>
      </w:r>
    </w:p>
    <w:p>
      <w:pPr>
        <w:spacing w:after="0" w:line="18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Conditions to Obligations of Purchaser</w:t>
      </w:r>
      <w:r>
        <w:rPr>
          <w:rFonts w:ascii="Arial" w:cs="Arial" w:eastAsia="Arial" w:hAnsi="Arial"/>
          <w:sz w:val="22"/>
          <w:szCs w:val="22"/>
          <w:color w:val="auto"/>
        </w:rPr>
        <w:t>. The obligations of Purchaser to effect the transactions contemplated hereby will be subject to the satisfaction or waiver by Purchaser at or prior to the Closing of the following conditions:</w:t>
      </w:r>
    </w:p>
    <w:p>
      <w:pPr>
        <w:spacing w:after="0" w:line="186" w:lineRule="exact"/>
        <w:rPr>
          <w:sz w:val="20"/>
          <w:szCs w:val="20"/>
          <w:color w:val="auto"/>
        </w:rPr>
      </w:pPr>
    </w:p>
    <w:p>
      <w:pPr>
        <w:jc w:val="both"/>
        <w:ind w:left="880" w:firstLine="789"/>
        <w:spacing w:after="0" w:line="272" w:lineRule="auto"/>
        <w:tabs>
          <w:tab w:leader="none" w:pos="2565"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Relating to the Companies and Seller</w:t>
      </w:r>
      <w:r>
        <w:rPr>
          <w:rFonts w:ascii="Arial" w:cs="Arial" w:eastAsia="Arial" w:hAnsi="Arial"/>
          <w:sz w:val="19"/>
          <w:szCs w:val="19"/>
          <w:color w:val="auto"/>
        </w:rPr>
        <w:t xml:space="preserve">. The representations and warranties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(except for the second to last sentence) (“Organization and Qualification”),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3.2</w:t>
      </w:r>
      <w:r>
        <w:rPr>
          <w:rFonts w:ascii="Arial" w:cs="Arial" w:eastAsia="Arial" w:hAnsi="Arial"/>
          <w:sz w:val="19"/>
          <w:szCs w:val="19"/>
          <w:color w:val="auto"/>
        </w:rPr>
        <w:t xml:space="preserve"> (“Authority”), </w:t>
      </w:r>
      <w:r>
        <w:rPr>
          <w:rFonts w:ascii="Arial" w:cs="Arial" w:eastAsia="Arial" w:hAnsi="Arial"/>
          <w:sz w:val="19"/>
          <w:szCs w:val="19"/>
          <w:u w:val="single" w:color="auto"/>
          <w:color w:val="auto"/>
        </w:rPr>
        <w:t>Section 3.3(a)(i)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(“No Conflict; Required Filings and Consents”),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(“Capitalization”),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(“Subsidiaries”), </w:t>
      </w:r>
      <w:r>
        <w:rPr>
          <w:rFonts w:ascii="Arial" w:cs="Arial" w:eastAsia="Arial" w:hAnsi="Arial"/>
          <w:sz w:val="19"/>
          <w:szCs w:val="19"/>
          <w:u w:val="single" w:color="auto"/>
          <w:color w:val="auto"/>
        </w:rPr>
        <w:t>Section 3.22</w:t>
      </w:r>
      <w:r>
        <w:rPr>
          <w:rFonts w:ascii="Arial" w:cs="Arial" w:eastAsia="Arial" w:hAnsi="Arial"/>
          <w:sz w:val="19"/>
          <w:szCs w:val="19"/>
          <w:color w:val="auto"/>
        </w:rPr>
        <w:t xml:space="preserve"> (“Brokers”),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(“Organization and Existence”),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(“Seller’s Capacity and Authority”),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(“Units”) and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(“Brokers”) of this Agreement will be true and correct in all respects (other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exceptions) at and as of the Closing as if made at and as of such time (other than any representation or warranty that expressly relates to a specific date, which representation and warranty will be true and correct in all respects (other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exceptions) as of the date so specified). The other representations and warranties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will be true and correct (without giving effect to any limitation as to “materiality” or “Material Adverse Effect”) at and as of the Closing as if made at and as of such time (other than any representation or warranty that expressly relates to a specific date, which representation and warranty will be true and correct on the date so specified), except where the failure of such representations and warranties to be so true and correct has not had a Material Adverse Effect.</w:t>
      </w:r>
    </w:p>
    <w:p>
      <w:pPr>
        <w:spacing w:after="0" w:line="155" w:lineRule="exact"/>
        <w:rPr>
          <w:rFonts w:ascii="Arial" w:cs="Arial" w:eastAsia="Arial" w:hAnsi="Arial"/>
          <w:sz w:val="19"/>
          <w:szCs w:val="19"/>
          <w:color w:val="auto"/>
        </w:rPr>
      </w:pPr>
    </w:p>
    <w:p>
      <w:pPr>
        <w:ind w:left="880" w:firstLine="789"/>
        <w:spacing w:after="0" w:line="250" w:lineRule="auto"/>
        <w:tabs>
          <w:tab w:leader="none" w:pos="2577"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Seller and the Companies will have performed and complied with, in all material respects, all obligations, agreements, and covenants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2" w:name="page173"/>
    <w:bookmarkEnd w:id="172"/>
    <w:p>
      <w:pPr>
        <w:ind w:left="880"/>
        <w:spacing w:after="0"/>
        <w:rPr>
          <w:sz w:val="20"/>
          <w:szCs w:val="20"/>
          <w:color w:val="auto"/>
        </w:rPr>
      </w:pPr>
      <w:r>
        <w:rPr>
          <w:rFonts w:ascii="Arial" w:cs="Arial" w:eastAsia="Arial" w:hAnsi="Arial"/>
          <w:sz w:val="22"/>
          <w:szCs w:val="22"/>
          <w:color w:val="auto"/>
        </w:rPr>
        <w:t>required to be performed by, or complied with by, them under this Agreement at or prior to the Closing.</w:t>
      </w:r>
    </w:p>
    <w:p>
      <w:pPr>
        <w:spacing w:after="0" w:line="206" w:lineRule="exact"/>
        <w:rPr>
          <w:sz w:val="20"/>
          <w:szCs w:val="20"/>
          <w:color w:val="auto"/>
        </w:rPr>
      </w:pPr>
    </w:p>
    <w:p>
      <w:pPr>
        <w:jc w:val="both"/>
        <w:ind w:left="880" w:firstLine="789"/>
        <w:spacing w:after="0"/>
        <w:tabs>
          <w:tab w:leader="none" w:pos="2565"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Certificate</w:t>
      </w:r>
      <w:r>
        <w:rPr>
          <w:rFonts w:ascii="Arial" w:cs="Arial" w:eastAsia="Arial" w:hAnsi="Arial"/>
          <w:sz w:val="22"/>
          <w:szCs w:val="22"/>
          <w:color w:val="auto"/>
        </w:rPr>
        <w:t xml:space="preserve">. Purchaser will have received a certificate dated the Closing Date and executed by a duly authorized officer of each Company and Seller certifying that the conditions set forth in </w:t>
      </w:r>
      <w:r>
        <w:rPr>
          <w:rFonts w:ascii="Arial" w:cs="Arial" w:eastAsia="Arial" w:hAnsi="Arial"/>
          <w:sz w:val="22"/>
          <w:szCs w:val="22"/>
          <w:u w:val="single" w:color="auto"/>
          <w:color w:val="auto"/>
        </w:rPr>
        <w:t>Section 8.2(a)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8.2(b)</w:t>
      </w:r>
      <w:r>
        <w:rPr>
          <w:rFonts w:ascii="Arial" w:cs="Arial" w:eastAsia="Arial" w:hAnsi="Arial"/>
          <w:sz w:val="22"/>
          <w:szCs w:val="22"/>
          <w:color w:val="auto"/>
        </w:rPr>
        <w:t xml:space="preserve"> have been satisfied.</w:t>
      </w:r>
    </w:p>
    <w:p>
      <w:pPr>
        <w:spacing w:after="0" w:line="186" w:lineRule="exact"/>
        <w:rPr>
          <w:rFonts w:ascii="Arial" w:cs="Arial" w:eastAsia="Arial" w:hAnsi="Arial"/>
          <w:sz w:val="22"/>
          <w:szCs w:val="22"/>
          <w:color w:val="auto"/>
        </w:rPr>
      </w:pPr>
    </w:p>
    <w:p>
      <w:pPr>
        <w:ind w:left="880" w:right="20" w:firstLine="789"/>
        <w:spacing w:after="0" w:line="250" w:lineRule="auto"/>
        <w:tabs>
          <w:tab w:leader="none" w:pos="2577"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Escrow Agreement</w:t>
      </w:r>
      <w:r>
        <w:rPr>
          <w:rFonts w:ascii="Arial" w:cs="Arial" w:eastAsia="Arial" w:hAnsi="Arial"/>
          <w:sz w:val="22"/>
          <w:szCs w:val="22"/>
          <w:color w:val="auto"/>
        </w:rPr>
        <w:t>. Each of Seller and the Escrow Agent will have executed and delivered to Purchaser the Escrow Agreement.</w:t>
      </w:r>
    </w:p>
    <w:p>
      <w:pPr>
        <w:spacing w:after="0" w:line="174" w:lineRule="exact"/>
        <w:rPr>
          <w:rFonts w:ascii="Arial" w:cs="Arial" w:eastAsia="Arial" w:hAnsi="Arial"/>
          <w:sz w:val="22"/>
          <w:szCs w:val="22"/>
          <w:color w:val="auto"/>
        </w:rPr>
      </w:pPr>
    </w:p>
    <w:p>
      <w:pPr>
        <w:ind w:left="880" w:right="20" w:firstLine="789"/>
        <w:spacing w:after="0" w:line="250" w:lineRule="auto"/>
        <w:tabs>
          <w:tab w:leader="none" w:pos="2565"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Payoff Letters</w:t>
      </w:r>
      <w:r>
        <w:rPr>
          <w:rFonts w:ascii="Arial" w:cs="Arial" w:eastAsia="Arial" w:hAnsi="Arial"/>
          <w:sz w:val="22"/>
          <w:szCs w:val="22"/>
          <w:color w:val="auto"/>
        </w:rPr>
        <w:t xml:space="preserve">. Seller will have delivered payoff letters (or evidence of termination, as applicable) with respect to the Estimated Indebtedness set forth on </w:t>
      </w:r>
      <w:r>
        <w:rPr>
          <w:rFonts w:ascii="Arial" w:cs="Arial" w:eastAsia="Arial" w:hAnsi="Arial"/>
          <w:sz w:val="22"/>
          <w:szCs w:val="22"/>
          <w:u w:val="single" w:color="auto"/>
          <w:color w:val="auto"/>
        </w:rPr>
        <w:t>Schedule 2.3(c)(i)</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880" w:firstLine="789"/>
        <w:spacing w:after="0" w:line="250" w:lineRule="auto"/>
        <w:tabs>
          <w:tab w:leader="none" w:pos="2541"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FIRPTA Affidavit</w:t>
      </w:r>
      <w:r>
        <w:rPr>
          <w:rFonts w:ascii="Arial" w:cs="Arial" w:eastAsia="Arial" w:hAnsi="Arial"/>
          <w:sz w:val="22"/>
          <w:szCs w:val="22"/>
          <w:color w:val="auto"/>
        </w:rPr>
        <w:t xml:space="preserve">. Seller will deliver a certificate dated as of the Closing Date and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stating that Seller is not a foreign Person.</w:t>
      </w:r>
    </w:p>
    <w:p>
      <w:pPr>
        <w:spacing w:after="0" w:line="174" w:lineRule="exact"/>
        <w:rPr>
          <w:rFonts w:ascii="Arial" w:cs="Arial" w:eastAsia="Arial" w:hAnsi="Arial"/>
          <w:sz w:val="22"/>
          <w:szCs w:val="22"/>
          <w:color w:val="auto"/>
        </w:rPr>
      </w:pPr>
    </w:p>
    <w:p>
      <w:pPr>
        <w:jc w:val="both"/>
        <w:ind w:left="880" w:firstLine="789"/>
        <w:spacing w:after="0"/>
        <w:tabs>
          <w:tab w:leader="none" w:pos="2577"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Termination of Management Agreement</w:t>
      </w:r>
      <w:r>
        <w:rPr>
          <w:rFonts w:ascii="Arial" w:cs="Arial" w:eastAsia="Arial" w:hAnsi="Arial"/>
          <w:sz w:val="22"/>
          <w:szCs w:val="22"/>
          <w:color w:val="auto"/>
        </w:rPr>
        <w:t>. Purchaser will have received evidence that the Management Agreement, dated as of January 31, 2018, by and between Queen City Hospice, LLC and Stonehenge Opportunity Fund IV, LP has been terminated effective as of the Closing Date.</w:t>
      </w:r>
    </w:p>
    <w:p>
      <w:pPr>
        <w:spacing w:after="0" w:line="186" w:lineRule="exact"/>
        <w:rPr>
          <w:rFonts w:ascii="Arial" w:cs="Arial" w:eastAsia="Arial" w:hAnsi="Arial"/>
          <w:sz w:val="22"/>
          <w:szCs w:val="22"/>
          <w:color w:val="auto"/>
        </w:rPr>
      </w:pPr>
    </w:p>
    <w:p>
      <w:pPr>
        <w:ind w:left="2560" w:hanging="891"/>
        <w:spacing w:after="0"/>
        <w:tabs>
          <w:tab w:leader="none" w:pos="2560"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Assignment of Units</w:t>
      </w:r>
      <w:r>
        <w:rPr>
          <w:rFonts w:ascii="Arial" w:cs="Arial" w:eastAsia="Arial" w:hAnsi="Arial"/>
          <w:sz w:val="19"/>
          <w:szCs w:val="19"/>
          <w:color w:val="auto"/>
        </w:rPr>
        <w:t>. Purchaser will have received assignments executed by Seller with respect to</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all of the Units.</w:t>
      </w:r>
    </w:p>
    <w:p>
      <w:pPr>
        <w:spacing w:after="0" w:line="188" w:lineRule="exact"/>
        <w:rPr>
          <w:rFonts w:ascii="Arial" w:cs="Arial" w:eastAsia="Arial" w:hAnsi="Arial"/>
          <w:sz w:val="19"/>
          <w:szCs w:val="19"/>
          <w:color w:val="auto"/>
        </w:rPr>
      </w:pPr>
    </w:p>
    <w:p>
      <w:pPr>
        <w:jc w:val="both"/>
        <w:ind w:left="880" w:right="20" w:firstLine="789"/>
        <w:spacing w:after="0" w:line="328" w:lineRule="auto"/>
        <w:tabs>
          <w:tab w:leader="none" w:pos="2529"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Officer Resignations</w:t>
      </w:r>
      <w:r>
        <w:rPr>
          <w:rFonts w:ascii="Arial" w:cs="Arial" w:eastAsia="Arial" w:hAnsi="Arial"/>
          <w:sz w:val="19"/>
          <w:szCs w:val="19"/>
          <w:color w:val="auto"/>
        </w:rPr>
        <w:t>. Purchaser will have received written resignations from, or other evidence of removal of, (A) any officers of the Companies that are employees of Stonehenge Partners, Inc. and (B) James Vannelle.</w:t>
      </w:r>
    </w:p>
    <w:p>
      <w:pPr>
        <w:spacing w:after="0" w:line="104" w:lineRule="exact"/>
        <w:rPr>
          <w:rFonts w:ascii="Arial" w:cs="Arial" w:eastAsia="Arial" w:hAnsi="Arial"/>
          <w:sz w:val="19"/>
          <w:szCs w:val="19"/>
          <w:color w:val="auto"/>
        </w:rPr>
      </w:pPr>
    </w:p>
    <w:p>
      <w:pPr>
        <w:jc w:val="both"/>
        <w:ind w:left="880" w:firstLine="789"/>
        <w:spacing w:after="0" w:line="238" w:lineRule="auto"/>
        <w:tabs>
          <w:tab w:leader="none" w:pos="2529"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Termination of Company 401(k) Plan</w:t>
      </w:r>
      <w:r>
        <w:rPr>
          <w:rFonts w:ascii="Arial" w:cs="Arial" w:eastAsia="Arial" w:hAnsi="Arial"/>
          <w:sz w:val="22"/>
          <w:szCs w:val="22"/>
          <w:color w:val="auto"/>
        </w:rPr>
        <w:t>. Seller shall have delivered, in form and substance reasonably satisfactory to Purchaser, executed Company resolutions terminating the Queen City Hospice, LLC 401(k) Plan, such termination effective the day immediately prior to and contingent upon the Closing, and shall have delivered any necessary amendment to effectuate the termination thereof.</w:t>
      </w:r>
    </w:p>
    <w:p>
      <w:pPr>
        <w:spacing w:after="0" w:line="18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Conditions to Obligations of Seller and the Companies</w:t>
      </w:r>
      <w:r>
        <w:rPr>
          <w:rFonts w:ascii="Arial" w:cs="Arial" w:eastAsia="Arial" w:hAnsi="Arial"/>
          <w:sz w:val="22"/>
          <w:szCs w:val="22"/>
          <w:color w:val="auto"/>
        </w:rPr>
        <w:t>. The obligations of Seller and the Companies to effect the transactions contemplated hereby will be subject to the satisfaction or waiver by Seller at or prior to the Closing of the following conditions:</w:t>
      </w:r>
    </w:p>
    <w:p>
      <w:pPr>
        <w:spacing w:after="0" w:line="186" w:lineRule="exact"/>
        <w:rPr>
          <w:sz w:val="20"/>
          <w:szCs w:val="20"/>
          <w:color w:val="auto"/>
        </w:rPr>
      </w:pPr>
    </w:p>
    <w:p>
      <w:pPr>
        <w:jc w:val="both"/>
        <w:ind w:left="880" w:firstLine="789"/>
        <w:spacing w:after="0" w:line="277" w:lineRule="auto"/>
        <w:tabs>
          <w:tab w:leader="none" w:pos="256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Purchaser</w:t>
      </w:r>
      <w:r>
        <w:rPr>
          <w:rFonts w:ascii="Arial" w:cs="Arial" w:eastAsia="Arial" w:hAnsi="Arial"/>
          <w:sz w:val="19"/>
          <w:szCs w:val="19"/>
          <w:color w:val="auto"/>
        </w:rPr>
        <w:t xml:space="preserve">. Each of the representations and warranties of Purchaser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this Agreement will be true and correct in all respects at and as of the Closing as if made at and as of such time (other than any representation or warranty that expressly relates to a specific date, which representation and warranty will be true and correct as of the date so specified), except where the failure of such representations and warranties to be so true and correct has not had an adverse effect that (i) could impair or delay Purchaser’s ability to consummate the transactions contemplated hereby or (ii) could adversely affect Purchaser’s performance under this Agreement or the consummation of the transactions contemplated hereby.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3" w:name="page174"/>
    <w:bookmarkEnd w:id="173"/>
    <w:p>
      <w:pPr>
        <w:jc w:val="both"/>
        <w:ind w:left="880" w:firstLine="789"/>
        <w:spacing w:after="0"/>
        <w:tabs>
          <w:tab w:leader="none" w:pos="2577"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Purchaser will have performed and complied with, in all material respects, all obligations, agreements, and covenants required to be performed by, or complied with by, it under this Agreement at or prior to the Closing.</w:t>
      </w:r>
    </w:p>
    <w:p>
      <w:pPr>
        <w:spacing w:after="0" w:line="186" w:lineRule="exact"/>
        <w:rPr>
          <w:rFonts w:ascii="Arial" w:cs="Arial" w:eastAsia="Arial" w:hAnsi="Arial"/>
          <w:sz w:val="22"/>
          <w:szCs w:val="22"/>
          <w:color w:val="auto"/>
        </w:rPr>
      </w:pPr>
    </w:p>
    <w:p>
      <w:pPr>
        <w:jc w:val="both"/>
        <w:ind w:left="880" w:firstLine="789"/>
        <w:spacing w:after="0"/>
        <w:tabs>
          <w:tab w:leader="none" w:pos="2565"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Certificate</w:t>
      </w:r>
      <w:r>
        <w:rPr>
          <w:rFonts w:ascii="Arial" w:cs="Arial" w:eastAsia="Arial" w:hAnsi="Arial"/>
          <w:sz w:val="22"/>
          <w:szCs w:val="22"/>
          <w:color w:val="auto"/>
        </w:rPr>
        <w:t xml:space="preserve">. Seller will have received a certificate dated the Closing Date and executed by a duly authorized officer of Purchaser certifying that the conditions set forth in </w:t>
      </w:r>
      <w:r>
        <w:rPr>
          <w:rFonts w:ascii="Arial" w:cs="Arial" w:eastAsia="Arial" w:hAnsi="Arial"/>
          <w:sz w:val="22"/>
          <w:szCs w:val="22"/>
          <w:u w:val="single" w:color="auto"/>
          <w:color w:val="auto"/>
        </w:rPr>
        <w:t>Section 8.3(a)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8.3(b)</w:t>
      </w:r>
      <w:r>
        <w:rPr>
          <w:rFonts w:ascii="Arial" w:cs="Arial" w:eastAsia="Arial" w:hAnsi="Arial"/>
          <w:sz w:val="22"/>
          <w:szCs w:val="22"/>
          <w:color w:val="auto"/>
        </w:rPr>
        <w:t xml:space="preserve"> have been satisfied.</w:t>
      </w:r>
    </w:p>
    <w:p>
      <w:pPr>
        <w:spacing w:after="0" w:line="186" w:lineRule="exact"/>
        <w:rPr>
          <w:rFonts w:ascii="Arial" w:cs="Arial" w:eastAsia="Arial" w:hAnsi="Arial"/>
          <w:sz w:val="22"/>
          <w:szCs w:val="22"/>
          <w:color w:val="auto"/>
        </w:rPr>
      </w:pPr>
    </w:p>
    <w:p>
      <w:pPr>
        <w:ind w:left="880" w:firstLine="789"/>
        <w:spacing w:after="0" w:line="250" w:lineRule="auto"/>
        <w:tabs>
          <w:tab w:leader="none" w:pos="2577"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Escrow Agreement</w:t>
      </w:r>
      <w:r>
        <w:rPr>
          <w:rFonts w:ascii="Arial" w:cs="Arial" w:eastAsia="Arial" w:hAnsi="Arial"/>
          <w:sz w:val="22"/>
          <w:szCs w:val="22"/>
          <w:color w:val="auto"/>
        </w:rPr>
        <w:t>. Each of Purchaser and the Escrow Agent will have executed and delivered to Seller the Escrow Agreement.</w:t>
      </w:r>
    </w:p>
    <w:p>
      <w:pPr>
        <w:spacing w:after="0" w:line="17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 xml:space="preserve">Section 8.4 </w:t>
      </w:r>
      <w:r>
        <w:rPr>
          <w:rFonts w:ascii="Arial" w:cs="Arial" w:eastAsia="Arial" w:hAnsi="Arial"/>
          <w:sz w:val="21"/>
          <w:szCs w:val="21"/>
          <w:u w:val="single" w:color="auto"/>
          <w:color w:val="auto"/>
        </w:rPr>
        <w:t>Frustration of Closing Conditions</w:t>
      </w:r>
      <w:r>
        <w:rPr>
          <w:rFonts w:ascii="Arial" w:cs="Arial" w:eastAsia="Arial" w:hAnsi="Arial"/>
          <w:sz w:val="21"/>
          <w:szCs w:val="21"/>
          <w:color w:val="auto"/>
        </w:rPr>
        <w:t xml:space="preserve">. No Party may rely on the failure of any condition set forth in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8.3</w:t>
      </w:r>
      <w:r>
        <w:rPr>
          <w:rFonts w:ascii="Arial" w:cs="Arial" w:eastAsia="Arial" w:hAnsi="Arial"/>
          <w:sz w:val="21"/>
          <w:szCs w:val="21"/>
          <w:color w:val="auto"/>
        </w:rPr>
        <w:t>, as the case may be, to refuse to consummate the transactions contemplated by this Agreement if such failure was caused by such Party’s failure to comply with any provision of this Agreement.</w:t>
      </w:r>
    </w:p>
    <w:p>
      <w:pPr>
        <w:spacing w:after="0" w:line="169"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8.5 </w:t>
      </w:r>
      <w:r>
        <w:rPr>
          <w:rFonts w:ascii="Arial" w:cs="Arial" w:eastAsia="Arial" w:hAnsi="Arial"/>
          <w:sz w:val="22"/>
          <w:szCs w:val="22"/>
          <w:u w:val="single" w:color="auto"/>
          <w:color w:val="auto"/>
        </w:rPr>
        <w:t>Waiver of Conditions</w:t>
      </w:r>
      <w:r>
        <w:rPr>
          <w:rFonts w:ascii="Arial" w:cs="Arial" w:eastAsia="Arial" w:hAnsi="Arial"/>
          <w:sz w:val="22"/>
          <w:szCs w:val="22"/>
          <w:color w:val="auto"/>
        </w:rPr>
        <w:t>. All conditions to the Closing will be deemed to have been satisfied or waived from and after the Closing.</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 OF LIABILITY; WAIVERS</w:t>
      </w:r>
    </w:p>
    <w:p>
      <w:pPr>
        <w:spacing w:after="0" w:line="188"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9.1</w:t>
      </w:r>
      <w:r>
        <w:rPr>
          <w:sz w:val="20"/>
          <w:szCs w:val="20"/>
          <w:color w:val="auto"/>
        </w:rPr>
        <w:tab/>
      </w:r>
      <w:r>
        <w:rPr>
          <w:rFonts w:ascii="Arial" w:cs="Arial" w:eastAsia="Arial" w:hAnsi="Arial"/>
          <w:sz w:val="19"/>
          <w:szCs w:val="19"/>
          <w:u w:val="single" w:color="auto"/>
          <w:color w:val="auto"/>
        </w:rPr>
        <w:t>Survival; Waivers of Representations and Warranties and Covenants; Limitation of Liability</w:t>
      </w:r>
      <w:r>
        <w:rPr>
          <w:rFonts w:ascii="Arial" w:cs="Arial" w:eastAsia="Arial" w:hAnsi="Arial"/>
          <w:sz w:val="19"/>
          <w:szCs w:val="19"/>
          <w:color w:val="auto"/>
        </w:rPr>
        <w:t>.</w:t>
      </w:r>
    </w:p>
    <w:p>
      <w:pPr>
        <w:spacing w:after="0" w:line="98" w:lineRule="exact"/>
        <w:rPr>
          <w:sz w:val="20"/>
          <w:szCs w:val="20"/>
          <w:color w:val="auto"/>
        </w:rPr>
      </w:pPr>
    </w:p>
    <w:p>
      <w:pPr>
        <w:jc w:val="both"/>
        <w:ind w:left="880" w:firstLine="789"/>
        <w:spacing w:after="0" w:line="275" w:lineRule="auto"/>
        <w:tabs>
          <w:tab w:leader="none" w:pos="256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The representations, warranties, covenants, and agreements of the Companies, Seller, and each of their Affiliates contained in this Agreement or in any certificate delivered pursuant to this Agreement will not survive beyond the Closing, such that no claim for breach of any such representation, warranty, covenant, or agreement, detrimental reliance, or other right or remedy (whether in contract, in tort, or at law or in equity) may be brought after the Closing with respect thereto against any such Person, and there will be no liability in respect thereof, whether such liability has accrued prior to or after the Closing, on the part of the Companies, Seller, or any of their Affiliates, except for those covenants and agreements contained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XI</w:t>
      </w:r>
      <w:r>
        <w:rPr>
          <w:rFonts w:ascii="Arial" w:cs="Arial" w:eastAsia="Arial" w:hAnsi="Arial"/>
          <w:sz w:val="19"/>
          <w:szCs w:val="19"/>
          <w:color w:val="auto"/>
        </w:rPr>
        <w:t xml:space="preserve"> that by their terms apply or are to be performed in whole or in part after the Closing.</w:t>
      </w:r>
    </w:p>
    <w:p>
      <w:pPr>
        <w:spacing w:after="0" w:line="157" w:lineRule="exact"/>
        <w:rPr>
          <w:rFonts w:ascii="Arial" w:cs="Arial" w:eastAsia="Arial" w:hAnsi="Arial"/>
          <w:sz w:val="19"/>
          <w:szCs w:val="19"/>
          <w:color w:val="auto"/>
        </w:rPr>
      </w:pPr>
    </w:p>
    <w:p>
      <w:pPr>
        <w:jc w:val="both"/>
        <w:ind w:left="880" w:firstLine="789"/>
        <w:spacing w:after="0" w:line="245" w:lineRule="auto"/>
        <w:tabs>
          <w:tab w:leader="none" w:pos="2577" w:val="left"/>
        </w:tabs>
        <w:numPr>
          <w:ilvl w:val="0"/>
          <w:numId w:val="109"/>
        </w:numPr>
        <w:rPr>
          <w:rFonts w:ascii="Arial" w:cs="Arial" w:eastAsia="Arial" w:hAnsi="Arial"/>
          <w:sz w:val="21"/>
          <w:szCs w:val="21"/>
          <w:color w:val="auto"/>
        </w:rPr>
      </w:pPr>
      <w:r>
        <w:rPr>
          <w:rFonts w:ascii="Arial" w:cs="Arial" w:eastAsia="Arial" w:hAnsi="Arial"/>
          <w:sz w:val="21"/>
          <w:szCs w:val="21"/>
          <w:color w:val="auto"/>
        </w:rPr>
        <w:t>Purchaser, for itself and on behalf of its Affiliates (including, after the Closing, the Companies), acknowledges and agrees that, from and after the Closing, to the fullest extent permitted under applicable Law, any and all rights, claims, and causes of action it may have against Seller, and any of its Affiliates relating to the operation of the Companies or its businesses or relating to the subject matter of this Agreement or any Schedule or Exhibit hereto or the Disclosure Schedule, or any agreement, certificate, or other document or instrument entered into, made, delivered, or made available in connection herewith, or as a result of any of the transactions contemplated hereby or thereby, whether arising under, or based upon, any federal, state, local, or foreign Law or otherwise (including any right, whether arising at law or in equity, to seek indemnification, contribution, cost recovery, damages, or any other recourse or remedy, including as may arise under common law) are hereby irrevocably waived. Furthermore, without limiting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4" w:name="page175"/>
    <w:bookmarkEnd w:id="174"/>
    <w:p>
      <w:pPr>
        <w:jc w:val="both"/>
        <w:ind w:left="880"/>
        <w:spacing w:after="0" w:line="277" w:lineRule="auto"/>
        <w:rPr>
          <w:sz w:val="20"/>
          <w:szCs w:val="20"/>
          <w:color w:val="auto"/>
        </w:rPr>
      </w:pPr>
      <w:r>
        <w:rPr>
          <w:rFonts w:ascii="Arial" w:cs="Arial" w:eastAsia="Arial" w:hAnsi="Arial"/>
          <w:sz w:val="19"/>
          <w:szCs w:val="19"/>
          <w:color w:val="auto"/>
        </w:rPr>
        <w:t xml:space="preserve">generality of this </w:t>
      </w:r>
      <w:r>
        <w:rPr>
          <w:rFonts w:ascii="Arial" w:cs="Arial" w:eastAsia="Arial" w:hAnsi="Arial"/>
          <w:sz w:val="19"/>
          <w:szCs w:val="19"/>
          <w:u w:val="single" w:color="auto"/>
          <w:color w:val="auto"/>
        </w:rPr>
        <w:t>Section 9.1(b)</w:t>
      </w:r>
      <w:r>
        <w:rPr>
          <w:rFonts w:ascii="Arial" w:cs="Arial" w:eastAsia="Arial" w:hAnsi="Arial"/>
          <w:sz w:val="19"/>
          <w:szCs w:val="19"/>
          <w:color w:val="auto"/>
        </w:rPr>
        <w:t>, no claim will be brought or maintained by, or on behalf of, Purchaser or its Affiliates (including, after the Closing, the Companies) against Seller, or any of its Affiliates, and no recourse will be sought or granted against any of them, by virtue of, or based upon, any alleged misrepresentation or inaccuracy in, or breach of, any of the representations, warranties, covenants, or agreements of the Companies, Seller, or any of their Affiliates set forth or contained in this Agreement or any Schedule or Exhibit hereto or the Disclosure Schedule, or any ancillary agreement, certificate, or other document or instrument entered into, made, delivered, or made available in connection herewith, or as a result of any of the transactions contemplated hereby or thereby.</w:t>
      </w:r>
    </w:p>
    <w:p>
      <w:pPr>
        <w:spacing w:after="0" w:line="152" w:lineRule="exact"/>
        <w:rPr>
          <w:sz w:val="20"/>
          <w:szCs w:val="20"/>
          <w:color w:val="auto"/>
        </w:rPr>
      </w:pPr>
    </w:p>
    <w:p>
      <w:pPr>
        <w:jc w:val="both"/>
        <w:ind w:left="880" w:firstLine="789"/>
        <w:spacing w:after="0" w:line="287" w:lineRule="auto"/>
        <w:tabs>
          <w:tab w:leader="none" w:pos="256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Purchaser acknowledges and agrees that it may not avoid the limitation of liability set forth in this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by (i) seeking damages for breach of contract or tort or pursuant to any other theory of liability, all of which are hereby waived or (ii) asserting or threatening any claim against any Person that is not a party hereto (or a successor to a party hereto) for breaches of the representations, warranties, covenants, or agreements contained in this Agreement.</w:t>
      </w:r>
    </w:p>
    <w:p>
      <w:pPr>
        <w:spacing w:after="0" w:line="142" w:lineRule="exact"/>
        <w:rPr>
          <w:rFonts w:ascii="Arial" w:cs="Arial" w:eastAsia="Arial" w:hAnsi="Arial"/>
          <w:sz w:val="19"/>
          <w:szCs w:val="19"/>
          <w:color w:val="auto"/>
        </w:rPr>
      </w:pPr>
    </w:p>
    <w:p>
      <w:pPr>
        <w:jc w:val="both"/>
        <w:ind w:left="880" w:firstLine="789"/>
        <w:spacing w:after="0" w:line="257" w:lineRule="auto"/>
        <w:tabs>
          <w:tab w:leader="none" w:pos="2577"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Parties agree that the limits imposed on Purchaser’s remedies with respect to this Agreement and the transactions contemplated hereby were specifically bargained for between sophisticated parties and were specifically taken into account in the determination of the amounts to be paid hereunder.</w:t>
      </w:r>
    </w:p>
    <w:p>
      <w:pPr>
        <w:spacing w:after="0" w:line="169" w:lineRule="exact"/>
        <w:rPr>
          <w:rFonts w:ascii="Arial" w:cs="Arial" w:eastAsia="Arial" w:hAnsi="Arial"/>
          <w:sz w:val="21"/>
          <w:szCs w:val="21"/>
          <w:color w:val="auto"/>
        </w:rPr>
      </w:pPr>
    </w:p>
    <w:p>
      <w:pPr>
        <w:jc w:val="both"/>
        <w:ind w:left="880" w:firstLine="789"/>
        <w:spacing w:after="0" w:line="236" w:lineRule="auto"/>
        <w:tabs>
          <w:tab w:leader="none" w:pos="2565"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contained in this Agreement, nothing in this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shall limit or restrict Purchaser’s rights, remedies recourse or ability to bring any action or claim based upon Fraud, any agreement entered into in connection with this Agreement or those covenants and agreements contained in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XI</w:t>
      </w:r>
      <w:r>
        <w:rPr>
          <w:rFonts w:ascii="Arial" w:cs="Arial" w:eastAsia="Arial" w:hAnsi="Arial"/>
          <w:sz w:val="22"/>
          <w:szCs w:val="22"/>
          <w:color w:val="auto"/>
        </w:rPr>
        <w:t xml:space="preserve"> that by their terms apply or are to be performed in whole or in part after the Closing.</w:t>
      </w:r>
    </w:p>
    <w:p>
      <w:pPr>
        <w:spacing w:after="0" w:line="187"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Disclaimers</w:t>
      </w:r>
      <w:r>
        <w:rPr>
          <w:rFonts w:ascii="Arial" w:cs="Arial" w:eastAsia="Arial" w:hAnsi="Arial"/>
          <w:sz w:val="19"/>
          <w:szCs w:val="19"/>
          <w:color w:val="auto"/>
        </w:rPr>
        <w:t>. Purchaser will have no claim against anyone with respect to any Forward Looking Statements. Purchaser acknowledges that none of Seller, the Companies or any of their Affiliates make any representation, warranty, or other statement with respect to, and Purchaser is not relying on, any Forward Looking Statements.</w:t>
      </w:r>
    </w:p>
    <w:p>
      <w:pPr>
        <w:spacing w:after="0" w:line="134"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9.3 </w:t>
      </w:r>
      <w:r>
        <w:rPr>
          <w:rFonts w:ascii="Arial" w:cs="Arial" w:eastAsia="Arial" w:hAnsi="Arial"/>
          <w:sz w:val="19"/>
          <w:szCs w:val="19"/>
          <w:u w:val="single" w:color="auto"/>
          <w:color w:val="auto"/>
        </w:rPr>
        <w:t>Non-Recourse; Release</w:t>
      </w:r>
      <w:r>
        <w:rPr>
          <w:rFonts w:ascii="Arial" w:cs="Arial" w:eastAsia="Arial" w:hAnsi="Arial"/>
          <w:sz w:val="19"/>
          <w:szCs w:val="19"/>
          <w:color w:val="auto"/>
        </w:rPr>
        <w:t>. All claims, obligations, liabilities, or causes of action (whether in contract or in tort, in law or in equity, or granted by statute) that may be based upon, arise under or in connection with, or relate to this Agreement, or the negotiation, execution, or performance of this Agreement (including any representation or warranty made in, in connection with, or as an inducement to this Agreement), may be made only against (and such representations and warranties are those solely of) the Persons that are expressly identified as parties in the preamble to this Agreement (the “</w:t>
      </w:r>
      <w:r>
        <w:rPr>
          <w:rFonts w:ascii="Arial" w:cs="Arial" w:eastAsia="Arial" w:hAnsi="Arial"/>
          <w:sz w:val="19"/>
          <w:szCs w:val="19"/>
          <w:u w:val="single" w:color="auto"/>
          <w:color w:val="auto"/>
        </w:rPr>
        <w:t>Contracting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Except as set forth in any Contract between a Contracting Party and a Nonparty Affiliate, no Person who is not a Contracting Party, including any past, present, or future director, manager, officer, employee, incorporator, stockholder, member, partner, equityholder, Affiliate, agent, attorney, representative, or assignee of, and any financial advisor or lender to, any Contracting Party, or any past, present, or future director, manager, officer, employee, incorporator, stockholder, member, partner, equityholder, Affiliate, agent, attorney, representative, or assignee of, and any financial advisor or lender to, 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5" w:name="page176"/>
    <w:bookmarkEnd w:id="175"/>
    <w:p>
      <w:pPr>
        <w:jc w:val="both"/>
        <w:spacing w:after="0" w:line="244" w:lineRule="auto"/>
        <w:rPr>
          <w:sz w:val="20"/>
          <w:szCs w:val="20"/>
          <w:color w:val="auto"/>
        </w:rPr>
      </w:pPr>
      <w:r>
        <w:rPr>
          <w:rFonts w:ascii="Arial" w:cs="Arial" w:eastAsia="Arial" w:hAnsi="Arial"/>
          <w:sz w:val="21"/>
          <w:szCs w:val="21"/>
          <w:color w:val="auto"/>
        </w:rPr>
        <w:t>of the foregoing (collectively, the “</w:t>
      </w:r>
      <w:r>
        <w:rPr>
          <w:rFonts w:ascii="Arial" w:cs="Arial" w:eastAsia="Arial" w:hAnsi="Arial"/>
          <w:sz w:val="21"/>
          <w:szCs w:val="21"/>
          <w:u w:val="single" w:color="auto"/>
          <w:color w:val="auto"/>
        </w:rPr>
        <w:t>Nonparty Affiliates</w:t>
      </w:r>
      <w:r>
        <w:rPr>
          <w:rFonts w:ascii="Arial" w:cs="Arial" w:eastAsia="Arial" w:hAnsi="Arial"/>
          <w:sz w:val="21"/>
          <w:szCs w:val="21"/>
          <w:color w:val="auto"/>
        </w:rPr>
        <w:t xml:space="preserve">”), will have any liability (whether in contract or in tort, in law or in equity, or granted by statute) for any claims, obligations, liabilities, or causes of action based upon, arising under or in connection with, or relating to this Agreement or the negotiation, execution, or performance of this Agreement, and, to the maximum extent permitted by Law, each Contracting Party hereby waives and releases all such claims, obligations, liabilities, or causes of action against any such Nonparty Affiliates. Without limiting the foregoing, to the maximum extent permitted by Law, each Contracting Party disclaims any reliance upon any Nonparty Affiliates with respect to the performance of this Agreement or any representation or warranty made in, in connection with, or as an inducement to this Agreement. Notwithstanding anything to the contrary contained in this Agreement, nothing in this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shall limit or restrict Purchaser’s rights, remedies recourse or ability to bring any action or claim based upon Fraud, any agreement entered into in connection with this Agreement or those covenants and agreements contained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that by their terms apply or are to be performed in whole or in part after the Closing.</w:t>
      </w:r>
    </w:p>
    <w:p>
      <w:pPr>
        <w:spacing w:after="0" w:line="18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TERMINATION</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Termination</w:t>
      </w:r>
      <w:r>
        <w:rPr>
          <w:rFonts w:ascii="Arial" w:cs="Arial" w:eastAsia="Arial" w:hAnsi="Arial"/>
          <w:sz w:val="22"/>
          <w:szCs w:val="22"/>
          <w:color w:val="auto"/>
        </w:rPr>
        <w:t>. This Agreement may be terminated, and the transactions contemplated hereby may be abandoned, at any time prior to the Closing:</w:t>
      </w:r>
    </w:p>
    <w:p>
      <w:pPr>
        <w:spacing w:after="0" w:line="175" w:lineRule="exact"/>
        <w:rPr>
          <w:sz w:val="20"/>
          <w:szCs w:val="20"/>
          <w:color w:val="auto"/>
        </w:rPr>
      </w:pPr>
    </w:p>
    <w:p>
      <w:pPr>
        <w:ind w:left="2560" w:hanging="891"/>
        <w:spacing w:after="0"/>
        <w:tabs>
          <w:tab w:leader="none" w:pos="256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by mutual written consent of Purchaser and Seller;</w:t>
      </w:r>
    </w:p>
    <w:p>
      <w:pPr>
        <w:spacing w:after="0" w:line="206" w:lineRule="exact"/>
        <w:rPr>
          <w:rFonts w:ascii="Arial" w:cs="Arial" w:eastAsia="Arial" w:hAnsi="Arial"/>
          <w:sz w:val="22"/>
          <w:szCs w:val="22"/>
          <w:color w:val="auto"/>
        </w:rPr>
      </w:pPr>
    </w:p>
    <w:p>
      <w:pPr>
        <w:jc w:val="both"/>
        <w:ind w:left="880" w:firstLine="789"/>
        <w:spacing w:after="0" w:line="248" w:lineRule="auto"/>
        <w:tabs>
          <w:tab w:leader="none" w:pos="2577" w:val="left"/>
        </w:tabs>
        <w:numPr>
          <w:ilvl w:val="1"/>
          <w:numId w:val="111"/>
        </w:numPr>
        <w:rPr>
          <w:rFonts w:ascii="Arial" w:cs="Arial" w:eastAsia="Arial" w:hAnsi="Arial"/>
          <w:sz w:val="21"/>
          <w:szCs w:val="21"/>
          <w:color w:val="auto"/>
        </w:rPr>
      </w:pPr>
      <w:r>
        <w:rPr>
          <w:rFonts w:ascii="Arial" w:cs="Arial" w:eastAsia="Arial" w:hAnsi="Arial"/>
          <w:sz w:val="21"/>
          <w:szCs w:val="21"/>
          <w:color w:val="auto"/>
        </w:rPr>
        <w:t xml:space="preserve">by Purchaser or Seller if (i) any court of competent jurisdiction or other Governmental Entity issues a final Order or takes any other final action restraining, enjoining, or otherwise prohibiting the transactions contemplated by this Agreement and such Order or other action becomes final and nonappealable or (ii) any Governmental Entity enacts a Law that prohibits, restrains, or makes illegal the transactions contemplated by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party seeking to terminate pursuant to this </w:t>
      </w:r>
      <w:r>
        <w:rPr>
          <w:rFonts w:ascii="Arial" w:cs="Arial" w:eastAsia="Arial" w:hAnsi="Arial"/>
          <w:sz w:val="21"/>
          <w:szCs w:val="21"/>
          <w:u w:val="single" w:color="auto"/>
          <w:color w:val="auto"/>
        </w:rPr>
        <w:t>Section 10.1(b)</w:t>
      </w:r>
      <w:r>
        <w:rPr>
          <w:rFonts w:ascii="Arial" w:cs="Arial" w:eastAsia="Arial" w:hAnsi="Arial"/>
          <w:sz w:val="21"/>
          <w:szCs w:val="21"/>
          <w:color w:val="auto"/>
        </w:rPr>
        <w:t xml:space="preserve"> will have complied with its obligations, if any, under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in connection with such Law or Order;</w:t>
      </w:r>
    </w:p>
    <w:p>
      <w:pPr>
        <w:spacing w:after="0" w:line="176" w:lineRule="exact"/>
        <w:rPr>
          <w:rFonts w:ascii="Arial" w:cs="Arial" w:eastAsia="Arial" w:hAnsi="Arial"/>
          <w:sz w:val="21"/>
          <w:szCs w:val="21"/>
          <w:color w:val="auto"/>
        </w:rPr>
      </w:pPr>
    </w:p>
    <w:p>
      <w:pPr>
        <w:jc w:val="both"/>
        <w:ind w:left="880" w:firstLine="789"/>
        <w:spacing w:after="0" w:line="279" w:lineRule="auto"/>
        <w:tabs>
          <w:tab w:leader="none" w:pos="2565" w:val="left"/>
        </w:tabs>
        <w:numPr>
          <w:ilvl w:val="1"/>
          <w:numId w:val="111"/>
        </w:numPr>
        <w:rPr>
          <w:rFonts w:ascii="Arial" w:cs="Arial" w:eastAsia="Arial" w:hAnsi="Arial"/>
          <w:sz w:val="19"/>
          <w:szCs w:val="19"/>
          <w:color w:val="auto"/>
        </w:rPr>
      </w:pPr>
      <w:r>
        <w:rPr>
          <w:rFonts w:ascii="Arial" w:cs="Arial" w:eastAsia="Arial" w:hAnsi="Arial"/>
          <w:sz w:val="19"/>
          <w:szCs w:val="19"/>
          <w:color w:val="auto"/>
        </w:rPr>
        <w:t>by either Purchaser or Seller, each in its sole discretion, if the Closing has not occurred on or before January 31, 2021 (the “</w:t>
      </w:r>
      <w:r>
        <w:rPr>
          <w:rFonts w:ascii="Arial" w:cs="Arial" w:eastAsia="Arial" w:hAnsi="Arial"/>
          <w:sz w:val="19"/>
          <w:szCs w:val="19"/>
          <w:u w:val="single" w:color="auto"/>
          <w:color w:val="auto"/>
        </w:rPr>
        <w:t>Outside Date</w:t>
      </w:r>
      <w:r>
        <w:rPr>
          <w:rFonts w:ascii="Arial" w:cs="Arial" w:eastAsia="Arial" w:hAnsi="Arial"/>
          <w:sz w:val="19"/>
          <w:szCs w:val="19"/>
          <w:color w:val="auto"/>
        </w:rPr>
        <w:t xml:space="preserve">”), unless the Outside Date is extended by the mutual written consent of Purchaser and Seller;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terminate this Agreement pursuant to this </w:t>
      </w:r>
      <w:r>
        <w:rPr>
          <w:rFonts w:ascii="Arial" w:cs="Arial" w:eastAsia="Arial" w:hAnsi="Arial"/>
          <w:sz w:val="19"/>
          <w:szCs w:val="19"/>
          <w:u w:val="single" w:color="auto"/>
          <w:color w:val="auto"/>
        </w:rPr>
        <w:t>Section 10.1(c)</w:t>
      </w:r>
      <w:r>
        <w:rPr>
          <w:rFonts w:ascii="Arial" w:cs="Arial" w:eastAsia="Arial" w:hAnsi="Arial"/>
          <w:sz w:val="19"/>
          <w:szCs w:val="19"/>
          <w:color w:val="auto"/>
        </w:rPr>
        <w:t xml:space="preserve"> will not be available to the Party seeking to terminate if the failure of such Party to perform any of its obligations under this Agreement required to be performed at or prior to the Closing has been the primary cause of the failure of the Closing to occur on or before the Outside Date and such failure to perform constitutes a material breach of this Agreement;</w:t>
      </w:r>
    </w:p>
    <w:p>
      <w:pPr>
        <w:spacing w:after="0" w:line="150" w:lineRule="exact"/>
        <w:rPr>
          <w:rFonts w:ascii="Arial" w:cs="Arial" w:eastAsia="Arial" w:hAnsi="Arial"/>
          <w:sz w:val="19"/>
          <w:szCs w:val="19"/>
          <w:color w:val="auto"/>
        </w:rPr>
      </w:pPr>
    </w:p>
    <w:p>
      <w:pPr>
        <w:jc w:val="both"/>
        <w:ind w:left="880" w:firstLine="789"/>
        <w:spacing w:after="0" w:line="271" w:lineRule="auto"/>
        <w:tabs>
          <w:tab w:leader="none" w:pos="2577"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by Seller if there has been a breach of or inaccuracy in (as applicable) any representation, warranty, covenant, or agreement on the part of Purchaser contained in this Agreement such that the conditions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8.3(b)</w:t>
      </w:r>
      <w:r>
        <w:rPr>
          <w:rFonts w:ascii="Arial" w:cs="Arial" w:eastAsia="Arial" w:hAnsi="Arial"/>
          <w:sz w:val="19"/>
          <w:szCs w:val="19"/>
          <w:color w:val="auto"/>
        </w:rPr>
        <w:t xml:space="preserve"> are incapable of being satisfied by the Outside Date as a result of such breach or inaccuracy;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Seller will not have the right to terminate this Agreement pursuant to this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if</w:t>
      </w:r>
    </w:p>
    <w:p>
      <w:pPr>
        <w:spacing w:after="0" w:line="3" w:lineRule="exact"/>
        <w:rPr>
          <w:rFonts w:ascii="Arial" w:cs="Arial" w:eastAsia="Arial" w:hAnsi="Arial"/>
          <w:sz w:val="19"/>
          <w:szCs w:val="19"/>
          <w:color w:val="auto"/>
        </w:rPr>
      </w:pPr>
    </w:p>
    <w:p>
      <w:pPr>
        <w:ind w:left="1120" w:hanging="248"/>
        <w:spacing w:after="0"/>
        <w:tabs>
          <w:tab w:leader="none" w:pos="11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Seller or the Companies are then in material breach of any of 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6" w:name="page177"/>
    <w:bookmarkEnd w:id="176"/>
    <w:p>
      <w:pPr>
        <w:ind w:left="880"/>
        <w:spacing w:after="0"/>
        <w:rPr>
          <w:sz w:val="20"/>
          <w:szCs w:val="20"/>
          <w:color w:val="auto"/>
        </w:rPr>
      </w:pPr>
      <w:r>
        <w:rPr>
          <w:rFonts w:ascii="Arial" w:cs="Arial" w:eastAsia="Arial" w:hAnsi="Arial"/>
          <w:sz w:val="19"/>
          <w:szCs w:val="19"/>
          <w:color w:val="auto"/>
        </w:rPr>
        <w:t>covenants or agreements contained in this Agreement or (ii) such breach, if curable, is cured no later than the earlier of</w:t>
      </w:r>
    </w:p>
    <w:p>
      <w:pPr>
        <w:spacing w:after="0" w:line="43" w:lineRule="exact"/>
        <w:rPr>
          <w:sz w:val="20"/>
          <w:szCs w:val="20"/>
          <w:color w:val="auto"/>
        </w:rPr>
      </w:pPr>
    </w:p>
    <w:p>
      <w:pPr>
        <w:ind w:left="880" w:hanging="8"/>
        <w:spacing w:after="0" w:line="236" w:lineRule="auto"/>
        <w:tabs>
          <w:tab w:leader="none" w:pos="120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thirtieth (30</w:t>
      </w:r>
      <w:r>
        <w:rPr>
          <w:rFonts w:ascii="Arial" w:cs="Arial" w:eastAsia="Arial" w:hAnsi="Arial"/>
          <w:sz w:val="18"/>
          <w:szCs w:val="18"/>
          <w:color w:val="auto"/>
        </w:rPr>
        <w:t>th</w:t>
      </w:r>
      <w:r>
        <w:rPr>
          <w:rFonts w:ascii="Arial" w:cs="Arial" w:eastAsia="Arial" w:hAnsi="Arial"/>
          <w:sz w:val="22"/>
          <w:szCs w:val="22"/>
          <w:color w:val="auto"/>
        </w:rPr>
        <w:t>) day after written notice thereof is given by Seller to Purchaser and (y) the day that is five (5) Business Days prior to the Outside Date;</w:t>
      </w:r>
    </w:p>
    <w:p>
      <w:pPr>
        <w:spacing w:after="0" w:line="186" w:lineRule="exact"/>
        <w:rPr>
          <w:rFonts w:ascii="Arial" w:cs="Arial" w:eastAsia="Arial" w:hAnsi="Arial"/>
          <w:sz w:val="22"/>
          <w:szCs w:val="22"/>
          <w:color w:val="auto"/>
        </w:rPr>
      </w:pPr>
    </w:p>
    <w:p>
      <w:pPr>
        <w:jc w:val="both"/>
        <w:ind w:left="880" w:firstLine="789"/>
        <w:spacing w:after="0" w:line="277" w:lineRule="auto"/>
        <w:tabs>
          <w:tab w:leader="none" w:pos="2565"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by Purchaser if there has been a breach of or inaccuracy in (as applicable) any representation, warranty, covenant, or agreement on the part of Seller or the Companies contained in this Agreement such that the conditions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8.2(b)</w:t>
      </w:r>
      <w:r>
        <w:rPr>
          <w:rFonts w:ascii="Arial" w:cs="Arial" w:eastAsia="Arial" w:hAnsi="Arial"/>
          <w:sz w:val="19"/>
          <w:szCs w:val="19"/>
          <w:color w:val="auto"/>
        </w:rPr>
        <w:t xml:space="preserve"> are incapable of being satisfied by the Outside Date as a result of such breach or inaccuracy;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Purchaser will not have the right to terminate this Agreement pursuant to this </w:t>
      </w:r>
      <w:r>
        <w:rPr>
          <w:rFonts w:ascii="Arial" w:cs="Arial" w:eastAsia="Arial" w:hAnsi="Arial"/>
          <w:sz w:val="19"/>
          <w:szCs w:val="19"/>
          <w:u w:val="single" w:color="auto"/>
          <w:color w:val="auto"/>
        </w:rPr>
        <w:t>Section 10.1(e)</w:t>
      </w:r>
      <w:r>
        <w:rPr>
          <w:rFonts w:ascii="Arial" w:cs="Arial" w:eastAsia="Arial" w:hAnsi="Arial"/>
          <w:sz w:val="19"/>
          <w:szCs w:val="19"/>
          <w:color w:val="auto"/>
        </w:rPr>
        <w:t xml:space="preserve"> if (i) Purchaser is then in material breach of any of its covenants or agreements contained in this Agreement or (ii) such breach, if curable, is cured no later than the earlier of (x) the thirtieth (30</w:t>
      </w:r>
      <w:r>
        <w:rPr>
          <w:rFonts w:ascii="Arial" w:cs="Arial" w:eastAsia="Arial" w:hAnsi="Arial"/>
          <w:sz w:val="16"/>
          <w:szCs w:val="16"/>
          <w:color w:val="auto"/>
        </w:rPr>
        <w:t>th</w:t>
      </w:r>
      <w:r>
        <w:rPr>
          <w:rFonts w:ascii="Arial" w:cs="Arial" w:eastAsia="Arial" w:hAnsi="Arial"/>
          <w:sz w:val="19"/>
          <w:szCs w:val="19"/>
          <w:color w:val="auto"/>
        </w:rPr>
        <w:t>) day after written notice thereof is given by Purchaser to Seller and (y) the day that is five (5) Business Days prior to the Outside Date; or</w:t>
      </w:r>
    </w:p>
    <w:p>
      <w:pPr>
        <w:spacing w:after="0" w:line="151" w:lineRule="exact"/>
        <w:rPr>
          <w:rFonts w:ascii="Arial" w:cs="Arial" w:eastAsia="Arial" w:hAnsi="Arial"/>
          <w:sz w:val="19"/>
          <w:szCs w:val="19"/>
          <w:color w:val="auto"/>
        </w:rPr>
      </w:pPr>
    </w:p>
    <w:p>
      <w:pPr>
        <w:jc w:val="both"/>
        <w:ind w:left="880" w:firstLine="789"/>
        <w:spacing w:after="0" w:line="287" w:lineRule="auto"/>
        <w:tabs>
          <w:tab w:leader="none" w:pos="2541"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by Seller, upon written notice to Purchaser, if (i) all conditions set forth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8.2</w:t>
      </w:r>
      <w:r>
        <w:rPr>
          <w:rFonts w:ascii="Arial" w:cs="Arial" w:eastAsia="Arial" w:hAnsi="Arial"/>
          <w:sz w:val="19"/>
          <w:szCs w:val="19"/>
          <w:color w:val="auto"/>
        </w:rPr>
        <w:t xml:space="preserve"> have been satisfied (or are capable of being satisfied and would be satisfied at the Closing were the Closing to occur on the date of such termination) and (ii) Purchaser has failed to complete the Closing within two (2) Business Days after the date on which the Closing should have occurred pursuant and subject to the provisions of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4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Effect of Termination</w:t>
      </w:r>
      <w:r>
        <w:rPr>
          <w:rFonts w:ascii="Arial" w:cs="Arial" w:eastAsia="Arial" w:hAnsi="Arial"/>
          <w:sz w:val="21"/>
          <w:szCs w:val="21"/>
          <w:color w:val="auto"/>
        </w:rPr>
        <w:t xml:space="preserve">. In the event of the termination of this Agreement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10.1</w:t>
      </w:r>
      <w:r>
        <w:rPr>
          <w:rFonts w:ascii="Arial" w:cs="Arial" w:eastAsia="Arial" w:hAnsi="Arial"/>
          <w:sz w:val="21"/>
          <w:szCs w:val="21"/>
          <w:color w:val="auto"/>
        </w:rPr>
        <w:t xml:space="preserve">, this Agreement will forthwith become void, and there will be no liability or obligation on the part of any Party, except with respect to </w:t>
      </w:r>
      <w:r>
        <w:rPr>
          <w:rFonts w:ascii="Arial" w:cs="Arial" w:eastAsia="Arial" w:hAnsi="Arial"/>
          <w:sz w:val="21"/>
          <w:szCs w:val="21"/>
          <w:u w:val="single" w:color="auto"/>
          <w:color w:val="auto"/>
        </w:rPr>
        <w:t>Section 6.2(b)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6.4(e)</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6.7</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and any corresponding definitions set forth in this Agreement, each of which will survive such termination;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Confidentiality Agreement will survive the termination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nothing in this Agreement will relieve a Party from liability for any breach of this Agreement prior to such termination. Nothing in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will be deemed to impair the right of any Party to compel specific performance by another Party of its obligations under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7" w:name="page178"/>
    <w:bookmarkEnd w:id="177"/>
    <w:p>
      <w:pPr>
        <w:jc w:val="center"/>
        <w:ind w:right="60"/>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18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color w:val="auto"/>
        </w:rPr>
        <w:t xml:space="preserve">Section 11.1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and other communications required or permitted to be given hereunder will be in writing and may be delivered by hand, by facsimile, by electronic transmission in .PDF format or similar format, by nationally recognized private courier, or by United States mail. Notices delivered by mail will be deemed given three (3) Business Days after being deposited in the United States mail, postage prepaid, registered or certified mail, return receipt requested. Notices delivered by hand will be deemed delivered when actually delivered. Notices given by nationally recognized private courier will be deemed delivered on the date delivery is promised by the courier. Notices given by electronic transmission will be deemed given on the date transmitted (unless such Person transmitting by e-mail receives a delivery failure notice, in which case notice will not be deemed effective). All notices will be addressed as follows:</w:t>
      </w:r>
    </w:p>
    <w:p>
      <w:pPr>
        <w:spacing w:after="0" w:line="157" w:lineRule="exact"/>
        <w:rPr>
          <w:sz w:val="20"/>
          <w:szCs w:val="20"/>
          <w:color w:val="auto"/>
        </w:rPr>
      </w:pPr>
    </w:p>
    <w:p>
      <w:pPr>
        <w:ind w:left="2600" w:right="3420" w:hanging="878"/>
        <w:spacing w:after="0" w:line="435" w:lineRule="auto"/>
        <w:tabs>
          <w:tab w:leader="none" w:pos="257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if to Purchaser, or, following the Closing, the Companies, to: c/o Addus HomeCare Corporation</w:t>
      </w:r>
    </w:p>
    <w:p>
      <w:pPr>
        <w:ind w:left="2600" w:right="5980"/>
        <w:spacing w:after="0" w:line="435" w:lineRule="auto"/>
        <w:rPr>
          <w:rFonts w:ascii="Arial" w:cs="Arial" w:eastAsia="Arial" w:hAnsi="Arial"/>
          <w:sz w:val="22"/>
          <w:szCs w:val="22"/>
          <w:color w:val="auto"/>
        </w:rPr>
      </w:pPr>
      <w:r>
        <w:rPr>
          <w:rFonts w:ascii="Arial" w:cs="Arial" w:eastAsia="Arial" w:hAnsi="Arial"/>
          <w:sz w:val="22"/>
          <w:szCs w:val="22"/>
          <w:color w:val="auto"/>
        </w:rPr>
        <w:t>6303 Cowboys Way, Suite 600 Frisco, Texas 75034</w:t>
      </w:r>
    </w:p>
    <w:p>
      <w:pPr>
        <w:ind w:left="2600"/>
        <w:spacing w:after="0"/>
        <w:rPr>
          <w:rFonts w:ascii="Arial" w:cs="Arial" w:eastAsia="Arial" w:hAnsi="Arial"/>
          <w:sz w:val="22"/>
          <w:szCs w:val="22"/>
          <w:color w:val="auto"/>
        </w:rPr>
      </w:pPr>
      <w:r>
        <w:rPr>
          <w:rFonts w:ascii="Arial" w:cs="Arial" w:eastAsia="Arial" w:hAnsi="Arial"/>
          <w:sz w:val="22"/>
          <w:szCs w:val="22"/>
          <w:color w:val="auto"/>
        </w:rPr>
        <w:t>Attn: Brian Poff, Chief Financial Officer</w:t>
      </w:r>
    </w:p>
    <w:p>
      <w:pPr>
        <w:spacing w:after="0" w:line="206"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Email: bpoff@addus.com</w:t>
      </w:r>
    </w:p>
    <w:p>
      <w:pPr>
        <w:spacing w:after="0" w:line="200" w:lineRule="exact"/>
        <w:rPr>
          <w:sz w:val="20"/>
          <w:szCs w:val="20"/>
          <w:color w:val="auto"/>
        </w:rPr>
      </w:pPr>
    </w:p>
    <w:p>
      <w:pPr>
        <w:spacing w:after="0" w:line="2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 copy (which will not constitute notice) to:</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Bass, Berry &amp; Sims PLC</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150 Third Avenue South, Suite 2800</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Nashville, Tennessee 37201</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Attn: David Cox</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Email: dcox@bassberry.com</w:t>
      </w:r>
    </w:p>
    <w:p>
      <w:pPr>
        <w:spacing w:after="0" w:line="200" w:lineRule="exact"/>
        <w:rPr>
          <w:sz w:val="20"/>
          <w:szCs w:val="20"/>
          <w:color w:val="auto"/>
        </w:rPr>
      </w:pPr>
    </w:p>
    <w:p>
      <w:pPr>
        <w:spacing w:after="0" w:line="249" w:lineRule="exact"/>
        <w:rPr>
          <w:sz w:val="20"/>
          <w:szCs w:val="20"/>
          <w:color w:val="auto"/>
        </w:rPr>
      </w:pPr>
    </w:p>
    <w:p>
      <w:pPr>
        <w:ind w:left="2600" w:right="4280" w:hanging="878"/>
        <w:spacing w:after="0" w:line="435" w:lineRule="auto"/>
        <w:tabs>
          <w:tab w:leader="none" w:pos="257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if to Seller, or, prior to the Closing, a Company, to: c/o Stonehenge Partners, Inc.</w:t>
      </w:r>
    </w:p>
    <w:p>
      <w:pPr>
        <w:ind w:left="2600" w:right="5500"/>
        <w:spacing w:after="0" w:line="435" w:lineRule="auto"/>
        <w:rPr>
          <w:rFonts w:ascii="Arial" w:cs="Arial" w:eastAsia="Arial" w:hAnsi="Arial"/>
          <w:sz w:val="22"/>
          <w:szCs w:val="22"/>
          <w:color w:val="auto"/>
        </w:rPr>
      </w:pPr>
      <w:r>
        <w:rPr>
          <w:rFonts w:ascii="Arial" w:cs="Arial" w:eastAsia="Arial" w:hAnsi="Arial"/>
          <w:sz w:val="22"/>
          <w:szCs w:val="22"/>
          <w:color w:val="auto"/>
        </w:rPr>
        <w:t>191 W. Nationwide Blvd., Suite 600 Columbus, Ohio 43215 Attention: Andrew F. Bohutinsky</w:t>
      </w:r>
    </w:p>
    <w:p>
      <w:pPr>
        <w:spacing w:after="0" w:line="1"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Email: afbohutinsky@stonehengepartners.com</w:t>
      </w:r>
    </w:p>
    <w:p>
      <w:pPr>
        <w:spacing w:after="0" w:line="200" w:lineRule="exact"/>
        <w:rPr>
          <w:sz w:val="20"/>
          <w:szCs w:val="20"/>
          <w:color w:val="auto"/>
        </w:rPr>
      </w:pPr>
    </w:p>
    <w:p>
      <w:pPr>
        <w:spacing w:after="0" w:line="24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with an additional copy (which will not constitute notice) to:</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Benesch, Friedlander, Coplan &amp; Aronoff LLP</w:t>
      </w:r>
    </w:p>
    <w:p>
      <w:pPr>
        <w:ind w:left="2600"/>
        <w:spacing w:after="0" w:line="238" w:lineRule="auto"/>
        <w:rPr>
          <w:sz w:val="20"/>
          <w:szCs w:val="20"/>
          <w:color w:val="auto"/>
        </w:rPr>
      </w:pPr>
      <w:r>
        <w:rPr>
          <w:rFonts w:ascii="Arial" w:cs="Arial" w:eastAsia="Arial" w:hAnsi="Arial"/>
          <w:sz w:val="22"/>
          <w:szCs w:val="22"/>
          <w:color w:val="auto"/>
        </w:rPr>
        <w:t>200 Public Square, Suite 2300</w:t>
      </w:r>
    </w:p>
    <w:p>
      <w:pPr>
        <w:ind w:left="2600"/>
        <w:spacing w:after="0" w:line="230" w:lineRule="auto"/>
        <w:rPr>
          <w:sz w:val="20"/>
          <w:szCs w:val="20"/>
          <w:color w:val="auto"/>
        </w:rPr>
      </w:pPr>
      <w:r>
        <w:rPr>
          <w:rFonts w:ascii="Arial" w:cs="Arial" w:eastAsia="Arial" w:hAnsi="Arial"/>
          <w:sz w:val="22"/>
          <w:szCs w:val="22"/>
          <w:color w:val="auto"/>
        </w:rPr>
        <w:t>Cleveland, Ohio 44114</w:t>
      </w:r>
    </w:p>
    <w:p>
      <w:pPr>
        <w:ind w:left="2600"/>
        <w:spacing w:after="0" w:line="231" w:lineRule="auto"/>
        <w:rPr>
          <w:sz w:val="20"/>
          <w:szCs w:val="20"/>
          <w:color w:val="auto"/>
        </w:rPr>
      </w:pPr>
      <w:r>
        <w:rPr>
          <w:rFonts w:ascii="Arial" w:cs="Arial" w:eastAsia="Arial" w:hAnsi="Arial"/>
          <w:sz w:val="22"/>
          <w:szCs w:val="22"/>
          <w:color w:val="auto"/>
        </w:rPr>
        <w:t>Attention: Gregg Eisenberg, Michael Mozes, and Christopher Hopkins</w:t>
      </w:r>
    </w:p>
    <w:p>
      <w:pPr>
        <w:ind w:left="2600"/>
        <w:spacing w:after="0" w:line="230" w:lineRule="auto"/>
        <w:tabs>
          <w:tab w:leader="none" w:pos="3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geisenberg@beneschlaw.com</w:t>
      </w:r>
    </w:p>
    <w:p>
      <w:pPr>
        <w:ind w:left="3260"/>
        <w:spacing w:after="0" w:line="231" w:lineRule="auto"/>
        <w:rPr>
          <w:sz w:val="20"/>
          <w:szCs w:val="20"/>
          <w:color w:val="auto"/>
        </w:rPr>
      </w:pPr>
      <w:r>
        <w:rPr>
          <w:rFonts w:ascii="Arial" w:cs="Arial" w:eastAsia="Arial" w:hAnsi="Arial"/>
          <w:sz w:val="22"/>
          <w:szCs w:val="22"/>
          <w:color w:val="auto"/>
        </w:rPr>
        <w:t>mmozes@beneschlaw.com</w:t>
      </w:r>
    </w:p>
    <w:p>
      <w:pPr>
        <w:ind w:left="3260"/>
        <w:spacing w:after="0"/>
        <w:rPr>
          <w:sz w:val="20"/>
          <w:szCs w:val="20"/>
          <w:color w:val="auto"/>
        </w:rPr>
      </w:pPr>
      <w:r>
        <w:rPr>
          <w:rFonts w:ascii="Arial" w:cs="Arial" w:eastAsia="Arial" w:hAnsi="Arial"/>
          <w:sz w:val="22"/>
          <w:szCs w:val="22"/>
          <w:color w:val="auto"/>
        </w:rPr>
        <w:t>chopkins@beneschlaw.com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8" w:name="page179"/>
    <w:bookmarkEnd w:id="178"/>
    <w:p>
      <w:pPr>
        <w:jc w:val="both"/>
        <w:ind w:right="20"/>
        <w:spacing w:after="0" w:line="328" w:lineRule="auto"/>
        <w:rPr>
          <w:sz w:val="20"/>
          <w:szCs w:val="20"/>
          <w:color w:val="auto"/>
        </w:rPr>
      </w:pPr>
      <w:r>
        <w:rPr>
          <w:rFonts w:ascii="Arial" w:cs="Arial" w:eastAsia="Arial" w:hAnsi="Arial"/>
          <w:sz w:val="19"/>
          <w:szCs w:val="19"/>
          <w:color w:val="auto"/>
        </w:rPr>
        <w:t xml:space="preserve">Any Party from time to time may change its address, facsimile number, email address, or other information for the purpose of notices to that party by giving notice specifying such change to the other parties hereto in accordance with this </w:t>
      </w:r>
      <w:r>
        <w:rPr>
          <w:rFonts w:ascii="Arial" w:cs="Arial" w:eastAsia="Arial" w:hAnsi="Arial"/>
          <w:sz w:val="19"/>
          <w:szCs w:val="19"/>
          <w:u w:val="single" w:color="auto"/>
          <w:color w:val="auto"/>
        </w:rPr>
        <w:t>Section 11.1</w:t>
      </w:r>
      <w:r>
        <w:rPr>
          <w:rFonts w:ascii="Arial" w:cs="Arial" w:eastAsia="Arial" w:hAnsi="Arial"/>
          <w:sz w:val="19"/>
          <w:szCs w:val="19"/>
          <w:color w:val="auto"/>
        </w:rPr>
        <w:t>.</w:t>
      </w:r>
    </w:p>
    <w:p>
      <w:pPr>
        <w:spacing w:after="0" w:line="105"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term and provision of this Agreement will be interpreted in such manner as to be effective and valid under applicable Law. If any term or provision of this Agreement is held to be invalid, illegal, or incapable of being enforced by any rule of Law or public policy in any jurisdiction, such invalidity, illegality, or unenforceability will not affect any other provision or any other jurisdiction, and, for purposes of such jurisdiction, such provision or portion thereof will be struck from this Agreement, and the remainder of this Agreement will remain in full force and effect so long as the legal substance of the transactions contemplated hereby is not affected in any manner materially adverse to any Party. Upon determination that any term or other provision is invalid, illegal, or incapable of being enforced, the parties hereto will negotiate in good faith to modify this Agreement so as to effect the original intent of the Parties as closely as possible in an acceptable manner to the end that the transactions contemplated hereby are fulfilled to the fullest extent possible.</w:t>
      </w:r>
    </w:p>
    <w:p>
      <w:pPr>
        <w:spacing w:after="0" w:line="15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Section 11.3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all schedules and exhibits hereto, together with the other documents and instruments to be delivered pursuant to or in connection with this Agreement (when executed and delivered), and the Confidentiality Agreement, contains and is intended as a complete statement of all of the terms and the arrangements between the Parties with respect to the matters provided for and supersedes any previous agreements and understandings between the Parties with respect to those matters (including all term sheets, letters of intent, or other understandings between Seller, the Companies and Purchaser). The Parties have voluntarily agreed to define their rights, liabilities, and obligations respecting the transactions contemplated by this Agreement exclusively in contract pursuant to the express terms and provisions of this Agreement. The Parties expressly disclaim that they are owed any duties or are entitled to any remedies not expressly set forth in this Agreement. Furthermore, the Parties each hereby acknowledge that this Agreement embodies the justifiable expectations of sophisticated parties derived from arm’s-length negotiations. All Parties to this Agreement specifically acknowledge that no Party has any special relationship with another Party that would justify any expectation beyond that of an ordinary buyer and an ordinary seller in an arm’s-length transaction.</w:t>
      </w:r>
    </w:p>
    <w:p>
      <w:pPr>
        <w:spacing w:after="0" w:line="161"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Section 11.4 </w:t>
      </w: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will be binding upon and inure to the benefit of and be enforceable by the Parties and their respective successors and permitted assigns. This Agreement and any rights and obligations hereunder may not be assigned, delegated, hypothecated, or otherwise transferred by any Party (by operation of Law or otherwise) without the prior written consent of the other Parties, and any attempted assignment without the required consents will be void. Purchaser and its Affiliates retain all risks and obligations if they enter into any agreement with any Person that is broader than or inconsistent or conflicts with their rights, interests, or obligations hereunder, and any such broader, inconsistent, or conflicting right, obligation, covenant, or agreement will not be effective or binding against Seller, the Companies, or their respective Affiliates. Upon any permitted assignment by Purchaser, the references in this Agreement to Purchaser will also apply to any such assignee unless the context otherwise requires.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79" w:name="page180"/>
    <w:bookmarkEnd w:id="179"/>
    <w:p>
      <w:pPr>
        <w:jc w:val="both"/>
        <w:ind w:firstLine="864"/>
        <w:spacing w:after="0" w:line="235"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Any provision of this Agreement may be amended by the Parties at any time prior to the Closing. This Agreement may not be amended except by an instrument in writing making specific reference to this Agreement signed by each of the Parties;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any amendment to this Agreement after the Closing will only require the written consent of Purchaser and Seller, (b)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may not be amended or waived without the prior written consent of a majority of the Indemnitees, and (c) </w:t>
      </w:r>
      <w:r>
        <w:rPr>
          <w:rFonts w:ascii="Arial" w:cs="Arial" w:eastAsia="Arial" w:hAnsi="Arial"/>
          <w:sz w:val="22"/>
          <w:szCs w:val="22"/>
          <w:u w:val="single" w:color="auto"/>
          <w:color w:val="auto"/>
        </w:rPr>
        <w:t>Section 6.7</w:t>
      </w:r>
      <w:r>
        <w:rPr>
          <w:rFonts w:ascii="Arial" w:cs="Arial" w:eastAsia="Arial" w:hAnsi="Arial"/>
          <w:sz w:val="22"/>
          <w:szCs w:val="22"/>
          <w:color w:val="auto"/>
        </w:rPr>
        <w:t xml:space="preserve"> may not be amended or waived without the prior written consent of Stonehenge Partners, Inc.</w:t>
      </w:r>
    </w:p>
    <w:p>
      <w:pPr>
        <w:spacing w:after="0" w:line="188"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Section 11.6 </w:t>
      </w:r>
      <w:r>
        <w:rPr>
          <w:rFonts w:ascii="Arial" w:cs="Arial" w:eastAsia="Arial" w:hAnsi="Arial"/>
          <w:sz w:val="19"/>
          <w:szCs w:val="19"/>
          <w:u w:val="single" w:color="auto"/>
          <w:color w:val="auto"/>
        </w:rPr>
        <w:t>Waiver</w:t>
      </w:r>
      <w:r>
        <w:rPr>
          <w:rFonts w:ascii="Arial" w:cs="Arial" w:eastAsia="Arial" w:hAnsi="Arial"/>
          <w:sz w:val="19"/>
          <w:szCs w:val="19"/>
          <w:color w:val="auto"/>
        </w:rPr>
        <w:t>. At any time prior to the Closing, any Party may (a) extend the time for the performance of any of the obligations or other acts of the other Parties, (b) waive any breaches of or inaccuracies in the representations and warranties of the other parties contained in this Agreement or in any document delivered pursuant hereto, and (c) subject to the requirements of applicable Law, waive compliance with any of the agreements or conditions contained in this Agreement. Except as provided by applicable Law, no waiver of this Agreement will require the approval of the stockholders or members (as applicable) of Purchaser or Seller. Any such extension or waiver will be valid if set forth in an instrument in writing signed by the Party or Parties making such waiver. The failure or delay of any Party to this Agreement to assert any of its rights or remedies under this Agreement or otherwise will not constitute a waiver of such rights or remedies nor will any single or partial exercise by any Party to this Agreement of any of its rights or remedies under this Agreement preclude any other or further exercise of such rights or remedies or any other rights or remedies under this Agreement. Except as expressly provided therein, no waiver will be deemed to extend to any prior or subsequent default, misrepresentation, or breach hereunder or affect in any way any rights arising by virtue of any prior or subsequent such occurrence. No omission or course of dealing on the part of any of the Parties in exercising any right, power, or remedy will operate as a waiver thereof.</w:t>
      </w:r>
    </w:p>
    <w:p>
      <w:pPr>
        <w:spacing w:after="0" w:line="15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 xml:space="preserve">Section 11.7 </w:t>
      </w:r>
      <w:r>
        <w:rPr>
          <w:rFonts w:ascii="Arial" w:cs="Arial" w:eastAsia="Arial" w:hAnsi="Arial"/>
          <w:sz w:val="21"/>
          <w:szCs w:val="21"/>
          <w:u w:val="single" w:color="auto"/>
          <w:color w:val="auto"/>
        </w:rPr>
        <w:t>Parties in Interest</w:t>
      </w:r>
      <w:r>
        <w:rPr>
          <w:rFonts w:ascii="Arial" w:cs="Arial" w:eastAsia="Arial" w:hAnsi="Arial"/>
          <w:sz w:val="21"/>
          <w:szCs w:val="21"/>
          <w:color w:val="auto"/>
        </w:rPr>
        <w:t>. Except as expressly provided by this Agreement, this Agreement will be binding upon and inure solely to the benefit of each Party, and nothing in this Agreement, express or implied, is intended to or will be construed to or will confer upon any other Person any right, claim, cause of action, benefit, or remedy of any nature whatsoever under or by reason of this Agreement, including by way of subrogation. Except as expressly provided by this Agreement, this Agreement will not provide third parties with any remedy, claim, liability, reimbursement, cause of action, or other right in excess of those existing without reference to the terms of this Agreement.</w:t>
      </w:r>
    </w:p>
    <w:p>
      <w:pPr>
        <w:spacing w:after="0" w:line="177"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Section 11.8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any controversy related to or arising, directly or indirectly, out of, caused by, or resulting from this Agreement, and all claims or causes of action (whether in contract, tort, or otherwise) that may be based upon, arise out of, or relate to this Agreement or the negotiation, execution, performance, non-performance, interpretation, termination, or construction of this Agreement (including any claim or cause of action based upon, arising out of, or related to any representation or warranty made in or in connection with this Agreement) or the legal relationship among the parties hereto will be governed by and construed in accordance with the internal Laws of the State of Delaware applicable to agreements executed and performed entirely within such State, without giving effect to any choice or conflict of Law provision or rule (whether of the State of Delaware or any other jurisdiction) that would cause the application of the Laws of any jurisdiction other than the State of Delaware.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0" w:name="page181"/>
    <w:bookmarkEnd w:id="180"/>
    <w:p>
      <w:pPr>
        <w:jc w:val="both"/>
        <w:ind w:firstLine="864"/>
        <w:spacing w:after="0" w:line="269" w:lineRule="auto"/>
        <w:rPr>
          <w:sz w:val="20"/>
          <w:szCs w:val="20"/>
          <w:color w:val="auto"/>
        </w:rPr>
      </w:pPr>
      <w:r>
        <w:rPr>
          <w:rFonts w:ascii="Arial" w:cs="Arial" w:eastAsia="Arial" w:hAnsi="Arial"/>
          <w:sz w:val="19"/>
          <w:szCs w:val="19"/>
          <w:color w:val="auto"/>
        </w:rPr>
        <w:t xml:space="preserve">Section 11.9 </w:t>
      </w:r>
      <w:r>
        <w:rPr>
          <w:rFonts w:ascii="Arial" w:cs="Arial" w:eastAsia="Arial" w:hAnsi="Arial"/>
          <w:sz w:val="19"/>
          <w:szCs w:val="19"/>
          <w:u w:val="single" w:color="auto"/>
          <w:color w:val="auto"/>
        </w:rPr>
        <w:t>Jurisdiction</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(WHICH WILL GOVERN ANY DISPUTE ARISING THEREUNDER), EACH OF THE PARTIES TO THIS AGREEMENT IRREVOCABLY SUBMITS AND CONSENTS TO THE EXCLUSIVE JURISDICTION OF THE DELAWARE COURT OF CHANCERY LOCATED IN WILMINGTON, DELAWARE OR (BUT ONLY TO THE EXTENT THE CHANCERY COURT DECLINES JURISDICTION) THE DELAWARE STATE COURTS OR THE UNITED STATES DISTRICT COURT LOCATED IN WILMINGTON, DELAWARE AND ANY APPELLATE COURT THEREFROM (THE “</w:t>
      </w:r>
      <w:r>
        <w:rPr>
          <w:rFonts w:ascii="Arial" w:cs="Arial" w:eastAsia="Arial" w:hAnsi="Arial"/>
          <w:sz w:val="19"/>
          <w:szCs w:val="19"/>
          <w:u w:val="single" w:color="auto"/>
          <w:color w:val="auto"/>
        </w:rPr>
        <w:t>CHOSEN COURTS</w:t>
      </w:r>
      <w:r>
        <w:rPr>
          <w:rFonts w:ascii="Arial" w:cs="Arial" w:eastAsia="Arial" w:hAnsi="Arial"/>
          <w:sz w:val="19"/>
          <w:szCs w:val="19"/>
          <w:color w:val="auto"/>
        </w:rPr>
        <w:t xml:space="preserve">”) IN RESPECT OF THE INTERPRETATION AND ENFORCEMENT OF THE PROVISIONS OF THIS AGREEMENT, THE LEGAL RELATIONSHIP OF THE PARTIES, AND THE TRANSACTIONS CONTEMPLATED HEREBY. SUBJECT TO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(WHICH WILL GOVERN ANY DISPUTE ARISING THEREUNDER), EACH PARTY ALSO WAIVES AND AGREES NOT TO ASSERT: (A) ANY DEFENSE TO JURISDICTION OR VENUE IN THE CHOSEN COURTS FOR ANY ACTION RELATING TO THE INTERPRETATION OR ENFORCEMENT OF THIS AGREEMENT AND ANY DOCUMENT DELIVERED IN CONNECTION HEREWITH, THE LEGAL RELATIONSHIP OF THE PARTIES, AND THE TRANSACTIONS CONTEMPLATED HEREBY AND THEREBY, (B) THAT THIS AGREEMENT MAY NOT BE ENFORCED IN OR BY THE CHOSEN COURTS, (C) THAT THEIR PROPERTY IS EXEMPT OR IMMUNE FROM EXECUTION, AND (D) THAT THE ACTION IS BROUGHT IN AN INCONVENIENT FORUM. EACH PARTY TO THIS AGREEMENT FURTHER AGREES THAT SERVICE OF PROCESS WITH RESPECT TO ANY ACTION GOVERNED BY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MAY BE MADE UPON A PARTY BY MAILING A COPY THEREOF BY REGISTERED OR CERTIFIED MAIL, POSTAGE PREPAID, TO SUCH PARTY AT ITS ADDRESS AS PROVIDED IN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 11.10</w:t>
      </w:r>
      <w:r>
        <w:rPr>
          <w:rFonts w:ascii="Arial" w:cs="Arial" w:eastAsia="Arial" w:hAnsi="Arial"/>
          <w:sz w:val="19"/>
          <w:szCs w:val="19"/>
          <w:color w:val="auto"/>
        </w:rPr>
        <w:t xml:space="preserve"> BELOW RELATING TO THE WAIVER OF JURY TRIAL WILL APPLY TO ANY SUCH PROCEEDING. EACH PARTY AGREES THAT ANY FINAL AND NON-APPEALABLE JUDGMENT AGAINST IT IN ANY PROCEEDING DESCRIBED IN THIS </w:t>
      </w:r>
      <w:r>
        <w:rPr>
          <w:rFonts w:ascii="Arial" w:cs="Arial" w:eastAsia="Arial" w:hAnsi="Arial"/>
          <w:sz w:val="19"/>
          <w:szCs w:val="19"/>
          <w:u w:val="single" w:color="auto"/>
          <w:color w:val="auto"/>
        </w:rPr>
        <w:t>SECTION 11.9</w:t>
      </w:r>
      <w:r>
        <w:rPr>
          <w:rFonts w:ascii="Arial" w:cs="Arial" w:eastAsia="Arial" w:hAnsi="Arial"/>
          <w:sz w:val="19"/>
          <w:szCs w:val="19"/>
          <w:color w:val="auto"/>
        </w:rPr>
        <w:t xml:space="preserve"> WILL BE CONCLUSIVE AND MAY BE ENFORCED IN ANY OTHER JURISDICTION WITHIN OR OUTSIDE OF THE UNITED STATES BY SUIT ON SUCH JUDGMENT, A CERTIFIED COPY OF WHICH WILL BE CONCLUSIVE EVIDENCE OF THE FACT AND AMOUNT OF SUCH JUDGMENT. THE PARTIES AGREE THAT ANY OF THEM MAY FILE A COPY OF THIS PARAGRAPH WITH ANY COURT AS WRITTEN EVIDENCE OF THE KNOWING AND VOLUNTARY AND BARGAINED AGREEMENT BETWEEN THE PARTIES.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Section 11.10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xml:space="preserve">. EACH PARTY HERETO HEREBY ACKNOWLEDGES AND AGREES THAT ANY CONTROVERSY THAT MAY ARISE UNDER THIS AGREEMENT IS LIKELY TO INVOLVE COMPLICATED AND DIFFICULT ISSUES. ACCORDINGLY AND TO THE EXTENT PERMITTED BY LAW, EACH PARTY IRREVOCABLY AND UNCONDITIONALLY WAIVES ANY RIGHT SUCH PARTY MAY HAVE TO A TRIAL BY JURY IN RESPECT OF ANY ACTION DIRECTLY OR INDIRECTLY ARISING OUT OF OR RELATING TO THIS AGREEMENT OR THE TRANSACTIONS CONTEMPLATED HEREBY OR THE RELATIONSHIP BETWEEN THE PARTIES, IN EACH CASE WHETHER NOW EXISTING OR HEREAFTER ARISING, AND WHETHER IN CONTRACT, TORT, EQUITY, OR OTHERWISE AND REGARDLESS OF WHICH PARTY INITIATES SUCH ACTION. SUBJECT TO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(WHICH WILL GOVERN ANY DISPUTE ARISING THEREUNDER), THE PARTIES TO THIS AGREEMENT EACH AGREE AND CONSENT THAT ANY SUCH ACTION WILL BE DECIDED BY COURT TRIAL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1" w:name="page182"/>
    <w:bookmarkEnd w:id="181"/>
    <w:p>
      <w:pPr>
        <w:jc w:val="both"/>
        <w:spacing w:after="0" w:line="245" w:lineRule="auto"/>
        <w:rPr>
          <w:sz w:val="20"/>
          <w:szCs w:val="20"/>
          <w:color w:val="auto"/>
        </w:rPr>
      </w:pPr>
      <w:r>
        <w:rPr>
          <w:rFonts w:ascii="Arial" w:cs="Arial" w:eastAsia="Arial" w:hAnsi="Arial"/>
          <w:sz w:val="21"/>
          <w:szCs w:val="21"/>
          <w:color w:val="auto"/>
        </w:rPr>
        <w:t xml:space="preserve">THE CHOSEN COURTS WITHOUT A JURY AND THAT THE PARTIES TO THIS AGREEMENT MAY FILE A COPY OF THIS AGREEMENT WITH ANY COURT AS WRITTEN EVIDENCE OF THE CONSENT OF THE PARTIES HERETO TO THE IRREVOCABLE WAIVER OF THEIR RIGHT TO A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21"/>
          <w:szCs w:val="21"/>
          <w:u w:val="single" w:color="auto"/>
          <w:color w:val="auto"/>
        </w:rPr>
        <w:t>SECTION 11.10</w:t>
      </w:r>
      <w:r>
        <w:rPr>
          <w:rFonts w:ascii="Arial" w:cs="Arial" w:eastAsia="Arial" w:hAnsi="Arial"/>
          <w:sz w:val="21"/>
          <w:szCs w:val="21"/>
          <w:color w:val="auto"/>
        </w:rPr>
        <w:t>.</w:t>
      </w:r>
    </w:p>
    <w:p>
      <w:pPr>
        <w:spacing w:after="0" w:line="18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Section 11.11 </w:t>
      </w:r>
      <w:r>
        <w:rPr>
          <w:rFonts w:ascii="Arial" w:cs="Arial" w:eastAsia="Arial" w:hAnsi="Arial"/>
          <w:sz w:val="22"/>
          <w:szCs w:val="22"/>
          <w:u w:val="single" w:color="auto"/>
          <w:color w:val="auto"/>
        </w:rPr>
        <w:t>Headings</w:t>
      </w:r>
      <w:r>
        <w:rPr>
          <w:rFonts w:ascii="Arial" w:cs="Arial" w:eastAsia="Arial" w:hAnsi="Arial"/>
          <w:sz w:val="22"/>
          <w:szCs w:val="22"/>
          <w:color w:val="auto"/>
        </w:rPr>
        <w:t>. The descriptive headings contained in this Agreement are included for convenience of reference only and will not affect in any way the meaning or interpretation of this Agreement.</w:t>
      </w:r>
    </w:p>
    <w:p>
      <w:pPr>
        <w:spacing w:after="0" w:line="175"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 xml:space="preserve">Section 11.12 </w:t>
      </w:r>
      <w:r>
        <w:rPr>
          <w:rFonts w:ascii="Arial" w:cs="Arial" w:eastAsia="Arial" w:hAnsi="Arial"/>
          <w:sz w:val="19"/>
          <w:szCs w:val="19"/>
          <w:u w:val="single" w:color="auto"/>
          <w:color w:val="auto"/>
        </w:rPr>
        <w:t>Counterparts; Electronic Transmission</w:t>
      </w:r>
      <w:r>
        <w:rPr>
          <w:rFonts w:ascii="Arial" w:cs="Arial" w:eastAsia="Arial" w:hAnsi="Arial"/>
          <w:sz w:val="19"/>
          <w:szCs w:val="19"/>
          <w:color w:val="auto"/>
        </w:rPr>
        <w:t>. This Agreement may be executed in any number of counterparts, each of which when executed and delivered will be deemed to be an original, and all such counterparts taken together will be deemed to be but one and the same instrument. This Agreement, and any amendments hereto, to the extent signed and delivered by means of a facsimile machine, email, .PDF, or other electronic transmission, will be treated in all manner and respects as an original contract and will be considered to have the same binding legal effect as if it were the original signed version thereof delivered in person. At the request of any Party, each other Party will re-execute original forms hereof and thereof and deliver them to all other parties. No Party hereto or thereto will raise the use of a facsimile machine, email, .PDF, or other electronic transmission to deliver a signature or the fact that any signature or contract was transmitted or communicated through the use of facsimile machine, email, .PDF, or other electronic transmission as a defense to the formation of a contract, and each such party forever waives any such defense.</w:t>
      </w:r>
    </w:p>
    <w:p>
      <w:pPr>
        <w:spacing w:after="0" w:line="200" w:lineRule="exact"/>
        <w:rPr>
          <w:sz w:val="20"/>
          <w:szCs w:val="20"/>
          <w:color w:val="auto"/>
        </w:rPr>
      </w:pPr>
    </w:p>
    <w:p>
      <w:pPr>
        <w:spacing w:after="0" w:line="20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 xml:space="preserve">Section 11.13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Each Party acknowledges and agrees that the subject matter of this Agreement is unique, that the other parties would be damaged irreparably in the event any of the provisions of this Agreement are not performed in accordance with their specific terms or otherwise are breached, and that remedies at law would not be adequate to compensate any Party. Accordingly, each Party agrees that Purchaser, on the one hand, and Seller, on the other hand will be entitled to an injunction or injunctions to prevent breaches or threatened breaches of the provisions of this Agreement and to enforce specifically this Agreement and the terms and provisions of this Agreement (including to enforce the obligations of the Parties to consummate the transactions contemplated by this Agreement) in addition to any other remedy to which they may be entitled (without any requirement that any Party provide any bond or other security). Each Party waives any defense that a remedy at law is adequate and any requirement to post bond or provide similar security in connection with Actions instituted for injunctive relief or specific performance of this Agreement. Each Party agrees not to raise any objections to the availability of the equitable remedy of specific performance to prevent or restrain breaches or threatened breaches of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2" w:name="page183"/>
    <w:bookmarkEnd w:id="182"/>
    <w:p>
      <w:pPr>
        <w:jc w:val="both"/>
        <w:ind w:firstLine="864"/>
        <w:spacing w:after="0" w:line="271" w:lineRule="auto"/>
        <w:rPr>
          <w:sz w:val="20"/>
          <w:szCs w:val="20"/>
          <w:color w:val="auto"/>
        </w:rPr>
      </w:pPr>
      <w:r>
        <w:rPr>
          <w:rFonts w:ascii="Arial" w:cs="Arial" w:eastAsia="Arial" w:hAnsi="Arial"/>
          <w:sz w:val="19"/>
          <w:szCs w:val="19"/>
          <w:color w:val="auto"/>
        </w:rPr>
        <w:t xml:space="preserve">Section 11.14 </w:t>
      </w:r>
      <w:r>
        <w:rPr>
          <w:rFonts w:ascii="Arial" w:cs="Arial" w:eastAsia="Arial" w:hAnsi="Arial"/>
          <w:sz w:val="19"/>
          <w:szCs w:val="19"/>
          <w:u w:val="single" w:color="auto"/>
          <w:color w:val="auto"/>
        </w:rPr>
        <w:t>Construction; Interpretation</w:t>
      </w:r>
      <w:r>
        <w:rPr>
          <w:rFonts w:ascii="Arial" w:cs="Arial" w:eastAsia="Arial" w:hAnsi="Arial"/>
          <w:sz w:val="19"/>
          <w:szCs w:val="19"/>
          <w:color w:val="auto"/>
        </w:rPr>
        <w:t>. The Parties have participated jointly in the negotiation and drafting of this Agreement. In the event an ambiguity or question of intent or interpretation arises, this Agreement will be construed as if drafted jointly by the Parties, and no presumption or burden of proof will arise favoring or disfavoring any Party by virtue of the authorship of any of the provisions of this Agreement. Prior drafts of this Agreement will not be used to interpret this Agreement. The recitals are incorporated into this Agreement. Unless the context clearly indicates otherwise: (a) words importing the singular will also include the plural, and vice versa, (b) each reference in this Agreement to any gender includes the masculine, feminine, and neuter, where appropriate, (c) the words “include” and “including” and variations thereof will not be deemed terms of limitation but rather will be deemed to be followed by the words “without limitation,” (d) the words “hereof,” “herein,” “hereto,” “hereby,” “hereunder,” and derivative or similar words refer to this Agreement as an entirety and not solely to any particular provision of this Agreement, (e) each reference in this Agreement to a particular Article, Section, Exhibit, or Schedule means an Article or Section of, or an Exhibit or Schedule to, this Agreement, unless another agreement is specified, (f) the word “or” when used in this Agreement is disjunctive but not necessarily exclusive, (g) any accounting term not defined in this Agreement will have the meaning ascribed to it under GAAP, and (h) all references to “$” means U.S. Dollars. Whenever this Agreement refers to a number of days, unless specified otherwise, such number will refer to calendar days. Any document or item will be deemed “delivered,” “provided,” or “made available” within the meaning of this Agreement if such document or item is (i) included in the Data Room, or (ii) actually delivered or provided to Purchaser or any of Purchaser’s representatives.</w:t>
      </w:r>
    </w:p>
    <w:p>
      <w:pPr>
        <w:spacing w:after="0" w:line="157" w:lineRule="exact"/>
        <w:rPr>
          <w:sz w:val="20"/>
          <w:szCs w:val="20"/>
          <w:color w:val="auto"/>
        </w:rPr>
      </w:pPr>
    </w:p>
    <w:p>
      <w:pPr>
        <w:jc w:val="both"/>
        <w:ind w:right="20" w:firstLine="864"/>
        <w:spacing w:after="0"/>
        <w:rPr>
          <w:sz w:val="20"/>
          <w:szCs w:val="20"/>
          <w:color w:val="auto"/>
        </w:rPr>
      </w:pPr>
      <w:r>
        <w:rPr>
          <w:rFonts w:ascii="Arial" w:cs="Arial" w:eastAsia="Arial" w:hAnsi="Arial"/>
          <w:sz w:val="22"/>
          <w:szCs w:val="22"/>
          <w:color w:val="auto"/>
        </w:rPr>
        <w:t xml:space="preserve">Section 11.15 </w:t>
      </w:r>
      <w:r>
        <w:rPr>
          <w:rFonts w:ascii="Arial" w:cs="Arial" w:eastAsia="Arial" w:hAnsi="Arial"/>
          <w:sz w:val="22"/>
          <w:szCs w:val="22"/>
          <w:u w:val="single" w:color="auto"/>
          <w:color w:val="auto"/>
        </w:rPr>
        <w:t>Rights Cumulative</w:t>
      </w:r>
      <w:r>
        <w:rPr>
          <w:rFonts w:ascii="Arial" w:cs="Arial" w:eastAsia="Arial" w:hAnsi="Arial"/>
          <w:sz w:val="22"/>
          <w:szCs w:val="22"/>
          <w:color w:val="auto"/>
        </w:rPr>
        <w:t>. Except as otherwise expressly limited by this Agreement, all rights and remedies of each of the parties will be cumulative, and the exercise of one or more rights or remedies will not preclude the exercise of any other right or remedy available under this Agreement or applicable Law.</w:t>
      </w:r>
    </w:p>
    <w:p>
      <w:pPr>
        <w:spacing w:after="0" w:line="18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Section 11.16 </w:t>
      </w:r>
      <w:r>
        <w:rPr>
          <w:rFonts w:ascii="Arial" w:cs="Arial" w:eastAsia="Arial" w:hAnsi="Arial"/>
          <w:sz w:val="22"/>
          <w:szCs w:val="22"/>
          <w:u w:val="single" w:color="auto"/>
          <w:color w:val="auto"/>
        </w:rPr>
        <w:t>Expenses</w:t>
      </w:r>
      <w:r>
        <w:rPr>
          <w:rFonts w:ascii="Arial" w:cs="Arial" w:eastAsia="Arial" w:hAnsi="Arial"/>
          <w:sz w:val="22"/>
          <w:szCs w:val="22"/>
          <w:color w:val="auto"/>
        </w:rPr>
        <w:t>. Except as otherwise provided in this Agreement, each Party will pay for its own legal, accounting, investment banking, and valuation services, and any and all other costs and expenses incurred with respect to the transactions contemplated hereby, the negotiation and execution of this Agreement, and the performance of its obligations hereunder.</w:t>
      </w:r>
    </w:p>
    <w:p>
      <w:pPr>
        <w:spacing w:after="0" w:line="18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color w:val="auto"/>
        </w:rPr>
        <w:t xml:space="preserve">Section 11.17 </w:t>
      </w:r>
      <w:r>
        <w:rPr>
          <w:rFonts w:ascii="Arial" w:cs="Arial" w:eastAsia="Arial" w:hAnsi="Arial"/>
          <w:sz w:val="19"/>
          <w:szCs w:val="19"/>
          <w:u w:val="single" w:color="auto"/>
          <w:color w:val="auto"/>
        </w:rPr>
        <w:t>Disclosure Schedule</w:t>
      </w:r>
      <w:r>
        <w:rPr>
          <w:rFonts w:ascii="Arial" w:cs="Arial" w:eastAsia="Arial" w:hAnsi="Arial"/>
          <w:sz w:val="19"/>
          <w:szCs w:val="19"/>
          <w:color w:val="auto"/>
        </w:rPr>
        <w:t>. The Disclosure Schedule will be construed with, and as an integral part of, this Agreement to the same extent as if it were set forth verbatim in this Agreement. The mere inclusion of information in the Disclosure Schedule as an exception to a representation, warranty, or covenant (a) will not be deemed an admission by any Party that such information represents a material exception or a material fact, event, or circumstance or that such information has had or would reasonably be expected to have, individually or in the aggregate, a Material Adverse Effect and (b) will not constitute, or be deemed to be, an admission to any third party concerning such information. The provision of monetary or other quantitative thresholds for disclosure on the Disclosure Schedule does not and will not be deemed to create or imply a standard of materiality hereunder. The Disclosure Schedule is not intended to constitute, and will not be construed as constituting, representations or warranties of Seller except to the extent expressly provided in this Agreement and will not be deemed to expand in any way the scope or effect of any such representations or warranties. Any fact or item that is disclosed in any section of the Disclosure Schedule will be deemed to be disclosed in every other section of the Disclosure Schedule, notwithstanding the omission of a reference or cross-reference thereto, if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3" w:name="page184"/>
    <w:bookmarkEnd w:id="183"/>
    <w:p>
      <w:pPr>
        <w:jc w:val="both"/>
        <w:spacing w:after="0" w:line="272" w:lineRule="auto"/>
        <w:rPr>
          <w:sz w:val="20"/>
          <w:szCs w:val="20"/>
          <w:color w:val="auto"/>
        </w:rPr>
      </w:pPr>
      <w:r>
        <w:rPr>
          <w:rFonts w:ascii="Arial" w:cs="Arial" w:eastAsia="Arial" w:hAnsi="Arial"/>
          <w:sz w:val="19"/>
          <w:szCs w:val="19"/>
          <w:color w:val="auto"/>
        </w:rPr>
        <w:t>applicability of such fact or item to such other section of the Disclosure Schedule is reasonably apparent. Disclosure of any allegations with respect to any alleged breach, violation, or default under any contractual or other obligation, or any law, is not an admission that such breach, violation, or default has occurred. Headings and subheadings have been inserted in the Disclosure Schedule for convenience of reference only and will not be considered a part of or affect the construction or interpretation of the Disclosure Schedule. Where a contract has been summarized or described in the Disclosure Schedule, such summary or description does not purport to be a complete statement of the terms of such contract, and all such summaries and descriptions are qualified in their entirety by reference to the contract being summarized or described. The information provided in the Disclosure Schedule is being provided solely for the purpose of making disclosures to Purchaser under this Agreement. In disclosing this information, the Companies and Seller do not waive, and expressly reserve any rights under, any attorney-client privilege associated with such information or any protection afforded by the work-product doctrine with respect to any of the matters disclosed or discussed therein. Capitalized terms used in the Disclosure Schedule but not otherwise defined therein will have the respective meanings assigned to such terms in this Agreement.</w:t>
      </w:r>
    </w:p>
    <w:p>
      <w:pPr>
        <w:spacing w:after="0" w:line="161"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color w:val="auto"/>
        </w:rPr>
        <w:t xml:space="preserve">Section 11.18 </w:t>
      </w:r>
      <w:r>
        <w:rPr>
          <w:rFonts w:ascii="Arial" w:cs="Arial" w:eastAsia="Arial" w:hAnsi="Arial"/>
          <w:sz w:val="21"/>
          <w:szCs w:val="21"/>
          <w:u w:val="single" w:color="auto"/>
          <w:color w:val="auto"/>
        </w:rPr>
        <w:t>Consents</w:t>
      </w:r>
      <w:r>
        <w:rPr>
          <w:rFonts w:ascii="Arial" w:cs="Arial" w:eastAsia="Arial" w:hAnsi="Arial"/>
          <w:sz w:val="21"/>
          <w:szCs w:val="21"/>
          <w:color w:val="auto"/>
        </w:rPr>
        <w:t>. Purchaser acknowledges that certain consents to the transactions contemplated by this Agreement may be required from parties to Contracts, leases, licenses, or other agreements to which a Company is a party (including the Material Contracts) and such consents have not been and may not be obtained. Purchaser agrees and acknowledges that neither the Companies nor Seller will have any liability whatsoever to Purchaser (and Purchaser will not be entitled to assert any claims) arising out of or relating to the failure to obtain any consents that may have been or may be required in connection with the transactions contemplated by this Agreement or because of the default, acceleration, or termination of any such Contract, lease, license, or other agreement as a result thereof. Purchaser further agrees that no covenant or agreement of the Companies or Seller contained in this Agreement will be breached or deemed breached and no condition precedent to the obligation of Purchaser to consummate the transactions contemplated by this Agreement will be deemed not to be satisfied as a result of the failure to obtain any consent or as a result of any such default, acceleration, or termination or any Action commenced or threatened by or on behalf of any Person arising out of or relating to the failure to obtain any consent or any such default, acceleration, or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4" w:name="page185"/>
    <w:bookmarkEnd w:id="184"/>
    <w:p>
      <w:pPr>
        <w:jc w:val="both"/>
        <w:ind w:firstLine="864"/>
        <w:spacing w:after="0" w:line="270" w:lineRule="auto"/>
        <w:rPr>
          <w:sz w:val="20"/>
          <w:szCs w:val="20"/>
          <w:color w:val="auto"/>
        </w:rPr>
      </w:pPr>
      <w:r>
        <w:rPr>
          <w:rFonts w:ascii="Arial" w:cs="Arial" w:eastAsia="Arial" w:hAnsi="Arial"/>
          <w:sz w:val="19"/>
          <w:szCs w:val="19"/>
          <w:color w:val="auto"/>
        </w:rPr>
        <w:t xml:space="preserve">Section 11.19 </w:t>
      </w:r>
      <w:r>
        <w:rPr>
          <w:rFonts w:ascii="Arial" w:cs="Arial" w:eastAsia="Arial" w:hAnsi="Arial"/>
          <w:sz w:val="19"/>
          <w:szCs w:val="19"/>
          <w:u w:val="single" w:color="auto"/>
          <w:color w:val="auto"/>
        </w:rPr>
        <w:t>Legal Representation</w:t>
      </w:r>
      <w:r>
        <w:rPr>
          <w:rFonts w:ascii="Arial" w:cs="Arial" w:eastAsia="Arial" w:hAnsi="Arial"/>
          <w:sz w:val="19"/>
          <w:szCs w:val="19"/>
          <w:color w:val="auto"/>
        </w:rPr>
        <w:t>. Purchaser hereby acknowledges that Seller, its equityholders, and the Companies have been represented by Benesch, Friedlander, Coplan &amp; Aronoff LLP (“</w:t>
      </w:r>
      <w:r>
        <w:rPr>
          <w:rFonts w:ascii="Arial" w:cs="Arial" w:eastAsia="Arial" w:hAnsi="Arial"/>
          <w:sz w:val="19"/>
          <w:szCs w:val="19"/>
          <w:u w:val="single" w:color="auto"/>
          <w:color w:val="auto"/>
        </w:rPr>
        <w:t>Benesch</w:t>
      </w:r>
      <w:r>
        <w:rPr>
          <w:rFonts w:ascii="Arial" w:cs="Arial" w:eastAsia="Arial" w:hAnsi="Arial"/>
          <w:sz w:val="19"/>
          <w:szCs w:val="19"/>
          <w:color w:val="auto"/>
        </w:rPr>
        <w:t>”) in connection with this Agreement and the transactions contemplated hereby and that Benesch has received confidential information pertaining to Seller and the Companies in connection with such representation. Purchaser, on behalf of itself and its Affiliates (including, after the Closing, the Companies), hereby (a) acknowledges and agrees that, notwithstanding Benesch’s prior representation of Seller and the Companies and Benesch’s receipt of confidential information, Benesch may represent Seller, its equityholders, and their Affiliates after the Closing in connection with matters arising out of or related to this Agreement or the transactions contemplated hereby, including in connection with any litigation matter arising hereunder which may or may not be adverse to the Companies or Purchaser and (b) waives any claim it has or may have that Benesch has a conflict of interest or is otherwise prohibited from engaging in such representation. Purchaser further agrees that, as to all communications subject to attorney-client privilege among Benesch, the Companies, Seller and its equityholders that relate in any way to the transactions contemplated by this Agreement, the attorney-client privilege and the expectation of client confidence belong to Seller and may be controlled by Seller and its equityholders and will not pass to or be claimed by Purchaser or the Companies. Notwithstanding the foregoing, in the event that a dispute arises among Purchaser, the Companies, and a Person other than a party to this Agreement after the Closing, the Companies may assert the attorney-client privilege to prevent disclosure of confidential communications with Benesch to such third party, and Seller may not waive any attorney-client privilege with respect to such communications without the prior written consent of Purchaser.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5" w:name="page186"/>
    <w:bookmarkEnd w:id="185"/>
    <w:p>
      <w:pPr>
        <w:spacing w:after="0"/>
        <w:rPr>
          <w:sz w:val="20"/>
          <w:szCs w:val="20"/>
          <w:color w:val="auto"/>
        </w:rPr>
      </w:pPr>
      <w:r>
        <w:rPr>
          <w:rFonts w:ascii="Arial" w:cs="Arial" w:eastAsia="Arial" w:hAnsi="Arial"/>
          <w:sz w:val="19"/>
          <w:szCs w:val="19"/>
          <w:color w:val="auto"/>
        </w:rPr>
        <w:t>IN WITNESS WHEREOF, the Parties have caused this Agreement to be executed as of the date first written above.</w:t>
      </w:r>
    </w:p>
    <w:p>
      <w:pPr>
        <w:spacing w:after="0" w:line="200" w:lineRule="exact"/>
        <w:rPr>
          <w:sz w:val="20"/>
          <w:szCs w:val="20"/>
          <w:color w:val="auto"/>
        </w:rPr>
      </w:pPr>
    </w:p>
    <w:p>
      <w:pPr>
        <w:spacing w:after="0" w:line="251"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PURCHASER:</w:t>
      </w:r>
    </w:p>
    <w:p>
      <w:pPr>
        <w:spacing w:after="0" w:line="212"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ADDUS HEALTHCARE, INC.</w:t>
      </w:r>
    </w:p>
    <w:p>
      <w:pPr>
        <w:spacing w:after="0" w:line="200" w:lineRule="exact"/>
        <w:rPr>
          <w:sz w:val="20"/>
          <w:szCs w:val="20"/>
          <w:color w:val="auto"/>
        </w:rPr>
      </w:pPr>
    </w:p>
    <w:p>
      <w:pPr>
        <w:spacing w:after="0" w:line="222" w:lineRule="exact"/>
        <w:rPr>
          <w:sz w:val="20"/>
          <w:szCs w:val="20"/>
          <w:color w:val="auto"/>
        </w:rPr>
      </w:pPr>
    </w:p>
    <w:tbl>
      <w:tblPr>
        <w:tblLayout w:type="fixed"/>
        <w:tblInd w:w="474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 Dirk Allison</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R. Dirk Allison</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2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Unit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83185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550" w:right="339" w:bottom="1440" w:gutter="0" w:footer="0" w:header="0"/>
        </w:sectPr>
      </w:pPr>
    </w:p>
    <w:bookmarkStart w:id="186" w:name="page187"/>
    <w:bookmarkEnd w:id="186"/>
    <w:p>
      <w:pPr>
        <w:ind w:left="4500"/>
        <w:spacing w:after="0"/>
        <w:rPr>
          <w:sz w:val="20"/>
          <w:szCs w:val="20"/>
          <w:color w:val="auto"/>
        </w:rPr>
      </w:pPr>
      <w:r>
        <w:rPr>
          <w:rFonts w:ascii="Arial" w:cs="Arial" w:eastAsia="Arial" w:hAnsi="Arial"/>
          <w:sz w:val="22"/>
          <w:szCs w:val="22"/>
          <w:b w:val="1"/>
          <w:bCs w:val="1"/>
          <w:color w:val="auto"/>
        </w:rPr>
        <w:t>SELLER:</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QCH HOLDINGS LLC</w:t>
      </w:r>
    </w:p>
    <w:p>
      <w:pPr>
        <w:spacing w:after="0" w:line="200" w:lineRule="exact"/>
        <w:rPr>
          <w:sz w:val="20"/>
          <w:szCs w:val="20"/>
          <w:color w:val="auto"/>
        </w:rPr>
      </w:pPr>
    </w:p>
    <w:p>
      <w:pPr>
        <w:spacing w:after="0" w:line="222"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F. Buhutinsky</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Andrew F. Buhutinsky</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20" w:type="dxa"/>
            <w:vAlign w:val="bottom"/>
          </w:tcPr>
          <w:p>
            <w:pPr>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Unit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760" w:right="339" w:bottom="1440" w:gutter="0" w:footer="0" w:header="0"/>
        </w:sectPr>
      </w:pPr>
    </w:p>
    <w:bookmarkStart w:id="187" w:name="page188"/>
    <w:bookmarkEnd w:id="187"/>
    <w:p>
      <w:pPr>
        <w:ind w:left="4500"/>
        <w:spacing w:after="0"/>
        <w:rPr>
          <w:sz w:val="20"/>
          <w:szCs w:val="20"/>
          <w:color w:val="auto"/>
        </w:rPr>
      </w:pPr>
      <w:r>
        <w:rPr>
          <w:rFonts w:ascii="Arial" w:cs="Arial" w:eastAsia="Arial" w:hAnsi="Arial"/>
          <w:sz w:val="22"/>
          <w:szCs w:val="22"/>
          <w:b w:val="1"/>
          <w:bCs w:val="1"/>
          <w:color w:val="auto"/>
        </w:rPr>
        <w:t>COMPANIES:</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QUEEN CITY HOSPICE, LLC</w:t>
      </w:r>
    </w:p>
    <w:p>
      <w:pPr>
        <w:spacing w:after="0" w:line="200" w:lineRule="exact"/>
        <w:rPr>
          <w:sz w:val="20"/>
          <w:szCs w:val="20"/>
          <w:color w:val="auto"/>
        </w:rPr>
      </w:pPr>
    </w:p>
    <w:p>
      <w:pPr>
        <w:spacing w:after="0" w:line="222" w:lineRule="exact"/>
        <w:rPr>
          <w:sz w:val="20"/>
          <w:szCs w:val="20"/>
          <w:color w:val="auto"/>
        </w:rPr>
      </w:pPr>
    </w:p>
    <w:tbl>
      <w:tblPr>
        <w:tblLayout w:type="fixed"/>
        <w:tblInd w:w="450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F. Buhutinsky</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Andrew F. Buhutinsky</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20" w:type="dxa"/>
            <w:vAlign w:val="bottom"/>
          </w:tcPr>
          <w:p>
            <w:pPr>
              <w:spacing w:after="0"/>
              <w:rPr>
                <w:sz w:val="20"/>
                <w:szCs w:val="20"/>
                <w:color w:val="auto"/>
              </w:rPr>
            </w:pPr>
            <w:r>
              <w:rPr>
                <w:rFonts w:ascii="Arial" w:cs="Arial" w:eastAsia="Arial" w:hAnsi="Arial"/>
                <w:sz w:val="22"/>
                <w:szCs w:val="22"/>
                <w:color w:val="auto"/>
              </w:rPr>
              <w:t>Chairman</w:t>
            </w:r>
          </w:p>
        </w:tc>
      </w:tr>
      <w:tr>
        <w:trPr>
          <w:trHeight w:val="675"/>
        </w:trPr>
        <w:tc>
          <w:tcPr>
            <w:tcW w:w="5620" w:type="dxa"/>
            <w:vAlign w:val="bottom"/>
            <w:gridSpan w:val="2"/>
          </w:tcPr>
          <w:p>
            <w:pPr>
              <w:spacing w:after="0"/>
              <w:rPr>
                <w:sz w:val="20"/>
                <w:szCs w:val="20"/>
                <w:color w:val="auto"/>
              </w:rPr>
            </w:pPr>
            <w:r>
              <w:rPr>
                <w:rFonts w:ascii="Arial" w:cs="Arial" w:eastAsia="Arial" w:hAnsi="Arial"/>
                <w:sz w:val="22"/>
                <w:szCs w:val="22"/>
                <w:color w:val="auto"/>
              </w:rPr>
              <w:t>MIRACLE CITY HOSPICE, LLC</w:t>
            </w:r>
          </w:p>
        </w:tc>
      </w:tr>
      <w:tr>
        <w:trPr>
          <w:trHeight w:val="449"/>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F. Buhutinsky</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20" w:type="dxa"/>
            <w:vAlign w:val="bottom"/>
          </w:tcPr>
          <w:p>
            <w:pPr>
              <w:spacing w:after="0" w:line="216" w:lineRule="exact"/>
              <w:rPr>
                <w:sz w:val="20"/>
                <w:szCs w:val="20"/>
                <w:color w:val="auto"/>
              </w:rPr>
            </w:pPr>
            <w:r>
              <w:rPr>
                <w:rFonts w:ascii="Arial" w:cs="Arial" w:eastAsia="Arial" w:hAnsi="Arial"/>
                <w:sz w:val="22"/>
                <w:szCs w:val="22"/>
                <w:color w:val="auto"/>
              </w:rPr>
              <w:t>Andrew F. Buhutinsky</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4720" w:type="dxa"/>
            <w:vAlign w:val="bottom"/>
          </w:tcPr>
          <w:p>
            <w:pPr>
              <w:spacing w:after="0"/>
              <w:rPr>
                <w:sz w:val="20"/>
                <w:szCs w:val="20"/>
                <w:color w:val="auto"/>
              </w:rPr>
            </w:pPr>
            <w:r>
              <w:rPr>
                <w:rFonts w:ascii="Arial" w:cs="Arial" w:eastAsia="Arial" w:hAnsi="Arial"/>
                <w:sz w:val="22"/>
                <w:szCs w:val="22"/>
                <w:color w:val="auto"/>
              </w:rPr>
              <w:t>Chairman</w:t>
            </w:r>
          </w:p>
        </w:tc>
      </w:tr>
    </w:tbl>
    <w:p>
      <w:pPr>
        <w:sectPr>
          <w:pgSz w:w="11900" w:h="16838" w:orient="portrait"/>
          <w:cols w:equalWidth="0" w:num="1">
            <w:col w:w="10120"/>
          </w:cols>
          <w:pgMar w:left="1440" w:top="760"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b w:val="1"/>
          <w:bCs w:val="1"/>
          <w:color w:val="auto"/>
        </w:rPr>
        <w:t>Exhibit 10.46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UNIT PURCHASE AGREEMENT</w:t>
      </w:r>
    </w:p>
    <w:p>
      <w:pPr>
        <w:spacing w:after="0" w:line="200" w:lineRule="exact"/>
        <w:rPr>
          <w:sz w:val="20"/>
          <w:szCs w:val="20"/>
          <w:color w:val="auto"/>
        </w:rPr>
      </w:pPr>
    </w:p>
    <w:p>
      <w:pPr>
        <w:spacing w:after="0" w:line="28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THIS AMENDMENT TO UNIT PURCHASE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made and entered into as of December 3, 2020, by and among Addus HealthCare, Inc., an Illinois corporation (“</w:t>
      </w:r>
      <w:r>
        <w:rPr>
          <w:rFonts w:ascii="Arial" w:cs="Arial" w:eastAsia="Arial" w:hAnsi="Arial"/>
          <w:sz w:val="22"/>
          <w:szCs w:val="22"/>
          <w:u w:val="single" w:color="auto"/>
          <w:color w:val="auto"/>
        </w:rPr>
        <w:t>Purchaser</w:t>
      </w:r>
      <w:r>
        <w:rPr>
          <w:rFonts w:ascii="Arial" w:cs="Arial" w:eastAsia="Arial" w:hAnsi="Arial"/>
          <w:sz w:val="22"/>
          <w:szCs w:val="22"/>
          <w:color w:val="auto"/>
        </w:rPr>
        <w:t>”), QCH Holdings LLC, a Delaware limited liability company (“</w:t>
      </w:r>
      <w:r>
        <w:rPr>
          <w:rFonts w:ascii="Arial" w:cs="Arial" w:eastAsia="Arial" w:hAnsi="Arial"/>
          <w:sz w:val="22"/>
          <w:szCs w:val="22"/>
          <w:u w:val="single" w:color="auto"/>
          <w:color w:val="auto"/>
        </w:rPr>
        <w:t>Seller</w:t>
      </w:r>
      <w:r>
        <w:rPr>
          <w:rFonts w:ascii="Arial" w:cs="Arial" w:eastAsia="Arial" w:hAnsi="Arial"/>
          <w:sz w:val="22"/>
          <w:szCs w:val="22"/>
          <w:color w:val="auto"/>
        </w:rPr>
        <w:t>”), Queen City Hospice, LLC, a Delaware limited liability company (“</w:t>
      </w:r>
      <w:r>
        <w:rPr>
          <w:rFonts w:ascii="Arial" w:cs="Arial" w:eastAsia="Arial" w:hAnsi="Arial"/>
          <w:sz w:val="22"/>
          <w:szCs w:val="22"/>
          <w:u w:val="single" w:color="auto"/>
          <w:color w:val="auto"/>
        </w:rPr>
        <w:t>Queen City</w:t>
      </w:r>
      <w:r>
        <w:rPr>
          <w:rFonts w:ascii="Arial" w:cs="Arial" w:eastAsia="Arial" w:hAnsi="Arial"/>
          <w:sz w:val="22"/>
          <w:szCs w:val="22"/>
          <w:color w:val="auto"/>
        </w:rPr>
        <w:t>”), and Miracle City Hospice, LLC, a Delaware limited liability company (“</w:t>
      </w:r>
      <w:r>
        <w:rPr>
          <w:rFonts w:ascii="Arial" w:cs="Arial" w:eastAsia="Arial" w:hAnsi="Arial"/>
          <w:sz w:val="22"/>
          <w:szCs w:val="22"/>
          <w:u w:val="single" w:color="auto"/>
          <w:color w:val="auto"/>
        </w:rPr>
        <w:t>Miracle City</w:t>
      </w:r>
      <w:r>
        <w:rPr>
          <w:rFonts w:ascii="Arial" w:cs="Arial" w:eastAsia="Arial" w:hAnsi="Arial"/>
          <w:sz w:val="22"/>
          <w:szCs w:val="22"/>
          <w:color w:val="auto"/>
        </w:rPr>
        <w:t>”, and together with Queen City, the “</w:t>
      </w:r>
      <w:r>
        <w:rPr>
          <w:rFonts w:ascii="Arial" w:cs="Arial" w:eastAsia="Arial" w:hAnsi="Arial"/>
          <w:sz w:val="22"/>
          <w:szCs w:val="22"/>
          <w:u w:val="single" w:color="auto"/>
          <w:color w:val="auto"/>
        </w:rPr>
        <w:t>Companies</w:t>
      </w:r>
      <w:r>
        <w:rPr>
          <w:rFonts w:ascii="Arial" w:cs="Arial" w:eastAsia="Arial" w:hAnsi="Arial"/>
          <w:sz w:val="22"/>
          <w:szCs w:val="22"/>
          <w:color w:val="auto"/>
        </w:rPr>
        <w:t>”, and each a “</w:t>
      </w:r>
      <w:r>
        <w:rPr>
          <w:rFonts w:ascii="Arial" w:cs="Arial" w:eastAsia="Arial" w:hAnsi="Arial"/>
          <w:sz w:val="22"/>
          <w:szCs w:val="22"/>
          <w:u w:val="single" w:color="auto"/>
          <w:color w:val="auto"/>
        </w:rPr>
        <w:t>Company</w:t>
      </w:r>
      <w:r>
        <w:rPr>
          <w:rFonts w:ascii="Arial" w:cs="Arial" w:eastAsia="Arial" w:hAnsi="Arial"/>
          <w:sz w:val="22"/>
          <w:szCs w:val="22"/>
          <w:color w:val="auto"/>
        </w:rPr>
        <w:t>”). Purchaser, Seller and the Companies are each individually referred to herein as a “</w:t>
      </w:r>
      <w:r>
        <w:rPr>
          <w:rFonts w:ascii="Arial" w:cs="Arial" w:eastAsia="Arial" w:hAnsi="Arial"/>
          <w:sz w:val="22"/>
          <w:szCs w:val="22"/>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Purchaser, Seller and the Companies have entered into that certain Unit Purchase Agreement dated as of November 10, 2020 (the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WHEREAS, the Parties now wish to amend certain terms of the Agreement as set forth below; and</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capitalized terms not otherwise defined in this Amendment shall have the meaning ascribed to such term in the Agreement.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NOW, THEREFORE, in consideration of the mutual covenants and agreements hereinafter set forth and other good and valuable consideration, the receipt and sufficiency of which is hereby acknowledged, the parties hereto, intending to be legally bound, agree as follows:</w:t>
      </w:r>
    </w:p>
    <w:p>
      <w:pPr>
        <w:spacing w:after="0" w:line="180" w:lineRule="exact"/>
        <w:rPr>
          <w:sz w:val="20"/>
          <w:szCs w:val="20"/>
          <w:color w:val="auto"/>
        </w:rPr>
      </w:pPr>
    </w:p>
    <w:p>
      <w:pPr>
        <w:ind w:left="1680" w:hanging="808"/>
        <w:spacing w:after="0"/>
        <w:tabs>
          <w:tab w:leader="none" w:pos="1680" w:val="left"/>
        </w:tabs>
        <w:numPr>
          <w:ilvl w:val="0"/>
          <w:numId w:val="116"/>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Agreement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2620" w:hanging="885"/>
        <w:spacing w:after="0"/>
        <w:tabs>
          <w:tab w:leader="none" w:pos="262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following defined terms in Section 1.1 of the Agreement are hereby amended and restated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their entirety as follows:</w:t>
      </w:r>
    </w:p>
    <w:p>
      <w:pPr>
        <w:spacing w:after="0" w:line="188" w:lineRule="exact"/>
        <w:rPr>
          <w:sz w:val="20"/>
          <w:szCs w:val="20"/>
          <w:color w:val="auto"/>
        </w:rPr>
      </w:pPr>
    </w:p>
    <w:p>
      <w:pPr>
        <w:jc w:val="both"/>
        <w:ind w:left="174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Accrued Identified Taxes</w:t>
      </w:r>
      <w:r>
        <w:rPr>
          <w:rFonts w:ascii="Arial" w:cs="Arial" w:eastAsia="Arial" w:hAnsi="Arial"/>
          <w:sz w:val="19"/>
          <w:szCs w:val="19"/>
          <w:color w:val="auto"/>
        </w:rPr>
        <w:t xml:space="preserve">” means an amount equal to (i) any unpaid Ohio commercial activity Tax and any unpaid City of Columbus municipal income Tax of the Companies for the period beginning January 1, 2020 and ending on November 30, 2020;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accrued and unpaid Taxes shall be computed (a) in accordance with the past practices of the Companies in preparing their Tax Returns for such Taxes, (b) without regard to deferred Tax assets and liabilities, (c) by excluding any such Taxes attributable to transactions outside the ordinary course of business on or after the Accounting Effective Time, and (d) taking into account all Transaction Tax Deductions deductible on a “more likely than not”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the case of any Straddle Period, the amount of Taxes included in Accrued Identified Taxes shall be calculated in accordance with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and (ii) the amount of any “applicable employment taxes” (as defined in Section 2302(d)(1) of the CARES Act) that the Companies have deferred payment of pursuant to Section 2302 of the CARES Act and not paid prior to the Accounting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9" w:name="page190"/>
    <w:bookmarkEnd w:id="189"/>
    <w:p>
      <w:pPr>
        <w:jc w:val="both"/>
        <w:ind w:left="620"/>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Cash</w:t>
      </w:r>
      <w:r>
        <w:rPr>
          <w:rFonts w:ascii="Arial" w:cs="Arial" w:eastAsia="Arial" w:hAnsi="Arial"/>
          <w:sz w:val="19"/>
          <w:szCs w:val="19"/>
          <w:color w:val="auto"/>
        </w:rPr>
        <w:t xml:space="preserve">” means an amount equal to (a) Cash of the Companies as of the Accounting Effective Time, </w:t>
      </w:r>
      <w:r>
        <w:rPr>
          <w:rFonts w:ascii="Arial" w:cs="Arial" w:eastAsia="Arial" w:hAnsi="Arial"/>
          <w:sz w:val="19"/>
          <w:szCs w:val="19"/>
          <w:i w:val="1"/>
          <w:iCs w:val="1"/>
          <w:color w:val="auto"/>
        </w:rPr>
        <w:t xml:space="preserve">minus </w:t>
      </w:r>
      <w:r>
        <w:rPr>
          <w:rFonts w:ascii="Arial" w:cs="Arial" w:eastAsia="Arial" w:hAnsi="Arial"/>
          <w:sz w:val="19"/>
          <w:szCs w:val="19"/>
          <w:color w:val="auto"/>
        </w:rPr>
        <w:t>(b) the aggregate amount of any payments made by the Companies between the Accounting Effective</w:t>
      </w:r>
      <w:r>
        <w:rPr>
          <w:rFonts w:ascii="Arial" w:cs="Arial" w:eastAsia="Arial" w:hAnsi="Arial"/>
          <w:sz w:val="19"/>
          <w:szCs w:val="19"/>
          <w:i w:val="1"/>
          <w:iCs w:val="1"/>
          <w:color w:val="auto"/>
        </w:rPr>
        <w:t xml:space="preserve"> </w:t>
      </w:r>
      <w:r>
        <w:rPr>
          <w:rFonts w:ascii="Arial" w:cs="Arial" w:eastAsia="Arial" w:hAnsi="Arial"/>
          <w:sz w:val="19"/>
          <w:szCs w:val="19"/>
          <w:color w:val="auto"/>
        </w:rPr>
        <w:t>Time and the Closing that reduce Closing Indebtedness or Closing Transaction Expenses, including but not limited to $46,835.65, which is the amount of principal and interest paid to The Huntington National Bank, N.A. after the Accounting Effective Time in respect of Indebtedness of the Companies owed thereto.</w:t>
      </w:r>
    </w:p>
    <w:p>
      <w:pPr>
        <w:spacing w:after="0" w:line="147" w:lineRule="exact"/>
        <w:rPr>
          <w:sz w:val="20"/>
          <w:szCs w:val="20"/>
          <w:color w:val="auto"/>
        </w:rPr>
      </w:pPr>
    </w:p>
    <w:p>
      <w:pPr>
        <w:jc w:val="both"/>
        <w:ind w:left="620"/>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Working Capital</w:t>
      </w:r>
      <w:r>
        <w:rPr>
          <w:rFonts w:ascii="Arial" w:cs="Arial" w:eastAsia="Arial" w:hAnsi="Arial"/>
          <w:sz w:val="21"/>
          <w:szCs w:val="21"/>
          <w:color w:val="auto"/>
        </w:rPr>
        <w:t xml:space="preserve">” means, as of the Accounting Effective Time, the consolidated net working capital of the Companies as determined in accordance with the methodology set forth on </w:t>
      </w:r>
      <w:r>
        <w:rPr>
          <w:rFonts w:ascii="Arial" w:cs="Arial" w:eastAsia="Arial" w:hAnsi="Arial"/>
          <w:sz w:val="21"/>
          <w:szCs w:val="21"/>
          <w:u w:val="single" w:color="auto"/>
          <w:color w:val="auto"/>
        </w:rPr>
        <w:t>Schedule 1</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Net Working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Capital Methodology</w:t>
      </w:r>
      <w:r>
        <w:rPr>
          <w:rFonts w:ascii="Arial" w:cs="Arial" w:eastAsia="Arial" w:hAnsi="Arial"/>
          <w:sz w:val="21"/>
          <w:szCs w:val="21"/>
          <w:color w:val="auto"/>
        </w:rPr>
        <w:t>”) and the Agreed Accounting Principles without the introduction of new or different accounting methods, policies, practices, procedures, classifications, judgments, or estimation methodologies from the Agreed Accounting Principles. For the avoidance of doubt, the determination of Net Working Capital (a) will take into account only those components (</w:t>
      </w:r>
      <w:r>
        <w:rPr>
          <w:rFonts w:ascii="Arial" w:cs="Arial" w:eastAsia="Arial" w:hAnsi="Arial"/>
          <w:sz w:val="21"/>
          <w:szCs w:val="21"/>
          <w:i w:val="1"/>
          <w:iCs w:val="1"/>
          <w:color w:val="auto"/>
        </w:rPr>
        <w:t>i.e.</w:t>
      </w:r>
      <w:r>
        <w:rPr>
          <w:rFonts w:ascii="Arial" w:cs="Arial" w:eastAsia="Arial" w:hAnsi="Arial"/>
          <w:sz w:val="21"/>
          <w:szCs w:val="21"/>
          <w:color w:val="auto"/>
        </w:rPr>
        <w:t>, only those line items) and adjustments reflected on the Net Working Capital Methodology and (b) will not take into account any current or deferred income Tax liabilities, any Accrued Identified Taxes or any items included in the calculation of Indebtedness or Transaction Expenses.</w:t>
      </w:r>
    </w:p>
    <w:p>
      <w:pPr>
        <w:spacing w:after="0" w:line="184" w:lineRule="exact"/>
        <w:rPr>
          <w:sz w:val="20"/>
          <w:szCs w:val="20"/>
          <w:color w:val="auto"/>
        </w:rPr>
      </w:pPr>
    </w:p>
    <w:p>
      <w:pPr>
        <w:jc w:val="both"/>
        <w:ind w:left="6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 period that ends on or prior to the Accounting Effective Time and the portion of any Straddle Period ending as of the Accounting Effective Time.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Straddle Period</w:t>
      </w:r>
      <w:r>
        <w:rPr>
          <w:rFonts w:ascii="Arial" w:cs="Arial" w:eastAsia="Arial" w:hAnsi="Arial"/>
          <w:sz w:val="19"/>
          <w:szCs w:val="19"/>
          <w:color w:val="auto"/>
        </w:rPr>
        <w:t>” means any taxable period that begins before and ends after the Accounting Effective Time.</w:t>
      </w:r>
    </w:p>
    <w:p>
      <w:pPr>
        <w:spacing w:after="0" w:line="241" w:lineRule="exact"/>
        <w:rPr>
          <w:sz w:val="20"/>
          <w:szCs w:val="20"/>
          <w:color w:val="auto"/>
        </w:rPr>
      </w:pPr>
    </w:p>
    <w:p>
      <w:pPr>
        <w:ind w:left="1520" w:hanging="905"/>
        <w:spacing w:after="0"/>
        <w:tabs>
          <w:tab w:leader="none" w:pos="152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Section 2.2 of the Agreement is hereby amended and restated in its entirety as follows:</w:t>
      </w:r>
    </w:p>
    <w:p>
      <w:pPr>
        <w:spacing w:after="0" w:line="206" w:lineRule="exact"/>
        <w:rPr>
          <w:sz w:val="20"/>
          <w:szCs w:val="20"/>
          <w:color w:val="auto"/>
        </w:rPr>
      </w:pPr>
    </w:p>
    <w:p>
      <w:pPr>
        <w:jc w:val="both"/>
        <w:ind w:left="62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Effective Time</w:t>
      </w:r>
      <w:r>
        <w:rPr>
          <w:rFonts w:ascii="Arial" w:cs="Arial" w:eastAsia="Arial" w:hAnsi="Arial"/>
          <w:sz w:val="19"/>
          <w:szCs w:val="19"/>
          <w:color w:val="auto"/>
        </w:rPr>
        <w:t>. On the terms and subject to the conditions contained in this Agreement, the transactions contemplated hereby will be consummated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by electronic and/or overnight courier exchange of documents on the second (2nd) Business Day after the satisfaction or waiver of each condition precedent set forth in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(other than conditions that by their nature are to be satisfied at the Closing, but subject to the satisfaction or waiver of such conditions), or such other date, time, and method agreed by Purchaser and Seller. The day on which the Closing actually occurs is the “</w:t>
      </w:r>
      <w:r>
        <w:rPr>
          <w:rFonts w:ascii="Arial" w:cs="Arial" w:eastAsia="Arial" w:hAnsi="Arial"/>
          <w:sz w:val="19"/>
          <w:szCs w:val="19"/>
          <w:u w:val="single" w:color="auto"/>
          <w:color w:val="auto"/>
        </w:rPr>
        <w:t>Closing Date</w:t>
      </w:r>
      <w:r>
        <w:rPr>
          <w:rFonts w:ascii="Arial" w:cs="Arial" w:eastAsia="Arial" w:hAnsi="Arial"/>
          <w:sz w:val="19"/>
          <w:szCs w:val="19"/>
          <w:color w:val="auto"/>
        </w:rPr>
        <w:t>”. All proceedings to be taken and all documents to be executed and delivered by all parties at the Closing will be deemed to have been taken and executed simultaneously, and no proceedings will be deemed to have been taken nor documents executed or delivered until all have been taken, executed, and delivered. Regardless of the time at which the Closing occurs, the Closing will be deemed to have occurred at 12:01 A.M. Eastern Time on the Closing Date (the “</w:t>
      </w:r>
      <w:r>
        <w:rPr>
          <w:rFonts w:ascii="Arial" w:cs="Arial" w:eastAsia="Arial" w:hAnsi="Arial"/>
          <w:sz w:val="19"/>
          <w:szCs w:val="19"/>
          <w:u w:val="single" w:color="auto"/>
          <w:color w:val="auto"/>
        </w:rPr>
        <w:t>Effective Time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Closing shall be effective solely for certain purposes as explicitly set forth herein as of 12:01 A.M. Eastern Time on December 1, 2020 (the</w:t>
      </w:r>
    </w:p>
    <w:p>
      <w:pPr>
        <w:spacing w:after="0" w:line="16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50" w:right="339" w:bottom="1440" w:gutter="0" w:footer="0" w:header="0"/>
        </w:sectPr>
      </w:pPr>
    </w:p>
    <w:bookmarkStart w:id="190" w:name="page191"/>
    <w:bookmarkEnd w:id="190"/>
    <w:p>
      <w:pPr>
        <w:jc w:val="both"/>
        <w:ind w:left="6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Effective Time</w:t>
      </w:r>
      <w:r>
        <w:rPr>
          <w:rFonts w:ascii="Arial" w:cs="Arial" w:eastAsia="Arial" w:hAnsi="Arial"/>
          <w:sz w:val="22"/>
          <w:szCs w:val="22"/>
          <w:color w:val="auto"/>
        </w:rPr>
        <w:t>”). Notwithstanding anything to the contrary in this Agreement, the Parties acknowledge and agree that the acquisition of the Units will be treated as occurring on the Closing Date for federal income Tax purposes.”</w:t>
      </w:r>
    </w:p>
    <w:p>
      <w:pPr>
        <w:spacing w:after="0" w:line="186" w:lineRule="exact"/>
        <w:rPr>
          <w:sz w:val="20"/>
          <w:szCs w:val="20"/>
          <w:color w:val="auto"/>
        </w:rPr>
      </w:pPr>
    </w:p>
    <w:p>
      <w:pPr>
        <w:ind w:left="1500" w:hanging="885"/>
        <w:spacing w:after="0"/>
        <w:tabs>
          <w:tab w:leader="none" w:pos="150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Section 2.3(b) of the Agreement is hereby amended and restated in its entirety as follows:</w:t>
      </w:r>
    </w:p>
    <w:p>
      <w:pPr>
        <w:spacing w:after="0" w:line="218" w:lineRule="exact"/>
        <w:rPr>
          <w:sz w:val="20"/>
          <w:szCs w:val="20"/>
          <w:color w:val="auto"/>
        </w:rPr>
      </w:pPr>
    </w:p>
    <w:p>
      <w:pPr>
        <w:jc w:val="both"/>
        <w:ind w:left="62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Estimated Closing Statement</w:t>
      </w:r>
      <w:r>
        <w:rPr>
          <w:rFonts w:ascii="Arial" w:cs="Arial" w:eastAsia="Arial" w:hAnsi="Arial"/>
          <w:sz w:val="19"/>
          <w:szCs w:val="19"/>
          <w:color w:val="auto"/>
        </w:rPr>
        <w:t>. No later than one (1) Business Day prior to the Closing Date, Seller will deliver to Purchaser a statement (the “</w:t>
      </w:r>
      <w:r>
        <w:rPr>
          <w:rFonts w:ascii="Arial" w:cs="Arial" w:eastAsia="Arial" w:hAnsi="Arial"/>
          <w:sz w:val="19"/>
          <w:szCs w:val="19"/>
          <w:u w:val="single" w:color="auto"/>
          <w:color w:val="auto"/>
        </w:rPr>
        <w:t>Estimated Closing Statement</w:t>
      </w:r>
      <w:r>
        <w:rPr>
          <w:rFonts w:ascii="Arial" w:cs="Arial" w:eastAsia="Arial" w:hAnsi="Arial"/>
          <w:sz w:val="19"/>
          <w:szCs w:val="19"/>
          <w:color w:val="auto"/>
        </w:rPr>
        <w:t>”) detailing (i) Seller’s good faith estimates of (A) Net Working Capital (the “</w:t>
      </w:r>
      <w:r>
        <w:rPr>
          <w:rFonts w:ascii="Arial" w:cs="Arial" w:eastAsia="Arial" w:hAnsi="Arial"/>
          <w:sz w:val="19"/>
          <w:szCs w:val="19"/>
          <w:u w:val="single" w:color="auto"/>
          <w:color w:val="auto"/>
        </w:rPr>
        <w:t>Estimated Net Working Capital</w:t>
      </w:r>
      <w:r>
        <w:rPr>
          <w:rFonts w:ascii="Arial" w:cs="Arial" w:eastAsia="Arial" w:hAnsi="Arial"/>
          <w:sz w:val="19"/>
          <w:szCs w:val="19"/>
          <w:color w:val="auto"/>
        </w:rPr>
        <w:t>”), (B) Closing Cash (the “</w:t>
      </w:r>
      <w:r>
        <w:rPr>
          <w:rFonts w:ascii="Arial" w:cs="Arial" w:eastAsia="Arial" w:hAnsi="Arial"/>
          <w:sz w:val="19"/>
          <w:szCs w:val="19"/>
          <w:u w:val="single" w:color="auto"/>
          <w:color w:val="auto"/>
        </w:rPr>
        <w:t>Estimated Cash</w:t>
      </w:r>
      <w:r>
        <w:rPr>
          <w:rFonts w:ascii="Arial" w:cs="Arial" w:eastAsia="Arial" w:hAnsi="Arial"/>
          <w:sz w:val="19"/>
          <w:szCs w:val="19"/>
          <w:color w:val="auto"/>
        </w:rPr>
        <w:t>”), (C) Closing Indebtedness (the “</w:t>
      </w:r>
      <w:r>
        <w:rPr>
          <w:rFonts w:ascii="Arial" w:cs="Arial" w:eastAsia="Arial" w:hAnsi="Arial"/>
          <w:sz w:val="19"/>
          <w:szCs w:val="19"/>
          <w:u w:val="single" w:color="auto"/>
          <w:color w:val="auto"/>
        </w:rPr>
        <w:t>Estimated Indebtedness</w:t>
      </w:r>
      <w:r>
        <w:rPr>
          <w:rFonts w:ascii="Arial" w:cs="Arial" w:eastAsia="Arial" w:hAnsi="Arial"/>
          <w:sz w:val="19"/>
          <w:szCs w:val="19"/>
          <w:color w:val="auto"/>
        </w:rPr>
        <w:t>”), and (D) Closing Transaction Expenses (the “</w:t>
      </w:r>
      <w:r>
        <w:rPr>
          <w:rFonts w:ascii="Arial" w:cs="Arial" w:eastAsia="Arial" w:hAnsi="Arial"/>
          <w:sz w:val="19"/>
          <w:szCs w:val="19"/>
          <w:u w:val="single" w:color="auto"/>
          <w:color w:val="auto"/>
        </w:rPr>
        <w:t>Estimated Transaction Expenses</w:t>
      </w:r>
      <w:r>
        <w:rPr>
          <w:rFonts w:ascii="Arial" w:cs="Arial" w:eastAsia="Arial" w:hAnsi="Arial"/>
          <w:sz w:val="19"/>
          <w:szCs w:val="19"/>
          <w:color w:val="auto"/>
        </w:rPr>
        <w:t xml:space="preserve">”), in each case, together with reasonably detailed supporting calculations and documentation, (ii) the PRF Qualified Expenditures Amount, as set forth on the PRF Qualified Expenditures Schedule, (iii) based on such estimates, Seller’s determination of the Closing Payment, and (iv) wire transfer instructions for the payments to be made by Purchaser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2.3(c)(ii)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The Estimated Closing Statement will be prepared in a manner consistent with (x) the definitions of the terms Net Working Capital, Closing Cash, Closing Indebtedness, and Closing Transaction Expenses, (y) the Net Working Capital Methodology, and (z) the Agreed Accounting Principles.”</w:t>
      </w:r>
    </w:p>
    <w:p>
      <w:pPr>
        <w:spacing w:after="0" w:line="155" w:lineRule="exact"/>
        <w:rPr>
          <w:sz w:val="20"/>
          <w:szCs w:val="20"/>
          <w:color w:val="auto"/>
        </w:rPr>
      </w:pPr>
    </w:p>
    <w:p>
      <w:pPr>
        <w:ind w:left="1520" w:hanging="905"/>
        <w:spacing w:after="0"/>
        <w:tabs>
          <w:tab w:leader="none" w:pos="152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The last sentence of Section 2.4(a) of the Agreement is hereby amended and restated as follows:</w:t>
      </w:r>
    </w:p>
    <w:p>
      <w:pPr>
        <w:spacing w:after="0" w:line="241" w:lineRule="exact"/>
        <w:rPr>
          <w:sz w:val="20"/>
          <w:szCs w:val="20"/>
          <w:color w:val="auto"/>
        </w:rPr>
      </w:pPr>
    </w:p>
    <w:p>
      <w:pPr>
        <w:jc w:val="both"/>
        <w:ind w:left="620"/>
        <w:spacing w:after="0" w:line="287" w:lineRule="auto"/>
        <w:rPr>
          <w:sz w:val="20"/>
          <w:szCs w:val="20"/>
          <w:color w:val="auto"/>
        </w:rPr>
      </w:pPr>
      <w:r>
        <w:rPr>
          <w:rFonts w:ascii="Arial" w:cs="Arial" w:eastAsia="Arial" w:hAnsi="Arial"/>
          <w:sz w:val="19"/>
          <w:szCs w:val="19"/>
          <w:color w:val="auto"/>
        </w:rPr>
        <w:t>“The Purchaser Closing Statement will be based solely on facts and circumstances as they exist as of the Closing (except with respect to Closing Cash and Net Working Capital, which shall be based solely on facts and circumstances as they exist as of the Accounting Effective Time) and will exclude the effect of any fact, event, change, circumstance, act, development, or decision occurring after the Closing.”</w:t>
      </w:r>
    </w:p>
    <w:p>
      <w:pPr>
        <w:spacing w:after="0" w:line="143" w:lineRule="exact"/>
        <w:rPr>
          <w:sz w:val="20"/>
          <w:szCs w:val="20"/>
          <w:color w:val="auto"/>
        </w:rPr>
      </w:pPr>
    </w:p>
    <w:p>
      <w:pPr>
        <w:ind w:left="1500" w:hanging="885"/>
        <w:spacing w:after="0"/>
        <w:tabs>
          <w:tab w:leader="none" w:pos="15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Section 3.7(a) is hereby amended and restated in its entirety as follows:</w:t>
      </w:r>
    </w:p>
    <w:p>
      <w:pPr>
        <w:spacing w:after="0" w:line="206" w:lineRule="exact"/>
        <w:rPr>
          <w:sz w:val="20"/>
          <w:szCs w:val="20"/>
          <w:color w:val="auto"/>
        </w:rPr>
      </w:pPr>
    </w:p>
    <w:p>
      <w:pPr>
        <w:jc w:val="both"/>
        <w:ind w:left="620"/>
        <w:spacing w:after="0" w:line="233" w:lineRule="auto"/>
        <w:rPr>
          <w:sz w:val="20"/>
          <w:szCs w:val="20"/>
          <w:color w:val="auto"/>
        </w:rPr>
      </w:pPr>
      <w:r>
        <w:rPr>
          <w:rFonts w:ascii="Arial" w:cs="Arial" w:eastAsia="Arial" w:hAnsi="Arial"/>
          <w:sz w:val="22"/>
          <w:szCs w:val="22"/>
          <w:color w:val="auto"/>
        </w:rPr>
        <w:t xml:space="preserve">“Neither Company has any liabilities, commitments, or obligations, asserted or unasserted, known or unknown, absolute or contingent, whether or not accrued, matured or unmatured, except for liabilities, commitments, or obligations (a) reflected in, reserved against on, or otherwise disclosed in the Financial Statements or the notes thereto, (b) set forth in </w:t>
      </w:r>
      <w:r>
        <w:rPr>
          <w:rFonts w:ascii="Arial" w:cs="Arial" w:eastAsia="Arial" w:hAnsi="Arial"/>
          <w:sz w:val="22"/>
          <w:szCs w:val="22"/>
          <w:u w:val="single" w:color="auto"/>
          <w:color w:val="auto"/>
        </w:rPr>
        <w:t>Section 3.7(a)</w:t>
      </w:r>
      <w:r>
        <w:rPr>
          <w:rFonts w:ascii="Arial" w:cs="Arial" w:eastAsia="Arial" w:hAnsi="Arial"/>
          <w:sz w:val="22"/>
          <w:szCs w:val="22"/>
          <w:color w:val="auto"/>
        </w:rPr>
        <w:t xml:space="preserve"> of the Disclosure Schedule, (c) discharged or paid in full prior to the date of this Agreement or the Closing, (d) incurred pursuant to or in connection with the transactions contemplated by this Agreement, (e) under Contracts arising in the ordinary course of business, (f) actually taken into account in the final calculation of Net Working Capital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2.4</w:t>
      </w:r>
      <w:r>
        <w:rPr>
          <w:rFonts w:ascii="Arial" w:cs="Arial" w:eastAsia="Arial" w:hAnsi="Arial"/>
          <w:sz w:val="22"/>
          <w:szCs w:val="22"/>
          <w:color w:val="auto"/>
        </w:rPr>
        <w:t>; or (g) arising in the ordinary course of business between the Accounting Effective Time and the Closing.”</w:t>
      </w:r>
    </w:p>
    <w:p>
      <w:pPr>
        <w:spacing w:after="0" w:line="19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50" w:right="339" w:bottom="1440" w:gutter="0" w:footer="0" w:header="0"/>
        </w:sectPr>
      </w:pPr>
    </w:p>
    <w:bookmarkStart w:id="191" w:name="page192"/>
    <w:bookmarkEnd w:id="191"/>
    <w:p>
      <w:pPr>
        <w:ind w:left="-20" w:firstLine="1735"/>
        <w:spacing w:after="0" w:line="250" w:lineRule="auto"/>
        <w:tabs>
          <w:tab w:leader="none" w:pos="2571" w:val="left"/>
        </w:tabs>
        <w:numPr>
          <w:ilvl w:val="1"/>
          <w:numId w:val="121"/>
        </w:numPr>
        <w:rPr>
          <w:rFonts w:ascii="Arial" w:cs="Arial" w:eastAsia="Arial" w:hAnsi="Arial"/>
          <w:sz w:val="22"/>
          <w:szCs w:val="22"/>
          <w:color w:val="auto"/>
        </w:rPr>
      </w:pPr>
      <w:r>
        <w:rPr>
          <w:rFonts w:ascii="Arial" w:cs="Arial" w:eastAsia="Arial" w:hAnsi="Arial"/>
          <w:sz w:val="22"/>
          <w:szCs w:val="22"/>
          <w:color w:val="auto"/>
        </w:rPr>
        <w:t>Sections 7.2, 7.5, and 7.7 of the Agreement are hereby amended to replace all references to “the Closing Date” in such Sections of the Agreement with “November 30, 2020”.</w:t>
      </w:r>
    </w:p>
    <w:p>
      <w:pPr>
        <w:spacing w:after="0" w:line="174" w:lineRule="exact"/>
        <w:rPr>
          <w:rFonts w:ascii="Arial" w:cs="Arial" w:eastAsia="Arial" w:hAnsi="Arial"/>
          <w:sz w:val="22"/>
          <w:szCs w:val="22"/>
          <w:color w:val="auto"/>
        </w:rPr>
      </w:pPr>
    </w:p>
    <w:p>
      <w:pPr>
        <w:jc w:val="both"/>
        <w:ind w:left="-20" w:firstLine="1735"/>
        <w:spacing w:after="0" w:line="238" w:lineRule="auto"/>
        <w:tabs>
          <w:tab w:leader="none" w:pos="2607"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Allocation Methodology set forth on Schedule 7.6 attached to the Agreement is hereby amended to replace the reference to “the Closing Date” with “the Accounting Effective Time” and to replace the phrase “immediately prior to Closing” with respect to Asset Class I in the Allocation Methodology with “as of the Accounting Effective Time”.</w:t>
      </w:r>
    </w:p>
    <w:p>
      <w:pPr>
        <w:spacing w:after="0" w:line="178" w:lineRule="exact"/>
        <w:rPr>
          <w:rFonts w:ascii="Arial" w:cs="Arial" w:eastAsia="Arial" w:hAnsi="Arial"/>
          <w:sz w:val="22"/>
          <w:szCs w:val="22"/>
          <w:color w:val="auto"/>
        </w:rPr>
      </w:pPr>
    </w:p>
    <w:p>
      <w:pPr>
        <w:jc w:val="both"/>
        <w:ind w:left="-20" w:firstLine="872"/>
        <w:spacing w:after="0" w:line="239" w:lineRule="auto"/>
        <w:tabs>
          <w:tab w:leader="none" w:pos="1654" w:val="left"/>
        </w:tabs>
        <w:numPr>
          <w:ilvl w:val="0"/>
          <w:numId w:val="122"/>
        </w:numPr>
        <w:rPr>
          <w:rFonts w:ascii="Arial" w:cs="Arial" w:eastAsia="Arial" w:hAnsi="Arial"/>
          <w:sz w:val="22"/>
          <w:szCs w:val="22"/>
          <w:color w:val="auto"/>
        </w:rPr>
      </w:pPr>
      <w:r>
        <w:rPr>
          <w:rFonts w:ascii="Arial" w:cs="Arial" w:eastAsia="Arial" w:hAnsi="Arial"/>
          <w:sz w:val="22"/>
          <w:szCs w:val="22"/>
          <w:b w:val="1"/>
          <w:bCs w:val="1"/>
          <w:u w:val="single" w:color="auto"/>
          <w:color w:val="auto"/>
        </w:rPr>
        <w:t>No Further Amendments</w:t>
      </w:r>
      <w:r>
        <w:rPr>
          <w:rFonts w:ascii="Arial" w:cs="Arial" w:eastAsia="Arial" w:hAnsi="Arial"/>
          <w:sz w:val="22"/>
          <w:szCs w:val="22"/>
          <w:color w:val="auto"/>
        </w:rPr>
        <w:t>. Except as specifically amended by this Amendment and as set forth in that</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Waiver, dated as of November 24, 2020, by and between Purchaser and Seller, the Purchase Agreement shall remain in full force and effect, and the Purchase Agreement, as amended by this Amendment, is hereby ratified and confirmed in all respects.</w:t>
      </w:r>
    </w:p>
    <w:p>
      <w:pPr>
        <w:spacing w:after="0" w:line="180" w:lineRule="exact"/>
        <w:rPr>
          <w:rFonts w:ascii="Arial" w:cs="Arial" w:eastAsia="Arial" w:hAnsi="Arial"/>
          <w:sz w:val="22"/>
          <w:szCs w:val="22"/>
          <w:color w:val="auto"/>
        </w:rPr>
      </w:pPr>
    </w:p>
    <w:p>
      <w:pPr>
        <w:ind w:left="-20" w:firstLine="872"/>
        <w:spacing w:after="0" w:line="256" w:lineRule="auto"/>
        <w:tabs>
          <w:tab w:leader="none" w:pos="1654" w:val="left"/>
        </w:tabs>
        <w:numPr>
          <w:ilvl w:val="0"/>
          <w:numId w:val="12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Amendment shall be governed by and construed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without giving effect to the conflicts of laws principles thereof.</w:t>
      </w:r>
    </w:p>
    <w:p>
      <w:pPr>
        <w:spacing w:after="0" w:line="162" w:lineRule="exact"/>
        <w:rPr>
          <w:rFonts w:ascii="Arial" w:cs="Arial" w:eastAsia="Arial" w:hAnsi="Arial"/>
          <w:sz w:val="22"/>
          <w:szCs w:val="22"/>
          <w:color w:val="auto"/>
        </w:rPr>
      </w:pPr>
    </w:p>
    <w:p>
      <w:pPr>
        <w:jc w:val="both"/>
        <w:ind w:left="-20" w:firstLine="872"/>
        <w:spacing w:after="0" w:line="239" w:lineRule="auto"/>
        <w:tabs>
          <w:tab w:leader="none" w:pos="1654" w:val="left"/>
        </w:tabs>
        <w:numPr>
          <w:ilvl w:val="0"/>
          <w:numId w:val="122"/>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 Electronic Delivery</w:t>
      </w:r>
      <w:r>
        <w:rPr>
          <w:rFonts w:ascii="Arial" w:cs="Arial" w:eastAsia="Arial" w:hAnsi="Arial"/>
          <w:sz w:val="22"/>
          <w:szCs w:val="22"/>
          <w:color w:val="auto"/>
        </w:rPr>
        <w:t>. This Amendment may be executed in any number of counterparts,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which when so executed and delivered shall be deemed an original, and all such counterparts together shall constitute one and same instrument. Signatures delivered by facsimile or electronic mail (including “PDF” copies) shall have the same effect as original signatures.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0" w:right="339" w:bottom="1440" w:gutter="0" w:footer="0" w:header="0"/>
        </w:sectPr>
      </w:pPr>
    </w:p>
    <w:bookmarkStart w:id="192" w:name="page193"/>
    <w:bookmarkEnd w:id="192"/>
    <w:p>
      <w:pPr>
        <w:ind w:right="20" w:firstLine="864"/>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Parties have caused this Amendment to be executed as of the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above.</w:t>
      </w:r>
    </w:p>
    <w:p>
      <w:pPr>
        <w:spacing w:after="0" w:line="378" w:lineRule="exact"/>
        <w:rPr>
          <w:sz w:val="20"/>
          <w:szCs w:val="20"/>
          <w:color w:val="auto"/>
        </w:rPr>
      </w:pPr>
    </w:p>
    <w:p>
      <w:pPr>
        <w:ind w:left="5080"/>
        <w:spacing w:after="0"/>
        <w:rPr>
          <w:sz w:val="20"/>
          <w:szCs w:val="20"/>
          <w:color w:val="auto"/>
        </w:rPr>
      </w:pPr>
      <w:r>
        <w:rPr>
          <w:rFonts w:ascii="Arial" w:cs="Arial" w:eastAsia="Arial" w:hAnsi="Arial"/>
          <w:sz w:val="22"/>
          <w:szCs w:val="22"/>
          <w:b w:val="1"/>
          <w:bCs w:val="1"/>
          <w:u w:val="single" w:color="auto"/>
          <w:color w:val="auto"/>
        </w:rPr>
        <w:t>PURCHASER</w:t>
      </w:r>
      <w:r>
        <w:rPr>
          <w:rFonts w:ascii="Arial" w:cs="Arial" w:eastAsia="Arial" w:hAnsi="Arial"/>
          <w:sz w:val="22"/>
          <w:szCs w:val="22"/>
          <w:b w:val="1"/>
          <w:bCs w:val="1"/>
          <w:color w:val="auto"/>
        </w:rPr>
        <w:t>:</w:t>
      </w:r>
    </w:p>
    <w:p>
      <w:pPr>
        <w:spacing w:after="0" w:line="206"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ADDUS HEALTHCARE, INC.</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80" w:type="dxa"/>
            <w:vAlign w:val="bottom"/>
          </w:tcPr>
          <w:p>
            <w:pPr>
              <w:ind w:left="5080"/>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Brian Poff</w:t>
            </w:r>
          </w:p>
        </w:tc>
        <w:tc>
          <w:tcPr>
            <w:tcW w:w="20" w:type="dxa"/>
            <w:vAlign w:val="bottom"/>
          </w:tcPr>
          <w:p>
            <w:pPr>
              <w:spacing w:after="0"/>
              <w:rPr>
                <w:sz w:val="22"/>
                <w:szCs w:val="22"/>
                <w:color w:val="auto"/>
              </w:rPr>
            </w:pPr>
          </w:p>
        </w:tc>
      </w:tr>
      <w:tr>
        <w:trPr>
          <w:trHeight w:val="215"/>
        </w:trPr>
        <w:tc>
          <w:tcPr>
            <w:tcW w:w="5980" w:type="dxa"/>
            <w:vAlign w:val="bottom"/>
          </w:tcPr>
          <w:p>
            <w:pPr>
              <w:ind w:left="5080"/>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Brian Poff</w:t>
            </w:r>
          </w:p>
        </w:tc>
        <w:tc>
          <w:tcPr>
            <w:tcW w:w="20" w:type="dxa"/>
            <w:vAlign w:val="bottom"/>
          </w:tcPr>
          <w:p>
            <w:pPr>
              <w:spacing w:after="0"/>
              <w:rPr>
                <w:sz w:val="18"/>
                <w:szCs w:val="18"/>
                <w:color w:val="auto"/>
              </w:rPr>
            </w:pPr>
          </w:p>
        </w:tc>
      </w:tr>
      <w:tr>
        <w:trPr>
          <w:trHeight w:val="274"/>
        </w:trPr>
        <w:tc>
          <w:tcPr>
            <w:tcW w:w="5980" w:type="dxa"/>
            <w:vAlign w:val="bottom"/>
          </w:tcPr>
          <w:p>
            <w:pPr>
              <w:ind w:left="5080"/>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Executive Vice President and Chief Financial Officer</w:t>
            </w:r>
          </w:p>
        </w:tc>
        <w:tc>
          <w:tcPr>
            <w:tcW w:w="20" w:type="dxa"/>
            <w:vAlign w:val="bottom"/>
          </w:tcPr>
          <w:p>
            <w:pPr>
              <w:spacing w:after="0"/>
              <w:rPr>
                <w:sz w:val="23"/>
                <w:szCs w:val="23"/>
                <w:color w:val="auto"/>
              </w:rPr>
            </w:pPr>
          </w:p>
        </w:tc>
      </w:tr>
      <w:tr>
        <w:trPr>
          <w:trHeight w:val="996"/>
        </w:trPr>
        <w:tc>
          <w:tcPr>
            <w:tcW w:w="59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193" w:name="page194"/>
    <w:bookmarkEnd w:id="193"/>
    <w:p>
      <w:pPr>
        <w:ind w:firstLine="864"/>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Parties have caused this Amendment to be executed as of the date first</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above.</w:t>
      </w:r>
    </w:p>
    <w:p>
      <w:pPr>
        <w:spacing w:after="0" w:line="37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SELLER:</w:t>
      </w:r>
    </w:p>
    <w:p>
      <w:pPr>
        <w:spacing w:after="0" w:line="21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QCH HOLDINGS LLC</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Bohutinsky</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Andrew Bohutinsky</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Chairman</w:t>
            </w:r>
          </w:p>
        </w:tc>
      </w:tr>
    </w:tbl>
    <w:p>
      <w:pPr>
        <w:spacing w:after="0" w:line="179"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COMPANIES:</w:t>
      </w:r>
    </w:p>
    <w:p>
      <w:pPr>
        <w:spacing w:after="0" w:line="21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QUEEN CITY HOSPICE, LLC</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Bohutinsky</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Andrew Bohutinsky</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Chairman</w:t>
            </w:r>
          </w:p>
        </w:tc>
      </w:tr>
    </w:tbl>
    <w:p>
      <w:pPr>
        <w:spacing w:after="0" w:line="185"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MIRACLE CITY HOSPICE, LLC</w:t>
      </w:r>
    </w:p>
    <w:p>
      <w:pPr>
        <w:spacing w:after="0" w:line="200" w:lineRule="exact"/>
        <w:rPr>
          <w:sz w:val="20"/>
          <w:szCs w:val="20"/>
          <w:color w:val="auto"/>
        </w:rPr>
      </w:pPr>
    </w:p>
    <w:p>
      <w:pPr>
        <w:spacing w:after="0" w:line="222" w:lineRule="exact"/>
        <w:rPr>
          <w:sz w:val="20"/>
          <w:szCs w:val="20"/>
          <w:color w:val="auto"/>
        </w:rPr>
      </w:pPr>
    </w:p>
    <w:tbl>
      <w:tblPr>
        <w:tblLayout w:type="fixed"/>
        <w:tblInd w:w="5080" w:type="dxa"/>
        <w:tblCellMar>
          <w:top w:w="0" w:type="dxa"/>
          <w:left w:w="0" w:type="dxa"/>
          <w:bottom w:w="0" w:type="dxa"/>
          <w:right w:w="0" w:type="dxa"/>
        </w:tblCellMar>
      </w:tblPr>
      <w:tr>
        <w:trPr>
          <w:trHeight w:val="26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Bohutinsky</w:t>
            </w:r>
          </w:p>
        </w:tc>
      </w:tr>
      <w:tr>
        <w:trPr>
          <w:trHeight w:val="215"/>
        </w:trPr>
        <w:tc>
          <w:tcPr>
            <w:tcW w:w="90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5260" w:type="dxa"/>
            <w:vAlign w:val="bottom"/>
          </w:tcPr>
          <w:p>
            <w:pPr>
              <w:spacing w:after="0" w:line="216" w:lineRule="exact"/>
              <w:rPr>
                <w:sz w:val="20"/>
                <w:szCs w:val="20"/>
                <w:color w:val="auto"/>
              </w:rPr>
            </w:pPr>
            <w:r>
              <w:rPr>
                <w:rFonts w:ascii="Arial" w:cs="Arial" w:eastAsia="Arial" w:hAnsi="Arial"/>
                <w:sz w:val="22"/>
                <w:szCs w:val="22"/>
                <w:color w:val="auto"/>
              </w:rPr>
              <w:t>Andrew Bohutinsky</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60" w:type="dxa"/>
            <w:vAlign w:val="bottom"/>
          </w:tcPr>
          <w:p>
            <w:pPr>
              <w:spacing w:after="0"/>
              <w:rPr>
                <w:sz w:val="20"/>
                <w:szCs w:val="20"/>
                <w:color w:val="auto"/>
              </w:rPr>
            </w:pPr>
            <w:r>
              <w:rPr>
                <w:rFonts w:ascii="Arial" w:cs="Arial" w:eastAsia="Arial" w:hAnsi="Arial"/>
                <w:sz w:val="22"/>
                <w:szCs w:val="22"/>
                <w:color w:val="auto"/>
              </w:rPr>
              <w:t>Chairman</w:t>
            </w:r>
          </w:p>
        </w:tc>
      </w:tr>
    </w:tbl>
    <w:p>
      <w:pPr>
        <w:sectPr>
          <w:pgSz w:w="11900" w:h="16838" w:orient="portrait"/>
          <w:cols w:equalWidth="0" w:num="1">
            <w:col w:w="11240"/>
          </w:cols>
          <w:pgMar w:left="320" w:top="544" w:right="339" w:bottom="1440" w:gutter="0" w:footer="0" w:header="0"/>
        </w:sectPr>
      </w:pPr>
    </w:p>
    <w:bookmarkStart w:id="194" w:name="page195"/>
    <w:bookmarkEnd w:id="194"/>
    <w:p>
      <w:pPr>
        <w:ind w:left="10320"/>
        <w:spacing w:after="0"/>
        <w:rPr>
          <w:sz w:val="20"/>
          <w:szCs w:val="20"/>
          <w:color w:val="auto"/>
        </w:rPr>
      </w:pPr>
      <w:r>
        <w:rPr>
          <w:rFonts w:ascii="Arial" w:cs="Arial" w:eastAsia="Arial" w:hAnsi="Arial"/>
          <w:sz w:val="17"/>
          <w:szCs w:val="17"/>
          <w:b w:val="1"/>
          <w:bCs w:val="1"/>
          <w:color w:val="auto"/>
        </w:rPr>
        <w:t>Exhibit 21.1</w:t>
      </w: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SUBSIDIARIES OF THE REGISTRANT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2360" w:type="dxa"/>
            <w:vAlign w:val="bottom"/>
          </w:tcPr>
          <w:p>
            <w:pPr>
              <w:jc w:val="center"/>
              <w:ind w:left="560"/>
              <w:spacing w:after="0"/>
              <w:rPr>
                <w:sz w:val="20"/>
                <w:szCs w:val="20"/>
                <w:color w:val="auto"/>
              </w:rPr>
            </w:pPr>
            <w:r>
              <w:rPr>
                <w:rFonts w:ascii="Arial" w:cs="Arial" w:eastAsia="Arial" w:hAnsi="Arial"/>
                <w:sz w:val="14"/>
                <w:szCs w:val="14"/>
                <w:b w:val="1"/>
                <w:bCs w:val="1"/>
                <w:color w:val="auto"/>
                <w:w w:val="93"/>
              </w:rPr>
              <w:t>State of</w:t>
            </w:r>
          </w:p>
        </w:tc>
        <w:tc>
          <w:tcPr>
            <w:tcW w:w="5020" w:type="dxa"/>
            <w:vAlign w:val="bottom"/>
            <w:vMerge w:val="restart"/>
          </w:tcPr>
          <w:p>
            <w:pPr>
              <w:jc w:val="center"/>
              <w:ind w:left="339"/>
              <w:spacing w:after="0"/>
              <w:rPr>
                <w:sz w:val="20"/>
                <w:szCs w:val="20"/>
                <w:color w:val="auto"/>
              </w:rPr>
            </w:pPr>
            <w:r>
              <w:rPr>
                <w:rFonts w:ascii="Arial" w:cs="Arial" w:eastAsia="Arial" w:hAnsi="Arial"/>
                <w:sz w:val="14"/>
                <w:szCs w:val="14"/>
                <w:b w:val="1"/>
                <w:bCs w:val="1"/>
                <w:color w:val="auto"/>
                <w:w w:val="89"/>
              </w:rPr>
              <w:t>Doing Business As Name</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auto"/>
            </w:tcBorders>
            <w:vMerge w:val="continue"/>
          </w:tcPr>
          <w:p>
            <w:pPr>
              <w:spacing w:after="0"/>
              <w:rPr>
                <w:sz w:val="14"/>
                <w:szCs w:val="14"/>
                <w:color w:val="auto"/>
              </w:rPr>
            </w:pPr>
          </w:p>
        </w:tc>
        <w:tc>
          <w:tcPr>
            <w:tcW w:w="2360" w:type="dxa"/>
            <w:vAlign w:val="bottom"/>
            <w:tcBorders>
              <w:bottom w:val="single" w:sz="8" w:color="auto"/>
            </w:tcBorders>
          </w:tcPr>
          <w:p>
            <w:pPr>
              <w:jc w:val="center"/>
              <w:ind w:left="580"/>
              <w:spacing w:after="0"/>
              <w:rPr>
                <w:sz w:val="20"/>
                <w:szCs w:val="20"/>
                <w:color w:val="auto"/>
              </w:rPr>
            </w:pPr>
            <w:r>
              <w:rPr>
                <w:rFonts w:ascii="Arial" w:cs="Arial" w:eastAsia="Arial" w:hAnsi="Arial"/>
                <w:sz w:val="14"/>
                <w:szCs w:val="14"/>
                <w:b w:val="1"/>
                <w:bCs w:val="1"/>
                <w:color w:val="auto"/>
                <w:w w:val="95"/>
              </w:rPr>
              <w:t>Incorporation</w:t>
            </w:r>
          </w:p>
        </w:tc>
        <w:tc>
          <w:tcPr>
            <w:tcW w:w="5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920" w:type="dxa"/>
            <w:vAlign w:val="bottom"/>
          </w:tcPr>
          <w:p>
            <w:pPr>
              <w:spacing w:after="0"/>
              <w:rPr>
                <w:sz w:val="20"/>
                <w:szCs w:val="20"/>
                <w:color w:val="auto"/>
              </w:rPr>
            </w:pPr>
            <w:r>
              <w:rPr>
                <w:rFonts w:ascii="Arial" w:cs="Arial" w:eastAsia="Arial" w:hAnsi="Arial"/>
                <w:sz w:val="16"/>
                <w:szCs w:val="16"/>
                <w:color w:val="auto"/>
              </w:rPr>
              <w:t>A Plus Health Care, Inc.</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89"/>
              </w:rPr>
              <w:t>Montana</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2"/>
              </w:rPr>
              <w:t>A-Plus HealthCare</w:t>
            </w:r>
          </w:p>
        </w:tc>
        <w:tc>
          <w:tcPr>
            <w:tcW w:w="0" w:type="dxa"/>
            <w:vAlign w:val="bottom"/>
          </w:tcPr>
          <w:p>
            <w:pPr>
              <w:spacing w:after="0"/>
              <w:rPr>
                <w:sz w:val="1"/>
                <w:szCs w:val="1"/>
                <w:color w:val="auto"/>
              </w:rPr>
            </w:pPr>
          </w:p>
        </w:tc>
      </w:tr>
      <w:tr>
        <w:trPr>
          <w:trHeight w:val="247"/>
        </w:trPr>
        <w:tc>
          <w:tcPr>
            <w:tcW w:w="3920" w:type="dxa"/>
            <w:vAlign w:val="bottom"/>
          </w:tcPr>
          <w:p>
            <w:pPr>
              <w:spacing w:after="0"/>
              <w:rPr>
                <w:sz w:val="20"/>
                <w:szCs w:val="20"/>
                <w:color w:val="auto"/>
              </w:rPr>
            </w:pPr>
            <w:r>
              <w:rPr>
                <w:rFonts w:ascii="Arial" w:cs="Arial" w:eastAsia="Arial" w:hAnsi="Arial"/>
                <w:sz w:val="16"/>
                <w:szCs w:val="16"/>
                <w:color w:val="auto"/>
              </w:rPr>
              <w:t>Addus HomeCare Corporation</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1"/>
              </w:rPr>
              <w:t>Addus Homecare Corporation</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Addus HealthCare (Delaware), Inc.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1"/>
              </w:rPr>
              <w:t>Addus HomeCare Delaware</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Addus HealthCare (Idaho), Inc.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2"/>
              </w:rPr>
              <w:t>Addus HomeCare</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6"/>
                <w:szCs w:val="16"/>
                <w:color w:val="auto"/>
              </w:rPr>
              <w:t>Addus HealthCare (Nevada), Inc.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1"/>
              </w:rPr>
              <w:t>Desert PCA, Addus HomeCare</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Addus HealthCare (South Carolina), Inc.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3"/>
              </w:rPr>
              <w:t>Addus HomeCare; Arcadia Home Care &amp; Staffing</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Addus HealthCare, Inc.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rPr>
              <w:t>Illinois</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3"/>
              </w:rPr>
              <w:t>Addus HomeCare; Arcadia Home Care &amp; Staffing</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Addus Nurse Care, Inc.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4"/>
              </w:rPr>
              <w:t>Sun City Caregivers; Lifestyle Options</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6"/>
                <w:szCs w:val="16"/>
                <w:color w:val="auto"/>
              </w:rPr>
              <w:t>Alamo Area Home Hospice, LP</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82"/>
              </w:rPr>
              <w:t>Texas</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4"/>
              </w:rPr>
              <w:t>Alamo Hospice</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Alliance Home Health Care, LLC</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96"/>
              </w:rPr>
              <w:t>New Mexico</w:t>
            </w:r>
          </w:p>
        </w:tc>
        <w:tc>
          <w:tcPr>
            <w:tcW w:w="5020" w:type="dxa"/>
            <w:vAlign w:val="bottom"/>
          </w:tcPr>
          <w:p>
            <w:pPr>
              <w:jc w:val="center"/>
              <w:ind w:left="339"/>
              <w:spacing w:after="0"/>
              <w:rPr>
                <w:sz w:val="20"/>
                <w:szCs w:val="20"/>
                <w:color w:val="auto"/>
              </w:rPr>
            </w:pPr>
            <w:r>
              <w:rPr>
                <w:rFonts w:ascii="Arial" w:cs="Arial" w:eastAsia="Arial" w:hAnsi="Arial"/>
                <w:sz w:val="16"/>
                <w:szCs w:val="16"/>
                <w:color w:val="auto"/>
                <w:w w:val="92"/>
              </w:rPr>
              <w:t>Ambercare Home Health; Ambercare Hospice</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Ambercare Corporation</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96"/>
              </w:rPr>
              <w:t>New Mexico</w:t>
            </w:r>
          </w:p>
        </w:tc>
        <w:tc>
          <w:tcPr>
            <w:tcW w:w="5020" w:type="dxa"/>
            <w:vAlign w:val="bottom"/>
          </w:tcPr>
          <w:p>
            <w:pPr>
              <w:jc w:val="center"/>
              <w:ind w:left="3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53"/>
        </w:trPr>
        <w:tc>
          <w:tcPr>
            <w:tcW w:w="3920" w:type="dxa"/>
            <w:vAlign w:val="bottom"/>
          </w:tcPr>
          <w:p>
            <w:pPr>
              <w:spacing w:after="0"/>
              <w:rPr>
                <w:sz w:val="20"/>
                <w:szCs w:val="20"/>
                <w:color w:val="auto"/>
              </w:rPr>
            </w:pPr>
            <w:r>
              <w:rPr>
                <w:rFonts w:ascii="Arial" w:cs="Arial" w:eastAsia="Arial" w:hAnsi="Arial"/>
                <w:sz w:val="16"/>
                <w:szCs w:val="16"/>
                <w:color w:val="auto"/>
              </w:rPr>
              <w:t>Ambercare Home Health Care Corporation</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96"/>
              </w:rPr>
              <w:t>New Mexico</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1"/>
              </w:rPr>
              <w:t>Ambercare Home Health Care Corporation; Ambercare Personal Care</w:t>
            </w:r>
          </w:p>
        </w:tc>
        <w:tc>
          <w:tcPr>
            <w:tcW w:w="0" w:type="dxa"/>
            <w:vAlign w:val="bottom"/>
          </w:tcPr>
          <w:p>
            <w:pPr>
              <w:spacing w:after="0"/>
              <w:rPr>
                <w:sz w:val="1"/>
                <w:szCs w:val="1"/>
                <w:color w:val="auto"/>
              </w:rPr>
            </w:pPr>
          </w:p>
        </w:tc>
      </w:tr>
      <w:tr>
        <w:trPr>
          <w:trHeight w:val="206"/>
        </w:trPr>
        <w:tc>
          <w:tcPr>
            <w:tcW w:w="39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87"/>
              </w:rPr>
              <w:t>Services</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Ambercare Hospice, Inc.</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96"/>
              </w:rPr>
              <w:t>New Mexico</w:t>
            </w:r>
          </w:p>
        </w:tc>
        <w:tc>
          <w:tcPr>
            <w:tcW w:w="5020" w:type="dxa"/>
            <w:vAlign w:val="bottom"/>
          </w:tcPr>
          <w:p>
            <w:pPr>
              <w:jc w:val="center"/>
              <w:ind w:left="339"/>
              <w:spacing w:after="0"/>
              <w:rPr>
                <w:sz w:val="20"/>
                <w:szCs w:val="20"/>
                <w:color w:val="auto"/>
              </w:rPr>
            </w:pPr>
            <w:r>
              <w:rPr>
                <w:rFonts w:ascii="Arial" w:cs="Arial" w:eastAsia="Arial" w:hAnsi="Arial"/>
                <w:sz w:val="16"/>
                <w:szCs w:val="16"/>
                <w:color w:val="auto"/>
                <w:w w:val="91"/>
              </w:rPr>
              <w:t>Ambercare</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6"/>
                <w:szCs w:val="16"/>
                <w:color w:val="auto"/>
              </w:rPr>
              <w:t>County Homemakers Incorporated</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92"/>
              </w:rPr>
              <w:t>Pennsylvania</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4"/>
              </w:rPr>
              <w:t>Arcadia Home Care &amp; Staffing</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Cura Partners, LLC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83"/>
              </w:rPr>
              <w:t>Tennessee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3"/>
              </w:rPr>
              <w:t>Addus HomeCare; Arcadia Home Care &amp; Staffing</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House Calls of New Mexico, LLC</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96"/>
              </w:rPr>
              <w:t>New Mexico</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5"/>
              </w:rPr>
              <w:t>House Calls of New Mexico</w:t>
            </w:r>
          </w:p>
        </w:tc>
        <w:tc>
          <w:tcPr>
            <w:tcW w:w="0" w:type="dxa"/>
            <w:vAlign w:val="bottom"/>
          </w:tcPr>
          <w:p>
            <w:pPr>
              <w:spacing w:after="0"/>
              <w:rPr>
                <w:sz w:val="1"/>
                <w:szCs w:val="1"/>
                <w:color w:val="auto"/>
              </w:rPr>
            </w:pPr>
          </w:p>
        </w:tc>
      </w:tr>
      <w:tr>
        <w:trPr>
          <w:trHeight w:val="253"/>
        </w:trPr>
        <w:tc>
          <w:tcPr>
            <w:tcW w:w="3920" w:type="dxa"/>
            <w:vAlign w:val="bottom"/>
          </w:tcPr>
          <w:p>
            <w:pPr>
              <w:spacing w:after="0"/>
              <w:rPr>
                <w:sz w:val="20"/>
                <w:szCs w:val="20"/>
                <w:color w:val="auto"/>
              </w:rPr>
            </w:pPr>
            <w:r>
              <w:rPr>
                <w:rFonts w:ascii="Arial" w:cs="Arial" w:eastAsia="Arial" w:hAnsi="Arial"/>
                <w:sz w:val="16"/>
                <w:szCs w:val="16"/>
                <w:color w:val="auto"/>
              </w:rPr>
              <w:t>Hospice Partners of America Holding, LLC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3"/>
              </w:rPr>
              <w:t>Alamo Hospice of Conroe; Alamo Hospice of Waco; Hospice of</w:t>
            </w:r>
          </w:p>
        </w:tc>
        <w:tc>
          <w:tcPr>
            <w:tcW w:w="0" w:type="dxa"/>
            <w:vAlign w:val="bottom"/>
          </w:tcPr>
          <w:p>
            <w:pPr>
              <w:spacing w:after="0"/>
              <w:rPr>
                <w:sz w:val="1"/>
                <w:szCs w:val="1"/>
                <w:color w:val="auto"/>
              </w:rPr>
            </w:pPr>
          </w:p>
        </w:tc>
      </w:tr>
      <w:tr>
        <w:trPr>
          <w:trHeight w:val="206"/>
        </w:trPr>
        <w:tc>
          <w:tcPr>
            <w:tcW w:w="39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20" w:type="dxa"/>
            <w:vAlign w:val="bottom"/>
          </w:tcPr>
          <w:p>
            <w:pPr>
              <w:jc w:val="center"/>
              <w:ind w:left="319"/>
              <w:spacing w:after="0"/>
              <w:rPr>
                <w:sz w:val="20"/>
                <w:szCs w:val="20"/>
                <w:color w:val="auto"/>
              </w:rPr>
            </w:pPr>
            <w:r>
              <w:rPr>
                <w:rFonts w:ascii="Arial" w:cs="Arial" w:eastAsia="Arial" w:hAnsi="Arial"/>
                <w:sz w:val="16"/>
                <w:szCs w:val="16"/>
                <w:color w:val="auto"/>
              </w:rPr>
              <w:t>Virginia</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6"/>
                <w:szCs w:val="16"/>
                <w:color w:val="auto"/>
              </w:rPr>
              <w:t>Hospice Partners of America, LLC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39"/>
              <w:spacing w:after="0"/>
              <w:rPr>
                <w:sz w:val="20"/>
                <w:szCs w:val="20"/>
                <w:color w:val="auto"/>
              </w:rPr>
            </w:pPr>
            <w:r>
              <w:rPr>
                <w:rFonts w:ascii="Arial" w:cs="Arial" w:eastAsia="Arial" w:hAnsi="Arial"/>
                <w:sz w:val="16"/>
                <w:szCs w:val="16"/>
                <w:color w:val="auto"/>
                <w:w w:val="92"/>
              </w:rPr>
              <w:t>Hospice Partners of America</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6"/>
                <w:szCs w:val="16"/>
                <w:color w:val="auto"/>
              </w:rPr>
              <w:t>Hospice Partners of Texas, LLC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0"/>
              </w:rPr>
              <w:t>Hospice Partners of Texas</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HPA Medical Management, LLC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2"/>
              </w:rPr>
              <w:t>Alamo Supportive Care; Serenity Supportive Care</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6"/>
                <w:szCs w:val="16"/>
                <w:color w:val="auto"/>
              </w:rPr>
              <w:t>HPA Idaho, LLC (United Hospice)</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89"/>
              </w:rPr>
              <w:t>Idaho</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3"/>
              </w:rPr>
              <w:t>Harrison’s Hope; Harrison’s Hope Twin Falls</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H&amp;PC of America, LLC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7"/>
              </w:rPr>
              <w:t>H&amp;PC of America</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Miracle City Hospice, LLC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6"/>
              </w:rPr>
              <w:t>Miracle City Hospice, LLC</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6"/>
                <w:szCs w:val="16"/>
                <w:color w:val="auto"/>
              </w:rPr>
              <w:t>New Capital Partners II-HS, Inc.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2"/>
              </w:rPr>
              <w:t>New Capital Partners II-HS</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Options Service, Inc.</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92"/>
              </w:rPr>
              <w:t>Colorado</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0"/>
              </w:rPr>
              <w:t>Options Service, Inc.; Ambercare Personal Care Services</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6"/>
                <w:szCs w:val="16"/>
                <w:color w:val="auto"/>
              </w:rPr>
              <w:t>PHC Acquisition Corporation</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7"/>
              </w:rPr>
              <w:t>California</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2"/>
              </w:rPr>
              <w:t>Addus HomeCare</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PRAC Holdings, Inc.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4"/>
              </w:rPr>
              <w:t>Arcadia Home Care &amp; Staffing</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6"/>
                <w:szCs w:val="16"/>
                <w:color w:val="auto"/>
              </w:rPr>
              <w:t>Priority Home Health Care, Inc.</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94"/>
              </w:rPr>
              <w:t>Ohio</w:t>
            </w:r>
          </w:p>
        </w:tc>
        <w:tc>
          <w:tcPr>
            <w:tcW w:w="5020" w:type="dxa"/>
            <w:vAlign w:val="bottom"/>
          </w:tcPr>
          <w:p>
            <w:pPr>
              <w:jc w:val="center"/>
              <w:ind w:left="339"/>
              <w:spacing w:after="0"/>
              <w:rPr>
                <w:sz w:val="20"/>
                <w:szCs w:val="20"/>
                <w:color w:val="auto"/>
              </w:rPr>
            </w:pPr>
            <w:r>
              <w:rPr>
                <w:rFonts w:ascii="Arial" w:cs="Arial" w:eastAsia="Arial" w:hAnsi="Arial"/>
                <w:sz w:val="16"/>
                <w:szCs w:val="16"/>
                <w:color w:val="auto"/>
                <w:w w:val="93"/>
              </w:rPr>
              <w:t>Addus HomeCare; Arcadia Home Care &amp; Staffing;</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Professional Reliable Nursing Services, Inc.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7"/>
              </w:rPr>
              <w:t>California</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4"/>
              </w:rPr>
              <w:t>Arcadia Home Care &amp; Staffing</w:t>
            </w:r>
          </w:p>
        </w:tc>
        <w:tc>
          <w:tcPr>
            <w:tcW w:w="0" w:type="dxa"/>
            <w:vAlign w:val="bottom"/>
          </w:tcPr>
          <w:p>
            <w:pPr>
              <w:spacing w:after="0"/>
              <w:rPr>
                <w:sz w:val="1"/>
                <w:szCs w:val="1"/>
                <w:color w:val="auto"/>
              </w:rPr>
            </w:pPr>
          </w:p>
        </w:tc>
      </w:tr>
      <w:tr>
        <w:trPr>
          <w:trHeight w:val="253"/>
        </w:trPr>
        <w:tc>
          <w:tcPr>
            <w:tcW w:w="3920" w:type="dxa"/>
            <w:vAlign w:val="bottom"/>
          </w:tcPr>
          <w:p>
            <w:pPr>
              <w:spacing w:after="0"/>
              <w:rPr>
                <w:sz w:val="20"/>
                <w:szCs w:val="20"/>
                <w:color w:val="auto"/>
              </w:rPr>
            </w:pPr>
            <w:r>
              <w:rPr>
                <w:rFonts w:ascii="Arial" w:cs="Arial" w:eastAsia="Arial" w:hAnsi="Arial"/>
                <w:sz w:val="16"/>
                <w:szCs w:val="16"/>
                <w:color w:val="auto"/>
              </w:rPr>
              <w:t>Queen City Hospice, LLC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2"/>
              </w:rPr>
              <w:t>Queen City Hospice and Palliative Care; Day City Hospice; Capital</w:t>
            </w:r>
          </w:p>
        </w:tc>
        <w:tc>
          <w:tcPr>
            <w:tcW w:w="0" w:type="dxa"/>
            <w:vAlign w:val="bottom"/>
          </w:tcPr>
          <w:p>
            <w:pPr>
              <w:spacing w:after="0"/>
              <w:rPr>
                <w:sz w:val="1"/>
                <w:szCs w:val="1"/>
                <w:color w:val="auto"/>
              </w:rPr>
            </w:pPr>
          </w:p>
        </w:tc>
      </w:tr>
      <w:tr>
        <w:trPr>
          <w:trHeight w:val="206"/>
        </w:trPr>
        <w:tc>
          <w:tcPr>
            <w:tcW w:w="39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5"/>
              </w:rPr>
              <w:t>City Hospice</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Serenity Palliative Care and Hospice, LLC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0"/>
              </w:rPr>
              <w:t>Serenity Hospice</w:t>
            </w:r>
          </w:p>
        </w:tc>
        <w:tc>
          <w:tcPr>
            <w:tcW w:w="0" w:type="dxa"/>
            <w:vAlign w:val="bottom"/>
          </w:tcPr>
          <w:p>
            <w:pPr>
              <w:spacing w:after="0"/>
              <w:rPr>
                <w:sz w:val="1"/>
                <w:szCs w:val="1"/>
                <w:color w:val="auto"/>
              </w:rPr>
            </w:pPr>
          </w:p>
        </w:tc>
      </w:tr>
      <w:tr>
        <w:trPr>
          <w:trHeight w:val="256"/>
        </w:trPr>
        <w:tc>
          <w:tcPr>
            <w:tcW w:w="3920" w:type="dxa"/>
            <w:vAlign w:val="bottom"/>
          </w:tcPr>
          <w:p>
            <w:pPr>
              <w:spacing w:after="0"/>
              <w:rPr>
                <w:sz w:val="20"/>
                <w:szCs w:val="20"/>
                <w:color w:val="auto"/>
              </w:rPr>
            </w:pPr>
            <w:r>
              <w:rPr>
                <w:rFonts w:ascii="Arial" w:cs="Arial" w:eastAsia="Arial" w:hAnsi="Arial"/>
                <w:sz w:val="16"/>
                <w:szCs w:val="16"/>
                <w:color w:val="auto"/>
              </w:rPr>
              <w:t>SLHC, Inc.</w:t>
            </w:r>
          </w:p>
        </w:tc>
        <w:tc>
          <w:tcPr>
            <w:tcW w:w="2360" w:type="dxa"/>
            <w:vAlign w:val="bottom"/>
          </w:tcPr>
          <w:p>
            <w:pPr>
              <w:jc w:val="center"/>
              <w:ind w:left="560"/>
              <w:spacing w:after="0"/>
              <w:rPr>
                <w:sz w:val="20"/>
                <w:szCs w:val="20"/>
                <w:color w:val="auto"/>
              </w:rPr>
            </w:pPr>
            <w:r>
              <w:rPr>
                <w:rFonts w:ascii="Arial" w:cs="Arial" w:eastAsia="Arial" w:hAnsi="Arial"/>
                <w:sz w:val="16"/>
                <w:szCs w:val="16"/>
                <w:color w:val="auto"/>
                <w:w w:val="95"/>
              </w:rPr>
              <w:t>Arizona</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2"/>
              </w:rPr>
              <w:t>SunLife Home Care</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South Shore Home Health Service, Inc.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5"/>
              </w:rPr>
              <w:t>New York</w:t>
            </w:r>
          </w:p>
        </w:tc>
        <w:tc>
          <w:tcPr>
            <w:tcW w:w="5020" w:type="dxa"/>
            <w:vAlign w:val="bottom"/>
          </w:tcPr>
          <w:p>
            <w:pPr>
              <w:jc w:val="center"/>
              <w:ind w:left="319"/>
              <w:spacing w:after="0"/>
              <w:rPr>
                <w:sz w:val="20"/>
                <w:szCs w:val="20"/>
                <w:color w:val="auto"/>
              </w:rPr>
            </w:pPr>
            <w:r>
              <w:rPr>
                <w:rFonts w:ascii="Arial" w:cs="Arial" w:eastAsia="Arial" w:hAnsi="Arial"/>
                <w:sz w:val="16"/>
                <w:szCs w:val="16"/>
                <w:color w:val="auto"/>
                <w:w w:val="92"/>
              </w:rPr>
              <w:t>Addus HomeCare</w:t>
            </w: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Arial" w:cs="Arial" w:eastAsia="Arial" w:hAnsi="Arial"/>
                <w:sz w:val="16"/>
                <w:szCs w:val="16"/>
                <w:color w:val="auto"/>
              </w:rPr>
              <w:t>TR&amp;B, LLC</w:t>
            </w:r>
          </w:p>
        </w:tc>
        <w:tc>
          <w:tcPr>
            <w:tcW w:w="2360" w:type="dxa"/>
            <w:vAlign w:val="bottom"/>
          </w:tcPr>
          <w:p>
            <w:pPr>
              <w:jc w:val="center"/>
              <w:ind w:left="580"/>
              <w:spacing w:after="0"/>
              <w:rPr>
                <w:sz w:val="20"/>
                <w:szCs w:val="20"/>
                <w:color w:val="auto"/>
              </w:rPr>
            </w:pPr>
            <w:r>
              <w:rPr>
                <w:rFonts w:ascii="Arial" w:cs="Arial" w:eastAsia="Arial" w:hAnsi="Arial"/>
                <w:sz w:val="16"/>
                <w:szCs w:val="16"/>
                <w:color w:val="auto"/>
                <w:w w:val="91"/>
              </w:rPr>
              <w:t>Delaware</w:t>
            </w:r>
          </w:p>
        </w:tc>
        <w:tc>
          <w:tcPr>
            <w:tcW w:w="5020" w:type="dxa"/>
            <w:vAlign w:val="bottom"/>
          </w:tcPr>
          <w:p>
            <w:pPr>
              <w:jc w:val="center"/>
              <w:ind w:left="339"/>
              <w:spacing w:after="0"/>
              <w:rPr>
                <w:sz w:val="20"/>
                <w:szCs w:val="20"/>
                <w:color w:val="auto"/>
              </w:rPr>
            </w:pPr>
            <w:r>
              <w:rPr>
                <w:rFonts w:ascii="Arial" w:cs="Arial" w:eastAsia="Arial" w:hAnsi="Arial"/>
                <w:sz w:val="16"/>
                <w:szCs w:val="16"/>
                <w:color w:val="auto"/>
              </w:rPr>
              <w:t>TR&amp;B</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Pursuant to Item 601(b)(21)(ii) of Regulation S-K, certain subsidiaries have been omitted because, when considered in the aggregate, they do not constitute a significant subsidiary.</w:t>
      </w:r>
    </w:p>
    <w:p>
      <w:pPr>
        <w:sectPr>
          <w:pgSz w:w="11900" w:h="16838" w:orient="portrait"/>
          <w:cols w:equalWidth="0" w:num="1">
            <w:col w:w="11300"/>
          </w:cols>
          <w:pgMar w:left="320" w:top="351" w:right="27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333-233600, 333-214988) and on Form S-8 (Nos. 333-219946, 333-190433, 333-164413) of Addus HomeCare Corporation of our report dated March 1, 2021 relating to the financial statements and the effectiveness of internal control over financial reporting,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40"/>
          </w:cols>
          <w:pgMar w:left="320" w:top="121"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President and Chief Executive Officer of Addus HomeCare Corporation certify that:</w:t>
      </w:r>
    </w:p>
    <w:p>
      <w:pPr>
        <w:spacing w:after="0" w:line="117" w:lineRule="exact"/>
        <w:rPr>
          <w:sz w:val="20"/>
          <w:szCs w:val="20"/>
          <w:color w:val="auto"/>
        </w:rPr>
      </w:pPr>
    </w:p>
    <w:p>
      <w:pPr>
        <w:ind w:left="620" w:hanging="612"/>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Addus HomeCare Corporation (the “Registrant”);</w:t>
      </w:r>
    </w:p>
    <w:p>
      <w:pPr>
        <w:spacing w:after="0" w:line="117"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100" w:hanging="612"/>
        <w:spacing w:after="0" w:line="263" w:lineRule="auto"/>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20" w:right="140" w:hanging="605"/>
        <w:spacing w:after="0" w:line="263" w:lineRule="auto"/>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220" w:right="120" w:hanging="605"/>
        <w:spacing w:after="0" w:line="263" w:lineRule="auto"/>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260" w:hanging="605"/>
        <w:spacing w:after="0" w:line="342" w:lineRule="auto"/>
        <w:tabs>
          <w:tab w:leader="none" w:pos="12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160" w:hanging="605"/>
        <w:spacing w:after="0" w:line="263" w:lineRule="auto"/>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20" w:right="60" w:hanging="612"/>
        <w:spacing w:after="0" w:line="342" w:lineRule="auto"/>
        <w:tabs>
          <w:tab w:leader="none" w:pos="6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160" w:hanging="605"/>
        <w:spacing w:after="0" w:line="277" w:lineRule="auto"/>
        <w:tabs>
          <w:tab w:leader="none" w:pos="12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39" w:lineRule="exact"/>
        <w:rPr>
          <w:sz w:val="20"/>
          <w:szCs w:val="20"/>
          <w:color w:val="auto"/>
        </w:rPr>
      </w:pPr>
    </w:p>
    <w:p>
      <w:pPr>
        <w:ind w:left="940"/>
        <w:spacing w:after="0"/>
        <w:tabs>
          <w:tab w:leader="none" w:pos="1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R. Dirk Allison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Poff, Chief Financial Officer of Addus HomeCare Corporation, certify that:</w:t>
      </w:r>
    </w:p>
    <w:p>
      <w:pPr>
        <w:spacing w:after="0" w:line="117" w:lineRule="exact"/>
        <w:rPr>
          <w:sz w:val="20"/>
          <w:szCs w:val="20"/>
          <w:color w:val="auto"/>
        </w:rPr>
      </w:pPr>
    </w:p>
    <w:p>
      <w:pPr>
        <w:ind w:left="620" w:hanging="612"/>
        <w:spacing w:after="0"/>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Addus HomeCare Corporation (the “Registrant”);</w:t>
      </w:r>
    </w:p>
    <w:p>
      <w:pPr>
        <w:spacing w:after="0" w:line="117" w:lineRule="exact"/>
        <w:rPr>
          <w:rFonts w:ascii="Arial" w:cs="Arial" w:eastAsia="Arial" w:hAnsi="Arial"/>
          <w:sz w:val="18"/>
          <w:szCs w:val="18"/>
          <w:color w:val="auto"/>
        </w:rPr>
      </w:pPr>
    </w:p>
    <w:p>
      <w:pPr>
        <w:jc w:val="both"/>
        <w:ind w:left="620" w:right="160" w:hanging="612"/>
        <w:spacing w:after="0" w:line="263" w:lineRule="auto"/>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20" w:right="120" w:hanging="612"/>
        <w:spacing w:after="0" w:line="308" w:lineRule="auto"/>
        <w:tabs>
          <w:tab w:leader="none" w:pos="6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20" w:right="100" w:hanging="612"/>
        <w:spacing w:after="0" w:line="263" w:lineRule="auto"/>
        <w:tabs>
          <w:tab w:leader="none" w:pos="6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220" w:right="140" w:hanging="605"/>
        <w:spacing w:after="0" w:line="263" w:lineRule="auto"/>
        <w:tabs>
          <w:tab w:leader="none" w:pos="12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220" w:right="120" w:hanging="605"/>
        <w:spacing w:after="0" w:line="263" w:lineRule="auto"/>
        <w:tabs>
          <w:tab w:leader="none" w:pos="12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260" w:hanging="605"/>
        <w:spacing w:after="0" w:line="342" w:lineRule="auto"/>
        <w:tabs>
          <w:tab w:leader="none" w:pos="12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160" w:hanging="605"/>
        <w:spacing w:after="0" w:line="263" w:lineRule="auto"/>
        <w:tabs>
          <w:tab w:leader="none" w:pos="12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20" w:right="60" w:hanging="612"/>
        <w:spacing w:after="0" w:line="342" w:lineRule="auto"/>
        <w:tabs>
          <w:tab w:leader="none" w:pos="6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220" w:right="540" w:hanging="605"/>
        <w:spacing w:after="0" w:line="342" w:lineRule="auto"/>
        <w:tabs>
          <w:tab w:leader="none" w:pos="122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20" w:right="160" w:hanging="605"/>
        <w:spacing w:after="0" w:line="277" w:lineRule="auto"/>
        <w:tabs>
          <w:tab w:leader="none" w:pos="12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2021</w:t>
      </w:r>
    </w:p>
    <w:p>
      <w:pPr>
        <w:spacing w:after="0" w:line="225" w:lineRule="exact"/>
        <w:rPr>
          <w:sz w:val="20"/>
          <w:szCs w:val="20"/>
          <w:color w:val="auto"/>
        </w:rPr>
      </w:pPr>
    </w:p>
    <w:p>
      <w:pPr>
        <w:ind w:left="1480"/>
        <w:spacing w:after="0"/>
        <w:tabs>
          <w:tab w:leader="none" w:pos="18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717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Brian Poff</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00" w:firstLine="589"/>
        <w:spacing w:after="0" w:line="311" w:lineRule="auto"/>
        <w:rPr>
          <w:sz w:val="20"/>
          <w:szCs w:val="20"/>
          <w:color w:val="auto"/>
        </w:rPr>
      </w:pPr>
      <w:r>
        <w:rPr>
          <w:rFonts w:ascii="Arial" w:cs="Arial" w:eastAsia="Arial" w:hAnsi="Arial"/>
          <w:sz w:val="16"/>
          <w:szCs w:val="16"/>
          <w:color w:val="auto"/>
        </w:rPr>
        <w:t>In connection with the Annual Report on Form 10-K for the fiscal year ended December 31, 2020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41" w:lineRule="exact"/>
        <w:rPr>
          <w:sz w:val="20"/>
          <w:szCs w:val="20"/>
          <w:color w:val="auto"/>
        </w:rPr>
      </w:pPr>
    </w:p>
    <w:p>
      <w:pPr>
        <w:ind w:left="1160" w:hanging="572"/>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20" w:val="left"/>
          <w:tab w:leader="none" w:pos="7680" w:val="left"/>
          <w:tab w:leader="none" w:pos="814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S /</w:t>
      </w:r>
      <w:r>
        <w:rPr>
          <w:sz w:val="20"/>
          <w:szCs w:val="20"/>
          <w:color w:val="auto"/>
        </w:rPr>
        <w:tab/>
      </w:r>
      <w:r>
        <w:rPr>
          <w:rFonts w:ascii="Arial" w:cs="Arial" w:eastAsia="Arial" w:hAnsi="Arial"/>
          <w:sz w:val="17"/>
          <w:szCs w:val="17"/>
          <w:color w:val="auto"/>
        </w:rPr>
        <w:t>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R. Dirk Allison</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720" w:firstLine="589"/>
        <w:spacing w:after="0" w:line="311" w:lineRule="auto"/>
        <w:rPr>
          <w:sz w:val="20"/>
          <w:szCs w:val="20"/>
          <w:color w:val="auto"/>
        </w:rPr>
      </w:pPr>
      <w:r>
        <w:rPr>
          <w:rFonts w:ascii="Arial" w:cs="Arial" w:eastAsia="Arial" w:hAnsi="Arial"/>
          <w:sz w:val="16"/>
          <w:szCs w:val="16"/>
          <w:color w:val="auto"/>
        </w:rPr>
        <w:t>In connection with the Annual Report on Form 10-K for the fiscal year ended December 31, 2020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1160" w:hanging="572"/>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20" w:val="left"/>
          <w:tab w:leader="none" w:pos="8000" w:val="left"/>
          <w:tab w:leader="none" w:pos="8360" w:val="left"/>
        </w:tabs>
        <w:rPr>
          <w:sz w:val="20"/>
          <w:szCs w:val="20"/>
          <w:color w:val="auto"/>
        </w:rPr>
      </w:pPr>
      <w:r>
        <w:rPr>
          <w:rFonts w:ascii="Arial" w:cs="Arial" w:eastAsia="Arial" w:hAnsi="Arial"/>
          <w:sz w:val="18"/>
          <w:szCs w:val="18"/>
          <w:color w:val="auto"/>
        </w:rPr>
        <w:t>Date: March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Brian Poff</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
      <w:numFmt w:val="bullet"/>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lvl w:ilvl="1">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1)"/>
      <w:numFmt w:val="decimal"/>
      <w:start w:val="1"/>
    </w:lvl>
    <w:lvl w:ilvl="1">
      <w:lvlJc w:val="left"/>
      <w:lvlText w:val="•"/>
      <w:numFmt w:val="bullet"/>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1"/>
      <w:numFmt w:val="decimal"/>
      <w:start w:val="1"/>
    </w:lvl>
    <w:lvl w:ilvl="1">
      <w:lvlJc w:val="left"/>
      <w:lvlText w:val="(%2)"/>
      <w:numFmt w:val="lowerLetter"/>
      <w:start w:val="1"/>
    </w:lvl>
  </w:abstractNum>
  <w:abstractNum w:abstractNumId="14">
    <w:nsid w:val="98A3148"/>
    <w:multiLevelType w:val="hybridMultilevel"/>
    <w:lvl w:ilvl="0">
      <w:lvlJc w:val="left"/>
      <w:lvlText w:val="(%1)"/>
      <w:numFmt w:val="decimal"/>
      <w:start w:val="5"/>
    </w:lvl>
    <w:lvl w:ilvl="1">
      <w:lvlJc w:val="left"/>
      <w:lvlText w:val="%2"/>
      <w:numFmt w:val="lowerLetter"/>
      <w:start w:val="1"/>
    </w:lvl>
  </w:abstractNum>
  <w:abstractNum w:abstractNumId="15">
    <w:nsid w:val="799D0247"/>
    <w:multiLevelType w:val="hybridMultilevel"/>
    <w:lvl w:ilvl="0">
      <w:lvlJc w:val="left"/>
      <w:lvlText w:val="(%1)"/>
      <w:numFmt w:val="decimal"/>
      <w:start w:val="16"/>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1)"/>
      <w:numFmt w:val="decimal"/>
      <w:start w:val="1"/>
    </w:lvl>
  </w:abstractNum>
  <w:abstractNum w:abstractNumId="18">
    <w:nsid w:val="168E121F"/>
    <w:multiLevelType w:val="hybridMultilevel"/>
    <w:lvl w:ilvl="0">
      <w:lvlJc w:val="left"/>
      <w:lvlText w:val="(%1)"/>
      <w:numFmt w:val="decimal"/>
      <w:start w:val="3"/>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1)"/>
      <w:numFmt w:val="decimal"/>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1)"/>
      <w:numFmt w:val="decimal"/>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1)"/>
      <w:numFmt w:val="decimal"/>
      <w:start w:val="1"/>
    </w:lvl>
  </w:abstractNum>
  <w:abstractNum w:abstractNumId="25">
    <w:nsid w:val="613EFDC5"/>
    <w:multiLevelType w:val="hybridMultilevel"/>
    <w:lvl w:ilvl="0">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1)"/>
      <w:numFmt w:val="lowerLetter"/>
      <w:start w:val="1"/>
    </w:lvl>
  </w:abstractNum>
  <w:abstractNum w:abstractNumId="29">
    <w:nsid w:val="A0382C5"/>
    <w:multiLevelType w:val="hybridMultilevel"/>
    <w:lvl w:ilvl="0">
      <w:lvlJc w:val="left"/>
      <w:lvlText w:val="%1"/>
      <w:numFmt w:val="decimal"/>
      <w:start w:val="104"/>
    </w:lvl>
  </w:abstractNum>
  <w:abstractNum w:abstractNumId="30">
    <w:nsid w:val="8F2B15E"/>
    <w:multiLevelType w:val="hybridMultilevel"/>
    <w:lvl w:ilvl="0">
      <w:lvlJc w:val="left"/>
      <w:lvlText w:val="%1"/>
      <w:numFmt w:val="decimal"/>
      <w:start w:val="1"/>
    </w:lvl>
    <w:lvl w:ilvl="1">
      <w:lvlJc w:val="left"/>
      <w:lvlText w:val="(%2)"/>
      <w:numFmt w:val="decimal"/>
      <w:start w:val="1"/>
    </w:lvl>
  </w:abstractNum>
  <w:abstractNum w:abstractNumId="31">
    <w:nsid w:val="1A32234B"/>
    <w:multiLevelType w:val="hybridMultilevel"/>
    <w:lvl w:ilvl="0">
      <w:lvlJc w:val="left"/>
      <w:lvlText w:val="(%1)"/>
      <w:numFmt w:val="decimal"/>
      <w:start w:val="2"/>
    </w:lvl>
    <w:lvl w:ilvl="1">
      <w:lvlJc w:val="left"/>
      <w:lvlText w:val="%2"/>
      <w:numFmt w:val="decimal"/>
      <w:start w:val="1"/>
    </w:lvl>
  </w:abstractNum>
  <w:abstractNum w:abstractNumId="32">
    <w:nsid w:val="3B0FD379"/>
    <w:multiLevelType w:val="hybridMultilevel"/>
    <w:lvl w:ilvl="0">
      <w:lvlJc w:val="left"/>
      <w:lvlText w:val="%1."/>
      <w:numFmt w:val="decimal"/>
      <w:start w:val="820"/>
    </w:lvl>
  </w:abstractNum>
  <w:abstractNum w:abstractNumId="33">
    <w:nsid w:val="68EB2F63"/>
    <w:multiLevelType w:val="hybridMultilevel"/>
    <w:lvl w:ilvl="0">
      <w:lvlJc w:val="left"/>
      <w:lvlText w:val="(%1)"/>
      <w:numFmt w:val="decimal"/>
      <w:start w:val="1"/>
    </w:lvl>
  </w:abstractNum>
  <w:abstractNum w:abstractNumId="34">
    <w:nsid w:val="4962813B"/>
    <w:multiLevelType w:val="hybridMultilevel"/>
    <w:lvl w:ilvl="0">
      <w:lvlJc w:val="left"/>
      <w:lvlText w:val="(%1)"/>
      <w:numFmt w:val="lowerRoman"/>
      <w:start w:val="7"/>
    </w:lvl>
  </w:abstractNum>
  <w:abstractNum w:abstractNumId="35">
    <w:nsid w:val="60B6DF70"/>
    <w:multiLevelType w:val="hybridMultilevel"/>
    <w:lvl w:ilvl="0">
      <w:lvlJc w:val="left"/>
      <w:lvlText w:val="(%1)"/>
      <w:numFmt w:val="lowerRoman"/>
      <w:start w:val="12"/>
    </w:lvl>
  </w:abstractNum>
  <w:abstractNum w:abstractNumId="36">
    <w:nsid w:val="6A5EE64"/>
    <w:multiLevelType w:val="hybridMultilevel"/>
    <w:lvl w:ilvl="0">
      <w:lvlJc w:val="left"/>
      <w:lvlText w:val="(%1)"/>
      <w:numFmt w:val="lowerRoman"/>
      <w:start w:val="18"/>
    </w:lvl>
  </w:abstractNum>
  <w:abstractNum w:abstractNumId="37">
    <w:nsid w:val="14330624"/>
    <w:multiLevelType w:val="hybridMultilevel"/>
    <w:lvl w:ilvl="0">
      <w:lvlJc w:val="left"/>
      <w:lvlText w:val="(%1)"/>
      <w:numFmt w:val="lowerLetter"/>
      <w:start w:val="1"/>
    </w:lvl>
  </w:abstractNum>
  <w:abstractNum w:abstractNumId="38">
    <w:nsid w:val="7FFFCA11"/>
    <w:multiLevelType w:val="hybridMultilevel"/>
    <w:lvl w:ilvl="0">
      <w:lvlJc w:val="left"/>
      <w:lvlText w:val="(%1)"/>
      <w:numFmt w:val="lowerLetter"/>
      <w:start w:val="3"/>
    </w:lvl>
    <w:lvl w:ilvl="1">
      <w:lvlJc w:val="left"/>
      <w:lvlText w:val="(%2)"/>
      <w:numFmt w:val="lowerRoman"/>
      <w:start w:val="1"/>
    </w:lvl>
  </w:abstractNum>
  <w:abstractNum w:abstractNumId="39">
    <w:nsid w:val="1A27709E"/>
    <w:multiLevelType w:val="hybridMultilevel"/>
    <w:lvl w:ilvl="0">
      <w:lvlJc w:val="left"/>
      <w:lvlText w:val="%1"/>
      <w:numFmt w:val="upperLetter"/>
      <w:start w:val="1"/>
    </w:lvl>
    <w:lvl w:ilvl="1">
      <w:lvlJc w:val="left"/>
      <w:lvlText w:val="(%2)"/>
      <w:numFmt w:val="lowerLetter"/>
      <w:start w:val="1"/>
    </w:lvl>
  </w:abstractNum>
  <w:abstractNum w:abstractNumId="40">
    <w:nsid w:val="71EA1109"/>
    <w:multiLevelType w:val="hybridMultilevel"/>
    <w:lvl w:ilvl="0">
      <w:lvlJc w:val="left"/>
      <w:lvlText w:val="(%1)"/>
      <w:numFmt w:val="upperLetter"/>
      <w:start w:val="1"/>
    </w:lvl>
    <w:lvl w:ilvl="1">
      <w:lvlJc w:val="left"/>
      <w:lvlText w:val="(%2)"/>
      <w:numFmt w:val="lowerLetter"/>
      <w:start w:val="2"/>
    </w:lvl>
  </w:abstractNum>
  <w:abstractNum w:abstractNumId="41">
    <w:nsid w:val="100F59DC"/>
    <w:multiLevelType w:val="hybridMultilevel"/>
    <w:lvl w:ilvl="0">
      <w:lvlJc w:val="left"/>
      <w:lvlText w:val="(%1)"/>
      <w:numFmt w:val="lowerLetter"/>
      <w:start w:val="3"/>
    </w:lvl>
  </w:abstractNum>
  <w:abstractNum w:abstractNumId="42">
    <w:nsid w:val="7FB7E0AA"/>
    <w:multiLevelType w:val="hybridMultilevel"/>
    <w:lvl w:ilvl="0">
      <w:lvlJc w:val="left"/>
      <w:lvlText w:val="(%1)"/>
      <w:numFmt w:val="decimal"/>
      <w:start w:val="5"/>
    </w:lvl>
    <w:lvl w:ilvl="1">
      <w:lvlJc w:val="left"/>
      <w:lvlText w:val="(%2)"/>
      <w:numFmt w:val="lowerLetter"/>
      <w:start w:val="6"/>
    </w:lvl>
  </w:abstractNum>
  <w:abstractNum w:abstractNumId="43">
    <w:nsid w:val="6EB5BD4"/>
    <w:multiLevelType w:val="hybridMultilevel"/>
    <w:lvl w:ilvl="0">
      <w:lvlJc w:val="left"/>
      <w:lvlText w:val="(%1)"/>
      <w:numFmt w:val="lowerRoman"/>
      <w:start w:val="1"/>
    </w:lvl>
  </w:abstractNum>
  <w:abstractNum w:abstractNumId="44">
    <w:nsid w:val="6F6DD9AC"/>
    <w:multiLevelType w:val="hybridMultilevel"/>
    <w:lvl w:ilvl="0">
      <w:lvlJc w:val="left"/>
      <w:lvlText w:val="%1"/>
      <w:numFmt w:val="lowerLetter"/>
      <w:start w:val="1"/>
    </w:lvl>
    <w:lvl w:ilvl="1">
      <w:lvlJc w:val="left"/>
      <w:lvlText w:val="(%2)"/>
      <w:numFmt w:val="lowerRoman"/>
      <w:start w:val="2"/>
    </w:lvl>
  </w:abstractNum>
  <w:abstractNum w:abstractNumId="45">
    <w:nsid w:val="94211F2"/>
    <w:multiLevelType w:val="hybridMultilevel"/>
    <w:lvl w:ilvl="0">
      <w:lvlJc w:val="left"/>
      <w:lvlText w:val="(%1)"/>
      <w:numFmt w:val="lowerLetter"/>
      <w:start w:val="8"/>
    </w:lvl>
    <w:lvl w:ilvl="1">
      <w:lvlJc w:val="left"/>
      <w:lvlText w:val="%2"/>
      <w:numFmt w:val="lowerRoman"/>
      <w:start w:val="1"/>
    </w:lvl>
  </w:abstractNum>
  <w:abstractNum w:abstractNumId="46">
    <w:nsid w:val="885E1B"/>
    <w:multiLevelType w:val="hybridMultilevel"/>
    <w:lvl w:ilvl="0">
      <w:lvlJc w:val="left"/>
      <w:lvlText w:val="(%1)"/>
      <w:numFmt w:val="lowerLetter"/>
      <w:start w:val="1"/>
    </w:lvl>
  </w:abstractNum>
  <w:abstractNum w:abstractNumId="47">
    <w:nsid w:val="76272110"/>
    <w:multiLevelType w:val="hybridMultilevel"/>
    <w:lvl w:ilvl="0">
      <w:lvlJc w:val="left"/>
      <w:lvlText w:val="(%1)"/>
      <w:numFmt w:val="lowerLetter"/>
      <w:start w:val="1"/>
    </w:lvl>
  </w:abstractNum>
  <w:abstractNum w:abstractNumId="48">
    <w:nsid w:val="4C04A8AF"/>
    <w:multiLevelType w:val="hybridMultilevel"/>
    <w:lvl w:ilvl="0">
      <w:lvlJc w:val="left"/>
      <w:lvlText w:val="%1"/>
      <w:numFmt w:val="lowerLetter"/>
      <w:start w:val="1"/>
    </w:lvl>
    <w:lvl w:ilvl="1">
      <w:lvlJc w:val="left"/>
      <w:lvlText w:val="(%2)"/>
      <w:numFmt w:val="lowerLetter"/>
      <w:start w:val="1"/>
    </w:lvl>
  </w:abstractNum>
  <w:abstractNum w:abstractNumId="49">
    <w:nsid w:val="1716703B"/>
    <w:multiLevelType w:val="hybridMultilevel"/>
    <w:lvl w:ilvl="0">
      <w:lvlJc w:val="left"/>
      <w:lvlText w:val="(%1)"/>
      <w:numFmt w:val="lowerLetter"/>
      <w:start w:val="2"/>
    </w:lvl>
    <w:lvl w:ilvl="1">
      <w:lvlJc w:val="left"/>
      <w:lvlText w:val="(%2)"/>
      <w:numFmt w:val="lowerLetter"/>
      <w:start w:val="2"/>
    </w:lvl>
  </w:abstractNum>
  <w:abstractNum w:abstractNumId="50">
    <w:nsid w:val="14E17E33"/>
    <w:multiLevelType w:val="hybridMultilevel"/>
    <w:lvl w:ilvl="0">
      <w:lvlJc w:val="left"/>
      <w:lvlText w:val="(%1)"/>
      <w:numFmt w:val="lowerLetter"/>
      <w:start w:val="1"/>
    </w:lvl>
  </w:abstractNum>
  <w:abstractNum w:abstractNumId="51">
    <w:nsid w:val="3222E7CD"/>
    <w:multiLevelType w:val="hybridMultilevel"/>
    <w:lvl w:ilvl="0">
      <w:lvlJc w:val="left"/>
      <w:lvlText w:val="(%1)"/>
      <w:numFmt w:val="lowerLetter"/>
      <w:start w:val="2"/>
    </w:lvl>
  </w:abstractNum>
  <w:abstractNum w:abstractNumId="52">
    <w:nsid w:val="74DE0EE3"/>
    <w:multiLevelType w:val="hybridMultilevel"/>
    <w:lvl w:ilvl="0">
      <w:lvlJc w:val="left"/>
      <w:lvlText w:val="(%1)"/>
      <w:numFmt w:val="lowerLetter"/>
      <w:start w:val="6"/>
    </w:lvl>
  </w:abstractNum>
  <w:abstractNum w:abstractNumId="53">
    <w:nsid w:val="68EBC550"/>
    <w:multiLevelType w:val="hybridMultilevel"/>
    <w:lvl w:ilvl="0">
      <w:lvlJc w:val="left"/>
      <w:lvlText w:val="(%1)"/>
      <w:numFmt w:val="lowerLetter"/>
      <w:start w:val="7"/>
    </w:lvl>
  </w:abstractNum>
  <w:abstractNum w:abstractNumId="54">
    <w:nsid w:val="2DF6D648"/>
    <w:multiLevelType w:val="hybridMultilevel"/>
    <w:lvl w:ilvl="0">
      <w:lvlJc w:val="left"/>
      <w:lvlText w:val="(%1)"/>
      <w:numFmt w:val="lowerLetter"/>
      <w:start w:val="1"/>
    </w:lvl>
    <w:lvl w:ilvl="1">
      <w:lvlJc w:val="left"/>
      <w:lvlText w:val="(%2)"/>
      <w:numFmt w:val="lowerRoman"/>
      <w:start w:val="1"/>
    </w:lvl>
  </w:abstractNum>
  <w:abstractNum w:abstractNumId="55">
    <w:nsid w:val="46B7D447"/>
    <w:multiLevelType w:val="hybridMultilevel"/>
    <w:lvl w:ilvl="0">
      <w:lvlJc w:val="left"/>
      <w:lvlText w:val="(%1)"/>
      <w:numFmt w:val="lowerRoman"/>
      <w:start w:val="7"/>
    </w:lvl>
  </w:abstractNum>
  <w:abstractNum w:abstractNumId="56">
    <w:nsid w:val="4A2AC315"/>
    <w:multiLevelType w:val="hybridMultilevel"/>
    <w:lvl w:ilvl="0">
      <w:lvlJc w:val="left"/>
      <w:lvlText w:val="%1"/>
      <w:numFmt w:val="lowerLetter"/>
      <w:start w:val="1"/>
    </w:lvl>
    <w:lvl w:ilvl="1">
      <w:lvlJc w:val="left"/>
      <w:lvlText w:val="(%2)"/>
      <w:numFmt w:val="lowerRoman"/>
      <w:start w:val="19"/>
    </w:lvl>
  </w:abstractNum>
  <w:abstractNum w:abstractNumId="57">
    <w:nsid w:val="39EE015C"/>
    <w:multiLevelType w:val="hybridMultilevel"/>
    <w:lvl w:ilvl="0">
      <w:lvlJc w:val="left"/>
      <w:lvlText w:val="(%1)"/>
      <w:numFmt w:val="lowerLetter"/>
      <w:start w:val="2"/>
    </w:lvl>
    <w:lvl w:ilvl="1">
      <w:lvlJc w:val="left"/>
      <w:lvlText w:val="%2"/>
      <w:numFmt w:val="lowerRoman"/>
      <w:start w:val="1"/>
    </w:lvl>
  </w:abstractNum>
  <w:abstractNum w:abstractNumId="58">
    <w:nsid w:val="57FC4FBB"/>
    <w:multiLevelType w:val="hybridMultilevel"/>
    <w:lvl w:ilvl="0">
      <w:lvlJc w:val="left"/>
      <w:lvlText w:val="%1"/>
      <w:numFmt w:val="lowerRoman"/>
      <w:start w:val="1"/>
    </w:lvl>
    <w:lvl w:ilvl="1">
      <w:lvlJc w:val="left"/>
      <w:lvlText w:val="(%2)"/>
      <w:numFmt w:val="lowerLetter"/>
      <w:start w:val="1"/>
    </w:lvl>
  </w:abstractNum>
  <w:abstractNum w:abstractNumId="59">
    <w:nsid w:val="CC1016F"/>
    <w:multiLevelType w:val="hybridMultilevel"/>
    <w:lvl w:ilvl="0">
      <w:lvlJc w:val="left"/>
      <w:lvlText w:val="(%1)"/>
      <w:numFmt w:val="lowerRoman"/>
      <w:start w:val="4"/>
    </w:lvl>
    <w:lvl w:ilvl="1">
      <w:lvlJc w:val="left"/>
      <w:lvlText w:val="%2"/>
      <w:numFmt w:val="lowerLetter"/>
      <w:start w:val="1"/>
    </w:lvl>
  </w:abstractNum>
  <w:abstractNum w:abstractNumId="60">
    <w:nsid w:val="43F18422"/>
    <w:multiLevelType w:val="hybridMultilevel"/>
    <w:lvl w:ilvl="0">
      <w:lvlJc w:val="left"/>
      <w:lvlText w:val="(%1)"/>
      <w:numFmt w:val="lowerLetter"/>
      <w:start w:val="6"/>
    </w:lvl>
  </w:abstractNum>
  <w:abstractNum w:abstractNumId="61">
    <w:nsid w:val="60EF0119"/>
    <w:multiLevelType w:val="hybridMultilevel"/>
    <w:lvl w:ilvl="0">
      <w:lvlJc w:val="left"/>
      <w:lvlText w:val="%1"/>
      <w:numFmt w:val="lowerLetter"/>
      <w:start w:val="1"/>
    </w:lvl>
    <w:lvl w:ilvl="1">
      <w:lvlJc w:val="left"/>
      <w:lvlText w:val="(%2)"/>
      <w:numFmt w:val="lowerLetter"/>
      <w:start w:val="1"/>
    </w:lvl>
  </w:abstractNum>
  <w:abstractNum w:abstractNumId="62">
    <w:nsid w:val="26F324BA"/>
    <w:multiLevelType w:val="hybridMultilevel"/>
    <w:lvl w:ilvl="0">
      <w:lvlJc w:val="left"/>
      <w:lvlText w:val="(%1)"/>
      <w:numFmt w:val="lowerLetter"/>
      <w:start w:val="35"/>
    </w:lvl>
    <w:lvl w:ilvl="1">
      <w:lvlJc w:val="left"/>
      <w:lvlText w:val="(%2)"/>
      <w:numFmt w:val="lowerLetter"/>
      <w:start w:val="2"/>
    </w:lvl>
  </w:abstractNum>
  <w:abstractNum w:abstractNumId="63">
    <w:nsid w:val="7F01579B"/>
    <w:multiLevelType w:val="hybridMultilevel"/>
    <w:lvl w:ilvl="0">
      <w:lvlJc w:val="left"/>
      <w:lvlText w:val="(%1)"/>
      <w:numFmt w:val="lowerLetter"/>
      <w:start w:val="4"/>
    </w:lvl>
  </w:abstractNum>
  <w:abstractNum w:abstractNumId="64">
    <w:nsid w:val="49DA307D"/>
    <w:multiLevelType w:val="hybridMultilevel"/>
    <w:lvl w:ilvl="0">
      <w:lvlJc w:val="left"/>
      <w:lvlText w:val="(%1)"/>
      <w:numFmt w:val="lowerLetter"/>
      <w:start w:val="7"/>
    </w:lvl>
  </w:abstractNum>
  <w:abstractNum w:abstractNumId="65">
    <w:nsid w:val="7055A5F5"/>
    <w:multiLevelType w:val="hybridMultilevel"/>
    <w:lvl w:ilvl="0">
      <w:lvlJc w:val="left"/>
      <w:lvlText w:val="(%1)"/>
      <w:numFmt w:val="lowerLetter"/>
      <w:start w:val="1"/>
    </w:lvl>
  </w:abstractNum>
  <w:abstractNum w:abstractNumId="66">
    <w:nsid w:val="5FB8370B"/>
    <w:multiLevelType w:val="hybridMultilevel"/>
    <w:lvl w:ilvl="0">
      <w:lvlJc w:val="left"/>
      <w:lvlText w:val="(%1)"/>
      <w:numFmt w:val="lowerLetter"/>
      <w:start w:val="1"/>
    </w:lvl>
  </w:abstractNum>
  <w:abstractNum w:abstractNumId="67">
    <w:nsid w:val="50801EE1"/>
    <w:multiLevelType w:val="hybridMultilevel"/>
    <w:lvl w:ilvl="0">
      <w:lvlJc w:val="left"/>
      <w:lvlText w:val="(%1)"/>
      <w:numFmt w:val="lowerLetter"/>
      <w:start w:val="6"/>
    </w:lvl>
  </w:abstractNum>
  <w:abstractNum w:abstractNumId="68">
    <w:nsid w:val="488AC1A"/>
    <w:multiLevelType w:val="hybridMultilevel"/>
    <w:lvl w:ilvl="0">
      <w:lvlJc w:val="left"/>
      <w:lvlText w:val="(%1)"/>
      <w:numFmt w:val="lowerLetter"/>
      <w:start w:val="10"/>
    </w:lvl>
  </w:abstractNum>
  <w:abstractNum w:abstractNumId="69">
    <w:nsid w:val="5FB8011C"/>
    <w:multiLevelType w:val="hybridMultilevel"/>
    <w:lvl w:ilvl="0">
      <w:lvlJc w:val="left"/>
      <w:lvlText w:val="(%1)"/>
      <w:numFmt w:val="lowerLetter"/>
      <w:start w:val="1"/>
    </w:lvl>
  </w:abstractNum>
  <w:abstractNum w:abstractNumId="70">
    <w:nsid w:val="6AA78F7F"/>
    <w:multiLevelType w:val="hybridMultilevel"/>
    <w:lvl w:ilvl="0">
      <w:lvlJc w:val="left"/>
      <w:lvlText w:val="(%1)"/>
      <w:numFmt w:val="lowerLetter"/>
      <w:start w:val="3"/>
    </w:lvl>
  </w:abstractNum>
  <w:abstractNum w:abstractNumId="71">
    <w:nsid w:val="7672BD23"/>
    <w:multiLevelType w:val="hybridMultilevel"/>
    <w:lvl w:ilvl="0">
      <w:lvlJc w:val="left"/>
      <w:lvlText w:val="(%1)"/>
      <w:numFmt w:val="lowerRoman"/>
      <w:start w:val="1"/>
    </w:lvl>
  </w:abstractNum>
  <w:abstractNum w:abstractNumId="72">
    <w:nsid w:val="6FC75AF8"/>
    <w:multiLevelType w:val="hybridMultilevel"/>
    <w:lvl w:ilvl="0">
      <w:lvlJc w:val="left"/>
      <w:lvlText w:val="(%1)"/>
      <w:numFmt w:val="lowerLetter"/>
      <w:start w:val="1"/>
    </w:lvl>
  </w:abstractNum>
  <w:abstractNum w:abstractNumId="73">
    <w:nsid w:val="6A5F7029"/>
    <w:multiLevelType w:val="hybridMultilevel"/>
    <w:lvl w:ilvl="0">
      <w:lvlJc w:val="left"/>
      <w:lvlText w:val="(%1)"/>
      <w:numFmt w:val="lowerLetter"/>
      <w:start w:val="7"/>
    </w:lvl>
  </w:abstractNum>
  <w:abstractNum w:abstractNumId="74">
    <w:nsid w:val="7D5E18F8"/>
    <w:multiLevelType w:val="hybridMultilevel"/>
    <w:lvl w:ilvl="0">
      <w:lvlJc w:val="left"/>
      <w:lvlText w:val="(%1)"/>
      <w:numFmt w:val="lowerLetter"/>
      <w:start w:val="15"/>
    </w:lvl>
  </w:abstractNum>
  <w:abstractNum w:abstractNumId="75">
    <w:nsid w:val="5F3534A4"/>
    <w:multiLevelType w:val="hybridMultilevel"/>
    <w:lvl w:ilvl="0">
      <w:lvlJc w:val="left"/>
      <w:lvlText w:val="(%1)"/>
      <w:numFmt w:val="lowerLetter"/>
      <w:start w:val="1"/>
    </w:lvl>
  </w:abstractNum>
  <w:abstractNum w:abstractNumId="76">
    <w:nsid w:val="73A1821B"/>
    <w:multiLevelType w:val="hybridMultilevel"/>
    <w:lvl w:ilvl="0">
      <w:lvlJc w:val="left"/>
      <w:lvlText w:val="(%1)"/>
      <w:numFmt w:val="lowerLetter"/>
      <w:start w:val="2"/>
    </w:lvl>
  </w:abstractNum>
  <w:abstractNum w:abstractNumId="77">
    <w:nsid w:val="7DE67713"/>
    <w:multiLevelType w:val="hybridMultilevel"/>
    <w:lvl w:ilvl="0">
      <w:lvlJc w:val="left"/>
      <w:lvlText w:val="%1"/>
      <w:numFmt w:val="lowerLetter"/>
      <w:start w:val="1"/>
    </w:lvl>
    <w:lvl w:ilvl="1">
      <w:lvlJc w:val="left"/>
      <w:lvlText w:val="(%2)"/>
      <w:numFmt w:val="lowerLetter"/>
      <w:start w:val="1"/>
    </w:lvl>
  </w:abstractNum>
  <w:abstractNum w:abstractNumId="78">
    <w:nsid w:val="555C55B5"/>
    <w:multiLevelType w:val="hybridMultilevel"/>
    <w:lvl w:ilvl="0">
      <w:lvlJc w:val="left"/>
      <w:lvlText w:val="(%1)"/>
      <w:numFmt w:val="lowerLetter"/>
      <w:start w:val="9"/>
    </w:lvl>
    <w:lvl w:ilvl="1">
      <w:lvlJc w:val="left"/>
      <w:lvlText w:val="(%2)"/>
      <w:numFmt w:val="lowerLetter"/>
      <w:start w:val="2"/>
    </w:lvl>
  </w:abstractNum>
  <w:abstractNum w:abstractNumId="79">
    <w:nsid w:val="3FA62ACA"/>
    <w:multiLevelType w:val="hybridMultilevel"/>
    <w:lvl w:ilvl="0">
      <w:lvlJc w:val="left"/>
      <w:lvlText w:val="%1"/>
      <w:numFmt w:val="lowerLetter"/>
      <w:start w:val="1"/>
    </w:lvl>
    <w:lvl w:ilvl="1">
      <w:lvlJc w:val="left"/>
      <w:lvlText w:val="(%2)"/>
      <w:numFmt w:val="lowerLetter"/>
      <w:start w:val="3"/>
    </w:lvl>
  </w:abstractNum>
  <w:abstractNum w:abstractNumId="80">
    <w:nsid w:val="14FCE74E"/>
    <w:multiLevelType w:val="hybridMultilevel"/>
    <w:lvl w:ilvl="0">
      <w:lvlJc w:val="left"/>
      <w:lvlText w:val="(%1)"/>
      <w:numFmt w:val="lowerLetter"/>
      <w:start w:val="9"/>
    </w:lvl>
    <w:lvl w:ilvl="1">
      <w:lvlJc w:val="left"/>
      <w:lvlText w:val="%2"/>
      <w:numFmt w:val="lowerLetter"/>
      <w:start w:val="1"/>
    </w:lvl>
  </w:abstractNum>
  <w:abstractNum w:abstractNumId="81">
    <w:nsid w:val="6A3DD3E8"/>
    <w:multiLevelType w:val="hybridMultilevel"/>
    <w:lvl w:ilvl="0">
      <w:lvlJc w:val="left"/>
      <w:lvlText w:val="(%1)"/>
      <w:numFmt w:val="lowerLetter"/>
      <w:start w:val="1"/>
    </w:lvl>
  </w:abstractNum>
  <w:abstractNum w:abstractNumId="82">
    <w:nsid w:val="71C91298"/>
    <w:multiLevelType w:val="hybridMultilevel"/>
    <w:lvl w:ilvl="0">
      <w:lvlJc w:val="left"/>
      <w:lvlText w:val="(%1)"/>
      <w:numFmt w:val="lowerLetter"/>
      <w:start w:val="3"/>
    </w:lvl>
  </w:abstractNum>
  <w:abstractNum w:abstractNumId="83">
    <w:nsid w:val="9DAF632"/>
    <w:multiLevelType w:val="hybridMultilevel"/>
    <w:lvl w:ilvl="0">
      <w:lvlJc w:val="left"/>
      <w:lvlText w:val="(%1)"/>
      <w:numFmt w:val="lowerRoman"/>
      <w:start w:val="1"/>
    </w:lvl>
  </w:abstractNum>
  <w:abstractNum w:abstractNumId="84">
    <w:nsid w:val="53299938"/>
    <w:multiLevelType w:val="hybridMultilevel"/>
    <w:lvl w:ilvl="0">
      <w:lvlJc w:val="left"/>
      <w:lvlText w:val="(%1)"/>
      <w:numFmt w:val="lowerRoman"/>
      <w:start w:val="12"/>
    </w:lvl>
  </w:abstractNum>
  <w:abstractNum w:abstractNumId="85">
    <w:nsid w:val="1FBFE8E0"/>
    <w:multiLevelType w:val="hybridMultilevel"/>
    <w:lvl w:ilvl="0">
      <w:lvlJc w:val="left"/>
      <w:lvlText w:val="(%1)"/>
      <w:numFmt w:val="lowerLetter"/>
      <w:start w:val="1"/>
    </w:lvl>
  </w:abstractNum>
  <w:abstractNum w:abstractNumId="86">
    <w:nsid w:val="5092CA79"/>
    <w:multiLevelType w:val="hybridMultilevel"/>
    <w:lvl w:ilvl="0">
      <w:lvlJc w:val="left"/>
      <w:lvlText w:val="(%1)"/>
      <w:numFmt w:val="lowerLetter"/>
      <w:start w:val="2"/>
    </w:lvl>
  </w:abstractNum>
  <w:abstractNum w:abstractNumId="87">
    <w:nsid w:val="1D545C4D"/>
    <w:multiLevelType w:val="hybridMultilevel"/>
    <w:lvl w:ilvl="0">
      <w:lvlJc w:val="left"/>
      <w:lvlText w:val="(%1)"/>
      <w:numFmt w:val="lowerLetter"/>
      <w:start w:val="1"/>
    </w:lvl>
  </w:abstractNum>
  <w:abstractNum w:abstractNumId="88">
    <w:nsid w:val="59ADEA3D"/>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9"/>
    </w:lvl>
  </w:abstractNum>
  <w:abstractNum w:abstractNumId="89">
    <w:nsid w:val="288F1A34"/>
    <w:multiLevelType w:val="hybridMultilevel"/>
    <w:lvl w:ilvl="0">
      <w:lvlJc w:val="left"/>
      <w:lvlText w:val="%1"/>
      <w:numFmt w:val="lowerLetter"/>
      <w:start w:val="1"/>
    </w:lvl>
    <w:lvl w:ilvl="1">
      <w:lvlJc w:val="left"/>
      <w:lvlText w:val="(%2)"/>
      <w:numFmt w:val="lowerRoman"/>
      <w:start w:val="2"/>
    </w:lvl>
  </w:abstractNum>
  <w:abstractNum w:abstractNumId="90">
    <w:nsid w:val="2A155DBC"/>
    <w:multiLevelType w:val="hybridMultilevel"/>
    <w:lvl w:ilvl="0">
      <w:lvlJc w:val="left"/>
      <w:lvlText w:val="(%1)"/>
      <w:numFmt w:val="lowerLetter"/>
      <w:start w:val="8"/>
    </w:lvl>
    <w:lvl w:ilvl="1">
      <w:lvlJc w:val="left"/>
      <w:lvlText w:val="%2"/>
      <w:numFmt w:val="lowerRoman"/>
      <w:start w:val="1"/>
    </w:lvl>
  </w:abstractNum>
  <w:abstractNum w:abstractNumId="91">
    <w:nsid w:val="1D9F6E5F"/>
    <w:multiLevelType w:val="hybridMultilevel"/>
    <w:lvl w:ilvl="0">
      <w:lvlJc w:val="left"/>
      <w:lvlText w:val="(%1)"/>
      <w:numFmt w:val="lowerLetter"/>
      <w:start w:val="1"/>
    </w:lvl>
  </w:abstractNum>
  <w:abstractNum w:abstractNumId="92">
    <w:nsid w:val="97E1B4E"/>
    <w:multiLevelType w:val="hybridMultilevel"/>
    <w:lvl w:ilvl="0">
      <w:lvlJc w:val="left"/>
      <w:lvlText w:val="%1"/>
      <w:numFmt w:val="lowerLetter"/>
      <w:start w:val="1"/>
    </w:lvl>
    <w:lvl w:ilvl="1">
      <w:lvlJc w:val="left"/>
      <w:lvlText w:val="(%2)"/>
      <w:numFmt w:val="lowerLetter"/>
      <w:start w:val="2"/>
    </w:lvl>
  </w:abstractNum>
  <w:abstractNum w:abstractNumId="93">
    <w:nsid w:val="51088277"/>
    <w:multiLevelType w:val="hybridMultilevel"/>
    <w:lvl w:ilvl="0">
      <w:lvlJc w:val="left"/>
      <w:lvlText w:val="(%1)"/>
      <w:numFmt w:val="lowerLetter"/>
      <w:start w:val="35"/>
    </w:lvl>
    <w:lvl w:ilvl="1">
      <w:lvlJc w:val="left"/>
      <w:lvlText w:val="(%2)"/>
      <w:numFmt w:val="lowerLetter"/>
      <w:start w:val="4"/>
    </w:lvl>
  </w:abstractNum>
  <w:abstractNum w:abstractNumId="94">
    <w:nsid w:val="1CA0C5FA"/>
    <w:multiLevelType w:val="hybridMultilevel"/>
    <w:lvl w:ilvl="0">
      <w:lvlJc w:val="left"/>
      <w:lvlText w:val="(%1)"/>
      <w:numFmt w:val="lowerLetter"/>
      <w:start w:val="6"/>
    </w:lvl>
  </w:abstractNum>
  <w:abstractNum w:abstractNumId="95">
    <w:nsid w:val="53584BCB"/>
    <w:multiLevelType w:val="hybridMultilevel"/>
    <w:lvl w:ilvl="0">
      <w:lvlJc w:val="left"/>
      <w:lvlText w:val="(%1)"/>
      <w:numFmt w:val="lowerLetter"/>
      <w:start w:val="1"/>
    </w:lvl>
  </w:abstractNum>
  <w:abstractNum w:abstractNumId="96">
    <w:nsid w:val="415E286C"/>
    <w:multiLevelType w:val="hybridMultilevel"/>
    <w:lvl w:ilvl="0">
      <w:lvlJc w:val="left"/>
      <w:lvlText w:val="%1"/>
      <w:numFmt w:val="lowerLetter"/>
      <w:start w:val="1"/>
    </w:lvl>
    <w:lvl w:ilvl="1">
      <w:lvlJc w:val="left"/>
      <w:lvlText w:val="(%2)"/>
      <w:numFmt w:val="lowerLetter"/>
      <w:start w:val="2"/>
    </w:lvl>
  </w:abstractNum>
  <w:abstractNum w:abstractNumId="97">
    <w:nsid w:val="7C58FD05"/>
    <w:multiLevelType w:val="hybridMultilevel"/>
    <w:lvl w:ilvl="0">
      <w:lvlJc w:val="left"/>
      <w:lvlText w:val="(%1)"/>
      <w:numFmt w:val="lowerLetter"/>
      <w:start w:val="9"/>
    </w:lvl>
    <w:lvl w:ilvl="1">
      <w:lvlJc w:val="left"/>
      <w:lvlText w:val="(%2)"/>
      <w:numFmt w:val="lowerLetter"/>
      <w:start w:val="4"/>
    </w:lvl>
  </w:abstractNum>
  <w:abstractNum w:abstractNumId="98">
    <w:nsid w:val="23D86AAC"/>
    <w:multiLevelType w:val="hybridMultilevel"/>
    <w:lvl w:ilvl="0">
      <w:lvlJc w:val="left"/>
      <w:lvlText w:val="(%1)"/>
      <w:numFmt w:val="lowerLetter"/>
      <w:start w:val="5"/>
    </w:lvl>
  </w:abstractNum>
  <w:abstractNum w:abstractNumId="99">
    <w:nsid w:val="45E6D486"/>
    <w:multiLevelType w:val="hybridMultilevel"/>
    <w:lvl w:ilvl="0">
      <w:lvlJc w:val="left"/>
      <w:lvlText w:val="(%1)"/>
      <w:numFmt w:val="decimal"/>
      <w:start w:val="2"/>
    </w:lvl>
  </w:abstractNum>
  <w:abstractNum w:abstractNumId="100">
    <w:nsid w:val="5C10FE21"/>
    <w:multiLevelType w:val="hybridMultilevel"/>
    <w:lvl w:ilvl="0">
      <w:lvlJc w:val="left"/>
      <w:lvlText w:val="(%1)"/>
      <w:numFmt w:val="lowerLetter"/>
      <w:start w:val="1"/>
    </w:lvl>
  </w:abstractNum>
  <w:abstractNum w:abstractNumId="101">
    <w:nsid w:val="E7FFA2B"/>
    <w:multiLevelType w:val="hybridMultilevel"/>
    <w:lvl w:ilvl="0">
      <w:lvlJc w:val="left"/>
      <w:lvlText w:val="(%1)"/>
      <w:numFmt w:val="lowerLetter"/>
      <w:start w:val="1"/>
    </w:lvl>
  </w:abstractNum>
  <w:abstractNum w:abstractNumId="102">
    <w:nsid w:val="3C5991AA"/>
    <w:multiLevelType w:val="hybridMultilevel"/>
    <w:lvl w:ilvl="0">
      <w:lvlJc w:val="left"/>
      <w:lvlText w:val="(%1)"/>
      <w:numFmt w:val="decimal"/>
      <w:start w:val="30"/>
    </w:lvl>
  </w:abstractNum>
  <w:abstractNum w:abstractNumId="103">
    <w:nsid w:val="4BD8591A"/>
    <w:multiLevelType w:val="hybridMultilevel"/>
    <w:lvl w:ilvl="0">
      <w:lvlJc w:val="left"/>
      <w:lvlText w:val="(%1)"/>
      <w:numFmt w:val="lowerLetter"/>
      <w:start w:val="1"/>
    </w:lvl>
  </w:abstractNum>
  <w:abstractNum w:abstractNumId="104">
    <w:nsid w:val="78DF6A55"/>
    <w:multiLevelType w:val="hybridMultilevel"/>
    <w:lvl w:ilvl="0">
      <w:lvlJc w:val="left"/>
      <w:lvlText w:val="(%1)"/>
      <w:numFmt w:val="lowerLetter"/>
      <w:start w:val="1"/>
    </w:lvl>
  </w:abstractNum>
  <w:abstractNum w:abstractNumId="105">
    <w:nsid w:val="39B7AAA2"/>
    <w:multiLevelType w:val="hybridMultilevel"/>
    <w:lvl w:ilvl="0">
      <w:lvlJc w:val="left"/>
      <w:lvlText w:val="(%1)"/>
      <w:numFmt w:val="lowerLetter"/>
      <w:start w:val="3"/>
    </w:lvl>
  </w:abstractNum>
  <w:abstractNum w:abstractNumId="106">
    <w:nsid w:val="2B0D8DBE"/>
    <w:multiLevelType w:val="hybridMultilevel"/>
    <w:lvl w:ilvl="0">
      <w:lvlJc w:val="left"/>
      <w:lvlText w:val="(%1)"/>
      <w:numFmt w:val="lowerLetter"/>
      <w:start w:val="1"/>
    </w:lvl>
  </w:abstractNum>
  <w:abstractNum w:abstractNumId="107">
    <w:nsid w:val="6C80EC70"/>
    <w:multiLevelType w:val="hybridMultilevel"/>
    <w:lvl w:ilvl="0">
      <w:lvlJc w:val="left"/>
      <w:lvlText w:val="(%1)"/>
      <w:numFmt w:val="lowerLetter"/>
      <w:start w:val="2"/>
    </w:lvl>
  </w:abstractNum>
  <w:abstractNum w:abstractNumId="108">
    <w:nsid w:val="379E21B5"/>
    <w:multiLevelType w:val="hybridMultilevel"/>
    <w:lvl w:ilvl="0">
      <w:lvlJc w:val="left"/>
      <w:lvlText w:val="(%1)"/>
      <w:numFmt w:val="lowerLetter"/>
      <w:start w:val="1"/>
    </w:lvl>
  </w:abstractNum>
  <w:abstractNum w:abstractNumId="109">
    <w:nsid w:val="69E373"/>
    <w:multiLevelType w:val="hybridMultilevel"/>
    <w:lvl w:ilvl="0">
      <w:lvlJc w:val="left"/>
      <w:lvlText w:val="(%1)"/>
      <w:numFmt w:val="lowerLetter"/>
      <w:start w:val="3"/>
    </w:lvl>
  </w:abstractNum>
  <w:abstractNum w:abstractNumId="110">
    <w:nsid w:val="2C27173B"/>
    <w:multiLevelType w:val="hybridMultilevel"/>
    <w:lvl w:ilvl="0">
      <w:lvlJc w:val="left"/>
      <w:lvlText w:val="%1"/>
      <w:numFmt w:val="lowerLetter"/>
      <w:start w:val="1"/>
    </w:lvl>
    <w:lvl w:ilvl="1">
      <w:lvlJc w:val="left"/>
      <w:lvlText w:val="(%2)"/>
      <w:numFmt w:val="lowerLetter"/>
      <w:start w:val="1"/>
    </w:lvl>
  </w:abstractNum>
  <w:abstractNum w:abstractNumId="111">
    <w:nsid w:val="4C9B0904"/>
    <w:multiLevelType w:val="hybridMultilevel"/>
    <w:lvl w:ilvl="0">
      <w:lvlJc w:val="left"/>
      <w:lvlText w:val="(%1)"/>
      <w:numFmt w:val="lowerLetter"/>
      <w:start w:val="9"/>
    </w:lvl>
    <w:lvl w:ilvl="1">
      <w:lvlJc w:val="left"/>
      <w:lvlText w:val="%2"/>
      <w:numFmt w:val="lowerLetter"/>
      <w:start w:val="1"/>
    </w:lvl>
  </w:abstractNum>
  <w:abstractNum w:abstractNumId="112">
    <w:nsid w:val="6AA7B75C"/>
    <w:multiLevelType w:val="hybridMultilevel"/>
    <w:lvl w:ilvl="0">
      <w:lvlJc w:val="left"/>
      <w:lvlText w:val="(%1)"/>
      <w:numFmt w:val="lowerLetter"/>
      <w:start w:val="24"/>
    </w:lvl>
    <w:lvl w:ilvl="1">
      <w:lvlJc w:val="left"/>
      <w:lvlText w:val="(%2)"/>
      <w:numFmt w:val="lowerLetter"/>
      <w:start w:val="5"/>
    </w:lvl>
  </w:abstractNum>
  <w:abstractNum w:abstractNumId="113">
    <w:nsid w:val="1DF029D3"/>
    <w:multiLevelType w:val="hybridMultilevel"/>
    <w:lvl w:ilvl="0">
      <w:lvlJc w:val="left"/>
      <w:lvlText w:val="(%1)"/>
      <w:numFmt w:val="lowerLetter"/>
      <w:start w:val="1"/>
    </w:lvl>
  </w:abstractNum>
  <w:abstractNum w:abstractNumId="114">
    <w:nsid w:val="5675FF36"/>
    <w:multiLevelType w:val="hybridMultilevel"/>
    <w:lvl w:ilvl="0">
      <w:lvlJc w:val="left"/>
      <w:lvlText w:val="(%1)"/>
      <w:numFmt w:val="lowerLetter"/>
      <w:start w:val="2"/>
    </w:lvl>
  </w:abstractNum>
  <w:abstractNum w:abstractNumId="115">
    <w:nsid w:val="3DD15094"/>
    <w:multiLevelType w:val="hybridMultilevel"/>
    <w:lvl w:ilvl="0">
      <w:lvlJc w:val="left"/>
      <w:lvlText w:val="%1."/>
      <w:numFmt w:val="decimal"/>
      <w:start w:val="1"/>
    </w:lvl>
    <w:lvl w:ilvl="1">
      <w:lvlJc w:val="left"/>
      <w:lvlText w:val="(%2)"/>
      <w:numFmt w:val="lowerLetter"/>
      <w:start w:val="1"/>
    </w:lvl>
  </w:abstractNum>
  <w:abstractNum w:abstractNumId="116">
    <w:nsid w:val="3DB012B3"/>
    <w:multiLevelType w:val="hybridMultilevel"/>
    <w:lvl w:ilvl="0">
      <w:lvlJc w:val="left"/>
      <w:lvlText w:val="(%1)"/>
      <w:numFmt w:val="lowerLetter"/>
      <w:start w:val="2"/>
    </w:lvl>
  </w:abstractNum>
  <w:abstractNum w:abstractNumId="117">
    <w:nsid w:val="2708C9AF"/>
    <w:multiLevelType w:val="hybridMultilevel"/>
    <w:lvl w:ilvl="0">
      <w:lvlJc w:val="left"/>
      <w:lvlText w:val="(%1)"/>
      <w:numFmt w:val="lowerLetter"/>
      <w:start w:val="3"/>
    </w:lvl>
  </w:abstractNum>
  <w:abstractNum w:abstractNumId="118">
    <w:nsid w:val="5B25ACE2"/>
    <w:multiLevelType w:val="hybridMultilevel"/>
    <w:lvl w:ilvl="0">
      <w:lvlJc w:val="left"/>
      <w:lvlText w:val="(%1)"/>
      <w:numFmt w:val="lowerLetter"/>
      <w:start w:val="4"/>
    </w:lvl>
  </w:abstractNum>
  <w:abstractNum w:abstractNumId="119">
    <w:nsid w:val="175DFCF0"/>
    <w:multiLevelType w:val="hybridMultilevel"/>
    <w:lvl w:ilvl="0">
      <w:lvlJc w:val="left"/>
      <w:lvlText w:val="(%1)"/>
      <w:numFmt w:val="lowerLetter"/>
      <w:start w:val="5"/>
    </w:lvl>
  </w:abstractNum>
  <w:abstractNum w:abstractNumId="120">
    <w:nsid w:val="4F97E3E4"/>
    <w:multiLevelType w:val="hybridMultilevel"/>
    <w:lvl w:ilvl="0">
      <w:lvlJc w:val="left"/>
      <w:lvlText w:val="%1"/>
      <w:numFmt w:val="decimal"/>
      <w:start w:val="1"/>
    </w:lvl>
    <w:lvl w:ilvl="1">
      <w:lvlJc w:val="left"/>
      <w:lvlText w:val="(%2)"/>
      <w:numFmt w:val="lowerLetter"/>
      <w:start w:val="6"/>
    </w:lvl>
  </w:abstractNum>
  <w:abstractNum w:abstractNumId="121">
    <w:nsid w:val="53B0A9E"/>
    <w:multiLevelType w:val="hybridMultilevel"/>
    <w:lvl w:ilvl="0">
      <w:lvlJc w:val="left"/>
      <w:lvlText w:val="%1."/>
      <w:numFmt w:val="decimal"/>
      <w:start w:val="2"/>
    </w:lvl>
    <w:lvl w:ilvl="1">
      <w:lvlJc w:val="left"/>
      <w:lvlText w:val="%2"/>
      <w:numFmt w:val="lowerLetter"/>
      <w:start w:val="1"/>
    </w:lvl>
  </w:abstractNum>
  <w:abstractNum w:abstractNumId="122">
    <w:nsid w:val="34FD6B4F"/>
    <w:multiLevelType w:val="hybridMultilevel"/>
    <w:lvl w:ilvl="0">
      <w:lvlJc w:val="left"/>
      <w:lvlText w:val="%1."/>
      <w:numFmt w:val="decimal"/>
      <w:start w:val="1"/>
    </w:lvl>
    <w:lvl w:ilvl="1">
      <w:lvlJc w:val="left"/>
      <w:lvlText w:val="(%2)"/>
      <w:numFmt w:val="lowerLetter"/>
      <w:start w:val="1"/>
    </w:lvl>
  </w:abstractNum>
  <w:abstractNum w:abstractNumId="123">
    <w:nsid w:val="5915FF32"/>
    <w:multiLevelType w:val="hybridMultilevel"/>
    <w:lvl w:ilvl="0">
      <w:lvlJc w:val="left"/>
      <w:lvlText w:val="%1."/>
      <w:numFmt w:val="decimal"/>
      <w:start w:val="1"/>
    </w:lvl>
    <w:lvl w:ilvl="1">
      <w:lvlJc w:val="left"/>
      <w:lvlText w:val="(%2)"/>
      <w:numFmt w:val="lowerLetter"/>
      <w:start w:val="1"/>
    </w:lvl>
  </w:abstractNum>
  <w:abstractNum w:abstractNumId="124">
    <w:nsid w:val="56438D15"/>
    <w:multiLevelType w:val="hybridMultilevel"/>
    <w:lvl w:ilvl="0">
      <w:lvlJc w:val="left"/>
      <w:lvlText w:val="(%1)"/>
      <w:numFmt w:val="decimal"/>
      <w:start w:val="1"/>
    </w:lvl>
  </w:abstractNum>
  <w:abstractNum w:abstractNumId="125">
    <w:nsid w:val="519E314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33" Type="http://schemas.openxmlformats.org/officeDocument/2006/relationships/image" Target="media/image81.png"/><Relationship Id="rId134" Type="http://schemas.openxmlformats.org/officeDocument/2006/relationships/image" Target="media/image82.png"/><Relationship Id="rId137" Type="http://schemas.openxmlformats.org/officeDocument/2006/relationships/image" Target="media/image83.png"/><Relationship Id="rId138" Type="http://schemas.openxmlformats.org/officeDocument/2006/relationships/image" Target="media/image84.png"/><Relationship Id="rId139" Type="http://schemas.openxmlformats.org/officeDocument/2006/relationships/image" Target="media/image85.png"/><Relationship Id="rId140" Type="http://schemas.openxmlformats.org/officeDocument/2006/relationships/image" Target="media/image86.png"/><Relationship Id="rId141" Type="http://schemas.openxmlformats.org/officeDocument/2006/relationships/image" Target="media/image87.png"/><Relationship Id="rId142" Type="http://schemas.openxmlformats.org/officeDocument/2006/relationships/image" Target="media/image88.png"/><Relationship Id="rId143" Type="http://schemas.openxmlformats.org/officeDocument/2006/relationships/image" Target="media/image89.png"/><Relationship Id="rId144" Type="http://schemas.openxmlformats.org/officeDocument/2006/relationships/image" Target="media/image90.png"/><Relationship Id="rId145" Type="http://schemas.openxmlformats.org/officeDocument/2006/relationships/image" Target="media/image91.png"/><Relationship Id="rId146" Type="http://schemas.openxmlformats.org/officeDocument/2006/relationships/image" Target="media/image92.png"/><Relationship Id="rId147" Type="http://schemas.openxmlformats.org/officeDocument/2006/relationships/image" Target="media/image93.png"/><Relationship Id="rId148" Type="http://schemas.openxmlformats.org/officeDocument/2006/relationships/image" Target="media/image94.png"/><Relationship Id="rId149" Type="http://schemas.openxmlformats.org/officeDocument/2006/relationships/image" Target="media/image95.png"/><Relationship Id="rId150" Type="http://schemas.openxmlformats.org/officeDocument/2006/relationships/image" Target="media/image96.png"/><Relationship Id="rId151" Type="http://schemas.openxmlformats.org/officeDocument/2006/relationships/image" Target="media/image97.png"/><Relationship Id="rId152" Type="http://schemas.openxmlformats.org/officeDocument/2006/relationships/image" Target="media/image98.png"/><Relationship Id="rId153" Type="http://schemas.openxmlformats.org/officeDocument/2006/relationships/image" Target="media/image99.png"/><Relationship Id="rId154" Type="http://schemas.openxmlformats.org/officeDocument/2006/relationships/image" Target="media/image100.png"/><Relationship Id="rId155" Type="http://schemas.openxmlformats.org/officeDocument/2006/relationships/image" Target="media/image101.png"/><Relationship Id="rId156" Type="http://schemas.openxmlformats.org/officeDocument/2006/relationships/image" Target="media/image102.png"/><Relationship Id="rId157" Type="http://schemas.openxmlformats.org/officeDocument/2006/relationships/image" Target="media/image103.png"/><Relationship Id="rId158" Type="http://schemas.openxmlformats.org/officeDocument/2006/relationships/image" Target="media/image104.png"/><Relationship Id="rId159" Type="http://schemas.openxmlformats.org/officeDocument/2006/relationships/image" Target="media/image105.png"/><Relationship Id="rId160" Type="http://schemas.openxmlformats.org/officeDocument/2006/relationships/image" Target="media/image106.png"/><Relationship Id="rId161" Type="http://schemas.openxmlformats.org/officeDocument/2006/relationships/image" Target="media/image107.png"/><Relationship Id="rId162" Type="http://schemas.openxmlformats.org/officeDocument/2006/relationships/image" Target="media/image108.png"/><Relationship Id="rId163" Type="http://schemas.openxmlformats.org/officeDocument/2006/relationships/image" Target="media/image109.png"/><Relationship Id="rId164" Type="http://schemas.openxmlformats.org/officeDocument/2006/relationships/image" Target="media/image110.png"/><Relationship Id="rId165" Type="http://schemas.openxmlformats.org/officeDocument/2006/relationships/image" Target="media/image111.png"/><Relationship Id="rId166" Type="http://schemas.openxmlformats.org/officeDocument/2006/relationships/image" Target="media/image112.png"/><Relationship Id="rId167" Type="http://schemas.openxmlformats.org/officeDocument/2006/relationships/image" Target="media/image113.png"/><Relationship Id="rId168" Type="http://schemas.openxmlformats.org/officeDocument/2006/relationships/image" Target="media/image114.png"/><Relationship Id="rId169" Type="http://schemas.openxmlformats.org/officeDocument/2006/relationships/image" Target="media/image115.png"/><Relationship Id="rId170" Type="http://schemas.openxmlformats.org/officeDocument/2006/relationships/image" Target="media/image116.png"/><Relationship Id="rId171" Type="http://schemas.openxmlformats.org/officeDocument/2006/relationships/image" Target="media/image117.png"/><Relationship Id="rId172" Type="http://schemas.openxmlformats.org/officeDocument/2006/relationships/image" Target="media/image118.png"/><Relationship Id="rId173" Type="http://schemas.openxmlformats.org/officeDocument/2006/relationships/image" Target="media/image119.png"/><Relationship Id="rId174" Type="http://schemas.openxmlformats.org/officeDocument/2006/relationships/image" Target="media/image120.png"/><Relationship Id="rId175" Type="http://schemas.openxmlformats.org/officeDocument/2006/relationships/image" Target="media/image121.png"/><Relationship Id="rId176" Type="http://schemas.openxmlformats.org/officeDocument/2006/relationships/image" Target="media/image122.png"/><Relationship Id="rId177" Type="http://schemas.openxmlformats.org/officeDocument/2006/relationships/image" Target="media/image123.png"/><Relationship Id="rId178" Type="http://schemas.openxmlformats.org/officeDocument/2006/relationships/image" Target="media/image124.png"/><Relationship Id="rId179" Type="http://schemas.openxmlformats.org/officeDocument/2006/relationships/image" Target="media/image125.png"/><Relationship Id="rId180" Type="http://schemas.openxmlformats.org/officeDocument/2006/relationships/image" Target="media/image126.png"/><Relationship Id="rId181" Type="http://schemas.openxmlformats.org/officeDocument/2006/relationships/image" Target="media/image127.png"/><Relationship Id="rId182" Type="http://schemas.openxmlformats.org/officeDocument/2006/relationships/image" Target="media/image128.png"/><Relationship Id="rId183" Type="http://schemas.openxmlformats.org/officeDocument/2006/relationships/image" Target="media/image129.png"/><Relationship Id="rId184" Type="http://schemas.openxmlformats.org/officeDocument/2006/relationships/image" Target="media/image130.png"/><Relationship Id="rId185" Type="http://schemas.openxmlformats.org/officeDocument/2006/relationships/image" Target="media/image131.png"/><Relationship Id="rId186" Type="http://schemas.openxmlformats.org/officeDocument/2006/relationships/image" Target="media/image132.png"/><Relationship Id="rId187" Type="http://schemas.openxmlformats.org/officeDocument/2006/relationships/image" Target="media/image133.png"/><Relationship Id="rId188" Type="http://schemas.openxmlformats.org/officeDocument/2006/relationships/image" Target="media/image134.png"/><Relationship Id="rId189" Type="http://schemas.openxmlformats.org/officeDocument/2006/relationships/image" Target="media/image135.png"/><Relationship Id="rId190" Type="http://schemas.openxmlformats.org/officeDocument/2006/relationships/image" Target="media/image136.png"/><Relationship Id="rId191" Type="http://schemas.openxmlformats.org/officeDocument/2006/relationships/image" Target="media/image137.png"/><Relationship Id="rId192" Type="http://schemas.openxmlformats.org/officeDocument/2006/relationships/image" Target="media/image138.png"/><Relationship Id="rId193" Type="http://schemas.openxmlformats.org/officeDocument/2006/relationships/image" Target="media/image139.png"/><Relationship Id="rId194" Type="http://schemas.openxmlformats.org/officeDocument/2006/relationships/image" Target="media/image140.png"/><Relationship Id="rId195" Type="http://schemas.openxmlformats.org/officeDocument/2006/relationships/image" Target="media/image141.png"/><Relationship Id="rId196" Type="http://schemas.openxmlformats.org/officeDocument/2006/relationships/image" Target="media/image142.png"/><Relationship Id="rId197" Type="http://schemas.openxmlformats.org/officeDocument/2006/relationships/image" Target="media/image143.png"/><Relationship Id="rId198" Type="http://schemas.openxmlformats.org/officeDocument/2006/relationships/image" Target="media/image144.png"/><Relationship Id="rId199" Type="http://schemas.openxmlformats.org/officeDocument/2006/relationships/image" Target="media/image145.png"/><Relationship Id="rId200" Type="http://schemas.openxmlformats.org/officeDocument/2006/relationships/image" Target="media/image146.png"/><Relationship Id="rId201" Type="http://schemas.openxmlformats.org/officeDocument/2006/relationships/image" Target="media/image147.png"/><Relationship Id="rId202" Type="http://schemas.openxmlformats.org/officeDocument/2006/relationships/image" Target="media/image148.png"/><Relationship Id="rId203" Type="http://schemas.openxmlformats.org/officeDocument/2006/relationships/image" Target="media/image149.png"/><Relationship Id="rId204" Type="http://schemas.openxmlformats.org/officeDocument/2006/relationships/image" Target="media/image150.png"/><Relationship Id="rId205" Type="http://schemas.openxmlformats.org/officeDocument/2006/relationships/image" Target="media/image151.png"/><Relationship Id="rId206" Type="http://schemas.openxmlformats.org/officeDocument/2006/relationships/image" Target="media/image152.png"/><Relationship Id="rId207" Type="http://schemas.openxmlformats.org/officeDocument/2006/relationships/image" Target="media/image153.png"/><Relationship Id="rId208"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1" Type="http://schemas.openxmlformats.org/officeDocument/2006/relationships/image" Target="media/image157.png"/><Relationship Id="rId212" Type="http://schemas.openxmlformats.org/officeDocument/2006/relationships/image" Target="media/image158.png"/><Relationship Id="rId213" Type="http://schemas.openxmlformats.org/officeDocument/2006/relationships/image" Target="media/image159.png"/><Relationship Id="rId214" Type="http://schemas.openxmlformats.org/officeDocument/2006/relationships/image" Target="media/image160.png"/><Relationship Id="rId215" Type="http://schemas.openxmlformats.org/officeDocument/2006/relationships/image" Target="media/image161.png"/><Relationship Id="rId216" Type="http://schemas.openxmlformats.org/officeDocument/2006/relationships/image" Target="media/image162.png"/><Relationship Id="rId217" Type="http://schemas.openxmlformats.org/officeDocument/2006/relationships/image" Target="media/image163.png"/><Relationship Id="rId218" Type="http://schemas.openxmlformats.org/officeDocument/2006/relationships/image" Target="media/image164.png"/><Relationship Id="rId219" Type="http://schemas.openxmlformats.org/officeDocument/2006/relationships/image" Target="media/image165.png"/><Relationship Id="rId220" Type="http://schemas.openxmlformats.org/officeDocument/2006/relationships/image" Target="media/image166.png"/><Relationship Id="rId221" Type="http://schemas.openxmlformats.org/officeDocument/2006/relationships/image" Target="media/image167.png"/><Relationship Id="rId222" Type="http://schemas.openxmlformats.org/officeDocument/2006/relationships/image" Target="media/image168.png"/><Relationship Id="rId223" Type="http://schemas.openxmlformats.org/officeDocument/2006/relationships/image" Target="media/image169.png"/><Relationship Id="rId224" Type="http://schemas.openxmlformats.org/officeDocument/2006/relationships/image" Target="media/image170.png"/><Relationship Id="rId225" Type="http://schemas.openxmlformats.org/officeDocument/2006/relationships/image" Target="media/image171.png"/><Relationship Id="rId226" Type="http://schemas.openxmlformats.org/officeDocument/2006/relationships/image" Target="media/image172.png"/><Relationship Id="rId227" Type="http://schemas.openxmlformats.org/officeDocument/2006/relationships/image" Target="media/image173.png"/><Relationship Id="rId228" Type="http://schemas.openxmlformats.org/officeDocument/2006/relationships/image" Target="media/image174.png"/><Relationship Id="rId229" Type="http://schemas.openxmlformats.org/officeDocument/2006/relationships/image" Target="media/image175.png"/><Relationship Id="rId230" Type="http://schemas.openxmlformats.org/officeDocument/2006/relationships/image" Target="media/image176.png"/><Relationship Id="rId231" Type="http://schemas.openxmlformats.org/officeDocument/2006/relationships/image" Target="media/image177.png"/><Relationship Id="rId232" Type="http://schemas.openxmlformats.org/officeDocument/2006/relationships/image" Target="media/image178.png"/><Relationship Id="rId233" Type="http://schemas.openxmlformats.org/officeDocument/2006/relationships/image" Target="media/image179.png"/><Relationship Id="rId234" Type="http://schemas.openxmlformats.org/officeDocument/2006/relationships/image" Target="media/image180.png"/><Relationship Id="rId235" Type="http://schemas.openxmlformats.org/officeDocument/2006/relationships/image" Target="media/image181.png"/><Relationship Id="rId236" Type="http://schemas.openxmlformats.org/officeDocument/2006/relationships/image" Target="media/image182.png"/><Relationship Id="rId237" Type="http://schemas.openxmlformats.org/officeDocument/2006/relationships/image" Target="media/image183.png"/><Relationship Id="rId238" Type="http://schemas.openxmlformats.org/officeDocument/2006/relationships/image" Target="media/image184.png"/><Relationship Id="rId239" Type="http://schemas.openxmlformats.org/officeDocument/2006/relationships/image" Target="media/image185.png"/><Relationship Id="rId240" Type="http://schemas.openxmlformats.org/officeDocument/2006/relationships/image" Target="media/image186.png"/><Relationship Id="rId241" Type="http://schemas.openxmlformats.org/officeDocument/2006/relationships/image" Target="media/image187.png"/><Relationship Id="rId242" Type="http://schemas.openxmlformats.org/officeDocument/2006/relationships/image" Target="media/image188.png"/><Relationship Id="rId243" Type="http://schemas.openxmlformats.org/officeDocument/2006/relationships/image" Target="media/image189.png"/><Relationship Id="rId244" Type="http://schemas.openxmlformats.org/officeDocument/2006/relationships/image" Target="media/image190.png"/><Relationship Id="rId245" Type="http://schemas.openxmlformats.org/officeDocument/2006/relationships/image" Target="media/image191.png"/><Relationship Id="rId246" Type="http://schemas.openxmlformats.org/officeDocument/2006/relationships/image" Target="media/image192.png"/><Relationship Id="rId247" Type="http://schemas.openxmlformats.org/officeDocument/2006/relationships/image" Target="media/image193.png"/><Relationship Id="rId248" Type="http://schemas.openxmlformats.org/officeDocument/2006/relationships/image" Target="media/image194.png"/><Relationship Id="rId249" Type="http://schemas.openxmlformats.org/officeDocument/2006/relationships/image" Target="media/image195.png"/><Relationship Id="rId250"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3"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59" Type="http://schemas.openxmlformats.org/officeDocument/2006/relationships/image" Target="media/image205.png"/><Relationship Id="rId260" Type="http://schemas.openxmlformats.org/officeDocument/2006/relationships/image" Target="media/image206.png"/><Relationship Id="rId261" Type="http://schemas.openxmlformats.org/officeDocument/2006/relationships/image" Target="media/image207.png"/><Relationship Id="rId262" Type="http://schemas.openxmlformats.org/officeDocument/2006/relationships/image" Target="media/image208.png"/><Relationship Id="rId263" Type="http://schemas.openxmlformats.org/officeDocument/2006/relationships/image" Target="media/image209.png"/><Relationship Id="rId264" Type="http://schemas.openxmlformats.org/officeDocument/2006/relationships/image" Target="media/image210.png"/><Relationship Id="rId265" Type="http://schemas.openxmlformats.org/officeDocument/2006/relationships/image" Target="media/image211.png"/><Relationship Id="rId266" Type="http://schemas.openxmlformats.org/officeDocument/2006/relationships/image" Target="media/image212.png"/><Relationship Id="rId267" Type="http://schemas.openxmlformats.org/officeDocument/2006/relationships/image" Target="media/image213.png"/><Relationship Id="rId268" Type="http://schemas.openxmlformats.org/officeDocument/2006/relationships/image" Target="media/image214.png"/><Relationship Id="rId269" Type="http://schemas.openxmlformats.org/officeDocument/2006/relationships/image" Target="media/image215.png"/><Relationship Id="rId270" Type="http://schemas.openxmlformats.org/officeDocument/2006/relationships/image" Target="media/image216.png"/><Relationship Id="rId271" Type="http://schemas.openxmlformats.org/officeDocument/2006/relationships/image" Target="media/image217.png"/><Relationship Id="rId272" Type="http://schemas.openxmlformats.org/officeDocument/2006/relationships/image" Target="media/image218.png"/><Relationship Id="rId273" Type="http://schemas.openxmlformats.org/officeDocument/2006/relationships/image" Target="media/image219.png"/><Relationship Id="rId274" Type="http://schemas.openxmlformats.org/officeDocument/2006/relationships/image" Target="media/image220.png"/><Relationship Id="rId275" Type="http://schemas.openxmlformats.org/officeDocument/2006/relationships/image" Target="media/image221.png"/><Relationship Id="rId276" Type="http://schemas.openxmlformats.org/officeDocument/2006/relationships/image" Target="media/image222.png"/><Relationship Id="rId277" Type="http://schemas.openxmlformats.org/officeDocument/2006/relationships/image" Target="media/image223.png"/><Relationship Id="rId278" Type="http://schemas.openxmlformats.org/officeDocument/2006/relationships/image" Target="media/image224.png"/><Relationship Id="rId279" Type="http://schemas.openxmlformats.org/officeDocument/2006/relationships/image" Target="media/image225.png"/><Relationship Id="rId280" Type="http://schemas.openxmlformats.org/officeDocument/2006/relationships/image" Target="media/image226.png"/><Relationship Id="rId84" Type="http://schemas.openxmlformats.org/officeDocument/2006/relationships/hyperlink" Target="http://www.sec.gov/Archives/edgar/data/1468328/000119312509238641/dex31.htm" TargetMode="External"/><Relationship Id="rId85" Type="http://schemas.openxmlformats.org/officeDocument/2006/relationships/hyperlink" Target="http://www.sec.gov/Archives/edgar/data/1468328/000119312513211165/d535575dex32.htm" TargetMode="External"/><Relationship Id="rId86" Type="http://schemas.openxmlformats.org/officeDocument/2006/relationships/hyperlink" Target="http://www.sec.gov/Archives/edgar/data/1468328/000119312509202215/dex41.htm" TargetMode="External"/><Relationship Id="rId87" Type="http://schemas.openxmlformats.org/officeDocument/2006/relationships/hyperlink" Target="http://www.sec.gov/Archives/edgar/data/1468328/000156459020038909/adus-ex42_1098.htm" TargetMode="External"/><Relationship Id="rId88" Type="http://schemas.openxmlformats.org/officeDocument/2006/relationships/hyperlink" Target="http://www.sec.gov/Archives/edgar/data/1468328/000119312509194976/dex101b.htm" TargetMode="External"/><Relationship Id="rId89" Type="http://schemas.openxmlformats.org/officeDocument/2006/relationships/hyperlink" Target="http://www.sec.gov/Archives/edgar/data/1468328/000119312509150710/dex1010.htm" TargetMode="External"/><Relationship Id="rId90" Type="http://schemas.openxmlformats.org/officeDocument/2006/relationships/hyperlink" Target="http://www.sec.gov/Archives/edgar/data/1468328/000119312509150710/dex1011.htm" TargetMode="External"/><Relationship Id="rId91" Type="http://schemas.openxmlformats.org/officeDocument/2006/relationships/hyperlink" Target="http://www.sec.gov/Archives/edgar/data/1468328/000119312509150710/dex1012.htm" TargetMode="External"/><Relationship Id="rId92" Type="http://schemas.openxmlformats.org/officeDocument/2006/relationships/hyperlink" Target="http://www.sec.gov/Archives/edgar/data/1468328/000119312509150710/dex1013.htm" TargetMode="External"/><Relationship Id="rId93" Type="http://schemas.openxmlformats.org/officeDocument/2006/relationships/hyperlink" Target="http://www.sec.gov/Archives/edgar/data/1468328/000119312509150710/dex1014.htm" TargetMode="External"/><Relationship Id="rId94" Type="http://schemas.openxmlformats.org/officeDocument/2006/relationships/hyperlink" Target="http://www.sec.gov/Archives/edgar/data/1468328/000119312509150710/dex1016.htm" TargetMode="External"/><Relationship Id="rId95" Type="http://schemas.openxmlformats.org/officeDocument/2006/relationships/hyperlink" Target="http://www.sec.gov/Archives/edgar/data/1468328/000119312509181308/dex1017.htm" TargetMode="External"/><Relationship Id="rId96" Type="http://schemas.openxmlformats.org/officeDocument/2006/relationships/hyperlink" Target="http://www.sec.gov/Archives/edgar/data/1468328/000119312509181308/dex1017a.htm" TargetMode="External"/><Relationship Id="rId97" Type="http://schemas.openxmlformats.org/officeDocument/2006/relationships/hyperlink" Target="http://www.sec.gov/Archives/edgar/data/1468328/000119312509181308/dex1017b.htm" TargetMode="External"/><Relationship Id="rId100" Type="http://schemas.openxmlformats.org/officeDocument/2006/relationships/hyperlink" Target="http://www.sec.gov/Archives/edgar/data/1468328/000119312509181308/dex1017c.htm" TargetMode="External"/><Relationship Id="rId101" Type="http://schemas.openxmlformats.org/officeDocument/2006/relationships/hyperlink" Target="http://www.sec.gov/Archives/edgar/data/1468328/000119312509194976/dex1020.htm" TargetMode="External"/><Relationship Id="rId102" Type="http://schemas.openxmlformats.org/officeDocument/2006/relationships/hyperlink" Target="http://www.sec.gov/Archives/edgar/data/1468328/000119312509194976/dex1020a.htm" TargetMode="External"/><Relationship Id="rId103" Type="http://schemas.openxmlformats.org/officeDocument/2006/relationships/hyperlink" Target="http://www.sec.gov/Archives/edgar/data/1468328/000119312509194976/dex1020b.htm" TargetMode="External"/><Relationship Id="rId104" Type="http://schemas.openxmlformats.org/officeDocument/2006/relationships/hyperlink" Target="http://www.sec.gov/Archives/edgar/data/1468328/000119312512152254/d330100dex991.htm" TargetMode="External"/><Relationship Id="rId105" Type="http://schemas.openxmlformats.org/officeDocument/2006/relationships/hyperlink" Target="http://www.sec.gov/Archives/edgar/data/1468328/000119312512152254/d330100dex992.htm" TargetMode="External"/><Relationship Id="rId106" Type="http://schemas.openxmlformats.org/officeDocument/2006/relationships/hyperlink" Target="http://www.sec.gov/Archives/edgar/data/1468328/000119312513042213/d480092dex991.htm" TargetMode="External"/><Relationship Id="rId107" Type="http://schemas.openxmlformats.org/officeDocument/2006/relationships/hyperlink" Target="http://www.sec.gov/Archives/edgar/data/1468328/000119312514442640/d838067dex991.htm" TargetMode="External"/><Relationship Id="rId108" Type="http://schemas.openxmlformats.org/officeDocument/2006/relationships/hyperlink" Target="http://www.sec.gov/Archives/edgar/data/1468328/000119312515179407/d915192dex101.htm" TargetMode="External"/><Relationship Id="rId109" Type="http://schemas.openxmlformats.org/officeDocument/2006/relationships/hyperlink" Target="http://www.sec.gov/Archives/edgar/data/1468328/000119312516515154/d135434dex101.htm" TargetMode="External"/><Relationship Id="rId110" Type="http://schemas.openxmlformats.org/officeDocument/2006/relationships/hyperlink" Target="http://www.sec.gov/Archives/edgar/data/1468328/000119312516605695/d341955dex991.htm" TargetMode="External"/><Relationship Id="rId111" Type="http://schemas.openxmlformats.org/officeDocument/2006/relationships/hyperlink" Target="http://www.sec.gov/Archives/edgar/data/1468328/000119312516489748/d142696dex992.htm" TargetMode="External"/><Relationship Id="rId112" Type="http://schemas.openxmlformats.org/officeDocument/2006/relationships/hyperlink" Target="http://www.sec.gov/Archives/edgar/data/1468328/000119312517012437/d312476dex101.htm" TargetMode="External"/><Relationship Id="rId113" Type="http://schemas.openxmlformats.org/officeDocument/2006/relationships/hyperlink" Target="http://www.sec.gov/Archives/edgar/data/1468328/000119312517164021/d382362dex103.htm" TargetMode="External"/><Relationship Id="rId114" Type="http://schemas.openxmlformats.org/officeDocument/2006/relationships/hyperlink" Target="http://www.sec.gov/Archives/edgar/data/1468328/000119312517205993/d397204dex101.htm" TargetMode="External"/><Relationship Id="rId115" Type="http://schemas.openxmlformats.org/officeDocument/2006/relationships/hyperlink" Target="http://www.sec.gov/Archives/edgar/data/1468328/000119312518082191/d453307dex1028.htm" TargetMode="External"/><Relationship Id="rId118" Type="http://schemas.openxmlformats.org/officeDocument/2006/relationships/hyperlink" Target="http://www.sec.gov/Archives/edgar/data/1468328/000119312518082191/d453307dex1029.htm" TargetMode="External"/><Relationship Id="rId119" Type="http://schemas.openxmlformats.org/officeDocument/2006/relationships/hyperlink" Target="http://www.sec.gov/Archives/edgar/data/1468328/000119312517251112/d377155dex107.htm" TargetMode="External"/><Relationship Id="rId120" Type="http://schemas.openxmlformats.org/officeDocument/2006/relationships/hyperlink" Target="http://www.sec.gov/Archives/edgar/data/1468328/000119312517242361/d421252dex101.htm" TargetMode="External"/><Relationship Id="rId121" Type="http://schemas.openxmlformats.org/officeDocument/2006/relationships/hyperlink" Target="http://www.sec.gov/Archives/edgar/data/1468328/000119312518070710/d536417dex101.htm" TargetMode="External"/><Relationship Id="rId122" Type="http://schemas.openxmlformats.org/officeDocument/2006/relationships/hyperlink" Target="http://www.sec.gov/Archives/edgar/data/1468328/000119312518322326/d581512dex102.htm" TargetMode="External"/><Relationship Id="rId123" Type="http://schemas.openxmlformats.org/officeDocument/2006/relationships/hyperlink" Target="http://www.sec.gov/Archives/edgar/data/1468328/000119312518322326/d581512dex103.htm" TargetMode="External"/><Relationship Id="rId124" Type="http://schemas.openxmlformats.org/officeDocument/2006/relationships/hyperlink" Target="http://www.sec.gov/Archives/edgar/data/1468328/000119312518322326/d581512dex104.htm" TargetMode="External"/><Relationship Id="rId125" Type="http://schemas.openxmlformats.org/officeDocument/2006/relationships/hyperlink" Target="http://www.sec.gov/Archives/edgar/data/1468328/000119312518322326/d581512dex105.htm" TargetMode="External"/><Relationship Id="rId126" Type="http://schemas.openxmlformats.org/officeDocument/2006/relationships/hyperlink" Target="http://www.sec.gov/Archives/edgar/data/1468328/000119312518322326/d581512dex106.htm" TargetMode="External"/><Relationship Id="rId127" Type="http://schemas.openxmlformats.org/officeDocument/2006/relationships/hyperlink" Target="http://www.sec.gov/Archives/edgar/data/1468328/000119312518322326/d581512dex107.htm" TargetMode="External"/><Relationship Id="rId128" Type="http://schemas.openxmlformats.org/officeDocument/2006/relationships/hyperlink" Target="http://www.sec.gov/Archives/edgar/data/1468328/000119312518322326/d581512dex108.htm" TargetMode="External"/><Relationship Id="rId129" Type="http://schemas.openxmlformats.org/officeDocument/2006/relationships/hyperlink" Target="http://www.sec.gov/Archives/edgar/data/1468328/000119312519100844/d732350dex992.htm" TargetMode="External"/><Relationship Id="rId130" Type="http://schemas.openxmlformats.org/officeDocument/2006/relationships/hyperlink" Target="http://www.sec.gov/Archives/edgar/data/1468328/000156459020038909/adus-ex1040_765.htm" TargetMode="External"/><Relationship Id="rId131" Type="http://schemas.openxmlformats.org/officeDocument/2006/relationships/hyperlink" Target="http://www.sec.gov/Archives/edgar/data/1468328/000156459020038909/adus-ex1041_766.htm" TargetMode="External"/><Relationship Id="rId132" Type="http://schemas.openxmlformats.org/officeDocument/2006/relationships/hyperlink" Target="http://www.sec.gov/Archives/edgar/data/1468328/000119312519200611/d778833dex101.htm" TargetMode="External"/><Relationship Id="rId135" Type="http://schemas.openxmlformats.org/officeDocument/2006/relationships/hyperlink" Target="http://www.sec.gov/Archives/edgar/data/1468328/000119312519236513/d24972dex21.htm" TargetMode="External"/><Relationship Id="rId136" Type="http://schemas.openxmlformats.org/officeDocument/2006/relationships/hyperlink" Target="http://www.sec.gov/Archives/edgar/data/1468328/000119312519244941/d80162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2021-03-01T06:45:30Z</dcterms:created>
  <dcterms:modified xsi:type="dcterms:W3CDTF">2021-03-01T06:45:30Z</dcterms:modified>
</cp:coreProperties>
</file>