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index">
        <w:bookmarkStart w:id="0" w:name="adus-20230930.htm"/>
        <w:bookmarkStart w:id="1" w:name="ksadus20230930"/>
        <w:bookmarkEnd w:id="0"/>
        <w:bookmarkEnd w:id="1"/>
        <w:r>
          <w:rPr>
            <w:rStyle w:val="InternetLink"/>
            <w:rFonts w:ascii="Times New Roman" w:hAnsi="Times New Roman"/>
            <w:b/>
            <w:color w:val="0563C1"/>
            <w:sz w:val="20"/>
            <w:u w:val="single"/>
          </w:rPr>
          <w:t>Table of Contents</w:t>
        </w:r>
      </w:hyperlink>
    </w:p>
    <w:p>
      <w:pPr>
        <w:pStyle w:val="TextBody"/>
        <w:bidi w:val="0"/>
        <w:jc w:val="left"/>
        <w:rPr/>
      </w:pPr>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9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001-34504</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8" w:space="1" w:color="000000"/>
        </w:pBdr>
        <w:bidi w:val="0"/>
        <w:jc w:val="center"/>
        <w:rPr/>
      </w:pPr>
      <w:r>
        <w:rPr/>
        <w:t> </w:t>
      </w:r>
    </w:p>
    <w:tbl>
      <w:tblPr>
        <w:tblW w:w="5235" w:type="dxa"/>
        <w:jc w:val="left"/>
        <w:tblInd w:w="0" w:type="dxa"/>
        <w:tblLayout w:type="fixed"/>
        <w:tblCellMar>
          <w:top w:w="28" w:type="dxa"/>
          <w:left w:w="28" w:type="dxa"/>
          <w:bottom w:w="28" w:type="dxa"/>
          <w:right w:w="28" w:type="dxa"/>
        </w:tblCellMar>
      </w:tblPr>
      <w:tblGrid>
        <w:gridCol w:w="3392"/>
        <w:gridCol w:w="146"/>
        <w:gridCol w:w="1697"/>
      </w:tblGrid>
      <w:tr>
        <w:trPr/>
        <w:tc>
          <w:tcPr>
            <w:tcW w:w="3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3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left"/>
              <w:rPr/>
            </w:pPr>
            <w:r>
              <w:rPr/>
              <w:t> </w:t>
            </w:r>
          </w:p>
        </w:tc>
      </w:tr>
      <w:tr>
        <w:trPr/>
        <w:tc>
          <w:tcPr>
            <w:tcW w:w="3392" w:type="dxa"/>
            <w:tcBorders/>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20-5340172</w:t>
            </w:r>
          </w:p>
        </w:tc>
      </w:tr>
      <w:tr>
        <w:trPr/>
        <w:tc>
          <w:tcPr>
            <w:tcW w:w="3392" w:type="dxa"/>
            <w:tcBorders/>
            <w:vAlign w:val="center"/>
          </w:tcPr>
          <w:p>
            <w:pPr>
              <w:pStyle w:val="TableContents"/>
              <w:bidi w:val="0"/>
              <w:ind w:left="0" w:right="16" w:hanging="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incorporation or organization)</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ind w:left="0" w:right="16" w:hanging="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Identification No.)</w:t>
            </w:r>
          </w:p>
        </w:tc>
      </w:tr>
      <w:tr>
        <w:trPr/>
        <w:tc>
          <w:tcPr>
            <w:tcW w:w="3392" w:type="dxa"/>
            <w:tcBorders/>
            <w:vAlign w:val="center"/>
          </w:tcPr>
          <w:p>
            <w:pPr>
              <w:pStyle w:val="TableContents"/>
              <w:bidi w:val="0"/>
              <w:spacing w:before="0" w:after="283"/>
              <w:jc w:val="left"/>
              <w:rPr/>
            </w:pPr>
            <w:r>
              <w:rPr/>
              <w:t> </w:t>
            </w:r>
          </w:p>
        </w:tc>
        <w:tc>
          <w:tcPr>
            <w:tcW w:w="1843" w:type="dxa"/>
            <w:gridSpan w:val="2"/>
            <w:tcBorders/>
            <w:vAlign w:val="center"/>
          </w:tcPr>
          <w:p>
            <w:pPr>
              <w:pStyle w:val="TableContents"/>
              <w:bidi w:val="0"/>
              <w:spacing w:before="0" w:after="283"/>
              <w:jc w:val="left"/>
              <w:rPr/>
            </w:pPr>
            <w:r>
              <w:rPr/>
              <w:t> </w:t>
            </w:r>
          </w:p>
        </w:tc>
      </w:tr>
      <w:tr>
        <w:trPr/>
        <w:tc>
          <w:tcPr>
            <w:tcW w:w="3392" w:type="dxa"/>
            <w:tcBorders/>
            <w:vAlign w:val="center"/>
          </w:tcPr>
          <w:p>
            <w:pPr>
              <w:pStyle w:val="TableContents"/>
              <w:bidi w:val="0"/>
              <w:ind w:left="0" w:right="16" w:hanging="0"/>
              <w:jc w:val="center"/>
              <w:rPr>
                <w:rFonts w:ascii="Times New Roman" w:hAnsi="Times New Roman"/>
                <w:b/>
                <w:color w:val="000000"/>
                <w:sz w:val="20"/>
              </w:rPr>
            </w:pPr>
            <w:r>
              <w:rPr>
                <w:rFonts w:ascii="Times New Roman" w:hAnsi="Times New Roman"/>
                <w:b/>
                <w:color w:val="000000"/>
                <w:sz w:val="20"/>
              </w:rPr>
              <w:t>6303 Cowboys Way, Suite 600</w:t>
            </w:r>
          </w:p>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Frisco, TX</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75034</w:t>
            </w:r>
          </w:p>
        </w:tc>
      </w:tr>
      <w:tr>
        <w:trPr/>
        <w:tc>
          <w:tcPr>
            <w:tcW w:w="3392" w:type="dxa"/>
            <w:tcBorders/>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697" w:type="dxa"/>
            <w:tcBorders/>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(469) 535-8200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80" w:after="160"/>
        <w:jc w:val="center"/>
        <w:rPr>
          <w:rFonts w:ascii="Times New Roman" w:hAnsi="Times New Roman"/>
          <w:b w:val="false"/>
          <w:color w:val="000000"/>
          <w:sz w:val="18"/>
        </w:rPr>
      </w:pPr>
      <w:r>
        <w:rPr>
          <w:rFonts w:ascii="Times New Roman" w:hAnsi="Times New Roman"/>
          <w:b w:val="false"/>
          <w:color w:val="000000"/>
          <w:sz w:val="18"/>
        </w:rPr>
        <w:t>Securities registered pursuant to Section 12(b) of the Act:</w:t>
      </w:r>
    </w:p>
    <w:tbl>
      <w:tblPr>
        <w:tblW w:w="7233" w:type="dxa"/>
        <w:jc w:val="left"/>
        <w:tblInd w:w="0" w:type="dxa"/>
        <w:tblLayout w:type="fixed"/>
        <w:tblCellMar>
          <w:top w:w="28" w:type="dxa"/>
          <w:left w:w="28" w:type="dxa"/>
          <w:bottom w:w="28" w:type="dxa"/>
          <w:right w:w="28" w:type="dxa"/>
        </w:tblCellMar>
      </w:tblPr>
      <w:tblGrid>
        <w:gridCol w:w="2506"/>
        <w:gridCol w:w="1456"/>
        <w:gridCol w:w="3271"/>
      </w:tblGrid>
      <w:tr>
        <w:trPr/>
        <w:tc>
          <w:tcPr>
            <w:tcW w:w="250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Trading Symbol(s)</w:t>
            </w:r>
          </w:p>
        </w:tc>
        <w:tc>
          <w:tcPr>
            <w:tcW w:w="3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Name of each exchange on which registered</w:t>
            </w:r>
          </w:p>
        </w:tc>
      </w:tr>
      <w:tr>
        <w:trPr/>
        <w:tc>
          <w:tcPr>
            <w:tcW w:w="2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$0.001 par value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ADUS</w:t>
            </w:r>
          </w:p>
        </w:tc>
        <w:tc>
          <w:tcPr>
            <w:tcW w:w="32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Global Market</w:t>
            </w:r>
          </w:p>
        </w:tc>
      </w:tr>
    </w:tbl>
    <w:p>
      <w:pPr>
        <w:pStyle w:val="TextBody"/>
        <w:bidi w:val="0"/>
        <w:spacing w:before="0" w:after="80"/>
        <w:jc w:val="center"/>
        <w:rPr/>
      </w:pPr>
      <w:r>
        <w:rPr/>
        <w:t> </w:t>
      </w:r>
    </w:p>
    <w:p>
      <w:pPr>
        <w:pStyle w:val="TextBody"/>
        <w:bidi w:val="0"/>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04" w:type="dxa"/>
        <w:jc w:val="left"/>
        <w:tblInd w:w="0" w:type="dxa"/>
        <w:tblLayout w:type="fixed"/>
        <w:tblCellMar>
          <w:top w:w="28" w:type="dxa"/>
          <w:left w:w="28" w:type="dxa"/>
          <w:bottom w:w="28" w:type="dxa"/>
          <w:right w:w="28" w:type="dxa"/>
        </w:tblCellMar>
      </w:tblPr>
      <w:tblGrid>
        <w:gridCol w:w="2162"/>
        <w:gridCol w:w="162"/>
        <w:gridCol w:w="332"/>
        <w:gridCol w:w="162"/>
        <w:gridCol w:w="2147"/>
        <w:gridCol w:w="162"/>
        <w:gridCol w:w="377"/>
      </w:tblGrid>
      <w:tr>
        <w:trPr/>
        <w:tc>
          <w:tcPr>
            <w:tcW w:w="2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147"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r>
      <w:tr>
        <w:trPr/>
        <w:tc>
          <w:tcPr>
            <w:tcW w:w="2162"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32" w:type="dxa"/>
            <w:tcBorders/>
            <w:vAlign w:val="center"/>
          </w:tcPr>
          <w:p>
            <w:pPr>
              <w:pStyle w:val="TableContents"/>
              <w:bidi w:val="0"/>
              <w:spacing w:before="0" w:after="283"/>
              <w:ind w:left="0" w:right="16" w:hanging="0"/>
              <w:jc w:val="left"/>
              <w:rPr>
                <w:color w:val="000000"/>
              </w:rPr>
            </w:pPr>
            <w:r>
              <w:rPr>
                <w:color w:val="00000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2147"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77" w:type="dxa"/>
            <w:tcBorders/>
            <w:vAlign w:val="center"/>
          </w:tcPr>
          <w:p>
            <w:pPr>
              <w:pStyle w:val="TableContents"/>
              <w:bidi w:val="0"/>
              <w:spacing w:before="0" w:after="283"/>
              <w:ind w:left="0" w:right="16" w:hanging="0"/>
              <w:jc w:val="left"/>
              <w:rPr>
                <w:color w:val="000000"/>
              </w:rPr>
            </w:pPr>
            <w:r>
              <w:rPr>
                <w:color w:val="000000"/>
              </w:rPr>
              <w:t>☐</w:t>
            </w:r>
          </w:p>
        </w:tc>
      </w:tr>
      <w:tr>
        <w:trPr/>
        <w:tc>
          <w:tcPr>
            <w:tcW w:w="2162"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32" w:type="dxa"/>
            <w:tcBorders/>
            <w:vAlign w:val="center"/>
          </w:tcPr>
          <w:p>
            <w:pPr>
              <w:pStyle w:val="TableContents"/>
              <w:bidi w:val="0"/>
              <w:spacing w:before="0" w:after="283"/>
              <w:ind w:left="0" w:right="16" w:hanging="0"/>
              <w:jc w:val="left"/>
              <w:rPr>
                <w:color w:val="000000"/>
              </w:rPr>
            </w:pPr>
            <w:r>
              <w:rPr>
                <w:color w:val="00000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2147"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77" w:type="dxa"/>
            <w:tcBorders/>
            <w:vAlign w:val="center"/>
          </w:tcPr>
          <w:p>
            <w:pPr>
              <w:pStyle w:val="TableContents"/>
              <w:bidi w:val="0"/>
              <w:spacing w:before="0" w:after="283"/>
              <w:ind w:left="0" w:right="16" w:hanging="0"/>
              <w:jc w:val="left"/>
              <w:rPr>
                <w:color w:val="000000"/>
              </w:rPr>
            </w:pPr>
            <w:r>
              <w:rPr>
                <w:color w:val="000000"/>
              </w:rPr>
              <w:t>☐</w:t>
            </w:r>
          </w:p>
        </w:tc>
      </w:tr>
      <w:tr>
        <w:trPr/>
        <w:tc>
          <w:tcPr>
            <w:tcW w:w="2162"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62" w:type="dxa"/>
            <w:tcBorders/>
            <w:vAlign w:val="center"/>
          </w:tcPr>
          <w:p>
            <w:pPr>
              <w:pStyle w:val="TableContents"/>
              <w:bidi w:val="0"/>
              <w:spacing w:before="0" w:after="283"/>
              <w:ind w:left="0" w:right="16" w:hanging="0"/>
              <w:jc w:val="left"/>
              <w:rPr/>
            </w:pPr>
            <w:r>
              <w:rPr/>
              <w:t> </w:t>
            </w:r>
          </w:p>
        </w:tc>
        <w:tc>
          <w:tcPr>
            <w:tcW w:w="332" w:type="dxa"/>
            <w:tcBorders/>
            <w:vAlign w:val="center"/>
          </w:tcPr>
          <w:p>
            <w:pPr>
              <w:pStyle w:val="TableContents"/>
              <w:bidi w:val="0"/>
              <w:spacing w:before="0" w:after="283"/>
              <w:ind w:left="0" w:right="16" w:hanging="0"/>
              <w:jc w:val="left"/>
              <w:rPr>
                <w:color w:val="000000"/>
              </w:rPr>
            </w:pPr>
            <w:r>
              <w:rPr>
                <w:color w:val="000000"/>
              </w:rPr>
              <w:t>☐</w:t>
            </w:r>
          </w:p>
        </w:tc>
        <w:tc>
          <w:tcPr>
            <w:tcW w:w="162" w:type="dxa"/>
            <w:tcBorders/>
            <w:vAlign w:val="center"/>
          </w:tcPr>
          <w:p>
            <w:pPr>
              <w:pStyle w:val="TableContents"/>
              <w:bidi w:val="0"/>
              <w:spacing w:before="0" w:after="283"/>
              <w:ind w:left="0" w:right="16" w:hanging="0"/>
              <w:jc w:val="left"/>
              <w:rPr/>
            </w:pPr>
            <w:r>
              <w:rPr/>
              <w:t> </w:t>
            </w:r>
          </w:p>
        </w:tc>
        <w:tc>
          <w:tcPr>
            <w:tcW w:w="2147" w:type="dxa"/>
            <w:tcBorders/>
            <w:vAlign w:val="center"/>
          </w:tcPr>
          <w:p>
            <w:pPr>
              <w:pStyle w:val="TableContents"/>
              <w:bidi w:val="0"/>
              <w:spacing w:before="0" w:after="283"/>
              <w:ind w:left="0" w:right="16" w:hanging="0"/>
              <w:jc w:val="left"/>
              <w:rPr/>
            </w:pPr>
            <w:r>
              <w:rPr/>
              <w:t> </w:t>
            </w:r>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20"/>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b w:val="false"/>
          <w:color w:val="000000"/>
          <w:sz w:val="20"/>
        </w:rPr>
        <w:t>As of October 24, 2023, Addus HomeCare Corporation had 16,214,653</w:t>
      </w:r>
      <w:r>
        <w:rPr>
          <w:rFonts w:ascii="Times New Roman" w:hAnsi="Times New Roman"/>
          <w:color w:val="000000"/>
          <w:sz w:val="20"/>
        </w:rPr>
        <w:t xml:space="preserve"> </w:t>
      </w:r>
      <w:r>
        <w:rPr>
          <w:rFonts w:ascii="Times New Roman" w:hAnsi="Times New Roman"/>
          <w:b w:val="false"/>
          <w:color w:val="000000"/>
          <w:sz w:val="20"/>
        </w:rPr>
        <w:t>shares of Common Stock outstanding.</w:t>
      </w:r>
    </w:p>
    <w:p>
      <w:pPr>
        <w:pStyle w:val="TextBody"/>
        <w:pBdr>
          <w:bottom w:val="double" w:sz="6" w:space="1" w:color="000000"/>
        </w:pBdr>
        <w:bidi w:val="0"/>
        <w:spacing w:before="40" w:after="283"/>
        <w:jc w:val="left"/>
        <w:rPr/>
      </w:pPr>
      <w:r>
        <w:rPr/>
        <w:t> </w:t>
      </w:r>
    </w:p>
    <w:p>
      <w:pPr>
        <w:pStyle w:val="TextBody"/>
        <w:bidi w:val="0"/>
        <w:spacing w:before="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180" w:after="283"/>
        <w:jc w:val="center"/>
        <w:rPr>
          <w:rFonts w:ascii="Times New Roman" w:hAnsi="Times New Roman"/>
          <w:b/>
          <w:color w:val="000000"/>
          <w:sz w:val="20"/>
        </w:rPr>
      </w:pPr>
      <w:bookmarkStart w:id="2" w:name="index"/>
      <w:bookmarkEnd w:id="2"/>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114"/>
        <w:gridCol w:w="1091"/>
      </w:tblGrid>
      <w:tr>
        <w:trPr/>
        <w:tc>
          <w:tcPr>
            <w:tcW w:w="911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9114" w:type="dxa"/>
            <w:tcBorders/>
            <w:vAlign w:val="center"/>
          </w:tcPr>
          <w:p>
            <w:pPr>
              <w:pStyle w:val="TableContents"/>
              <w:bidi w:val="0"/>
              <w:spacing w:before="0" w:after="283"/>
              <w:ind w:left="180" w:right="0" w:firstLine="180"/>
              <w:jc w:val="left"/>
              <w:rPr/>
            </w:pPr>
            <w:hyperlink w:anchor="part_i_financial_information_1">
              <w:r>
                <w:rPr>
                  <w:rStyle w:val="InternetLink"/>
                  <w:rFonts w:ascii="Times New Roman" w:hAnsi="Times New Roman"/>
                  <w:b w:val="false"/>
                  <w:color w:val="0000FF"/>
                  <w:sz w:val="20"/>
                  <w:u w:val="single"/>
                </w:rPr>
                <w:t>PART I. FINANCIAL INFORMATION</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1_financial_statements_1">
              <w:r>
                <w:rPr>
                  <w:rStyle w:val="InternetLink"/>
                  <w:rFonts w:ascii="Times New Roman" w:hAnsi="Times New Roman"/>
                  <w:b w:val="false"/>
                  <w:color w:val="0000FF"/>
                  <w:sz w:val="20"/>
                  <w:u w:val="single"/>
                </w:rPr>
                <w:t>Item 1. Financial Statements (Unaudited)</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900"/>
              <w:jc w:val="right"/>
              <w:rPr/>
            </w:pPr>
            <w:r>
              <w:rPr/>
              <w:t> </w:t>
            </w:r>
          </w:p>
        </w:tc>
      </w:tr>
      <w:tr>
        <w:trPr/>
        <w:tc>
          <w:tcPr>
            <w:tcW w:w="9114" w:type="dxa"/>
            <w:tcBorders/>
            <w:vAlign w:val="center"/>
          </w:tcPr>
          <w:p>
            <w:pPr>
              <w:pStyle w:val="TableContents"/>
              <w:bidi w:val="0"/>
              <w:spacing w:before="0" w:after="283"/>
              <w:ind w:left="900" w:right="0" w:firstLine="900"/>
              <w:jc w:val="left"/>
              <w:rPr/>
            </w:pPr>
            <w:hyperlink w:anchor="condensed_consolidated_balance_sheets_1">
              <w:r>
                <w:rPr>
                  <w:rStyle w:val="InternetLink"/>
                  <w:rFonts w:ascii="Times New Roman" w:hAnsi="Times New Roman"/>
                  <w:b w:val="false"/>
                  <w:color w:val="0000FF"/>
                  <w:sz w:val="20"/>
                  <w:u w:val="single"/>
                </w:rPr>
                <w:t>Condensed Consolidated Balance Sheets as of September 30, 2023 and December 31, 2022</w:t>
              </w:r>
            </w:hyperlink>
            <w:hyperlink w:anchor="condensed_consolidated_balance_sheets_1">
              <w:r>
                <w:rPr>
                  <w:rStyle w:val="InternetLink"/>
                  <w:rFonts w:ascii="Times New Roman" w:hAnsi="Times New Roman"/>
                  <w:color w:val="0000FF"/>
                  <w:sz w:val="20"/>
                </w:rPr>
                <w:t xml:space="preserve"> </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900"/>
              <w:jc w:val="right"/>
              <w:rPr/>
            </w:pPr>
            <w:r>
              <w:rPr/>
              <w:t> </w:t>
            </w:r>
          </w:p>
        </w:tc>
      </w:tr>
      <w:tr>
        <w:trPr/>
        <w:tc>
          <w:tcPr>
            <w:tcW w:w="9114" w:type="dxa"/>
            <w:tcBorders/>
            <w:vAlign w:val="center"/>
          </w:tcPr>
          <w:p>
            <w:pPr>
              <w:pStyle w:val="TableContents"/>
              <w:bidi w:val="0"/>
              <w:spacing w:before="0" w:after="283"/>
              <w:ind w:left="900" w:right="0" w:firstLine="900"/>
              <w:jc w:val="left"/>
              <w:rPr/>
            </w:pPr>
            <w:hyperlink w:anchor="condensed_consolidated_statements_income">
              <w:r>
                <w:rPr>
                  <w:rStyle w:val="InternetLink"/>
                  <w:rFonts w:ascii="Times New Roman" w:hAnsi="Times New Roman"/>
                  <w:b w:val="false"/>
                  <w:color w:val="0000FF"/>
                  <w:sz w:val="20"/>
                  <w:u w:val="single"/>
                </w:rPr>
                <w:t>Condensed Consolidated Statements of Income For the Three and Nine Months Ended September 30, 2023 and 2022</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900"/>
              <w:jc w:val="right"/>
              <w:rPr/>
            </w:pPr>
            <w:r>
              <w:rPr/>
              <w:t> </w:t>
            </w:r>
          </w:p>
        </w:tc>
      </w:tr>
      <w:tr>
        <w:trPr/>
        <w:tc>
          <w:tcPr>
            <w:tcW w:w="9114" w:type="dxa"/>
            <w:tcBorders/>
            <w:vAlign w:val="center"/>
          </w:tcPr>
          <w:p>
            <w:pPr>
              <w:pStyle w:val="TableContents"/>
              <w:bidi w:val="0"/>
              <w:spacing w:before="0" w:after="283"/>
              <w:ind w:left="900" w:right="0" w:firstLine="900"/>
              <w:jc w:val="left"/>
              <w:rPr/>
            </w:pPr>
            <w:hyperlink w:anchor="condensed_consolidated_statement_stockho">
              <w:r>
                <w:rPr>
                  <w:rStyle w:val="InternetLink"/>
                  <w:rFonts w:ascii="Times New Roman" w:hAnsi="Times New Roman"/>
                  <w:b w:val="false"/>
                  <w:color w:val="0000FF"/>
                  <w:sz w:val="20"/>
                  <w:u w:val="single"/>
                </w:rPr>
                <w:t>Condensed Consolidated Statement of Stockholders’ Equity For the Three and Nine Months Ended September 30, 2023 and 2022</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900"/>
              <w:jc w:val="right"/>
              <w:rPr/>
            </w:pPr>
            <w:r>
              <w:rPr/>
              <w:t> </w:t>
            </w:r>
          </w:p>
        </w:tc>
      </w:tr>
      <w:tr>
        <w:trPr/>
        <w:tc>
          <w:tcPr>
            <w:tcW w:w="9114" w:type="dxa"/>
            <w:tcBorders/>
            <w:vAlign w:val="center"/>
          </w:tcPr>
          <w:p>
            <w:pPr>
              <w:pStyle w:val="TableContents"/>
              <w:bidi w:val="0"/>
              <w:spacing w:before="0" w:after="283"/>
              <w:ind w:left="900" w:right="0" w:firstLine="900"/>
              <w:jc w:val="left"/>
              <w:rPr/>
            </w:pPr>
            <w:hyperlink w:anchor="condensed_consolidated_statements_cash_f">
              <w:r>
                <w:rPr>
                  <w:rStyle w:val="InternetLink"/>
                  <w:rFonts w:ascii="Times New Roman" w:hAnsi="Times New Roman"/>
                  <w:b w:val="false"/>
                  <w:color w:val="0000FF"/>
                  <w:sz w:val="20"/>
                  <w:u w:val="single"/>
                </w:rPr>
                <w:t>Condensed Consolidated Statements of Cash Flows For the Nine Months Ended September 30, 2023 and 2022</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900"/>
              <w:jc w:val="right"/>
              <w:rPr/>
            </w:pPr>
            <w:r>
              <w:rPr/>
              <w:t> </w:t>
            </w:r>
          </w:p>
        </w:tc>
      </w:tr>
      <w:tr>
        <w:trPr/>
        <w:tc>
          <w:tcPr>
            <w:tcW w:w="9114" w:type="dxa"/>
            <w:tcBorders/>
            <w:vAlign w:val="center"/>
          </w:tcPr>
          <w:p>
            <w:pPr>
              <w:pStyle w:val="TableContents"/>
              <w:bidi w:val="0"/>
              <w:spacing w:before="0" w:after="283"/>
              <w:ind w:left="900" w:right="0" w:firstLine="900"/>
              <w:jc w:val="left"/>
              <w:rPr/>
            </w:pPr>
            <w:hyperlink w:anchor="notes_to_condensed_consolidated_financia">
              <w:r>
                <w:rPr>
                  <w:rStyle w:val="InternetLink"/>
                  <w:rFonts w:ascii="Times New Roman" w:hAnsi="Times New Roman"/>
                  <w:b w:val="false"/>
                  <w:color w:val="0000FF"/>
                  <w:sz w:val="20"/>
                  <w:u w:val="single"/>
                </w:rPr>
                <w:t>Notes to Condensed Consolidated Financial Statements</w:t>
              </w:r>
            </w:hyperlink>
            <w:hyperlink w:anchor="notes_to_condensed_consolidated_financia">
              <w:r>
                <w:rPr>
                  <w:rStyle w:val="InternetLink"/>
                  <w:rFonts w:ascii="Times New Roman" w:hAnsi="Times New Roman"/>
                  <w:color w:val="000000"/>
                  <w:sz w:val="20"/>
                </w:rPr>
                <w:t xml:space="preserve"> </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2_managements_discussion_analysis_f">
              <w:r>
                <w:rPr>
                  <w:rStyle w:val="InternetLink"/>
                  <w:rFonts w:ascii="Times New Roman" w:hAnsi="Times New Roman"/>
                  <w:b w:val="false"/>
                  <w:color w:val="0000FF"/>
                  <w:sz w:val="20"/>
                  <w:u w:val="single"/>
                </w:rPr>
                <w:t>Item 2. Management’s Discussion and Analysis of Financial Condition and Results of Operations</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3_quantitative_qualitative_disclosu">
              <w:r>
                <w:rPr>
                  <w:rStyle w:val="InternetLink"/>
                  <w:rFonts w:ascii="Times New Roman" w:hAnsi="Times New Roman"/>
                  <w:b w:val="false"/>
                  <w:color w:val="0000FF"/>
                  <w:sz w:val="20"/>
                  <w:u w:val="single"/>
                </w:rPr>
                <w:t>Item 3. Quantitative and Qualitative Disclosures About Market Risk</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4_controls_procedures">
              <w:r>
                <w:rPr>
                  <w:rStyle w:val="InternetLink"/>
                  <w:rFonts w:ascii="Times New Roman" w:hAnsi="Times New Roman"/>
                  <w:b w:val="false"/>
                  <w:color w:val="0000FF"/>
                  <w:sz w:val="20"/>
                  <w:u w:val="single"/>
                </w:rPr>
                <w:t>Item 4. Controls and Procedures</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180"/>
              <w:jc w:val="right"/>
              <w:rPr/>
            </w:pPr>
            <w:r>
              <w:rPr/>
              <w:t> </w:t>
            </w:r>
          </w:p>
        </w:tc>
      </w:tr>
      <w:tr>
        <w:trPr/>
        <w:tc>
          <w:tcPr>
            <w:tcW w:w="9114" w:type="dxa"/>
            <w:tcBorders/>
            <w:vAlign w:val="center"/>
          </w:tcPr>
          <w:p>
            <w:pPr>
              <w:pStyle w:val="TableContents"/>
              <w:bidi w:val="0"/>
              <w:spacing w:before="0" w:after="283"/>
              <w:ind w:left="180" w:right="0" w:firstLine="180"/>
              <w:jc w:val="left"/>
              <w:rPr/>
            </w:pPr>
            <w:hyperlink w:anchor="part_ii_or_information">
              <w:r>
                <w:rPr>
                  <w:rStyle w:val="InternetLink"/>
                  <w:rFonts w:ascii="Times New Roman" w:hAnsi="Times New Roman"/>
                  <w:b w:val="false"/>
                  <w:color w:val="0000FF"/>
                  <w:sz w:val="20"/>
                  <w:u w:val="single"/>
                </w:rPr>
                <w:t>PART II. OTHER INFORMATION</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1_legal_proceedings">
              <w:r>
                <w:rPr>
                  <w:rStyle w:val="InternetLink"/>
                  <w:rFonts w:ascii="Times New Roman" w:hAnsi="Times New Roman"/>
                  <w:b w:val="false"/>
                  <w:color w:val="0000FF"/>
                  <w:sz w:val="20"/>
                  <w:u w:val="single"/>
                </w:rPr>
                <w:t>Item 1. Legal Proceedings</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1a_risk_factors">
              <w:r>
                <w:rPr>
                  <w:rStyle w:val="InternetLink"/>
                  <w:rFonts w:ascii="Times New Roman" w:hAnsi="Times New Roman"/>
                  <w:b w:val="false"/>
                  <w:color w:val="0000FF"/>
                  <w:sz w:val="20"/>
                  <w:u w:val="single"/>
                </w:rPr>
                <w:t>Item 1A. Risk Factors</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2_unregistered_sales_equity_securit">
              <w:r>
                <w:rPr>
                  <w:rStyle w:val="InternetLink"/>
                  <w:rFonts w:ascii="Times New Roman" w:hAnsi="Times New Roman"/>
                  <w:b w:val="false"/>
                  <w:color w:val="0000FF"/>
                  <w:sz w:val="20"/>
                  <w:u w:val="single"/>
                </w:rPr>
                <w:t>Item 2. Unregistered Sales of Equity Securities and Use of Proceeds</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3_defaults_upon_senior_securities">
              <w:r>
                <w:rPr>
                  <w:rStyle w:val="InternetLink"/>
                  <w:rFonts w:ascii="Times New Roman" w:hAnsi="Times New Roman"/>
                  <w:b w:val="false"/>
                  <w:color w:val="0000FF"/>
                  <w:sz w:val="20"/>
                  <w:u w:val="single"/>
                </w:rPr>
                <w:t>Item 3. Defaults Upon Senior Securities</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4_mine_safety_disclosures">
              <w:r>
                <w:rPr>
                  <w:rStyle w:val="InternetLink"/>
                  <w:rFonts w:ascii="Times New Roman" w:hAnsi="Times New Roman"/>
                  <w:b w:val="false"/>
                  <w:color w:val="0000FF"/>
                  <w:sz w:val="20"/>
                  <w:u w:val="single"/>
                </w:rPr>
                <w:t>Item 4. Mine Safety Disclosures</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5_or_information">
              <w:r>
                <w:rPr>
                  <w:rStyle w:val="InternetLink"/>
                  <w:rFonts w:ascii="Times New Roman" w:hAnsi="Times New Roman"/>
                  <w:b w:val="false"/>
                  <w:color w:val="0000FF"/>
                  <w:sz w:val="20"/>
                  <w:u w:val="single"/>
                </w:rPr>
                <w:t>Item 5. Other Information</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91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ind w:left="0" w:right="0" w:firstLine="540"/>
              <w:jc w:val="right"/>
              <w:rPr/>
            </w:pPr>
            <w:r>
              <w:rPr/>
              <w:t> </w:t>
            </w:r>
          </w:p>
        </w:tc>
      </w:tr>
      <w:tr>
        <w:trPr/>
        <w:tc>
          <w:tcPr>
            <w:tcW w:w="9114" w:type="dxa"/>
            <w:tcBorders/>
            <w:vAlign w:val="center"/>
          </w:tcPr>
          <w:p>
            <w:pPr>
              <w:pStyle w:val="TableContents"/>
              <w:bidi w:val="0"/>
              <w:spacing w:before="0" w:after="283"/>
              <w:ind w:left="540" w:right="0" w:firstLine="540"/>
              <w:jc w:val="left"/>
              <w:rPr/>
            </w:pPr>
            <w:hyperlink w:anchor="item_6_exhibits">
              <w:r>
                <w:rPr>
                  <w:rStyle w:val="InternetLink"/>
                  <w:rFonts w:ascii="Times New Roman" w:hAnsi="Times New Roman"/>
                  <w:b w:val="false"/>
                  <w:color w:val="0000FF"/>
                  <w:sz w:val="20"/>
                  <w:u w:val="single"/>
                </w:rPr>
                <w:t>Item 6. Exhibits</w:t>
              </w:r>
            </w:hyperlink>
          </w:p>
        </w:tc>
        <w:tc>
          <w:tcPr>
            <w:tcW w:w="109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_1"/>
      <w:bookmarkEnd w:id="3"/>
      <w:r>
        <w:rPr>
          <w:rFonts w:ascii="Times New Roman" w:hAnsi="Times New Roman"/>
          <w:b/>
          <w:color w:val="000000"/>
          <w:sz w:val="20"/>
        </w:rPr>
        <w:t>PART I – FINANCIAL INFORMATION</w:t>
      </w:r>
    </w:p>
    <w:p>
      <w:pPr>
        <w:pStyle w:val="TextBody"/>
        <w:bidi w:val="0"/>
        <w:spacing w:before="180" w:after="283"/>
        <w:jc w:val="left"/>
        <w:rPr>
          <w:rFonts w:ascii="Times New Roman" w:hAnsi="Times New Roman"/>
          <w:b/>
          <w:color w:val="000000"/>
          <w:sz w:val="20"/>
        </w:rPr>
      </w:pPr>
      <w:bookmarkStart w:id="4" w:name="item_1_financial_statements_1"/>
      <w:bookmarkEnd w:id="4"/>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spacing w:before="180" w:after="283"/>
        <w:jc w:val="center"/>
        <w:rPr>
          <w:rFonts w:ascii="Times New Roman" w:hAnsi="Times New Roman"/>
          <w:b/>
          <w:color w:val="000000"/>
          <w:sz w:val="20"/>
        </w:rPr>
      </w:pPr>
      <w:bookmarkStart w:id="5" w:name="condensed_consolidated_balance_sheets_1"/>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As of September 30, 2023 and December 31, 2022</w:t>
      </w:r>
    </w:p>
    <w:p>
      <w:pPr>
        <w:pStyle w:val="TextBody"/>
        <w:bidi w:val="0"/>
        <w:jc w:val="center"/>
        <w:rPr>
          <w:rFonts w:ascii="Times New Roman" w:hAnsi="Times New Roman"/>
          <w:b/>
          <w:color w:val="000000"/>
          <w:sz w:val="20"/>
        </w:rPr>
      </w:pPr>
      <w:r>
        <w:rPr>
          <w:rFonts w:ascii="Times New Roman" w:hAnsi="Times New Roman"/>
          <w:b/>
          <w:color w:val="000000"/>
          <w:sz w:val="20"/>
        </w:rPr>
        <w:t>(Amounts and Shares 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79"/>
        <w:gridCol w:w="146"/>
        <w:gridCol w:w="272"/>
        <w:gridCol w:w="1206"/>
        <w:gridCol w:w="146"/>
        <w:gridCol w:w="146"/>
        <w:gridCol w:w="301"/>
        <w:gridCol w:w="1115"/>
        <w:gridCol w:w="394"/>
      </w:tblGrid>
      <w:tr>
        <w:trPr/>
        <w:tc>
          <w:tcPr>
            <w:tcW w:w="6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4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6"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64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7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6"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r>
      <w:tr>
        <w:trPr/>
        <w:tc>
          <w:tcPr>
            <w:tcW w:w="64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7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47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79,961</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47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 net of allowances for credit losses</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125,501</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47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17,345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222,807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 of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21,182</w:t>
            </w:r>
          </w:p>
        </w:tc>
        <w:tc>
          <w:tcPr>
            <w:tcW w:w="394" w:type="dxa"/>
            <w:tcBorders/>
            <w:shd w:fill="CFF0FC" w:val="clear"/>
            <w:vAlign w:val="center"/>
          </w:tcPr>
          <w:p>
            <w:pPr>
              <w:pStyle w:val="TableContents"/>
              <w:bidi w:val="0"/>
              <w:spacing w:before="0" w:after="283"/>
              <w:jc w:val="left"/>
              <w:rPr/>
            </w:pPr>
            <w:r>
              <w:rPr/>
              <w:t> </w:t>
            </w:r>
          </w:p>
        </w:tc>
      </w:tr>
      <w:tr>
        <w:trPr/>
        <w:tc>
          <w:tcPr>
            <w:tcW w:w="64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147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47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662,981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582,837</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47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Intangibles, net of accumulated amortization</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72,188</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47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assets, net</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38,980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assets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694,005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1,035,728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937,994</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47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r>
      <w:tr>
        <w:trPr/>
        <w:tc>
          <w:tcPr>
            <w:tcW w:w="64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47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6"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47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22,092</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47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payroll</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44,937</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47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27,507</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47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current portion</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10,801</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47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Government stimulus advances</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12,912</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47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workers' compensation insurance</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12,897</w:t>
            </w:r>
          </w:p>
        </w:tc>
        <w:tc>
          <w:tcPr>
            <w:tcW w:w="394" w:type="dxa"/>
            <w:tcBorders/>
            <w:shd w:fill="CFF0FC" w:val="clear"/>
            <w:vAlign w:val="center"/>
          </w:tcPr>
          <w:p>
            <w:pPr>
              <w:pStyle w:val="TableContents"/>
              <w:bidi w:val="0"/>
              <w:spacing w:before="0" w:after="283"/>
              <w:jc w:val="left"/>
              <w:rPr/>
            </w:pPr>
            <w:r>
              <w:rPr/>
              <w:t> </w:t>
            </w:r>
          </w:p>
        </w:tc>
      </w:tr>
      <w:tr>
        <w:trPr/>
        <w:tc>
          <w:tcPr>
            <w:tcW w:w="64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139,639</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3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131,146</w:t>
            </w:r>
          </w:p>
        </w:tc>
        <w:tc>
          <w:tcPr>
            <w:tcW w:w="3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4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liabilities</w:t>
            </w:r>
          </w:p>
        </w:tc>
        <w:tc>
          <w:tcPr>
            <w:tcW w:w="146" w:type="dxa"/>
            <w:tcBorders/>
            <w:shd w:fill="CFF0FC" w:val="clear"/>
            <w:vAlign w:val="center"/>
          </w:tcPr>
          <w:p>
            <w:pPr>
              <w:pStyle w:val="TableContents"/>
              <w:bidi w:val="0"/>
              <w:spacing w:before="0" w:after="283"/>
              <w:jc w:val="left"/>
              <w:rPr/>
            </w:pPr>
            <w:r>
              <w:rPr/>
              <w:t> </w:t>
            </w:r>
          </w:p>
        </w:tc>
        <w:tc>
          <w:tcPr>
            <w:tcW w:w="147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6"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47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debt, net of debt issuance costs</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131,772</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47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operating lease liabilities</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35,479</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47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long-term liabilities</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173,308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304,454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47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6"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47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stock—$.001</w:t>
            </w:r>
            <w:r>
              <w:rPr>
                <w:rFonts w:ascii="Times New Roman" w:hAnsi="Times New Roman"/>
                <w:color w:val="000000"/>
                <w:sz w:val="20"/>
              </w:rPr>
              <w:t> </w:t>
            </w:r>
            <w:r>
              <w:rPr>
                <w:rFonts w:ascii="Times New Roman" w:hAnsi="Times New Roman"/>
                <w:b w:val="false"/>
                <w:color w:val="000000"/>
                <w:sz w:val="20"/>
              </w:rPr>
              <w:t>par value; 40,000</w:t>
            </w:r>
            <w:r>
              <w:rPr>
                <w:rFonts w:ascii="Times New Roman" w:hAnsi="Times New Roman"/>
                <w:color w:val="000000"/>
                <w:sz w:val="20"/>
              </w:rPr>
              <w:t> </w:t>
            </w:r>
            <w:r>
              <w:rPr>
                <w:rFonts w:ascii="Times New Roman" w:hAnsi="Times New Roman"/>
                <w:b w:val="false"/>
                <w:color w:val="000000"/>
                <w:sz w:val="20"/>
              </w:rPr>
              <w:t>authorized and 16,214</w:t>
            </w:r>
            <w:r>
              <w:rPr>
                <w:rFonts w:ascii="Times New Roman" w:hAnsi="Times New Roman"/>
                <w:color w:val="000000"/>
                <w:sz w:val="20"/>
              </w:rPr>
              <w:t> </w:t>
            </w:r>
            <w:r>
              <w:rPr>
                <w:rFonts w:ascii="Times New Roman" w:hAnsi="Times New Roman"/>
                <w:b w:val="false"/>
                <w:color w:val="000000"/>
                <w:sz w:val="20"/>
              </w:rPr>
              <w:t>and 16,128</w:t>
            </w:r>
            <w:r>
              <w:rPr>
                <w:rFonts w:ascii="Times New Roman" w:hAnsi="Times New Roman"/>
                <w:color w:val="000000"/>
                <w:sz w:val="20"/>
              </w:rPr>
              <w:t> </w:t>
            </w:r>
            <w:r>
              <w:rPr>
                <w:rFonts w:ascii="Times New Roman" w:hAnsi="Times New Roman"/>
                <w:b w:val="false"/>
                <w:color w:val="000000"/>
                <w:sz w:val="20"/>
              </w:rPr>
              <w:t>shares</w:t>
              <w:br/>
              <w:t>   issued and outstanding as of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47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393,208</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47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240,316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633,540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937,994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 (Unaudited)</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spacing w:before="180" w:after="283"/>
        <w:jc w:val="center"/>
        <w:rPr>
          <w:rFonts w:ascii="Times New Roman" w:hAnsi="Times New Roman"/>
          <w:sz w:val="20"/>
        </w:rPr>
      </w:pPr>
      <w:bookmarkStart w:id="6" w:name="condensed_consolidated_statements_income"/>
      <w:bookmarkEnd w:id="6"/>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Nine Months Ended September 30, 2023 and 2022</w:t>
      </w:r>
    </w:p>
    <w:p>
      <w:pPr>
        <w:pStyle w:val="TextBody"/>
        <w:bidi w:val="0"/>
        <w:jc w:val="center"/>
        <w:rPr>
          <w:rFonts w:ascii="Times New Roman" w:hAnsi="Times New Roman"/>
          <w:b/>
          <w:color w:val="000000"/>
          <w:sz w:val="20"/>
        </w:rPr>
      </w:pPr>
      <w:r>
        <w:rPr>
          <w:rFonts w:ascii="Times New Roman" w:hAnsi="Times New Roman"/>
          <w:b/>
          <w:color w:val="000000"/>
          <w:sz w:val="20"/>
        </w:rPr>
        <w:t>(Amounts and Shares 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service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704,070</w:t>
            </w:r>
          </w:p>
        </w:tc>
        <w:tc>
          <w:tcPr>
            <w:tcW w:w="391" w:type="dxa"/>
            <w:tcBorders/>
            <w:shd w:fill="CFF0FC"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86,730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247,463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220,970</w:t>
            </w:r>
          </w:p>
        </w:tc>
        <w:tc>
          <w:tcPr>
            <w:tcW w:w="391" w:type="dxa"/>
            <w:tcBorders/>
            <w:shd w:fill="CFF0FC"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162,476</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173,047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41,894</w:t>
            </w:r>
          </w:p>
        </w:tc>
        <w:tc>
          <w:tcPr>
            <w:tcW w:w="391" w:type="dxa"/>
            <w:tcBorders/>
            <w:shd w:fill="CFF0FC"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per common share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7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 income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7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 income per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number of common shares and potential common</w:t>
              <w:br/>
              <w:t>   shares outstanding:</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7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15,846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16,146</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 (Unaudited)</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spacing w:before="180" w:after="283"/>
        <w:jc w:val="center"/>
        <w:rPr>
          <w:rFonts w:ascii="Times New Roman" w:hAnsi="Times New Roman"/>
          <w:b/>
          <w:color w:val="000000"/>
          <w:sz w:val="20"/>
        </w:rPr>
      </w:pPr>
      <w:bookmarkStart w:id="7" w:name="condensed_consolidated_statement_stockho"/>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Nine Months Ended September 30, 2023</w:t>
      </w:r>
    </w:p>
    <w:p>
      <w:pPr>
        <w:pStyle w:val="TextBody"/>
        <w:bidi w:val="0"/>
        <w:jc w:val="center"/>
        <w:rPr>
          <w:rFonts w:ascii="Times New Roman" w:hAnsi="Times New Roman"/>
          <w:b/>
          <w:color w:val="000000"/>
          <w:sz w:val="20"/>
        </w:rPr>
      </w:pPr>
      <w:r>
        <w:rPr>
          <w:rFonts w:ascii="Times New Roman" w:hAnsi="Times New Roman"/>
          <w:b/>
          <w:color w:val="000000"/>
          <w:sz w:val="20"/>
        </w:rPr>
        <w:t>(Amounts and Shares in Thousands)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9804" w:type="dxa"/>
        <w:jc w:val="left"/>
        <w:tblInd w:w="0" w:type="dxa"/>
        <w:tblLayout w:type="fixed"/>
        <w:tblCellMar>
          <w:top w:w="28" w:type="dxa"/>
          <w:left w:w="28" w:type="dxa"/>
          <w:bottom w:w="28" w:type="dxa"/>
          <w:right w:w="28" w:type="dxa"/>
        </w:tblCellMar>
      </w:tblPr>
      <w:tblGrid>
        <w:gridCol w:w="3661"/>
        <w:gridCol w:w="146"/>
        <w:gridCol w:w="146"/>
        <w:gridCol w:w="676"/>
        <w:gridCol w:w="146"/>
        <w:gridCol w:w="146"/>
        <w:gridCol w:w="284"/>
        <w:gridCol w:w="467"/>
        <w:gridCol w:w="146"/>
        <w:gridCol w:w="146"/>
        <w:gridCol w:w="211"/>
        <w:gridCol w:w="781"/>
        <w:gridCol w:w="146"/>
        <w:gridCol w:w="146"/>
        <w:gridCol w:w="211"/>
        <w:gridCol w:w="781"/>
        <w:gridCol w:w="146"/>
        <w:gridCol w:w="146"/>
        <w:gridCol w:w="229"/>
        <w:gridCol w:w="852"/>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0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July 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666,351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Issuance of shares of common stock under </w:t>
              <w:br/>
              <w:t>   restricted stock award agreements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Forfeiture of shares of common stock under </w:t>
              <w:br/>
              <w:t>   restricted stock award agreements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2,572</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issued for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684,334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0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633,540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Issuance of shares of common stock under </w:t>
              <w:br/>
              <w:t>   restricted stock award agreements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Forfeiture of shares of common stock under </w:t>
              <w:br/>
              <w:t>   restricted stock award agreements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7,831</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issued for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684,334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 (Unaudited)</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Nine Months Ended September 30, 2022</w:t>
      </w:r>
    </w:p>
    <w:p>
      <w:pPr>
        <w:pStyle w:val="TextBody"/>
        <w:bidi w:val="0"/>
        <w:jc w:val="center"/>
        <w:rPr>
          <w:rFonts w:ascii="Times New Roman" w:hAnsi="Times New Roman"/>
          <w:b/>
          <w:color w:val="000000"/>
          <w:sz w:val="20"/>
        </w:rPr>
      </w:pPr>
      <w:r>
        <w:rPr>
          <w:rFonts w:ascii="Times New Roman" w:hAnsi="Times New Roman"/>
          <w:b/>
          <w:color w:val="000000"/>
          <w:sz w:val="20"/>
        </w:rPr>
        <w:t>(Amounts and Shares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824" w:type="dxa"/>
        <w:jc w:val="left"/>
        <w:tblInd w:w="0" w:type="dxa"/>
        <w:tblLayout w:type="fixed"/>
        <w:tblCellMar>
          <w:top w:w="28" w:type="dxa"/>
          <w:left w:w="28" w:type="dxa"/>
          <w:bottom w:w="28" w:type="dxa"/>
          <w:right w:w="28" w:type="dxa"/>
        </w:tblCellMar>
      </w:tblPr>
      <w:tblGrid>
        <w:gridCol w:w="3661"/>
        <w:gridCol w:w="146"/>
        <w:gridCol w:w="146"/>
        <w:gridCol w:w="676"/>
        <w:gridCol w:w="166"/>
        <w:gridCol w:w="146"/>
        <w:gridCol w:w="284"/>
        <w:gridCol w:w="467"/>
        <w:gridCol w:w="146"/>
        <w:gridCol w:w="146"/>
        <w:gridCol w:w="211"/>
        <w:gridCol w:w="781"/>
        <w:gridCol w:w="146"/>
        <w:gridCol w:w="146"/>
        <w:gridCol w:w="211"/>
        <w:gridCol w:w="781"/>
        <w:gridCol w:w="146"/>
        <w:gridCol w:w="146"/>
        <w:gridCol w:w="229"/>
        <w:gridCol w:w="852"/>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July 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599,777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Issuance of shares of common stock under </w:t>
              <w:br/>
              <w:t>   restricted stock award agreements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Forfeiture of shares of common stock under </w:t>
              <w:br/>
              <w:t>   restricted stock award agreements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2,780</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issued for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614,837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574,344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Issuance of shares of common stock under </w:t>
              <w:br/>
              <w:t>   restricted stock award agreements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Forfeiture of shares of common stock under </w:t>
              <w:br/>
              <w:t>   restricted stock award agreements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7,945</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issued for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614,837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spacing w:before="180" w:after="283"/>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Nine Months Ended September 30, 2023 and 2022</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439" w:type="dxa"/>
        <w:jc w:val="left"/>
        <w:tblInd w:w="0" w:type="dxa"/>
        <w:tblLayout w:type="fixed"/>
        <w:tblCellMar>
          <w:top w:w="28" w:type="dxa"/>
          <w:left w:w="28" w:type="dxa"/>
          <w:bottom w:w="28" w:type="dxa"/>
          <w:right w:w="28" w:type="dxa"/>
        </w:tblCellMar>
      </w:tblPr>
      <w:tblGrid>
        <w:gridCol w:w="6066"/>
        <w:gridCol w:w="146"/>
        <w:gridCol w:w="211"/>
        <w:gridCol w:w="841"/>
        <w:gridCol w:w="166"/>
        <w:gridCol w:w="146"/>
        <w:gridCol w:w="211"/>
        <w:gridCol w:w="841"/>
        <w:gridCol w:w="811"/>
      </w:tblGrid>
      <w:tr>
        <w:trPr/>
        <w:tc>
          <w:tcPr>
            <w:tcW w:w="6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w:t>
            </w:r>
          </w:p>
        </w:tc>
        <w:tc>
          <w:tcPr>
            <w:tcW w:w="811" w:type="dxa"/>
            <w:tcBorders/>
            <w:shd w:fill="FFFFFF" w:val="clear"/>
            <w:vAlign w:val="center"/>
          </w:tcPr>
          <w:p>
            <w:pPr>
              <w:pStyle w:val="TableContents"/>
              <w:bidi w:val="0"/>
              <w:spacing w:before="0" w:after="283"/>
              <w:jc w:val="center"/>
              <w:rPr/>
            </w:pPr>
            <w:r>
              <w:rPr/>
              <w:t> </w:t>
            </w:r>
          </w:p>
        </w:tc>
      </w:tr>
      <w:tr>
        <w:trPr/>
        <w:tc>
          <w:tcPr>
            <w:tcW w:w="6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31,263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Adjustments to reconcile net income to net cash provided by operating</w:t>
              <w:br/>
              <w:t>   activities, net of acquisitions: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10,571</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7,945</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Amortization of debt issuance costs under the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645</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Provision for credit losses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Impairment of operating lease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Changes in operating assets and liabilities, net of acquisitions: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606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18,232</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606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10,568</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606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Government stimulus advances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16,985</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606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6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Accrued payroll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(10,421</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6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Accrued expenses and other long-term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(6,345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Acquisitions of businesses, net of cash acquired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(109,800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(84,490</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(87,354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on revolver loan —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(105,000</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borrowings on revolver —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47,000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on term loan —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received from exercise of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w:t>
            </w:r>
          </w:p>
        </w:tc>
        <w:tc>
          <w:tcPr>
            <w:tcW w:w="811" w:type="dxa"/>
            <w:tcBorders/>
            <w:shd w:fill="FFFFFF" w:val="clear"/>
            <w:vAlign w:val="center"/>
          </w:tcPr>
          <w:p>
            <w:pPr>
              <w:pStyle w:val="TableContents"/>
              <w:bidi w:val="0"/>
              <w:spacing w:before="0" w:after="283"/>
              <w:jc w:val="left"/>
              <w:rPr/>
            </w:pPr>
            <w:r>
              <w:rPr/>
              <w:t> </w:t>
            </w:r>
          </w:p>
        </w:tc>
      </w:tr>
      <w:tr>
        <w:trPr/>
        <w:tc>
          <w:tcPr>
            <w:tcW w:w="6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(56,715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(63,251</w:t>
            </w:r>
          </w:p>
        </w:tc>
        <w:tc>
          <w:tcPr>
            <w:tcW w:w="8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168,895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105,644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disclosures of cash flow information:</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paid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8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 (Unaudited)</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spacing w:before="180" w:after="283"/>
        <w:jc w:val="center"/>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 Nature of Operations, Consolidation, and Presentation of Financial Statements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Addus HomeCare Corporation (“Holdings”) and its subsidiaries (together with Holdings, the “Company”, “we”, “us” or “our”) operate as a multi-state provider of three</w:t>
      </w:r>
      <w:r>
        <w:rPr>
          <w:rFonts w:ascii="Times New Roman" w:hAnsi="Times New Roman"/>
          <w:color w:val="000000"/>
          <w:sz w:val="20"/>
        </w:rPr>
        <w:t xml:space="preserve"> </w:t>
      </w:r>
      <w:r>
        <w:rPr>
          <w:rFonts w:ascii="Times New Roman" w:hAnsi="Times New Roman"/>
          <w:b w:val="false"/>
          <w:color w:val="000000"/>
          <w:sz w:val="20"/>
        </w:rPr>
        <w:t>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2022 has been derived from the Company’s audited financial statements for the year ended December 31, 2022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2022 included in our Annual Report on Form 10-K, which includes information and disclosures not included herein.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Unaudited Condensed Consolidated Financial Statements include the accounts of Addus HomeCare Corporation, and its subsidiaries. All intercompany balances and transactions have been eliminated in consolidation.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in business combinations and when required, the quantitative assessment of goodwill. Actual results could differ from those estimates.</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Computation of Weighted Average Shares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sets forth the computation of basic and diluted common shares:</w:t>
      </w:r>
    </w:p>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150"/>
        <w:gridCol w:w="146"/>
        <w:gridCol w:w="198"/>
        <w:gridCol w:w="921"/>
        <w:gridCol w:w="198"/>
        <w:gridCol w:w="198"/>
        <w:gridCol w:w="198"/>
        <w:gridCol w:w="921"/>
        <w:gridCol w:w="146"/>
        <w:gridCol w:w="146"/>
        <w:gridCol w:w="194"/>
        <w:gridCol w:w="903"/>
        <w:gridCol w:w="194"/>
        <w:gridCol w:w="194"/>
        <w:gridCol w:w="194"/>
        <w:gridCol w:w="903"/>
        <w:gridCol w:w="401"/>
      </w:tblGrid>
      <w:tr>
        <w:trPr/>
        <w:tc>
          <w:tcPr>
            <w:tcW w:w="4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1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4" w:type="dxa"/>
            <w:gridSpan w:val="6"/>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 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2" w:type="dxa"/>
            <w:gridSpan w:val="6"/>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Nine Months Ended September 30,</w:t>
            </w:r>
          </w:p>
        </w:tc>
        <w:tc>
          <w:tcPr>
            <w:tcW w:w="401" w:type="dxa"/>
            <w:tcBorders/>
            <w:shd w:fill="FFFFFF" w:val="clear"/>
            <w:vAlign w:val="center"/>
          </w:tcPr>
          <w:p>
            <w:pPr>
              <w:pStyle w:val="TableContents"/>
              <w:bidi w:val="0"/>
              <w:spacing w:before="0" w:after="283"/>
              <w:jc w:val="center"/>
              <w:rPr/>
            </w:pPr>
            <w:r>
              <w:rPr/>
              <w:t> </w:t>
            </w:r>
          </w:p>
        </w:tc>
      </w:tr>
      <w:tr>
        <w:trPr/>
        <w:tc>
          <w:tcPr>
            <w:tcW w:w="41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number of shares outstanding for basic per share</w:t>
              <w:br/>
              <w:t>   calculation</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16,012</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15,988</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15,846</w:t>
            </w:r>
          </w:p>
        </w:tc>
        <w:tc>
          <w:tcPr>
            <w:tcW w:w="401" w:type="dxa"/>
            <w:tcBorders/>
            <w:shd w:fill="CFF0FC" w:val="clear"/>
            <w:vAlign w:val="center"/>
          </w:tcPr>
          <w:p>
            <w:pPr>
              <w:pStyle w:val="TableContents"/>
              <w:bidi w:val="0"/>
              <w:spacing w:before="0" w:after="283"/>
              <w:jc w:val="left"/>
              <w:rPr/>
            </w:pPr>
            <w:r>
              <w:rPr/>
              <w:t> </w:t>
            </w:r>
          </w:p>
        </w:tc>
      </w:tr>
      <w:tr>
        <w:trPr/>
        <w:tc>
          <w:tcPr>
            <w:tcW w:w="41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 of dilutive potential shares:</w:t>
            </w:r>
          </w:p>
        </w:tc>
        <w:tc>
          <w:tcPr>
            <w:tcW w:w="146" w:type="dxa"/>
            <w:tcBorders/>
            <w:shd w:fill="FFFFFF" w:val="clear"/>
            <w:vAlign w:val="center"/>
          </w:tcPr>
          <w:p>
            <w:pPr>
              <w:pStyle w:val="TableContents"/>
              <w:bidi w:val="0"/>
              <w:spacing w:before="0" w:after="283"/>
              <w:jc w:val="lef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7"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097" w:type="dxa"/>
            <w:gridSpan w:val="2"/>
            <w:tcBorders/>
            <w:shd w:fill="FFFFFF" w:val="clear"/>
            <w:vAlign w:val="center"/>
          </w:tcPr>
          <w:p>
            <w:pPr>
              <w:pStyle w:val="TableContents"/>
              <w:bidi w:val="0"/>
              <w:spacing w:before="0" w:after="283"/>
              <w:jc w:val="right"/>
              <w:rPr/>
            </w:pPr>
            <w:r>
              <w:rPr/>
              <w:t> </w:t>
            </w:r>
          </w:p>
        </w:tc>
        <w:tc>
          <w:tcPr>
            <w:tcW w:w="401" w:type="dxa"/>
            <w:tcBorders/>
            <w:shd w:fill="FFFFFF" w:val="clear"/>
            <w:vAlign w:val="center"/>
          </w:tcPr>
          <w:p>
            <w:pPr>
              <w:pStyle w:val="TableContents"/>
              <w:bidi w:val="0"/>
              <w:spacing w:before="0" w:after="283"/>
              <w:ind w:left="0" w:right="0" w:firstLine="200"/>
              <w:jc w:val="right"/>
              <w:rPr/>
            </w:pPr>
            <w:r>
              <w:rPr/>
              <w:t> </w:t>
            </w:r>
          </w:p>
        </w:tc>
      </w:tr>
      <w:tr>
        <w:trPr/>
        <w:tc>
          <w:tcPr>
            <w:tcW w:w="415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401" w:type="dxa"/>
            <w:tcBorders/>
            <w:shd w:fill="CFF0FC" w:val="clear"/>
            <w:vAlign w:val="center"/>
          </w:tcPr>
          <w:p>
            <w:pPr>
              <w:pStyle w:val="TableContents"/>
              <w:bidi w:val="0"/>
              <w:spacing w:before="0" w:after="283"/>
              <w:ind w:left="0" w:right="0" w:firstLine="200"/>
              <w:jc w:val="left"/>
              <w:rPr/>
            </w:pPr>
            <w:r>
              <w:rPr/>
              <w:t> </w:t>
            </w:r>
          </w:p>
        </w:tc>
      </w:tr>
      <w:tr>
        <w:trPr/>
        <w:tc>
          <w:tcPr>
            <w:tcW w:w="415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stock awards</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weighted average shares outstanding for diluted per share</w:t>
              <w:br/>
              <w:t>   calculation</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16,286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16,307</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righ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16,146</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Anti-dilutive shares:</w:t>
            </w:r>
          </w:p>
        </w:tc>
        <w:tc>
          <w:tcPr>
            <w:tcW w:w="146" w:type="dxa"/>
            <w:tcBorders/>
            <w:shd w:fill="FFFFFF" w:val="clear"/>
            <w:vAlign w:val="center"/>
          </w:tcPr>
          <w:p>
            <w:pPr>
              <w:pStyle w:val="TableContents"/>
              <w:bidi w:val="0"/>
              <w:spacing w:before="0" w:after="283"/>
              <w:jc w:val="lef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7"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097" w:type="dxa"/>
            <w:gridSpan w:val="2"/>
            <w:tcBorders/>
            <w:shd w:fill="FFFFFF" w:val="clear"/>
            <w:vAlign w:val="center"/>
          </w:tcPr>
          <w:p>
            <w:pPr>
              <w:pStyle w:val="TableContents"/>
              <w:bidi w:val="0"/>
              <w:spacing w:before="0" w:after="283"/>
              <w:jc w:val="right"/>
              <w:rPr/>
            </w:pPr>
            <w:r>
              <w:rPr/>
              <w:t> </w:t>
            </w:r>
          </w:p>
        </w:tc>
        <w:tc>
          <w:tcPr>
            <w:tcW w:w="401" w:type="dxa"/>
            <w:tcBorders/>
            <w:shd w:fill="FFFFFF" w:val="clear"/>
            <w:vAlign w:val="center"/>
          </w:tcPr>
          <w:p>
            <w:pPr>
              <w:pStyle w:val="TableContents"/>
              <w:bidi w:val="0"/>
              <w:spacing w:before="0" w:after="283"/>
              <w:ind w:left="0" w:right="0" w:firstLine="200"/>
              <w:jc w:val="right"/>
              <w:rPr/>
            </w:pPr>
            <w:r>
              <w:rPr/>
              <w:t> </w:t>
            </w:r>
          </w:p>
        </w:tc>
      </w:tr>
      <w:tr>
        <w:trPr/>
        <w:tc>
          <w:tcPr>
            <w:tcW w:w="415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401" w:type="dxa"/>
            <w:tcBorders/>
            <w:shd w:fill="CFF0FC" w:val="clear"/>
            <w:vAlign w:val="center"/>
          </w:tcPr>
          <w:p>
            <w:pPr>
              <w:pStyle w:val="TableContents"/>
              <w:bidi w:val="0"/>
              <w:spacing w:before="0" w:after="283"/>
              <w:ind w:left="0" w:right="0" w:firstLine="200"/>
              <w:jc w:val="left"/>
              <w:rPr/>
            </w:pPr>
            <w:r>
              <w:rPr/>
              <w:t> </w:t>
            </w:r>
          </w:p>
        </w:tc>
      </w:tr>
      <w:tr>
        <w:trPr/>
        <w:tc>
          <w:tcPr>
            <w:tcW w:w="415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stock awards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9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40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2021, the Financial Accounting Standards Board (“FASB”) issued ASU No. 2021-08, Accounting for Contract Assets and Contract Liabilities from Contracts with Customers (Topic 805). This ASU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was adopted</w:t>
      </w:r>
      <w:r>
        <w:rPr>
          <w:rFonts w:ascii="Times New Roman" w:hAnsi="Times New Roman"/>
          <w:color w:val="000000"/>
          <w:sz w:val="20"/>
        </w:rPr>
        <w:t xml:space="preserve"> </w:t>
      </w:r>
      <w:r>
        <w:rPr>
          <w:rFonts w:ascii="Times New Roman" w:hAnsi="Times New Roman"/>
          <w:b w:val="false"/>
          <w:color w:val="000000"/>
          <w:sz w:val="20"/>
        </w:rPr>
        <w:t>prospectively on January 1, 2023. The additional disclosures required did not have a material impact on our consolidated financial statements.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March 2020, the FASB issued ASU 2020-04, Reference Rate Reform (Topic 848): Facilitation of the Effects of Reference Rate Reform on Financial Reporting. ASU 2020-04 provides optional expedients and exceptions for applying GAAP to contract modifications and hedging relationships, and other transactions subject to meeting certain criteria, that reference the London Inter-Bank Offered Rate (“LIBOR”) or another reference rate expected to be discontinued. The ASU provides companies with optional guidance to ease the potential accounting burden associated with transitioning away from reference rates that are expected to be discontinued. Therefore, it was in effect for a limited time through December 31, 2022. The ASU could be adopted no later than December 1, 2022 with early adoption permitted. As discussed further in Note 8 and pursuant to the Third Amendment to Amended and Restated Credit Agreement dated as of April 26, 2023, the Company amended its credit facility to replace LIBOR with the secured overnight financing rate as administered by the Federal Reserve Bank of New York (“SOFR”) as the benchmark reference rate for loans under its credit facility. The transition to SOFR did not and is not expected to have a material impact on the Company’s results of operations or liquidity.</w:t>
      </w:r>
    </w:p>
    <w:p>
      <w:pPr>
        <w:pStyle w:val="TextBody"/>
        <w:bidi w:val="0"/>
        <w:spacing w:before="360" w:after="283"/>
        <w:jc w:val="left"/>
        <w:rPr>
          <w:rFonts w:ascii="Times New Roman" w:hAnsi="Times New Roman"/>
          <w:sz w:val="20"/>
        </w:rPr>
      </w:pPr>
      <w:r>
        <w:rPr>
          <w:rFonts w:ascii="Times New Roman" w:hAnsi="Times New Roman"/>
          <w:b/>
          <w:color w:val="000000"/>
          <w:sz w:val="20"/>
        </w:rPr>
        <w:t>3. Leases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Amounts reported on the Company’s Unaudited Condensed Consolidated Balance Sheets for operating leases were as follows:</w:t>
      </w:r>
    </w:p>
    <w:p>
      <w:pPr>
        <w:pStyle w:val="TextBody"/>
        <w:bidi w:val="0"/>
        <w:jc w:val="left"/>
        <w:rPr/>
      </w:pPr>
      <w:r>
        <w:rPr/>
        <w:t> </w:t>
      </w:r>
    </w:p>
    <w:tbl>
      <w:tblPr>
        <w:tblW w:w="6750" w:type="dxa"/>
        <w:jc w:val="left"/>
        <w:tblInd w:w="0" w:type="dxa"/>
        <w:tblLayout w:type="fixed"/>
        <w:tblCellMar>
          <w:top w:w="28" w:type="dxa"/>
          <w:left w:w="28" w:type="dxa"/>
          <w:bottom w:w="28" w:type="dxa"/>
          <w:right w:w="28" w:type="dxa"/>
        </w:tblCellMar>
      </w:tblPr>
      <w:tblGrid>
        <w:gridCol w:w="3076"/>
        <w:gridCol w:w="146"/>
        <w:gridCol w:w="367"/>
        <w:gridCol w:w="1178"/>
        <w:gridCol w:w="146"/>
        <w:gridCol w:w="146"/>
        <w:gridCol w:w="357"/>
        <w:gridCol w:w="1143"/>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assets, net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38,980</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operating lease liabilities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10,801</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operating lease liabilities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Lease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Components of lease costs were reported in general and administrative expenses in the Company’s Unaudited Condensed Consolidated Statements of Income as follows:</w:t>
      </w:r>
    </w:p>
    <w:p>
      <w:pPr>
        <w:pStyle w:val="TextBody"/>
        <w:bidi w:val="0"/>
        <w:jc w:val="left"/>
        <w:rPr/>
      </w:pPr>
      <w:r>
        <w:rPr/>
        <w:t> </w:t>
      </w:r>
    </w:p>
    <w:tbl>
      <w:tblPr>
        <w:tblW w:w="9214" w:type="dxa"/>
        <w:jc w:val="left"/>
        <w:tblInd w:w="0" w:type="dxa"/>
        <w:tblLayout w:type="fixed"/>
        <w:tblCellMar>
          <w:top w:w="28" w:type="dxa"/>
          <w:left w:w="28" w:type="dxa"/>
          <w:bottom w:w="28" w:type="dxa"/>
          <w:right w:w="28" w:type="dxa"/>
        </w:tblCellMar>
      </w:tblPr>
      <w:tblGrid>
        <w:gridCol w:w="2021"/>
        <w:gridCol w:w="146"/>
        <w:gridCol w:w="367"/>
        <w:gridCol w:w="995"/>
        <w:gridCol w:w="289"/>
        <w:gridCol w:w="254"/>
        <w:gridCol w:w="367"/>
        <w:gridCol w:w="995"/>
        <w:gridCol w:w="166"/>
        <w:gridCol w:w="146"/>
        <w:gridCol w:w="321"/>
        <w:gridCol w:w="1030"/>
        <w:gridCol w:w="253"/>
        <w:gridCol w:w="222"/>
        <w:gridCol w:w="321"/>
        <w:gridCol w:w="1030"/>
        <w:gridCol w:w="291"/>
      </w:tblGrid>
      <w:tr>
        <w:trPr/>
        <w:tc>
          <w:tcPr>
            <w:tcW w:w="2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br/>
              <w:t>(Amounts 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br/>
              <w:t>(Amounts 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vAlign w:val="center"/>
          </w:tcPr>
          <w:p>
            <w:pPr>
              <w:pStyle w:val="TableContents"/>
              <w:bidi w:val="0"/>
              <w:spacing w:before="0" w:after="283"/>
              <w:jc w:val="left"/>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3,344</w:t>
            </w:r>
          </w:p>
        </w:tc>
        <w:tc>
          <w:tcPr>
            <w:tcW w:w="289"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9,678</w:t>
            </w:r>
          </w:p>
        </w:tc>
        <w:tc>
          <w:tcPr>
            <w:tcW w:w="2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8,888</w:t>
            </w:r>
          </w:p>
        </w:tc>
        <w:tc>
          <w:tcPr>
            <w:tcW w:w="291" w:type="dxa"/>
            <w:tcBorders/>
            <w:shd w:fill="CFF0FC" w:val="clear"/>
            <w:vAlign w:val="center"/>
          </w:tcPr>
          <w:p>
            <w:pPr>
              <w:pStyle w:val="TableContents"/>
              <w:bidi w:val="0"/>
              <w:spacing w:before="0" w:after="283"/>
              <w:jc w:val="left"/>
              <w:rPr/>
            </w:pPr>
            <w:r>
              <w:rPr/>
              <w:t> </w:t>
            </w:r>
          </w:p>
        </w:tc>
      </w:tr>
      <w:tr>
        <w:trPr/>
        <w:tc>
          <w:tcPr>
            <w:tcW w:w="2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lease costs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3,593</w:t>
            </w:r>
          </w:p>
        </w:tc>
        <w:tc>
          <w:tcPr>
            <w:tcW w:w="289"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10,627</w:t>
            </w:r>
          </w:p>
        </w:tc>
        <w:tc>
          <w:tcPr>
            <w:tcW w:w="2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right"/>
              <w:rPr/>
            </w:pPr>
            <w:r>
              <w:rPr/>
              <w:t> </w:t>
            </w:r>
          </w:p>
        </w:tc>
        <w:tc>
          <w:tcPr>
            <w:tcW w:w="321"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0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sublease income</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4"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(2,104</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2" w:type="dxa"/>
            <w:tcBorders/>
            <w:shd w:fill="FFFFFF" w:val="cle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costs, net</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2,889</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8,523</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Lease Term and Discount Rate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Weighted average remaining lease terms and discount rates were as follows:</w:t>
      </w:r>
    </w:p>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3901"/>
        <w:gridCol w:w="146"/>
        <w:gridCol w:w="367"/>
        <w:gridCol w:w="1178"/>
        <w:gridCol w:w="271"/>
        <w:gridCol w:w="146"/>
        <w:gridCol w:w="357"/>
        <w:gridCol w:w="1143"/>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remaining lease term (years)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w:t>
            </w:r>
          </w:p>
        </w:tc>
        <w:tc>
          <w:tcPr>
            <w:tcW w:w="316"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discount rate</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Maturity of Lease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Remaining operating lease payments as of September 30, 2023 were as follows:</w:t>
      </w:r>
    </w:p>
    <w:p>
      <w:pPr>
        <w:pStyle w:val="TextBody"/>
        <w:bidi w:val="0"/>
        <w:jc w:val="left"/>
        <w:rPr/>
      </w:pPr>
      <w:r>
        <w:rPr/>
        <w:t> </w:t>
      </w:r>
    </w:p>
    <w:tbl>
      <w:tblPr>
        <w:tblW w:w="6408" w:type="dxa"/>
        <w:jc w:val="left"/>
        <w:tblInd w:w="0" w:type="dxa"/>
        <w:tblLayout w:type="fixed"/>
        <w:tblCellMar>
          <w:top w:w="28" w:type="dxa"/>
          <w:left w:w="28" w:type="dxa"/>
          <w:bottom w:w="28" w:type="dxa"/>
          <w:right w:w="28" w:type="dxa"/>
        </w:tblCellMar>
      </w:tblPr>
      <w:tblGrid>
        <w:gridCol w:w="4111"/>
        <w:gridCol w:w="146"/>
        <w:gridCol w:w="414"/>
        <w:gridCol w:w="1446"/>
        <w:gridCol w:w="2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Due in the 12-month period ended September 30,</w:t>
            </w:r>
          </w:p>
        </w:tc>
        <w:tc>
          <w:tcPr>
            <w:tcW w:w="146" w:type="dxa"/>
            <w:tcBorders/>
            <w:shd w:fill="CFF0FC" w:val="clear"/>
            <w:vAlign w:val="center"/>
          </w:tcPr>
          <w:p>
            <w:pPr>
              <w:pStyle w:val="TableContents"/>
              <w:bidi w:val="0"/>
              <w:spacing w:before="0" w:after="283"/>
              <w:jc w:val="left"/>
              <w:rPr/>
            </w:pPr>
            <w:r>
              <w:rPr/>
              <w:t> </w:t>
            </w:r>
          </w:p>
        </w:tc>
        <w:tc>
          <w:tcPr>
            <w:tcW w:w="186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1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13,434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1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1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22,354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future minimum rental commitments</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(10,642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53,066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Supplemental cash flows information</w:t>
      </w:r>
    </w:p>
    <w:p>
      <w:pPr>
        <w:pStyle w:val="TextBody"/>
        <w:bidi w:val="0"/>
        <w:jc w:val="left"/>
        <w:rPr/>
      </w:pPr>
      <w:r>
        <w:rPr/>
        <w:t> </w:t>
      </w:r>
    </w:p>
    <w:tbl>
      <w:tblPr>
        <w:tblW w:w="9579" w:type="dxa"/>
        <w:jc w:val="left"/>
        <w:tblInd w:w="0" w:type="dxa"/>
        <w:tblLayout w:type="fixed"/>
        <w:tblCellMar>
          <w:top w:w="28" w:type="dxa"/>
          <w:left w:w="28" w:type="dxa"/>
          <w:bottom w:w="28" w:type="dxa"/>
          <w:right w:w="28" w:type="dxa"/>
        </w:tblCellMar>
      </w:tblPr>
      <w:tblGrid>
        <w:gridCol w:w="5866"/>
        <w:gridCol w:w="146"/>
        <w:gridCol w:w="324"/>
        <w:gridCol w:w="1040"/>
        <w:gridCol w:w="224"/>
        <w:gridCol w:w="224"/>
        <w:gridCol w:w="324"/>
        <w:gridCol w:w="1040"/>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91" w:type="dxa"/>
            <w:tcBorders/>
            <w:shd w:fill="FFFFFF" w:val="cle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vAlign w:val="center"/>
          </w:tcPr>
          <w:p>
            <w:pPr>
              <w:pStyle w:val="TableContents"/>
              <w:bidi w:val="0"/>
              <w:spacing w:before="0" w:after="283"/>
              <w:jc w:val="left"/>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1364" w:type="dxa"/>
            <w:gridSpan w:val="2"/>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1364"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10,702</w:t>
            </w:r>
          </w:p>
        </w:tc>
        <w:tc>
          <w:tcPr>
            <w:tcW w:w="22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9,752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866"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364" w:type="dxa"/>
            <w:gridSpan w:val="2"/>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1364"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Right-of-use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1364" w:type="dxa"/>
            <w:gridSpan w:val="2"/>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1364"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8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15,903</w:t>
            </w:r>
          </w:p>
        </w:tc>
        <w:tc>
          <w:tcPr>
            <w:tcW w:w="22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13,130</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4. Acquisitions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Company’s acquisitions have been accounted for in accordance with ASC Topic 805, </w:t>
      </w:r>
      <w:r>
        <w:rPr>
          <w:rFonts w:ascii="Times New Roman" w:hAnsi="Times New Roman"/>
          <w:b w:val="false"/>
          <w:i/>
          <w:color w:val="000000"/>
          <w:sz w:val="20"/>
        </w:rPr>
        <w:t>Business Combinations</w:t>
      </w:r>
      <w:r>
        <w:rPr>
          <w:rFonts w:ascii="Times New Roman" w:hAnsi="Times New Roman"/>
          <w:b w:val="false"/>
          <w:color w:val="000000"/>
          <w:sz w:val="20"/>
        </w:rPr>
        <w:t xml:space="preserve">, and the resulting goodwill and other intangible assets were accounted for under ASC Topic 350, </w:t>
      </w:r>
      <w:r>
        <w:rPr>
          <w:rFonts w:ascii="Times New Roman" w:hAnsi="Times New Roman"/>
          <w:b w:val="false"/>
          <w:i/>
          <w:color w:val="000000"/>
          <w:sz w:val="20"/>
        </w:rPr>
        <w:t>Goodwill and Other Intangible Assets</w:t>
      </w:r>
      <w:r>
        <w:rPr>
          <w:rFonts w:ascii="Times New Roman" w:hAnsi="Times New Roman"/>
          <w:b w:val="false"/>
          <w:color w:val="000000"/>
          <w:sz w:val="20"/>
        </w:rPr>
        <w:t>. Under business combination accounting, the assets and liabilities are generally recognized at their fair values, with the difference between the consideration transferred, excluding transaction costs, and the fair values of the assets acquired and liabilities assumed recognized as goodwill. The results of each business acquisition are included on the Unaudited Condensed Consolidated Statements of Income from the date of the acquisition.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Management’s assessment of qualitative factors affecting goodwill for each acquisition includes estimates of market share at the date of purchase, ability to grow in the market, synergy with existing Company operations and the payor profile in the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Tennessee Quality Care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1, 2023, we completed the acquisition of American Home Care, LLC, a Tennessee limited liability company (“AHC”), and its subsidiaries, Homecare, LLC, a Tennessee limited liability company (“Homecare”), Tennessee Valley Home Care, LLC (d/b/a Tennessee Quality Care – Home Health), a Tennessee limited liability company (“TQC – Home Health”), and Tri-County Home Health and Hospice, LLC (d/b/a Tennessee Quality Care - Hospice), a Tennessee limited liability company (“TQC – Hospice”, and collectively with AHC, Homecare, and TQC – Home Health “Tennessee Quality Care”). The purchase price was approximately $111.2</w:t>
      </w:r>
      <w:r>
        <w:rPr>
          <w:rFonts w:ascii="Times New Roman" w:hAnsi="Times New Roman"/>
          <w:color w:val="000000"/>
          <w:sz w:val="20"/>
        </w:rPr>
        <w:t xml:space="preserve"> </w:t>
      </w:r>
      <w:r>
        <w:rPr>
          <w:rFonts w:ascii="Times New Roman" w:hAnsi="Times New Roman"/>
          <w:b w:val="false"/>
          <w:color w:val="000000"/>
          <w:sz w:val="20"/>
        </w:rPr>
        <w:t>million, including the amount of acquired excess cash held by Tennessee Quality Care at the closing of the acquisition (approximately $2.4</w:t>
      </w:r>
      <w:r>
        <w:rPr>
          <w:rFonts w:ascii="Times New Roman" w:hAnsi="Times New Roman"/>
          <w:color w:val="000000"/>
          <w:sz w:val="20"/>
        </w:rPr>
        <w:t xml:space="preserve"> </w:t>
      </w:r>
      <w:r>
        <w:rPr>
          <w:rFonts w:ascii="Times New Roman" w:hAnsi="Times New Roman"/>
          <w:b w:val="false"/>
          <w:color w:val="000000"/>
          <w:sz w:val="20"/>
        </w:rPr>
        <w:t>million), and is subject to the completion of working capital and related adjustments. The Tennessee Quality Care acquisition was funded with a combination of a $110.0</w:t>
      </w:r>
      <w:r>
        <w:rPr>
          <w:rFonts w:ascii="Times New Roman" w:hAnsi="Times New Roman"/>
          <w:color w:val="000000"/>
          <w:sz w:val="20"/>
        </w:rPr>
        <w:t xml:space="preserve"> </w:t>
      </w:r>
      <w:r>
        <w:rPr>
          <w:rFonts w:ascii="Times New Roman" w:hAnsi="Times New Roman"/>
          <w:b w:val="false"/>
          <w:color w:val="000000"/>
          <w:sz w:val="20"/>
        </w:rPr>
        <w:t>million draw on the Company</w:t>
      </w:r>
      <w:r>
        <w:rPr>
          <w:rFonts w:ascii="Times New Roman" w:hAnsi="Times New Roman"/>
          <w:color w:val="000000"/>
          <w:sz w:val="20"/>
        </w:rPr>
        <w:t>’</w:t>
      </w:r>
      <w:r>
        <w:rPr>
          <w:rFonts w:ascii="Times New Roman" w:hAnsi="Times New Roman"/>
          <w:b w:val="false"/>
          <w:color w:val="000000"/>
          <w:sz w:val="20"/>
        </w:rPr>
        <w:t>s revolving credit facility and available cash. With the purchase of Tennessee Quality Care, the Company expanded its services within its hospice and home health segments in Tennessee. The related acquisition and integration costs were $0.5</w:t>
      </w:r>
      <w:r>
        <w:rPr>
          <w:rFonts w:ascii="Times New Roman" w:hAnsi="Times New Roman"/>
          <w:color w:val="000000"/>
          <w:sz w:val="20"/>
        </w:rPr>
        <w:t xml:space="preserve"> </w:t>
      </w:r>
      <w:r>
        <w:rPr>
          <w:rFonts w:ascii="Times New Roman" w:hAnsi="Times New Roman"/>
          <w:b w:val="false"/>
          <w:color w:val="000000"/>
          <w:sz w:val="20"/>
        </w:rPr>
        <w:t>million and $2.1</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These costs were included in general and administrative expenses on the Unaudited Condensed Consolidated Statements of Income and were expensed as incurred.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upon management’s valuations, which are preliminary and subject to the completion of working capital and related adjustments, the fair values of the assets and liabilities acquired are as follows:</w:t>
      </w:r>
    </w:p>
    <w:p>
      <w:pPr>
        <w:pStyle w:val="TextBody"/>
        <w:bidi w:val="0"/>
        <w:jc w:val="left"/>
        <w:rPr/>
      </w:pPr>
      <w:r>
        <w:rPr/>
        <w:t> </w:t>
      </w:r>
    </w:p>
    <w:tbl>
      <w:tblPr>
        <w:tblW w:w="5293" w:type="dxa"/>
        <w:jc w:val="left"/>
        <w:tblInd w:w="0" w:type="dxa"/>
        <w:tblLayout w:type="fixed"/>
        <w:tblCellMar>
          <w:top w:w="28" w:type="dxa"/>
          <w:left w:w="28" w:type="dxa"/>
          <w:bottom w:w="28" w:type="dxa"/>
          <w:right w:w="28" w:type="dxa"/>
        </w:tblCellMar>
      </w:tblPr>
      <w:tblGrid>
        <w:gridCol w:w="3076"/>
        <w:gridCol w:w="146"/>
        <w:gridCol w:w="395"/>
        <w:gridCol w:w="1465"/>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79,318</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Identifiable intangible assets</w:t>
            </w:r>
          </w:p>
        </w:tc>
        <w:tc>
          <w:tcPr>
            <w:tcW w:w="146" w:type="dxa"/>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26,740</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w:t>
            </w:r>
          </w:p>
        </w:tc>
        <w:tc>
          <w:tcPr>
            <w:tcW w:w="146" w:type="dxa"/>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left"/>
              <w:rPr/>
            </w:pPr>
            <w:r>
              <w:rPr/>
              <w:t> </w:t>
            </w:r>
          </w:p>
        </w:tc>
        <w:tc>
          <w:tcPr>
            <w:tcW w:w="14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2,368</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5,593</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w:t>
            </w:r>
          </w:p>
        </w:tc>
        <w:tc>
          <w:tcPr>
            <w:tcW w:w="146" w:type="dxa"/>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left"/>
              <w:rPr/>
            </w:pPr>
            <w:r>
              <w:rPr/>
              <w:t> </w:t>
            </w:r>
          </w:p>
        </w:tc>
        <w:tc>
          <w:tcPr>
            <w:tcW w:w="14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assets, net</w:t>
            </w:r>
          </w:p>
        </w:tc>
        <w:tc>
          <w:tcPr>
            <w:tcW w:w="146" w:type="dxa"/>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left"/>
              <w:rPr/>
            </w:pPr>
            <w:r>
              <w:rPr/>
              <w:t> </w:t>
            </w:r>
          </w:p>
        </w:tc>
        <w:tc>
          <w:tcPr>
            <w:tcW w:w="14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expenses</w:t>
            </w:r>
          </w:p>
        </w:tc>
        <w:tc>
          <w:tcPr>
            <w:tcW w:w="146" w:type="dxa"/>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payroll</w:t>
            </w:r>
          </w:p>
        </w:tc>
        <w:tc>
          <w:tcPr>
            <w:tcW w:w="146" w:type="dxa"/>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left"/>
              <w:rPr/>
            </w:pPr>
            <w:r>
              <w:rPr/>
              <w:t> </w:t>
            </w:r>
          </w:p>
        </w:tc>
        <w:tc>
          <w:tcPr>
            <w:tcW w:w="14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operating lease liabilities</w:t>
            </w:r>
          </w:p>
        </w:tc>
        <w:tc>
          <w:tcPr>
            <w:tcW w:w="146" w:type="dxa"/>
            <w:tcBorders/>
            <w:shd w:fill="FFFFFF" w:val="clear"/>
            <w:vAlign w:val="center"/>
          </w:tcPr>
          <w:p>
            <w:pPr>
              <w:pStyle w:val="TableContents"/>
              <w:bidi w:val="0"/>
              <w:spacing w:before="0" w:after="283"/>
              <w:jc w:val="center"/>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purchase price</w:t>
            </w:r>
          </w:p>
        </w:tc>
        <w:tc>
          <w:tcPr>
            <w:tcW w:w="146" w:type="dxa"/>
            <w:tcBorders/>
            <w:shd w:fill="CFF0FC" w:val="clear"/>
            <w:vAlign w:val="center"/>
          </w:tcPr>
          <w:p>
            <w:pPr>
              <w:pStyle w:val="TableContents"/>
              <w:bidi w:val="0"/>
              <w:spacing w:before="0" w:after="283"/>
              <w:jc w:val="center"/>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Identifiable intangible assets acquired included $7.5</w:t>
      </w:r>
      <w:r>
        <w:rPr>
          <w:rFonts w:ascii="Times New Roman" w:hAnsi="Times New Roman"/>
          <w:color w:val="000000"/>
          <w:sz w:val="20"/>
        </w:rPr>
        <w:t xml:space="preserve"> </w:t>
      </w:r>
      <w:r>
        <w:rPr>
          <w:rFonts w:ascii="Times New Roman" w:hAnsi="Times New Roman"/>
          <w:b w:val="false"/>
          <w:color w:val="000000"/>
          <w:sz w:val="20"/>
        </w:rPr>
        <w:t>million in a trade name and $19.2</w:t>
      </w:r>
      <w:r>
        <w:rPr>
          <w:rFonts w:ascii="Times New Roman" w:hAnsi="Times New Roman"/>
          <w:color w:val="000000"/>
          <w:sz w:val="20"/>
        </w:rPr>
        <w:t xml:space="preserve"> </w:t>
      </w:r>
      <w:r>
        <w:rPr>
          <w:rFonts w:ascii="Times New Roman" w:hAnsi="Times New Roman"/>
          <w:b w:val="false"/>
          <w:color w:val="000000"/>
          <w:sz w:val="20"/>
        </w:rPr>
        <w:t>million of indefinite-lived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Tennessee Quality Care acquisition accounted for $6.9</w:t>
      </w:r>
      <w:r>
        <w:rPr>
          <w:rFonts w:ascii="Times New Roman" w:hAnsi="Times New Roman"/>
          <w:color w:val="000000"/>
          <w:sz w:val="20"/>
        </w:rPr>
        <w:t xml:space="preserve"> </w:t>
      </w:r>
      <w:r>
        <w:rPr>
          <w:rFonts w:ascii="Times New Roman" w:hAnsi="Times New Roman"/>
          <w:b w:val="false"/>
          <w:color w:val="000000"/>
          <w:sz w:val="20"/>
        </w:rPr>
        <w:t>million of net service revenues and $1.5</w:t>
      </w:r>
      <w:r>
        <w:rPr>
          <w:rFonts w:ascii="Times New Roman" w:hAnsi="Times New Roman"/>
          <w:color w:val="000000"/>
          <w:sz w:val="20"/>
        </w:rPr>
        <w:t xml:space="preserve"> </w:t>
      </w:r>
      <w:r>
        <w:rPr>
          <w:rFonts w:ascii="Times New Roman" w:hAnsi="Times New Roman"/>
          <w:b w:val="false"/>
          <w:color w:val="000000"/>
          <w:sz w:val="20"/>
        </w:rPr>
        <w:t>million of operating income for each of the three and nine months ended September 30, 2023, respectively.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contains unaudited pro forma condensed consolidated income statement information of the Company for the three and nine months ended September 30, 2023 as if the Tennessee Quality Care acquisition closed on January 1, 2022.</w:t>
      </w:r>
    </w:p>
    <w:p>
      <w:pPr>
        <w:pStyle w:val="TextBody"/>
        <w:bidi w:val="0"/>
        <w:jc w:val="left"/>
        <w:rPr/>
      </w:pPr>
      <w:r>
        <w:rPr/>
        <w:t> </w:t>
      </w:r>
    </w:p>
    <w:tbl>
      <w:tblPr>
        <w:tblW w:w="9841" w:type="dxa"/>
        <w:jc w:val="left"/>
        <w:tblInd w:w="0" w:type="dxa"/>
        <w:tblLayout w:type="fixed"/>
        <w:tblCellMar>
          <w:top w:w="28" w:type="dxa"/>
          <w:left w:w="28" w:type="dxa"/>
          <w:bottom w:w="28" w:type="dxa"/>
          <w:right w:w="28" w:type="dxa"/>
        </w:tblCellMar>
      </w:tblPr>
      <w:tblGrid>
        <w:gridCol w:w="2566"/>
        <w:gridCol w:w="146"/>
        <w:gridCol w:w="303"/>
        <w:gridCol w:w="1122"/>
        <w:gridCol w:w="209"/>
        <w:gridCol w:w="209"/>
        <w:gridCol w:w="303"/>
        <w:gridCol w:w="1122"/>
        <w:gridCol w:w="146"/>
        <w:gridCol w:w="146"/>
        <w:gridCol w:w="294"/>
        <w:gridCol w:w="1091"/>
        <w:gridCol w:w="204"/>
        <w:gridCol w:w="204"/>
        <w:gridCol w:w="294"/>
        <w:gridCol w:w="1091"/>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b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br/>
              <w:t>(Amounts 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service revenues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274,559</w:t>
            </w:r>
          </w:p>
        </w:tc>
        <w:tc>
          <w:tcPr>
            <w:tcW w:w="209"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808,408</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730,227</w:t>
            </w:r>
          </w:p>
        </w:tc>
        <w:tc>
          <w:tcPr>
            <w:tcW w:w="3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25,310</w:t>
            </w:r>
          </w:p>
        </w:tc>
        <w:tc>
          <w:tcPr>
            <w:tcW w:w="20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68,951</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53,049</w:t>
            </w:r>
          </w:p>
        </w:tc>
        <w:tc>
          <w:tcPr>
            <w:tcW w:w="3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17,512</w:t>
            </w:r>
          </w:p>
        </w:tc>
        <w:tc>
          <w:tcPr>
            <w:tcW w:w="209"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46,031</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32,695</w:t>
            </w:r>
          </w:p>
        </w:tc>
        <w:tc>
          <w:tcPr>
            <w:tcW w:w="3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per common share</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5" w:type="dxa"/>
            <w:gridSpan w:val="2"/>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138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 income per share</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 income per share</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pro forma disclosures in the table above include adjustments for amortization of intangible assets, tax expense and acquisition costs to reflect results that are more representative of the combined results of the transactions as if the operations of Tennessee Quality Care had been acquired effective January 1, 2022.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Goodwill and Intangible Assets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summary of the goodwill and related adjustments is provided below:</w:t>
      </w:r>
    </w:p>
    <w:p>
      <w:pPr>
        <w:pStyle w:val="TextBody"/>
        <w:bidi w:val="0"/>
        <w:jc w:val="left"/>
        <w:rPr/>
      </w:pPr>
      <w:r>
        <w:rPr/>
        <w:t> </w:t>
      </w:r>
    </w:p>
    <w:tbl>
      <w:tblPr>
        <w:tblW w:w="9213" w:type="dxa"/>
        <w:jc w:val="left"/>
        <w:tblInd w:w="0" w:type="dxa"/>
        <w:tblLayout w:type="fixed"/>
        <w:tblCellMar>
          <w:top w:w="28" w:type="dxa"/>
          <w:left w:w="28" w:type="dxa"/>
          <w:bottom w:w="28" w:type="dxa"/>
          <w:right w:w="28" w:type="dxa"/>
        </w:tblCellMar>
      </w:tblPr>
      <w:tblGrid>
        <w:gridCol w:w="3796"/>
        <w:gridCol w:w="146"/>
        <w:gridCol w:w="211"/>
        <w:gridCol w:w="781"/>
        <w:gridCol w:w="146"/>
        <w:gridCol w:w="146"/>
        <w:gridCol w:w="242"/>
        <w:gridCol w:w="898"/>
        <w:gridCol w:w="146"/>
        <w:gridCol w:w="146"/>
        <w:gridCol w:w="257"/>
        <w:gridCol w:w="823"/>
        <w:gridCol w:w="146"/>
        <w:gridCol w:w="146"/>
        <w:gridCol w:w="211"/>
        <w:gridCol w:w="78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 as of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152,688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582,837</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Additions for acquisitions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79,919</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previously recorded goodwill</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 as of September 30,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662,981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val="false"/>
          <w:color w:val="000000"/>
          <w:sz w:val="20"/>
        </w:rPr>
        <w:t>In connection with the acquisition of Coastal Nursecare of Florida, Inc. (“CareStaff”), the Company recognized goodwill in its personal care segment of $0.6</w:t>
      </w:r>
      <w:r>
        <w:rPr>
          <w:rFonts w:ascii="Times New Roman" w:hAnsi="Times New Roman"/>
          <w:color w:val="000000"/>
          <w:sz w:val="20"/>
        </w:rPr>
        <w:t xml:space="preserve"> </w:t>
      </w:r>
      <w:r>
        <w:rPr>
          <w:rFonts w:ascii="Times New Roman" w:hAnsi="Times New Roman"/>
          <w:b w:val="false"/>
          <w:color w:val="000000"/>
          <w:sz w:val="20"/>
        </w:rPr>
        <w:t>million during the nine months ended September 30, 2023.</w:t>
      </w:r>
    </w:p>
    <w:p>
      <w:pPr>
        <w:pStyle w:val="TextBody"/>
        <w:bidi w:val="0"/>
        <w:jc w:val="left"/>
        <w:rPr>
          <w:rFonts w:ascii="Times New Roman" w:hAnsi="Times New Roman"/>
          <w:sz w:val="20"/>
        </w:rPr>
      </w:pPr>
      <w:r>
        <w:rPr>
          <w:rFonts w:ascii="Times New Roman" w:hAnsi="Times New Roman"/>
          <w:b w:val="false"/>
          <w:color w:val="000000"/>
          <w:sz w:val="20"/>
        </w:rPr>
        <w:t>In connection with the Tennessee Quality Care acquisition, the Company recognized goodwill in its hospice and home health segments of $23.1</w:t>
      </w:r>
      <w:r>
        <w:rPr>
          <w:rFonts w:ascii="Times New Roman" w:hAnsi="Times New Roman"/>
          <w:color w:val="000000"/>
          <w:sz w:val="20"/>
        </w:rPr>
        <w:t xml:space="preserve"> </w:t>
      </w:r>
      <w:r>
        <w:rPr>
          <w:rFonts w:ascii="Times New Roman" w:hAnsi="Times New Roman"/>
          <w:b w:val="false"/>
          <w:color w:val="000000"/>
          <w:sz w:val="20"/>
        </w:rPr>
        <w:t>million and $56.2</w:t>
      </w:r>
      <w:r>
        <w:rPr>
          <w:rFonts w:ascii="Times New Roman" w:hAnsi="Times New Roman"/>
          <w:color w:val="000000"/>
          <w:sz w:val="20"/>
        </w:rPr>
        <w:t xml:space="preserve"> </w:t>
      </w:r>
      <w:r>
        <w:rPr>
          <w:rFonts w:ascii="Times New Roman" w:hAnsi="Times New Roman"/>
          <w:b w:val="false"/>
          <w:color w:val="000000"/>
          <w:sz w:val="20"/>
        </w:rPr>
        <w:t>million during the nine months ended September 30, 2023,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five</w:t>
      </w:r>
      <w:r>
        <w:rPr>
          <w:rFonts w:ascii="Times New Roman" w:hAnsi="Times New Roman"/>
          <w:color w:val="000000"/>
          <w:sz w:val="20"/>
        </w:rPr>
        <w:t xml:space="preserve"> </w:t>
      </w:r>
      <w:r>
        <w:rPr>
          <w:rFonts w:ascii="Times New Roman" w:hAnsi="Times New Roman"/>
          <w:b w:val="false"/>
          <w:color w:val="000000"/>
          <w:sz w:val="20"/>
        </w:rPr>
        <w:t>to twenty-five years. Customer and referral relationships are amortized systematically over the periods of expected economic benefit, which range from five</w:t>
      </w:r>
      <w:r>
        <w:rPr>
          <w:rFonts w:ascii="Times New Roman" w:hAnsi="Times New Roman"/>
          <w:color w:val="000000"/>
          <w:sz w:val="20"/>
        </w:rPr>
        <w:t xml:space="preserve"> </w:t>
      </w:r>
      <w:r>
        <w:rPr>
          <w:rFonts w:ascii="Times New Roman" w:hAnsi="Times New Roman"/>
          <w:b w:val="false"/>
          <w:color w:val="000000"/>
          <w:sz w:val="20"/>
        </w:rPr>
        <w:t>to ten years.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carrying amount and accumulated amortization of each identifiable intangible asset category consisted of the following as of September 30,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92"/>
        <w:gridCol w:w="146"/>
        <w:gridCol w:w="227"/>
        <w:gridCol w:w="794"/>
        <w:gridCol w:w="166"/>
        <w:gridCol w:w="146"/>
        <w:gridCol w:w="211"/>
        <w:gridCol w:w="736"/>
        <w:gridCol w:w="166"/>
        <w:gridCol w:w="146"/>
        <w:gridCol w:w="240"/>
        <w:gridCol w:w="721"/>
        <w:gridCol w:w="166"/>
        <w:gridCol w:w="146"/>
        <w:gridCol w:w="211"/>
        <w:gridCol w:w="676"/>
        <w:gridCol w:w="166"/>
        <w:gridCol w:w="146"/>
        <w:gridCol w:w="211"/>
        <w:gridCol w:w="781"/>
        <w:gridCol w:w="211"/>
      </w:tblGrid>
      <w:tr>
        <w:trPr/>
        <w:tc>
          <w:tcPr>
            <w:tcW w:w="3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Customer</w:t>
              <w:br/>
              <w:t>and referral</w:t>
              <w:br/>
              <w:t>relationships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w:t>
              <w:br/>
              <w:t>names and</w:t>
              <w:br/>
              <w:t>trademarks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competition</w:t>
              <w:br/>
              <w:t>agreements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w:t>
              <w:br/>
              <w:t>Licenses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5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shd w:fill="FFFFFF" w:val="clear"/>
            <w:vAlign w:val="center"/>
          </w:tcPr>
          <w:p>
            <w:pPr>
              <w:pStyle w:val="TableContents"/>
              <w:bidi w:val="0"/>
              <w:spacing w:before="0" w:after="283"/>
              <w:jc w:val="center"/>
              <w:rPr/>
            </w:pPr>
            <w:r>
              <w:rPr/>
              <w:t> </w:t>
            </w:r>
          </w:p>
        </w:tc>
      </w:tr>
      <w:tr>
        <w:trPr/>
        <w:tc>
          <w:tcPr>
            <w:tcW w:w="37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with indefinite lives</w:t>
            </w:r>
          </w:p>
        </w:tc>
        <w:tc>
          <w:tcPr>
            <w:tcW w:w="146" w:type="dxa"/>
            <w:tcBorders/>
            <w:shd w:fill="CFF0FC" w:val="clear"/>
            <w:vAlign w:val="center"/>
          </w:tcPr>
          <w:p>
            <w:pPr>
              <w:pStyle w:val="TableContents"/>
              <w:bidi w:val="0"/>
              <w:spacing w:before="0" w:after="283"/>
              <w:jc w:val="left"/>
              <w:rPr/>
            </w:pPr>
            <w:r>
              <w:rPr/>
              <w:t> </w:t>
            </w:r>
          </w:p>
        </w:tc>
        <w:tc>
          <w:tcPr>
            <w:tcW w:w="22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46,328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46,328</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7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subject to amortization:</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7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carrying amount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59,567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123,694</w:t>
            </w:r>
          </w:p>
        </w:tc>
        <w:tc>
          <w:tcPr>
            <w:tcW w:w="211" w:type="dxa"/>
            <w:tcBorders/>
            <w:shd w:fill="CFF0FC" w:val="clear"/>
            <w:vAlign w:val="center"/>
          </w:tcPr>
          <w:p>
            <w:pPr>
              <w:pStyle w:val="TableContents"/>
              <w:bidi w:val="0"/>
              <w:spacing w:before="0" w:after="283"/>
              <w:jc w:val="left"/>
              <w:rPr/>
            </w:pPr>
            <w:r>
              <w:rPr/>
              <w:t> </w:t>
            </w:r>
          </w:p>
        </w:tc>
      </w:tr>
      <w:tr>
        <w:trPr/>
        <w:tc>
          <w:tcPr>
            <w:tcW w:w="37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amortization</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(76,223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subject to amortization, net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intangible assets at September 30, 2023</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connection with the Tennessee Quality Care acquisition, the Company recognized a trade name of $2.1</w:t>
      </w:r>
      <w:r>
        <w:rPr>
          <w:rFonts w:ascii="Times New Roman" w:hAnsi="Times New Roman"/>
          <w:color w:val="000000"/>
          <w:sz w:val="20"/>
        </w:rPr>
        <w:t xml:space="preserve"> </w:t>
      </w:r>
      <w:r>
        <w:rPr>
          <w:rFonts w:ascii="Times New Roman" w:hAnsi="Times New Roman"/>
          <w:b w:val="false"/>
          <w:color w:val="000000"/>
          <w:sz w:val="20"/>
        </w:rPr>
        <w:t>million and indefinite-lived state licenses of $7.6</w:t>
      </w:r>
      <w:r>
        <w:rPr>
          <w:rFonts w:ascii="Times New Roman" w:hAnsi="Times New Roman"/>
          <w:color w:val="000000"/>
          <w:sz w:val="20"/>
        </w:rPr>
        <w:t xml:space="preserve"> </w:t>
      </w:r>
      <w:r>
        <w:rPr>
          <w:rFonts w:ascii="Times New Roman" w:hAnsi="Times New Roman"/>
          <w:b w:val="false"/>
          <w:color w:val="000000"/>
          <w:sz w:val="20"/>
        </w:rPr>
        <w:t>million in its hospice segment during the nine months ended September 30, 2023. The Company recognized a trade name of $5.4</w:t>
      </w:r>
      <w:r>
        <w:rPr>
          <w:rFonts w:ascii="Times New Roman" w:hAnsi="Times New Roman"/>
          <w:color w:val="000000"/>
          <w:sz w:val="20"/>
        </w:rPr>
        <w:t xml:space="preserve"> </w:t>
      </w:r>
      <w:r>
        <w:rPr>
          <w:rFonts w:ascii="Times New Roman" w:hAnsi="Times New Roman"/>
          <w:b w:val="false"/>
          <w:color w:val="000000"/>
          <w:sz w:val="20"/>
        </w:rPr>
        <w:t>million and indefinite-lived state licenses of $11.6</w:t>
      </w:r>
      <w:r>
        <w:rPr>
          <w:rFonts w:ascii="Times New Roman" w:hAnsi="Times New Roman"/>
          <w:color w:val="000000"/>
          <w:sz w:val="20"/>
        </w:rPr>
        <w:t xml:space="preserve"> </w:t>
      </w:r>
      <w:r>
        <w:rPr>
          <w:rFonts w:ascii="Times New Roman" w:hAnsi="Times New Roman"/>
          <w:b w:val="false"/>
          <w:color w:val="000000"/>
          <w:sz w:val="20"/>
        </w:rPr>
        <w:t>million in its home health segment during the nine months ended September 30, 2023. See Note 4 for additional information regarding the acquisition.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Amortization expense related to the intangible assets was</w:t>
      </w:r>
      <w:r>
        <w:rPr>
          <w:rFonts w:ascii="Times New Roman" w:hAnsi="Times New Roman"/>
          <w:color w:val="000000"/>
          <w:sz w:val="20"/>
        </w:rPr>
        <w:t xml:space="preserve"> </w:t>
      </w:r>
      <w:r>
        <w:rPr>
          <w:rFonts w:ascii="Times New Roman" w:hAnsi="Times New Roman"/>
          <w:b w:val="false"/>
          <w:color w:val="000000"/>
          <w:sz w:val="20"/>
        </w:rPr>
        <w:t>$1.8</w:t>
      </w:r>
      <w:r>
        <w:rPr>
          <w:rFonts w:ascii="Times New Roman" w:hAnsi="Times New Roman"/>
          <w:color w:val="000000"/>
          <w:sz w:val="20"/>
        </w:rPr>
        <w:t xml:space="preserve"> </w:t>
      </w:r>
      <w:r>
        <w:rPr>
          <w:rFonts w:ascii="Times New Roman" w:hAnsi="Times New Roman"/>
          <w:b w:val="false"/>
          <w:color w:val="000000"/>
          <w:sz w:val="20"/>
        </w:rPr>
        <w:t>million and $5.3</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and $1.8</w:t>
      </w:r>
      <w:r>
        <w:rPr>
          <w:rFonts w:ascii="Times New Roman" w:hAnsi="Times New Roman"/>
          <w:color w:val="000000"/>
          <w:sz w:val="20"/>
        </w:rPr>
        <w:t xml:space="preserve"> </w:t>
      </w:r>
      <w:r>
        <w:rPr>
          <w:rFonts w:ascii="Times New Roman" w:hAnsi="Times New Roman"/>
          <w:b w:val="false"/>
          <w:color w:val="000000"/>
          <w:sz w:val="20"/>
        </w:rPr>
        <w:t>million and $5.4</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w:t>
      </w:r>
      <w:r>
        <w:rPr>
          <w:rFonts w:ascii="Times New Roman" w:hAnsi="Times New Roman"/>
          <w:color w:val="000000"/>
          <w:sz w:val="20"/>
        </w:rPr>
        <w:t xml:space="preserve"> </w:t>
      </w:r>
      <w:r>
        <w:rPr>
          <w:rFonts w:ascii="Times New Roman" w:hAnsi="Times New Roman"/>
          <w:b w:val="false"/>
          <w:color w:val="000000"/>
          <w:sz w:val="20"/>
        </w:rPr>
        <w:t>The weighted average remaining useful lives of identifiable intangible assets as of September 30, 2023</w:t>
      </w:r>
      <w:r>
        <w:rPr>
          <w:rFonts w:ascii="Times New Roman" w:hAnsi="Times New Roman"/>
          <w:color w:val="000000"/>
          <w:sz w:val="20"/>
        </w:rPr>
        <w:t xml:space="preserve"> </w:t>
      </w:r>
      <w:r>
        <w:rPr>
          <w:rFonts w:ascii="Times New Roman" w:hAnsi="Times New Roman"/>
          <w:b w:val="false"/>
          <w:color w:val="000000"/>
          <w:sz w:val="20"/>
        </w:rPr>
        <w:t>was 10.3</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Details of Certain Balance Sheet Accounts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Prepaid expenses and other current assets consisted of the following:</w:t>
      </w:r>
    </w:p>
    <w:p>
      <w:pPr>
        <w:pStyle w:val="TextBody"/>
        <w:bidi w:val="0"/>
        <w:jc w:val="left"/>
        <w:rPr/>
      </w:pPr>
      <w:r>
        <w:rPr/>
        <w:t> </w:t>
      </w:r>
    </w:p>
    <w:tbl>
      <w:tblPr>
        <w:tblW w:w="8175" w:type="dxa"/>
        <w:jc w:val="left"/>
        <w:tblInd w:w="0" w:type="dxa"/>
        <w:tblLayout w:type="fixed"/>
        <w:tblCellMar>
          <w:top w:w="28" w:type="dxa"/>
          <w:left w:w="28" w:type="dxa"/>
          <w:bottom w:w="28" w:type="dxa"/>
          <w:right w:w="28" w:type="dxa"/>
        </w:tblCellMar>
      </w:tblPr>
      <w:tblGrid>
        <w:gridCol w:w="4501"/>
        <w:gridCol w:w="146"/>
        <w:gridCol w:w="367"/>
        <w:gridCol w:w="1178"/>
        <w:gridCol w:w="146"/>
        <w:gridCol w:w="146"/>
        <w:gridCol w:w="357"/>
        <w:gridCol w:w="1143"/>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shd w:fill="FFFFFF" w:val="clear"/>
            <w:vAlign w:val="center"/>
          </w:tcPr>
          <w:p>
            <w:pPr>
              <w:pStyle w:val="TableContents"/>
              <w:bidi w:val="0"/>
              <w:spacing w:before="0" w:after="283"/>
              <w:jc w:val="center"/>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payroll</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7,566</w:t>
            </w:r>
          </w:p>
        </w:tc>
        <w:tc>
          <w:tcPr>
            <w:tcW w:w="191" w:type="dxa"/>
            <w:tcBorders/>
            <w:shd w:fill="CFF0FC" w:val="clear"/>
            <w:vAlign w:val="center"/>
          </w:tcPr>
          <w:p>
            <w:pPr>
              <w:pStyle w:val="TableContents"/>
              <w:bidi w:val="0"/>
              <w:spacing w:before="0" w:after="283"/>
              <w:jc w:val="left"/>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workers' compensation and liability insurance</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3,399</w:t>
            </w:r>
          </w:p>
        </w:tc>
        <w:tc>
          <w:tcPr>
            <w:tcW w:w="191" w:type="dxa"/>
            <w:tcBorders/>
            <w:shd w:fill="FFFFFF" w:val="clear"/>
            <w:vAlign w:val="center"/>
          </w:tcPr>
          <w:p>
            <w:pPr>
              <w:pStyle w:val="TableContents"/>
              <w:bidi w:val="0"/>
              <w:spacing w:before="0" w:after="283"/>
              <w:jc w:val="lef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licensing fees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3,722</w:t>
            </w:r>
          </w:p>
        </w:tc>
        <w:tc>
          <w:tcPr>
            <w:tcW w:w="191" w:type="dxa"/>
            <w:tcBorders/>
            <w:shd w:fill="CFF0FC" w:val="clear"/>
            <w:vAlign w:val="center"/>
          </w:tcPr>
          <w:p>
            <w:pPr>
              <w:pStyle w:val="TableContents"/>
              <w:bidi w:val="0"/>
              <w:spacing w:before="0" w:after="283"/>
              <w:jc w:val="left"/>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Workers' compensation insurance receivable</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w:t>
            </w:r>
          </w:p>
        </w:tc>
        <w:tc>
          <w:tcPr>
            <w:tcW w:w="191" w:type="dxa"/>
            <w:tcBorders/>
            <w:shd w:fill="FFFFFF" w:val="clear"/>
            <w:vAlign w:val="center"/>
          </w:tcPr>
          <w:p>
            <w:pPr>
              <w:pStyle w:val="TableContents"/>
              <w:bidi w:val="0"/>
              <w:spacing w:before="0" w:after="283"/>
              <w:jc w:val="lef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Accrued expenses consisted of the following:</w:t>
      </w:r>
    </w:p>
    <w:p>
      <w:pPr>
        <w:pStyle w:val="TextBody"/>
        <w:bidi w:val="0"/>
        <w:jc w:val="left"/>
        <w:rPr/>
      </w:pPr>
      <w:r>
        <w:rPr/>
        <w:t> </w:t>
      </w:r>
    </w:p>
    <w:tbl>
      <w:tblPr>
        <w:tblW w:w="6375" w:type="dxa"/>
        <w:jc w:val="left"/>
        <w:tblInd w:w="0" w:type="dxa"/>
        <w:tblLayout w:type="fixed"/>
        <w:tblCellMar>
          <w:top w:w="28" w:type="dxa"/>
          <w:left w:w="28" w:type="dxa"/>
          <w:bottom w:w="28" w:type="dxa"/>
          <w:right w:w="28" w:type="dxa"/>
        </w:tblCellMar>
      </w:tblPr>
      <w:tblGrid>
        <w:gridCol w:w="2701"/>
        <w:gridCol w:w="146"/>
        <w:gridCol w:w="367"/>
        <w:gridCol w:w="1178"/>
        <w:gridCol w:w="146"/>
        <w:gridCol w:w="146"/>
        <w:gridCol w:w="357"/>
        <w:gridCol w:w="1143"/>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health benefits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5,152</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Payor advances (1)</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4,473</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professional fees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3,576</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payroll and other taxes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6,175</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rFonts w:ascii="Times New Roman" w:hAnsi="Times New Roman"/>
          <w:b w:val="false"/>
          <w:color w:val="000000"/>
          <w:sz w:val="18"/>
        </w:rPr>
      </w:pPr>
      <w:r>
        <w:rPr>
          <w:rFonts w:ascii="Times New Roman" w:hAnsi="Times New Roman"/>
          <w:b w:val="false"/>
          <w:color w:val="000000"/>
          <w:sz w:val="18"/>
        </w:rPr>
        <w:t>(1)</w:t>
      </w:r>
    </w:p>
    <w:p>
      <w:pPr>
        <w:pStyle w:val="TextBody"/>
        <w:bidi w:val="0"/>
        <w:spacing w:before="0" w:after="160"/>
        <w:jc w:val="left"/>
        <w:rPr>
          <w:rFonts w:ascii="Times New Roman" w:hAnsi="Times New Roman"/>
          <w:b w:val="false"/>
          <w:color w:val="000000"/>
          <w:sz w:val="18"/>
        </w:rPr>
      </w:pPr>
      <w:r>
        <w:rPr>
          <w:rFonts w:ascii="Times New Roman" w:hAnsi="Times New Roman"/>
          <w:b w:val="false"/>
          <w:color w:val="000000"/>
          <w:sz w:val="18"/>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Government Actions to Mitigate COVID-19’s Impact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acute phase of the coronavirus (“COVID-19”) global pandemic has faded, but the future course of COVID-19 remains uncertain. We will continue to closely monitor the impact of COVID-19 on all aspects of our business, including the impacts to our employees, patients and suppliers.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recognition of the significant threat to the liquidity of financial markets posed by the COVID-19 pandemic, the Federal Reserve and Congress took dramatic actions to provide liquidity to businesses and the banking system in the United States, including relief for healthcare providers in the Coronavirus Aid, Relief, and Economic Security Act (“CARES Act”), which was expanded by the Paycheck Protection Program and Health Care Enhancement (“PPPHCE”) Act, and the Consolidated Appropriations Act (“CAA”), as well as the American Rescue Plan Act of 2021 (“ARPA”).</w:t>
      </w:r>
    </w:p>
    <w:p>
      <w:pPr>
        <w:pStyle w:val="TextBody"/>
        <w:bidi w:val="0"/>
        <w:spacing w:before="360" w:after="120"/>
        <w:jc w:val="left"/>
        <w:rPr>
          <w:rFonts w:ascii="Times New Roman" w:hAnsi="Times New Roman"/>
          <w:b w:val="false"/>
          <w:i/>
          <w:color w:val="000000"/>
          <w:sz w:val="20"/>
        </w:rPr>
      </w:pPr>
      <w:r>
        <w:rPr>
          <w:rFonts w:ascii="Times New Roman" w:hAnsi="Times New Roman"/>
          <w:b w:val="false"/>
          <w:i/>
          <w:color w:val="000000"/>
          <w:sz w:val="20"/>
        </w:rPr>
        <w:t>ARPA Spending Plans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ARPA provides for $350</w:t>
      </w:r>
      <w:r>
        <w:rPr>
          <w:rFonts w:ascii="Times New Roman" w:hAnsi="Times New Roman"/>
          <w:color w:val="000000"/>
          <w:sz w:val="20"/>
        </w:rPr>
        <w:t xml:space="preserve"> </w:t>
      </w:r>
      <w:r>
        <w:rPr>
          <w:rFonts w:ascii="Times New Roman" w:hAnsi="Times New Roman"/>
          <w:b w:val="false"/>
          <w:color w:val="000000"/>
          <w:sz w:val="20"/>
        </w:rPr>
        <w:t>billion in relief funding for eligible state, local, territorial, and Tribal governments to mitigate the fiscal effects of the COVID-19 public health emergency. Additionally, the law provides for a 10-percentage point increase in federal matching funds for Medicaid home and community-based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During the nine months ended September 30, 2023, the Company received additional state funding provided by the ARPA in an aggregate amount of $2.0</w:t>
      </w:r>
      <w:r>
        <w:rPr>
          <w:rFonts w:ascii="Times New Roman" w:hAnsi="Times New Roman"/>
          <w:color w:val="000000"/>
          <w:sz w:val="20"/>
        </w:rPr>
        <w:t xml:space="preserve"> </w:t>
      </w:r>
      <w:r>
        <w:rPr>
          <w:rFonts w:ascii="Times New Roman" w:hAnsi="Times New Roman"/>
          <w:b w:val="false"/>
          <w:color w:val="000000"/>
          <w:sz w:val="20"/>
        </w:rPr>
        <w:t>million. The Company recorded revenue of $0.2</w:t>
      </w:r>
      <w:r>
        <w:rPr>
          <w:rFonts w:ascii="Times New Roman" w:hAnsi="Times New Roman"/>
          <w:color w:val="000000"/>
          <w:sz w:val="20"/>
        </w:rPr>
        <w:t xml:space="preserve"> </w:t>
      </w:r>
      <w:r>
        <w:rPr>
          <w:rFonts w:ascii="Times New Roman" w:hAnsi="Times New Roman"/>
          <w:b w:val="false"/>
          <w:color w:val="000000"/>
          <w:sz w:val="20"/>
        </w:rPr>
        <w:t>million for certain states that met the revenue recognition criteria. The Company deferred the remaining $1.8</w:t>
      </w:r>
      <w:r>
        <w:rPr>
          <w:rFonts w:ascii="Times New Roman" w:hAnsi="Times New Roman"/>
          <w:color w:val="000000"/>
          <w:sz w:val="20"/>
        </w:rPr>
        <w:t xml:space="preserve"> </w:t>
      </w:r>
      <w:r>
        <w:rPr>
          <w:rFonts w:ascii="Times New Roman" w:hAnsi="Times New Roman"/>
          <w:b w:val="false"/>
          <w:color w:val="000000"/>
          <w:sz w:val="20"/>
        </w:rPr>
        <w:t>million, which was received from states with specific spending plans and reporting requirements. Of the total state funding received by the Company pursuant to the ARPA through September 30, 2023, the Company utilized $2.1</w:t>
      </w:r>
      <w:r>
        <w:rPr>
          <w:rFonts w:ascii="Times New Roman" w:hAnsi="Times New Roman"/>
          <w:color w:val="000000"/>
          <w:sz w:val="20"/>
        </w:rPr>
        <w:t xml:space="preserve"> </w:t>
      </w:r>
      <w:r>
        <w:rPr>
          <w:rFonts w:ascii="Times New Roman" w:hAnsi="Times New Roman"/>
          <w:b w:val="false"/>
          <w:color w:val="000000"/>
          <w:sz w:val="20"/>
        </w:rPr>
        <w:t>million and $6.9</w:t>
      </w:r>
      <w:r>
        <w:rPr>
          <w:rFonts w:ascii="Times New Roman" w:hAnsi="Times New Roman"/>
          <w:color w:val="000000"/>
          <w:sz w:val="20"/>
        </w:rPr>
        <w:t xml:space="preserve"> </w:t>
      </w:r>
      <w:r>
        <w:rPr>
          <w:rFonts w:ascii="Times New Roman" w:hAnsi="Times New Roman"/>
          <w:b w:val="false"/>
          <w:color w:val="000000"/>
          <w:sz w:val="20"/>
        </w:rPr>
        <w:t>million during the three and nine months ended September 30, 2023, respectively, primarily for caregivers and adding support to recruiting and retention efforts, and included as a reduction of cost of service revenues in the Company’s Unaudited Condensed Consolidated Statements of Income. As of September 30, 2023, the deferred portion of ARPA funding of $7.8</w:t>
      </w:r>
      <w:r>
        <w:rPr>
          <w:rFonts w:ascii="Times New Roman" w:hAnsi="Times New Roman"/>
          <w:color w:val="000000"/>
          <w:sz w:val="20"/>
        </w:rPr>
        <w:t xml:space="preserve"> </w:t>
      </w:r>
      <w:r>
        <w:rPr>
          <w:rFonts w:ascii="Times New Roman" w:hAnsi="Times New Roman"/>
          <w:b w:val="false"/>
          <w:color w:val="000000"/>
          <w:sz w:val="20"/>
        </w:rPr>
        <w:t>million is included within Government stimulus advances on the Company’s Unaudited Condensed Consolidated Balance Sheets.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Medicare sequester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CARES Act and related laws temporarily lifted the Medicare sequester which would have otherwise reduced payments to Medicare providers by 2%, as required by the Budget Control Act of 2011, from May 1, 2020, through March 31, 2022. The sequestration payment adjustment was phased back in with a 1% reduction beginning April 1, 2022, and returned to 2% on July 1, 2022. These sequestration cuts have been extended through the first six months of 2032.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ARPA increases the federal budget deficit in a manner that triggers an additional statutorily mandated sequestration under the Pay-As-You-Go Act of 2010 (“PAYGO Act”). As a result, an additional Medicare payment reduction of up to 4% was required to take effect in January 2022. However, Congress delayed implementation of this payment reduction until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hospice segment, Medicare sequester relief resulted in an increase in net service revenues of $1.4</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2022. In the home health segment, Medicare sequester relief resulted in an increase in net service revenues of $0.3</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Long-Term Debt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Long-term debt consisted of the following:</w:t>
      </w:r>
    </w:p>
    <w:p>
      <w:pPr>
        <w:pStyle w:val="TextBody"/>
        <w:bidi w:val="0"/>
        <w:jc w:val="left"/>
        <w:rPr/>
      </w:pPr>
      <w:r>
        <w:rPr/>
        <w:t> </w:t>
      </w:r>
    </w:p>
    <w:tbl>
      <w:tblPr>
        <w:tblW w:w="7060" w:type="dxa"/>
        <w:jc w:val="left"/>
        <w:tblInd w:w="0" w:type="dxa"/>
        <w:tblLayout w:type="fixed"/>
        <w:tblCellMar>
          <w:top w:w="28" w:type="dxa"/>
          <w:left w:w="28" w:type="dxa"/>
          <w:bottom w:w="28" w:type="dxa"/>
          <w:right w:w="28" w:type="dxa"/>
        </w:tblCellMar>
      </w:tblPr>
      <w:tblGrid>
        <w:gridCol w:w="3346"/>
        <w:gridCol w:w="146"/>
        <w:gridCol w:w="328"/>
        <w:gridCol w:w="1217"/>
        <w:gridCol w:w="166"/>
        <w:gridCol w:w="146"/>
        <w:gridCol w:w="319"/>
        <w:gridCol w:w="1181"/>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shd w:fill="FFFFFF" w:val="cle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Revolving loan under the credit facility</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166,353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134,853</w:t>
            </w:r>
          </w:p>
        </w:tc>
        <w:tc>
          <w:tcPr>
            <w:tcW w:w="2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unamortized issuance costs</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131,772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Amended and Restated Senior Secured Credit Facility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31, 2018, the Company entered into the Amended and Restated Credit Agreement, with certain lenders and Capital One, National Association, as a lender and as agent for all lenders, as amended by the First Amendment to Amended and Restated Credit Agreement, dated as of September 12, 2019, as further amended by the Second Amendment to Amended and Restated Credit Agreement, dated as of July 30, 2021, and as further amended by the Third Amendment to Amended and Restated Credit Agreement, dated as of April 26, 2023 (as described below, the “Third Amendment”) (as amended, the “Credit Agreement,” as used throughout this Quarterly Report on Form 10-Q, “credit facility” shall mean the credit facility evidenced by the Credit Agreement). The credit facility consists of a $600.0</w:t>
      </w:r>
      <w:r>
        <w:rPr>
          <w:rFonts w:ascii="Times New Roman" w:hAnsi="Times New Roman"/>
          <w:color w:val="000000"/>
          <w:sz w:val="20"/>
        </w:rPr>
        <w:t xml:space="preserve"> </w:t>
      </w:r>
      <w:r>
        <w:rPr>
          <w:rFonts w:ascii="Times New Roman" w:hAnsi="Times New Roman"/>
          <w:b w:val="false"/>
          <w:color w:val="000000"/>
          <w:sz w:val="20"/>
        </w:rPr>
        <w:t>million revolving credit facility and a $125.0</w:t>
      </w:r>
      <w:r>
        <w:rPr>
          <w:rFonts w:ascii="Times New Roman" w:hAnsi="Times New Roman"/>
          <w:color w:val="000000"/>
          <w:sz w:val="20"/>
        </w:rPr>
        <w:t xml:space="preserve"> </w:t>
      </w:r>
      <w:r>
        <w:rPr>
          <w:rFonts w:ascii="Times New Roman" w:hAnsi="Times New Roman"/>
          <w:b w:val="false"/>
          <w:color w:val="000000"/>
          <w:sz w:val="20"/>
        </w:rPr>
        <w:t>million incremental loan facility, which incremental loan facility may be for term loans or an increase to the revolving loan commitments. The maturity of this credit facility is July 30, 2026. On April 26, 2023, the Company entered into the Third Amendment to replace LIBOR with SOFR as the benchmark reference rate for loans under its credit facility. The Third Amendment did not amend any other terms of the Credit Agreement. 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SOFR (as published by the CME Group Benchmark Administrative Limited) for an interest period of one month for such applicable day plus 0.10% (not to be less than 0.00%), plus a margin of 1.00% or (y) the sum of (i) an applicable margin ranging from 1.75% to 2.50% based on the applicable senior net leverage ratio plus (ii) the rate per annum equal to the sum of Term SOFR (as published by the CME Group Benchmark Administrative Limited) for the applicable interest period plus 0.10% (not to be less than zero). Swing loans may not be SOFR loans. The transition to SOFR did not and is not expected to have a material impact on the Company’s results of operations or liquidity.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pays a fee ranging from 0.20% to 0.35% based on the applicable senior net leverage ratio times the unused portion of the revolving loan portion of the credit facility.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w:t>
      </w:r>
      <w:r>
        <w:rPr>
          <w:rFonts w:ascii="Times New Roman" w:hAnsi="Times New Roman"/>
          <w:color w:val="000000"/>
          <w:sz w:val="20"/>
        </w:rPr>
        <w:t xml:space="preserve"> </w:t>
      </w:r>
      <w:r>
        <w:rPr>
          <w:rFonts w:ascii="Times New Roman" w:hAnsi="Times New Roman"/>
          <w:b w:val="false"/>
          <w:color w:val="000000"/>
          <w:sz w:val="20"/>
        </w:rPr>
        <w:t>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nine months ended September 30, 2023, the Company (i) drew $110.0</w:t>
      </w:r>
      <w:r>
        <w:rPr>
          <w:rFonts w:ascii="Times New Roman" w:hAnsi="Times New Roman"/>
          <w:color w:val="000000"/>
          <w:sz w:val="20"/>
        </w:rPr>
        <w:t xml:space="preserve"> </w:t>
      </w:r>
      <w:r>
        <w:rPr>
          <w:rFonts w:ascii="Times New Roman" w:hAnsi="Times New Roman"/>
          <w:b w:val="false"/>
          <w:color w:val="000000"/>
          <w:sz w:val="20"/>
        </w:rPr>
        <w:t>million under its credit facility to fund, in part, the Tennessee Quality Care acquisition and (ii) repaid $78.5</w:t>
      </w:r>
      <w:r>
        <w:rPr>
          <w:rFonts w:ascii="Times New Roman" w:hAnsi="Times New Roman"/>
          <w:color w:val="000000"/>
          <w:sz w:val="20"/>
        </w:rPr>
        <w:t xml:space="preserve"> </w:t>
      </w:r>
      <w:r>
        <w:rPr>
          <w:rFonts w:ascii="Times New Roman" w:hAnsi="Times New Roman"/>
          <w:b w:val="false"/>
          <w:color w:val="000000"/>
          <w:sz w:val="20"/>
        </w:rPr>
        <w:t>million under the revolving credit facility. During the nine months ended September 30, 2022, the Company drew $47.0</w:t>
      </w:r>
      <w:r>
        <w:rPr>
          <w:rFonts w:ascii="Times New Roman" w:hAnsi="Times New Roman"/>
          <w:color w:val="000000"/>
          <w:sz w:val="20"/>
        </w:rPr>
        <w:t xml:space="preserve"> </w:t>
      </w:r>
      <w:r>
        <w:rPr>
          <w:rFonts w:ascii="Times New Roman" w:hAnsi="Times New Roman"/>
          <w:b w:val="false"/>
          <w:color w:val="000000"/>
          <w:sz w:val="20"/>
        </w:rPr>
        <w:t>million under its credit facility to fund, in part, the acquisition of the operations of JourneyCare Inc. (“JourneyCare”) and the acquisition of Apple Home HealthCare, LTD (“Apple Home”).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At September 30, 2023, the Company had a total of $166.4</w:t>
      </w:r>
      <w:r>
        <w:rPr>
          <w:rFonts w:ascii="Times New Roman" w:hAnsi="Times New Roman"/>
          <w:color w:val="000000"/>
          <w:sz w:val="20"/>
        </w:rPr>
        <w:t xml:space="preserve"> </w:t>
      </w:r>
      <w:r>
        <w:rPr>
          <w:rFonts w:ascii="Times New Roman" w:hAnsi="Times New Roman"/>
          <w:b w:val="false"/>
          <w:color w:val="000000"/>
          <w:sz w:val="20"/>
        </w:rPr>
        <w:t>million of revolving loans, with an interest rate of 7.17%, outstanding on its credit facility. After giving effect to the amount drawn on its credit facility, approximately $8.1</w:t>
      </w:r>
      <w:r>
        <w:rPr>
          <w:rFonts w:ascii="Times New Roman" w:hAnsi="Times New Roman"/>
          <w:color w:val="000000"/>
          <w:sz w:val="20"/>
        </w:rPr>
        <w:t xml:space="preserve"> </w:t>
      </w:r>
      <w:r>
        <w:rPr>
          <w:rFonts w:ascii="Times New Roman" w:hAnsi="Times New Roman"/>
          <w:b w:val="false"/>
          <w:color w:val="000000"/>
          <w:sz w:val="20"/>
        </w:rPr>
        <w:t>million of outstanding letters of credit and borrowing limits based on an advance multiple of adjusted EBITDA (as defined in the Credit Agreement), the Company had $450.0</w:t>
      </w:r>
      <w:r>
        <w:rPr>
          <w:rFonts w:ascii="Times New Roman" w:hAnsi="Times New Roman"/>
          <w:color w:val="000000"/>
          <w:sz w:val="20"/>
        </w:rPr>
        <w:t xml:space="preserve"> </w:t>
      </w:r>
      <w:r>
        <w:rPr>
          <w:rFonts w:ascii="Times New Roman" w:hAnsi="Times New Roman"/>
          <w:b w:val="false"/>
          <w:color w:val="000000"/>
          <w:sz w:val="20"/>
        </w:rPr>
        <w:t>million of capacity and $275.6</w:t>
      </w:r>
      <w:r>
        <w:rPr>
          <w:rFonts w:ascii="Times New Roman" w:hAnsi="Times New Roman"/>
          <w:color w:val="000000"/>
          <w:sz w:val="20"/>
        </w:rPr>
        <w:t xml:space="preserve"> </w:t>
      </w:r>
      <w:r>
        <w:rPr>
          <w:rFonts w:ascii="Times New Roman" w:hAnsi="Times New Roman"/>
          <w:b w:val="false"/>
          <w:color w:val="000000"/>
          <w:sz w:val="20"/>
        </w:rPr>
        <w:t>million available for borrowing under its credit facility.</w:t>
      </w:r>
      <w:r>
        <w:rPr>
          <w:rFonts w:ascii="Times New Roman" w:hAnsi="Times New Roman"/>
          <w:color w:val="000000"/>
          <w:sz w:val="20"/>
        </w:rPr>
        <w:t xml:space="preserve"> </w:t>
      </w:r>
      <w:r>
        <w:rPr>
          <w:rFonts w:ascii="Times New Roman" w:hAnsi="Times New Roman"/>
          <w:b w:val="false"/>
          <w:color w:val="000000"/>
          <w:sz w:val="20"/>
        </w:rPr>
        <w:t>As of December 31, 2022, the Company had a total of $134.9</w:t>
      </w:r>
      <w:r>
        <w:rPr>
          <w:rFonts w:ascii="Times New Roman" w:hAnsi="Times New Roman"/>
          <w:color w:val="000000"/>
          <w:sz w:val="20"/>
        </w:rPr>
        <w:t xml:space="preserve"> </w:t>
      </w:r>
      <w:r>
        <w:rPr>
          <w:rFonts w:ascii="Times New Roman" w:hAnsi="Times New Roman"/>
          <w:b w:val="false"/>
          <w:color w:val="000000"/>
          <w:sz w:val="20"/>
        </w:rPr>
        <w:t>million of revolving loans, with an interest rate of 6.13%, outstanding on its credit facility.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the Company was in compliance with all financial covenants under the Credit Agreement.</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effective income tax rates were 23.8%</w:t>
      </w:r>
      <w:r>
        <w:rPr>
          <w:rFonts w:ascii="Times New Roman" w:hAnsi="Times New Roman"/>
          <w:color w:val="000000"/>
          <w:sz w:val="20"/>
        </w:rPr>
        <w:t xml:space="preserve"> </w:t>
      </w:r>
      <w:r>
        <w:rPr>
          <w:rFonts w:ascii="Times New Roman" w:hAnsi="Times New Roman"/>
          <w:b w:val="false"/>
          <w:color w:val="000000"/>
          <w:sz w:val="20"/>
        </w:rPr>
        <w:t>and 23.7%</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respectively. The effective income tax rates were 23.3% and 25.4% for the nine months ended September 30, 2023 and 2022, respectively. The difference between our federal statutory rate of 21% and our effective income tax rates is principally due to the inclusion of state taxes and non-deductible compensation, partially offset by the use of federal employment tax credits.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the Company is subject to legal and/or administrative proceedings incidental to its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June 2, 2021, the Company received a $6.5</w:t>
      </w:r>
      <w:r>
        <w:rPr>
          <w:rFonts w:ascii="Times New Roman" w:hAnsi="Times New Roman"/>
          <w:color w:val="000000"/>
          <w:sz w:val="20"/>
        </w:rPr>
        <w:t xml:space="preserve"> </w:t>
      </w:r>
      <w:r>
        <w:rPr>
          <w:rFonts w:ascii="Times New Roman" w:hAnsi="Times New Roman"/>
          <w:b w:val="false"/>
          <w:color w:val="000000"/>
          <w:sz w:val="20"/>
        </w:rPr>
        <w:t>million Request for Repayment from Palmetto, GBA, LLC (“Palmetto”), a Medicare administrative contractor, regarding Ambercare Hospice Inc. (“Ambercare”), our subsidiary that provides hospice services in New Mexico. In 2018, the Office of Audit Services (“OAS”), under the HHS Office of Inspector General, initiated a clinical review of certain hospice claims billed during a timeframe from January 1, 2016 to December 31, 2017. The OAS review concluded that certain payments to Ambercare for hospice services during the review period were made in error. The Company acquired Ambercare in May 2018 and has a contractual right to full indemnification from any potential losses from the OAS review and has been fully reimbursed for the amount of the Request for Repayment through the terms of the Ambercare purchase agreement. The Company disputes the results of the OAS review and related asserted billing errors and is in the process of filing administrative appeals. At this stage, the Company cannot predict the ultimate outcome of the appeal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It is the opinion of management that the outcome of pending legal and/or administrative proceedings will not have a material effect on the Company’s Unaudited Condensed Consolidated Balance Sheets and Unaudited Condensed Consolidated Statements of Income.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w:t>
      </w:r>
      <w:r>
        <w:rPr>
          <w:rFonts w:ascii="Times New Roman" w:hAnsi="Times New Roman"/>
          <w:color w:val="000000"/>
          <w:sz w:val="20"/>
        </w:rPr>
        <w:t xml:space="preserve"> </w:t>
      </w:r>
      <w:r>
        <w:rPr>
          <w:rFonts w:ascii="Times New Roman" w:hAnsi="Times New Roman"/>
          <w:b w:val="false"/>
          <w:color w:val="000000"/>
          <w:sz w:val="20"/>
        </w:rPr>
        <w:t>distinct but related business segments providing in-home services.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tables below set forth information about the Company’s reportable segments, along with the items necessary to reconcile the segment information to the totals reported in the accompanying Unaudited Condensed Consolidated Financial Statements. Segment assets are not reviewed by the Company’s chief operating decision maker function and therefore are not disclosed below.</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pStyle w:val="TextBody"/>
        <w:bidi w:val="0"/>
        <w:jc w:val="left"/>
        <w:rPr/>
      </w:pPr>
      <w:r>
        <w:rPr/>
        <w:t> </w:t>
      </w:r>
    </w:p>
    <w:tbl>
      <w:tblPr>
        <w:tblW w:w="8148" w:type="dxa"/>
        <w:jc w:val="left"/>
        <w:tblInd w:w="0" w:type="dxa"/>
        <w:tblLayout w:type="fixed"/>
        <w:tblCellMar>
          <w:top w:w="28" w:type="dxa"/>
          <w:left w:w="28" w:type="dxa"/>
          <w:bottom w:w="28" w:type="dxa"/>
          <w:right w:w="28" w:type="dxa"/>
        </w:tblCellMar>
      </w:tblPr>
      <w:tblGrid>
        <w:gridCol w:w="3091"/>
        <w:gridCol w:w="146"/>
        <w:gridCol w:w="213"/>
        <w:gridCol w:w="792"/>
        <w:gridCol w:w="146"/>
        <w:gridCol w:w="146"/>
        <w:gridCol w:w="211"/>
        <w:gridCol w:w="676"/>
        <w:gridCol w:w="146"/>
        <w:gridCol w:w="146"/>
        <w:gridCol w:w="228"/>
        <w:gridCol w:w="732"/>
        <w:gridCol w:w="146"/>
        <w:gridCol w:w="146"/>
        <w:gridCol w:w="211"/>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service revenues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270,721</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services revenues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183,991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86,730</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operating income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423" w:type="dxa"/>
        <w:jc w:val="left"/>
        <w:tblInd w:w="0" w:type="dxa"/>
        <w:tblLayout w:type="fixed"/>
        <w:tblCellMar>
          <w:top w:w="28" w:type="dxa"/>
          <w:left w:w="28" w:type="dxa"/>
          <w:bottom w:w="28" w:type="dxa"/>
          <w:right w:w="28" w:type="dxa"/>
        </w:tblCellMar>
      </w:tblPr>
      <w:tblGrid>
        <w:gridCol w:w="3091"/>
        <w:gridCol w:w="146"/>
        <w:gridCol w:w="242"/>
        <w:gridCol w:w="898"/>
        <w:gridCol w:w="146"/>
        <w:gridCol w:w="146"/>
        <w:gridCol w:w="211"/>
        <w:gridCol w:w="676"/>
        <w:gridCol w:w="146"/>
        <w:gridCol w:w="146"/>
        <w:gridCol w:w="291"/>
        <w:gridCol w:w="789"/>
        <w:gridCol w:w="166"/>
        <w:gridCol w:w="146"/>
        <w:gridCol w:w="211"/>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service revenues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240,495</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services revenues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131,968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165,310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75,185</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operating income</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81" w:type="dxa"/>
        <w:jc w:val="left"/>
        <w:tblInd w:w="0" w:type="dxa"/>
        <w:tblLayout w:type="fixed"/>
        <w:tblCellMar>
          <w:top w:w="28" w:type="dxa"/>
          <w:left w:w="28" w:type="dxa"/>
          <w:bottom w:w="28" w:type="dxa"/>
          <w:right w:w="28" w:type="dxa"/>
        </w:tblCellMar>
      </w:tblPr>
      <w:tblGrid>
        <w:gridCol w:w="3556"/>
        <w:gridCol w:w="146"/>
        <w:gridCol w:w="330"/>
        <w:gridCol w:w="1060"/>
        <w:gridCol w:w="260"/>
        <w:gridCol w:w="228"/>
        <w:gridCol w:w="330"/>
        <w:gridCol w:w="1060"/>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reconciliation:</w:t>
            </w:r>
          </w:p>
        </w:tc>
        <w:tc>
          <w:tcPr>
            <w:tcW w:w="146" w:type="dxa"/>
            <w:tcBorders/>
            <w:shd w:fill="CFF0FC" w:val="clear"/>
            <w:vAlign w:val="center"/>
          </w:tcPr>
          <w:p>
            <w:pPr>
              <w:pStyle w:val="TableContents"/>
              <w:bidi w:val="0"/>
              <w:spacing w:before="0" w:after="283"/>
              <w:jc w:val="left"/>
              <w:rPr/>
            </w:pPr>
            <w:r>
              <w:rPr/>
              <w:t> </w:t>
            </w:r>
          </w:p>
        </w:tc>
        <w:tc>
          <w:tcPr>
            <w:tcW w:w="1390" w:type="dxa"/>
            <w:gridSpan w:val="2"/>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390"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segment operating income</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53,257</w:t>
            </w:r>
          </w:p>
        </w:tc>
        <w:tc>
          <w:tcPr>
            <w:tcW w:w="2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44,987</w:t>
            </w:r>
          </w:p>
        </w:tc>
        <w:tc>
          <w:tcPr>
            <w:tcW w:w="2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390" w:type="dxa"/>
            <w:gridSpan w:val="2"/>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390"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Items not allocated at segment level:</w:t>
            </w:r>
          </w:p>
        </w:tc>
        <w:tc>
          <w:tcPr>
            <w:tcW w:w="146" w:type="dxa"/>
            <w:tcBorders/>
            <w:shd w:fill="FFFFFF" w:val="clear"/>
            <w:vAlign w:val="center"/>
          </w:tcPr>
          <w:p>
            <w:pPr>
              <w:pStyle w:val="TableContents"/>
              <w:bidi w:val="0"/>
              <w:spacing w:before="0" w:after="283"/>
              <w:jc w:val="left"/>
              <w:rPr/>
            </w:pPr>
            <w:r>
              <w:rPr/>
              <w:t> </w:t>
            </w:r>
          </w:p>
        </w:tc>
        <w:tc>
          <w:tcPr>
            <w:tcW w:w="1390" w:type="dxa"/>
            <w:gridSpan w:val="2"/>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9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10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26,798</w:t>
            </w:r>
          </w:p>
        </w:tc>
        <w:tc>
          <w:tcPr>
            <w:tcW w:w="260"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10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24,030</w:t>
            </w:r>
          </w:p>
        </w:tc>
        <w:tc>
          <w:tcPr>
            <w:tcW w:w="2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3,620</w:t>
            </w:r>
          </w:p>
        </w:tc>
        <w:tc>
          <w:tcPr>
            <w:tcW w:w="2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3,441</w:t>
            </w:r>
          </w:p>
        </w:tc>
        <w:tc>
          <w:tcPr>
            <w:tcW w:w="2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10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8"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10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3,199</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20,220</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53" w:type="dxa"/>
        <w:jc w:val="left"/>
        <w:tblInd w:w="0" w:type="dxa"/>
        <w:tblLayout w:type="fixed"/>
        <w:tblCellMar>
          <w:top w:w="28" w:type="dxa"/>
          <w:left w:w="28" w:type="dxa"/>
          <w:bottom w:w="28" w:type="dxa"/>
          <w:right w:w="28" w:type="dxa"/>
        </w:tblCellMar>
      </w:tblPr>
      <w:tblGrid>
        <w:gridCol w:w="3091"/>
        <w:gridCol w:w="146"/>
        <w:gridCol w:w="213"/>
        <w:gridCol w:w="792"/>
        <w:gridCol w:w="146"/>
        <w:gridCol w:w="146"/>
        <w:gridCol w:w="211"/>
        <w:gridCol w:w="781"/>
        <w:gridCol w:w="146"/>
        <w:gridCol w:w="146"/>
        <w:gridCol w:w="228"/>
        <w:gridCol w:w="732"/>
        <w:gridCol w:w="146"/>
        <w:gridCol w:w="146"/>
        <w:gridCol w:w="211"/>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service revenues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782,300</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services revenues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534,837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247,463</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96,980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operating income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150,483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53" w:type="dxa"/>
        <w:jc w:val="left"/>
        <w:tblInd w:w="0" w:type="dxa"/>
        <w:tblLayout w:type="fixed"/>
        <w:tblCellMar>
          <w:top w:w="28" w:type="dxa"/>
          <w:left w:w="28" w:type="dxa"/>
          <w:bottom w:w="28" w:type="dxa"/>
          <w:right w:w="28" w:type="dxa"/>
        </w:tblCellMar>
      </w:tblPr>
      <w:tblGrid>
        <w:gridCol w:w="3091"/>
        <w:gridCol w:w="146"/>
        <w:gridCol w:w="213"/>
        <w:gridCol w:w="792"/>
        <w:gridCol w:w="146"/>
        <w:gridCol w:w="146"/>
        <w:gridCol w:w="211"/>
        <w:gridCol w:w="781"/>
        <w:gridCol w:w="146"/>
        <w:gridCol w:w="146"/>
        <w:gridCol w:w="228"/>
        <w:gridCol w:w="732"/>
        <w:gridCol w:w="146"/>
        <w:gridCol w:w="146"/>
        <w:gridCol w:w="211"/>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service revenues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704,070</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services revenues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483,100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220,970</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operating income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92" w:type="dxa"/>
        <w:jc w:val="left"/>
        <w:tblInd w:w="0" w:type="dxa"/>
        <w:tblLayout w:type="fixed"/>
        <w:tblCellMar>
          <w:top w:w="28" w:type="dxa"/>
          <w:left w:w="28" w:type="dxa"/>
          <w:bottom w:w="28" w:type="dxa"/>
          <w:right w:w="28" w:type="dxa"/>
        </w:tblCellMar>
      </w:tblPr>
      <w:tblGrid>
        <w:gridCol w:w="3556"/>
        <w:gridCol w:w="146"/>
        <w:gridCol w:w="292"/>
        <w:gridCol w:w="1082"/>
        <w:gridCol w:w="229"/>
        <w:gridCol w:w="202"/>
        <w:gridCol w:w="292"/>
        <w:gridCol w:w="1082"/>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reconciliation:</w:t>
            </w:r>
          </w:p>
        </w:tc>
        <w:tc>
          <w:tcPr>
            <w:tcW w:w="146" w:type="dxa"/>
            <w:tcBorders/>
            <w:shd w:fill="CFF0FC" w:val="clear"/>
            <w:vAlign w:val="center"/>
          </w:tcPr>
          <w:p>
            <w:pPr>
              <w:pStyle w:val="TableContents"/>
              <w:bidi w:val="0"/>
              <w:spacing w:before="0" w:after="283"/>
              <w:jc w:val="left"/>
              <w:rPr/>
            </w:pPr>
            <w:r>
              <w:rPr/>
              <w:t> </w:t>
            </w:r>
          </w:p>
        </w:tc>
        <w:tc>
          <w:tcPr>
            <w:tcW w:w="1374" w:type="dxa"/>
            <w:gridSpan w:val="2"/>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374"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segment operating income</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150,483</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130,714</w:t>
            </w:r>
          </w:p>
        </w:tc>
        <w:tc>
          <w:tcPr>
            <w:tcW w:w="2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374" w:type="dxa"/>
            <w:gridSpan w:val="2"/>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374"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Items not allocated at segment level:</w:t>
            </w:r>
          </w:p>
        </w:tc>
        <w:tc>
          <w:tcPr>
            <w:tcW w:w="146" w:type="dxa"/>
            <w:tcBorders/>
            <w:shd w:fill="FFFFFF" w:val="clear"/>
            <w:vAlign w:val="center"/>
          </w:tcPr>
          <w:p>
            <w:pPr>
              <w:pStyle w:val="TableContents"/>
              <w:bidi w:val="0"/>
              <w:spacing w:before="0" w:after="283"/>
              <w:jc w:val="left"/>
              <w:rPr/>
            </w:pPr>
            <w:r>
              <w:rPr/>
              <w:t> </w:t>
            </w:r>
          </w:p>
        </w:tc>
        <w:tc>
          <w:tcPr>
            <w:tcW w:w="1374" w:type="dxa"/>
            <w:gridSpan w:val="2"/>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37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77,048</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72,220</w:t>
            </w:r>
          </w:p>
        </w:tc>
        <w:tc>
          <w:tcPr>
            <w:tcW w:w="2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10,449</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10,571</w:t>
            </w:r>
          </w:p>
        </w:tc>
        <w:tc>
          <w:tcPr>
            <w:tcW w:w="2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(977</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2"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7,991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55,972</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12. Significant Payors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revenue by payor type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0"/>
        <w:gridCol w:w="214"/>
        <w:gridCol w:w="792"/>
        <w:gridCol w:w="146"/>
        <w:gridCol w:w="718"/>
        <w:gridCol w:w="271"/>
        <w:gridCol w:w="214"/>
        <w:gridCol w:w="792"/>
        <w:gridCol w:w="146"/>
        <w:gridCol w:w="718"/>
        <w:gridCol w:w="271"/>
        <w:gridCol w:w="214"/>
        <w:gridCol w:w="792"/>
        <w:gridCol w:w="146"/>
        <w:gridCol w:w="718"/>
        <w:gridCol w:w="271"/>
        <w:gridCol w:w="214"/>
        <w:gridCol w:w="792"/>
        <w:gridCol w:w="146"/>
        <w:gridCol w:w="718"/>
        <w:gridCol w:w="322"/>
      </w:tblGrid>
      <w:tr>
        <w:trPr/>
        <w:tc>
          <w:tcPr>
            <w:tcW w:w="15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590"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Personal Care Segment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9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Nine Months Ended September 30,</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0" w:type="dxa"/>
            <w:tcBorders/>
            <w:shd w:fill="FFFFFF" w:val="clear"/>
            <w:vAlign w:val="center"/>
          </w:tcPr>
          <w:p>
            <w:pPr>
              <w:pStyle w:val="TableContents"/>
              <w:bidi w:val="0"/>
              <w:spacing w:before="0" w:after="283"/>
              <w:jc w:val="left"/>
              <w:rPr/>
            </w:pPr>
            <w:r>
              <w:rPr/>
              <w:t> </w:t>
            </w:r>
          </w:p>
        </w:tc>
        <w:tc>
          <w:tcPr>
            <w:tcW w:w="187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0"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 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State, local and other governmental programs</w:t>
            </w:r>
          </w:p>
        </w:tc>
        <w:tc>
          <w:tcPr>
            <w:tcW w:w="2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101,821</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88,448</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297,541</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257,817</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w:t>
            </w:r>
          </w:p>
        </w:tc>
        <w:tc>
          <w:tcPr>
            <w:tcW w:w="3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Managed care organizations</w:t>
            </w:r>
          </w:p>
        </w:tc>
        <w:tc>
          <w:tcPr>
            <w:tcW w:w="214" w:type="dxa"/>
            <w:tcBorders/>
            <w:shd w:fill="FFFFFF" w:val="clear"/>
            <w:vAlign w:val="center"/>
          </w:tcPr>
          <w:p>
            <w:pPr>
              <w:pStyle w:val="TableContents"/>
              <w:bidi w:val="0"/>
              <w:spacing w:before="0" w:after="283"/>
              <w:jc w:val="righ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93,583</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w:t>
            </w:r>
          </w:p>
        </w:tc>
        <w:tc>
          <w:tcPr>
            <w:tcW w:w="27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righ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83,199</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w:t>
            </w:r>
          </w:p>
        </w:tc>
        <w:tc>
          <w:tcPr>
            <w:tcW w:w="27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272,758</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27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righ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241,164</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w:t>
            </w:r>
          </w:p>
        </w:tc>
        <w:tc>
          <w:tcPr>
            <w:tcW w:w="322" w:type="dxa"/>
            <w:tcBorders/>
            <w:shd w:fill="FFFFFF" w:val="clear"/>
            <w:vAlign w:val="center"/>
          </w:tcPr>
          <w:p>
            <w:pPr>
              <w:pStyle w:val="TableContents"/>
              <w:bidi w:val="0"/>
              <w:spacing w:before="0" w:after="283"/>
              <w:jc w:val="left"/>
              <w:rPr/>
            </w:pPr>
            <w:r>
              <w:rPr/>
              <w:t> </w:t>
            </w:r>
          </w:p>
        </w:tc>
      </w:tr>
      <w:tr>
        <w:trPr/>
        <w:tc>
          <w:tcPr>
            <w:tcW w:w="15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Private pay</w:t>
            </w:r>
          </w:p>
        </w:tc>
        <w:tc>
          <w:tcPr>
            <w:tcW w:w="214" w:type="dxa"/>
            <w:tcBorders/>
            <w:shd w:fill="CFF0FC" w:val="clear"/>
            <w:vAlign w:val="center"/>
          </w:tcPr>
          <w:p>
            <w:pPr>
              <w:pStyle w:val="TableContents"/>
              <w:bidi w:val="0"/>
              <w:spacing w:before="0" w:after="283"/>
              <w:jc w:val="right"/>
              <w:rPr/>
            </w:pPr>
            <w:r>
              <w:rPr/>
              <w:t> </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3,990</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71"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right"/>
              <w:rPr/>
            </w:pPr>
            <w:r>
              <w:rPr/>
              <w:t> </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4,521</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71"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12,354</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71"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right"/>
              <w:rPr/>
            </w:pPr>
            <w:r>
              <w:rPr/>
              <w:t> </w:t>
            </w:r>
          </w:p>
        </w:tc>
        <w:tc>
          <w:tcPr>
            <w:tcW w:w="7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13,758</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322" w:type="dxa"/>
            <w:tcBorders/>
            <w:shd w:fill="CFF0FC" w:val="clear"/>
            <w:vAlign w:val="center"/>
          </w:tcPr>
          <w:p>
            <w:pPr>
              <w:pStyle w:val="TableContents"/>
              <w:bidi w:val="0"/>
              <w:spacing w:before="0" w:after="283"/>
              <w:jc w:val="left"/>
              <w:rPr/>
            </w:pPr>
            <w:r>
              <w:rPr/>
              <w:t> </w:t>
            </w:r>
          </w:p>
        </w:tc>
      </w:tr>
      <w:tr>
        <w:trPr/>
        <w:tc>
          <w:tcPr>
            <w:tcW w:w="15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insurance</w:t>
            </w:r>
          </w:p>
        </w:tc>
        <w:tc>
          <w:tcPr>
            <w:tcW w:w="214" w:type="dxa"/>
            <w:tcBorders/>
            <w:shd w:fill="FFFFFF" w:val="clear"/>
            <w:vAlign w:val="center"/>
          </w:tcPr>
          <w:p>
            <w:pPr>
              <w:pStyle w:val="TableContents"/>
              <w:bidi w:val="0"/>
              <w:spacing w:before="0" w:after="283"/>
              <w:jc w:val="righ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27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righ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1,870</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7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4,937</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27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righ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5,988</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22" w:type="dxa"/>
            <w:tcBorders/>
            <w:shd w:fill="FFFFFF" w:val="clear"/>
            <w:vAlign w:val="center"/>
          </w:tcPr>
          <w:p>
            <w:pPr>
              <w:pStyle w:val="TableContents"/>
              <w:bidi w:val="0"/>
              <w:spacing w:before="0" w:after="283"/>
              <w:jc w:val="left"/>
              <w:rPr/>
            </w:pPr>
            <w:r>
              <w:rPr/>
              <w:t> </w:t>
            </w:r>
          </w:p>
        </w:tc>
      </w:tr>
      <w:tr>
        <w:trPr/>
        <w:tc>
          <w:tcPr>
            <w:tcW w:w="15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personal care segment net service revenues</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3"/>
        <w:gridCol w:w="220"/>
        <w:gridCol w:w="707"/>
        <w:gridCol w:w="146"/>
        <w:gridCol w:w="733"/>
        <w:gridCol w:w="271"/>
        <w:gridCol w:w="220"/>
        <w:gridCol w:w="707"/>
        <w:gridCol w:w="146"/>
        <w:gridCol w:w="733"/>
        <w:gridCol w:w="271"/>
        <w:gridCol w:w="215"/>
        <w:gridCol w:w="798"/>
        <w:gridCol w:w="146"/>
        <w:gridCol w:w="733"/>
        <w:gridCol w:w="271"/>
        <w:gridCol w:w="215"/>
        <w:gridCol w:w="798"/>
        <w:gridCol w:w="146"/>
        <w:gridCol w:w="733"/>
        <w:gridCol w:w="323"/>
      </w:tblGrid>
      <w:tr>
        <w:trPr/>
        <w:tc>
          <w:tcPr>
            <w:tcW w:w="16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73"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Hospice Segment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4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Nine Months Ended September 30,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3" w:type="dxa"/>
            <w:tcBorders/>
            <w:shd w:fill="FFFFFF" w:val="clear"/>
            <w:vAlign w:val="center"/>
          </w:tcPr>
          <w:p>
            <w:pPr>
              <w:pStyle w:val="TableContents"/>
              <w:bidi w:val="0"/>
              <w:spacing w:before="0" w:after="283"/>
              <w:jc w:val="left"/>
              <w:rPr/>
            </w:pPr>
            <w:r>
              <w:rPr/>
              <w:t> </w:t>
            </w:r>
          </w:p>
        </w:tc>
        <w:tc>
          <w:tcPr>
            <w:tcW w:w="180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3"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 xml:space="preserve">Segment </w:t>
              <w:br/>
              <w:t xml:space="preserve">Net Service </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 xml:space="preserve">Segment </w:t>
              <w:br/>
              <w:t xml:space="preserve">Net Service </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 xml:space="preserve">Segment </w:t>
              <w:br/>
              <w:t xml:space="preserve">Net Service </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 xml:space="preserve">Segment </w:t>
              <w:br/>
              <w:t xml:space="preserve">Net Service </w:t>
              <w:br/>
              <w:t>Revenues</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Medicare</w:t>
            </w:r>
          </w:p>
        </w:tc>
        <w:tc>
          <w:tcPr>
            <w:tcW w:w="2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47,313</w:t>
            </w:r>
          </w:p>
        </w:tc>
        <w:tc>
          <w:tcPr>
            <w:tcW w:w="146"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46,537</w:t>
            </w:r>
          </w:p>
        </w:tc>
        <w:tc>
          <w:tcPr>
            <w:tcW w:w="146"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137,432</w:t>
            </w:r>
          </w:p>
        </w:tc>
        <w:tc>
          <w:tcPr>
            <w:tcW w:w="146"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137,174</w:t>
            </w:r>
          </w:p>
        </w:tc>
        <w:tc>
          <w:tcPr>
            <w:tcW w:w="146"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insurance</w:t>
            </w:r>
          </w:p>
        </w:tc>
        <w:tc>
          <w:tcPr>
            <w:tcW w:w="220" w:type="dxa"/>
            <w:tcBorders/>
            <w:shd w:fill="FFFFFF" w:val="clear"/>
            <w:vAlign w:val="center"/>
          </w:tcPr>
          <w:p>
            <w:pPr>
              <w:pStyle w:val="TableContents"/>
              <w:bidi w:val="0"/>
              <w:spacing w:before="0" w:after="283"/>
              <w:jc w:val="righ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3,640</w:t>
            </w:r>
          </w:p>
        </w:tc>
        <w:tc>
          <w:tcPr>
            <w:tcW w:w="146"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27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2,772</w:t>
            </w:r>
          </w:p>
        </w:tc>
        <w:tc>
          <w:tcPr>
            <w:tcW w:w="146"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27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righ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8,916</w:t>
            </w:r>
          </w:p>
        </w:tc>
        <w:tc>
          <w:tcPr>
            <w:tcW w:w="146"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27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righ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7,742</w:t>
            </w:r>
          </w:p>
        </w:tc>
        <w:tc>
          <w:tcPr>
            <w:tcW w:w="146"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323" w:type="dxa"/>
            <w:tcBorders/>
            <w:shd w:fill="FFFFFF" w:val="clear"/>
            <w:vAlign w:val="center"/>
          </w:tcPr>
          <w:p>
            <w:pPr>
              <w:pStyle w:val="TableContents"/>
              <w:bidi w:val="0"/>
              <w:spacing w:before="0" w:after="283"/>
              <w:jc w:val="left"/>
              <w:rPr/>
            </w:pPr>
            <w:r>
              <w:rPr/>
              <w:t> </w:t>
            </w:r>
          </w:p>
        </w:tc>
      </w:tr>
      <w:tr>
        <w:trPr/>
        <w:tc>
          <w:tcPr>
            <w:tcW w:w="16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Managed care organizations</w:t>
            </w:r>
          </w:p>
        </w:tc>
        <w:tc>
          <w:tcPr>
            <w:tcW w:w="220" w:type="dxa"/>
            <w:tcBorders/>
            <w:shd w:fill="CFF0FC" w:val="clear"/>
            <w:vAlign w:val="center"/>
          </w:tcPr>
          <w:p>
            <w:pPr>
              <w:pStyle w:val="TableContents"/>
              <w:bidi w:val="0"/>
              <w:spacing w:before="0" w:after="283"/>
              <w:jc w:val="righ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1,808</w:t>
            </w:r>
          </w:p>
        </w:tc>
        <w:tc>
          <w:tcPr>
            <w:tcW w:w="146"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71"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1,815</w:t>
            </w:r>
          </w:p>
        </w:tc>
        <w:tc>
          <w:tcPr>
            <w:tcW w:w="146"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71"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5,022</w:t>
            </w:r>
          </w:p>
        </w:tc>
        <w:tc>
          <w:tcPr>
            <w:tcW w:w="146"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71"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5,498</w:t>
            </w:r>
          </w:p>
        </w:tc>
        <w:tc>
          <w:tcPr>
            <w:tcW w:w="146"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323" w:type="dxa"/>
            <w:tcBorders/>
            <w:shd w:fill="CFF0FC" w:val="clear"/>
            <w:vAlign w:val="center"/>
          </w:tcPr>
          <w:p>
            <w:pPr>
              <w:pStyle w:val="TableContents"/>
              <w:bidi w:val="0"/>
              <w:spacing w:before="0" w:after="283"/>
              <w:jc w:val="left"/>
              <w:rPr/>
            </w:pPr>
            <w:r>
              <w:rPr/>
              <w:t> </w:t>
            </w:r>
          </w:p>
        </w:tc>
      </w:tr>
      <w:tr>
        <w:trPr/>
        <w:tc>
          <w:tcPr>
            <w:tcW w:w="16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hospice segment net service revenues</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2"/>
        <w:gridCol w:w="222"/>
        <w:gridCol w:w="712"/>
        <w:gridCol w:w="146"/>
        <w:gridCol w:w="738"/>
        <w:gridCol w:w="271"/>
        <w:gridCol w:w="241"/>
        <w:gridCol w:w="657"/>
        <w:gridCol w:w="146"/>
        <w:gridCol w:w="738"/>
        <w:gridCol w:w="271"/>
        <w:gridCol w:w="222"/>
        <w:gridCol w:w="712"/>
        <w:gridCol w:w="146"/>
        <w:gridCol w:w="738"/>
        <w:gridCol w:w="271"/>
        <w:gridCol w:w="222"/>
        <w:gridCol w:w="712"/>
        <w:gridCol w:w="146"/>
        <w:gridCol w:w="738"/>
        <w:gridCol w:w="324"/>
      </w:tblGrid>
      <w:tr>
        <w:trPr/>
        <w:tc>
          <w:tcPr>
            <w:tcW w:w="183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832"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Home Health Segment</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4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8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Nine Months Ended September 30,</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pPr>
            <w:r>
              <w:rPr/>
              <w:t> </w:t>
            </w:r>
          </w:p>
        </w:tc>
        <w:tc>
          <w:tcPr>
            <w:tcW w:w="18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 xml:space="preserve">Segment </w:t>
              <w:br/>
              <w:t xml:space="preserve">Net Service </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 xml:space="preserve">Segment </w:t>
              <w:br/>
              <w:t xml:space="preserve">Net Service </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 xml:space="preserve">Segment </w:t>
              <w:br/>
              <w:t xml:space="preserve">Net Service </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 xml:space="preserve">Segment </w:t>
              <w:br/>
              <w:t xml:space="preserve">Net Service </w:t>
              <w:br/>
              <w:t>Revenues</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Medicare</w:t>
            </w:r>
          </w:p>
        </w:tc>
        <w:tc>
          <w:tcPr>
            <w:tcW w:w="2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11,325</w:t>
            </w:r>
          </w:p>
        </w:tc>
        <w:tc>
          <w:tcPr>
            <w:tcW w:w="146"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6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7,320</w:t>
            </w:r>
          </w:p>
        </w:tc>
        <w:tc>
          <w:tcPr>
            <w:tcW w:w="146"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29,306</w:t>
            </w:r>
          </w:p>
        </w:tc>
        <w:tc>
          <w:tcPr>
            <w:tcW w:w="146"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21,727</w:t>
            </w:r>
          </w:p>
        </w:tc>
        <w:tc>
          <w:tcPr>
            <w:tcW w:w="146"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Managed care organizations</w:t>
            </w:r>
          </w:p>
        </w:tc>
        <w:tc>
          <w:tcPr>
            <w:tcW w:w="222" w:type="dxa"/>
            <w:tcBorders/>
            <w:shd w:fill="FFFFFF" w:val="clear"/>
            <w:vAlign w:val="center"/>
          </w:tcPr>
          <w:p>
            <w:pPr>
              <w:pStyle w:val="TableContents"/>
              <w:bidi w:val="0"/>
              <w:spacing w:before="0" w:after="283"/>
              <w:jc w:val="right"/>
              <w:rPr/>
            </w:pPr>
            <w:r>
              <w:rPr/>
              <w:t> </w:t>
            </w:r>
          </w:p>
        </w:tc>
        <w:tc>
          <w:tcPr>
            <w:tcW w:w="7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3,445</w:t>
            </w:r>
          </w:p>
        </w:tc>
        <w:tc>
          <w:tcPr>
            <w:tcW w:w="14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w:t>
            </w:r>
          </w:p>
        </w:tc>
        <w:tc>
          <w:tcPr>
            <w:tcW w:w="27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1,998</w:t>
            </w:r>
          </w:p>
        </w:tc>
        <w:tc>
          <w:tcPr>
            <w:tcW w:w="14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w:t>
            </w:r>
          </w:p>
        </w:tc>
        <w:tc>
          <w:tcPr>
            <w:tcW w:w="271"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right"/>
              <w:rPr/>
            </w:pPr>
            <w:r>
              <w:rPr/>
              <w:t> </w:t>
            </w:r>
          </w:p>
        </w:tc>
        <w:tc>
          <w:tcPr>
            <w:tcW w:w="7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8,239</w:t>
            </w:r>
          </w:p>
        </w:tc>
        <w:tc>
          <w:tcPr>
            <w:tcW w:w="14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w:t>
            </w:r>
          </w:p>
        </w:tc>
        <w:tc>
          <w:tcPr>
            <w:tcW w:w="271"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right"/>
              <w:rPr/>
            </w:pPr>
            <w:r>
              <w:rPr/>
              <w:t> </w:t>
            </w:r>
          </w:p>
        </w:tc>
        <w:tc>
          <w:tcPr>
            <w:tcW w:w="7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6,160</w:t>
            </w:r>
          </w:p>
        </w:tc>
        <w:tc>
          <w:tcPr>
            <w:tcW w:w="14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324" w:type="dxa"/>
            <w:tcBorders/>
            <w:shd w:fill="FFFFFF" w:val="clear"/>
            <w:vAlign w:val="center"/>
          </w:tcPr>
          <w:p>
            <w:pPr>
              <w:pStyle w:val="TableContents"/>
              <w:bidi w:val="0"/>
              <w:spacing w:before="0" w:after="283"/>
              <w:jc w:val="left"/>
              <w:rPr/>
            </w:pPr>
            <w:r>
              <w:rPr/>
              <w:t> </w:t>
            </w:r>
          </w:p>
        </w:tc>
      </w:tr>
      <w:tr>
        <w:trPr/>
        <w:tc>
          <w:tcPr>
            <w:tcW w:w="18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home health segment net service revenues</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derives a significant amount of its revenue from its operations in Illinois, New Mexico and New York. The percentages of segment revenue for each of these significant states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6"/>
        <w:gridCol w:w="216"/>
        <w:gridCol w:w="800"/>
        <w:gridCol w:w="146"/>
        <w:gridCol w:w="727"/>
        <w:gridCol w:w="271"/>
        <w:gridCol w:w="216"/>
        <w:gridCol w:w="800"/>
        <w:gridCol w:w="146"/>
        <w:gridCol w:w="727"/>
        <w:gridCol w:w="271"/>
        <w:gridCol w:w="216"/>
        <w:gridCol w:w="800"/>
        <w:gridCol w:w="146"/>
        <w:gridCol w:w="727"/>
        <w:gridCol w:w="271"/>
        <w:gridCol w:w="216"/>
        <w:gridCol w:w="800"/>
        <w:gridCol w:w="146"/>
        <w:gridCol w:w="727"/>
        <w:gridCol w:w="320"/>
      </w:tblGrid>
      <w:tr>
        <w:trPr/>
        <w:tc>
          <w:tcPr>
            <w:tcW w:w="15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Personal Care Segment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3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3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Nine Months Ended September 30,</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Illinois</w:t>
            </w:r>
          </w:p>
        </w:tc>
        <w:tc>
          <w:tcPr>
            <w:tcW w:w="2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105,206</w:t>
            </w:r>
          </w:p>
        </w:tc>
        <w:tc>
          <w:tcPr>
            <w:tcW w:w="14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92,804</w:t>
            </w:r>
          </w:p>
        </w:tc>
        <w:tc>
          <w:tcPr>
            <w:tcW w:w="14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306,711</w:t>
            </w:r>
          </w:p>
        </w:tc>
        <w:tc>
          <w:tcPr>
            <w:tcW w:w="14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266,284</w:t>
            </w:r>
          </w:p>
        </w:tc>
        <w:tc>
          <w:tcPr>
            <w:tcW w:w="14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w:t>
            </w:r>
          </w:p>
        </w:tc>
        <w:tc>
          <w:tcPr>
            <w:tcW w:w="3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New Mexico</w:t>
            </w:r>
          </w:p>
        </w:tc>
        <w:tc>
          <w:tcPr>
            <w:tcW w:w="216" w:type="dxa"/>
            <w:tcBorders/>
            <w:shd w:fill="FFFFFF" w:val="clear"/>
            <w:vAlign w:val="center"/>
          </w:tcPr>
          <w:p>
            <w:pPr>
              <w:pStyle w:val="TableContents"/>
              <w:bidi w:val="0"/>
              <w:spacing w:before="0" w:after="283"/>
              <w:jc w:val="righ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28,347</w:t>
            </w:r>
          </w:p>
        </w:tc>
        <w:tc>
          <w:tcPr>
            <w:tcW w:w="14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271"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26,912</w:t>
            </w:r>
          </w:p>
        </w:tc>
        <w:tc>
          <w:tcPr>
            <w:tcW w:w="14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271"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84,969</w:t>
            </w:r>
          </w:p>
        </w:tc>
        <w:tc>
          <w:tcPr>
            <w:tcW w:w="14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271"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78,825</w:t>
            </w:r>
          </w:p>
        </w:tc>
        <w:tc>
          <w:tcPr>
            <w:tcW w:w="14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320" w:type="dxa"/>
            <w:tcBorders/>
            <w:shd w:fill="FFFFFF" w:val="clear"/>
            <w:vAlign w:val="center"/>
          </w:tcPr>
          <w:p>
            <w:pPr>
              <w:pStyle w:val="TableContents"/>
              <w:bidi w:val="0"/>
              <w:spacing w:before="0" w:after="283"/>
              <w:jc w:val="left"/>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New York </w:t>
            </w:r>
            <w:r>
              <w:rPr>
                <w:rFonts w:ascii="Times New Roman" w:hAnsi="Times New Roman"/>
                <w:b w:val="false"/>
                <w:color w:val="000000"/>
                <w:sz w:val="13"/>
              </w:rPr>
              <w:t>(1)</w:t>
            </w:r>
          </w:p>
        </w:tc>
        <w:tc>
          <w:tcPr>
            <w:tcW w:w="216" w:type="dxa"/>
            <w:tcBorders/>
            <w:shd w:fill="CFF0FC" w:val="clear"/>
            <w:vAlign w:val="center"/>
          </w:tcPr>
          <w:p>
            <w:pPr>
              <w:pStyle w:val="TableContents"/>
              <w:bidi w:val="0"/>
              <w:spacing w:before="0" w:after="283"/>
              <w:jc w:val="righ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22,989</w:t>
            </w:r>
          </w:p>
        </w:tc>
        <w:tc>
          <w:tcPr>
            <w:tcW w:w="14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271"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20,997</w:t>
            </w:r>
          </w:p>
        </w:tc>
        <w:tc>
          <w:tcPr>
            <w:tcW w:w="14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271"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68,910</w:t>
            </w:r>
          </w:p>
        </w:tc>
        <w:tc>
          <w:tcPr>
            <w:tcW w:w="14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271"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63,510</w:t>
            </w:r>
          </w:p>
        </w:tc>
        <w:tc>
          <w:tcPr>
            <w:tcW w:w="14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320"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 other states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personal care segment net service revenues</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In 2019, New York initiated a new Request For Offer (“RFO”) process to competitively procure CDPAP fiscal intermediaries. The Company was not selected in the initial RFO process. We submitted a formal protest in response to the selection process, which was filed and accepted in March 2021. The New York fiscal year 2023 state budget, passed in April 2022, amended the Fiscal Intermediary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 in their application, if the fiscal intermediary submitted an attestation and supporting information to the New York State Department of Health no later than November 29, 2022. The Company submitted an attestation on November 22, 2022, which allowed the Company to continue its CDPAP fiscal intermediary operations. However, the Company decided at that time to suspend materially all of its new fee-for-service patient admissions in the CDPAP program through County Social Service Departments. On June 6, 2023, the New York State Department of Health notified the Company that it had received a contract award. Under this contract, the Company is providing services to all current payors and has resumed new fee-for-service patient admissions through County Social Service Departments in the CDPAP program.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7"/>
        <w:gridCol w:w="225"/>
        <w:gridCol w:w="722"/>
        <w:gridCol w:w="146"/>
        <w:gridCol w:w="734"/>
        <w:gridCol w:w="271"/>
        <w:gridCol w:w="225"/>
        <w:gridCol w:w="722"/>
        <w:gridCol w:w="146"/>
        <w:gridCol w:w="734"/>
        <w:gridCol w:w="271"/>
        <w:gridCol w:w="217"/>
        <w:gridCol w:w="806"/>
        <w:gridCol w:w="146"/>
        <w:gridCol w:w="734"/>
        <w:gridCol w:w="271"/>
        <w:gridCol w:w="217"/>
        <w:gridCol w:w="806"/>
        <w:gridCol w:w="146"/>
        <w:gridCol w:w="734"/>
        <w:gridCol w:w="325"/>
      </w:tblGrid>
      <w:tr>
        <w:trPr/>
        <w:tc>
          <w:tcPr>
            <w:tcW w:w="16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607"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Hospice Segment</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6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Nine Months Ended September 30,</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pPr>
            <w:r>
              <w:rPr/>
              <w:t> </w:t>
            </w:r>
          </w:p>
        </w:tc>
        <w:tc>
          <w:tcPr>
            <w:tcW w:w="182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Ohio</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18,916</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18,139</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55,363</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51,714</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3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Illinois</w:t>
            </w:r>
          </w:p>
        </w:tc>
        <w:tc>
          <w:tcPr>
            <w:tcW w:w="225"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12,477</w:t>
            </w:r>
          </w:p>
        </w:tc>
        <w:tc>
          <w:tcPr>
            <w:tcW w:w="146"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27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12,188</w:t>
            </w:r>
          </w:p>
        </w:tc>
        <w:tc>
          <w:tcPr>
            <w:tcW w:w="146"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w:t>
            </w:r>
          </w:p>
        </w:tc>
        <w:tc>
          <w:tcPr>
            <w:tcW w:w="27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right"/>
              <w:rPr/>
            </w:pPr>
            <w:r>
              <w:rPr/>
              <w:t> </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34,750</w:t>
            </w:r>
          </w:p>
        </w:tc>
        <w:tc>
          <w:tcPr>
            <w:tcW w:w="146"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27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right"/>
              <w:rPr/>
            </w:pPr>
            <w:r>
              <w:rPr/>
              <w:t> </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35,290</w:t>
            </w:r>
          </w:p>
        </w:tc>
        <w:tc>
          <w:tcPr>
            <w:tcW w:w="146"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w:t>
            </w:r>
          </w:p>
        </w:tc>
        <w:tc>
          <w:tcPr>
            <w:tcW w:w="32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New Mexico</w:t>
            </w:r>
          </w:p>
        </w:tc>
        <w:tc>
          <w:tcPr>
            <w:tcW w:w="225"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7,619</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271"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7,789</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271"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right"/>
              <w:rPr/>
            </w:pPr>
            <w:r>
              <w:rPr/>
              <w:t> </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23,688</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271"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right"/>
              <w:rPr/>
            </w:pPr>
            <w:r>
              <w:rPr/>
              <w:t> </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23,867</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w:t>
            </w:r>
          </w:p>
        </w:tc>
        <w:tc>
          <w:tcPr>
            <w:tcW w:w="32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 other states</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hospice segment net service revenues</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4"/>
        <w:gridCol w:w="225"/>
        <w:gridCol w:w="722"/>
        <w:gridCol w:w="146"/>
        <w:gridCol w:w="734"/>
        <w:gridCol w:w="271"/>
        <w:gridCol w:w="245"/>
        <w:gridCol w:w="668"/>
        <w:gridCol w:w="146"/>
        <w:gridCol w:w="734"/>
        <w:gridCol w:w="271"/>
        <w:gridCol w:w="225"/>
        <w:gridCol w:w="722"/>
        <w:gridCol w:w="146"/>
        <w:gridCol w:w="734"/>
        <w:gridCol w:w="271"/>
        <w:gridCol w:w="225"/>
        <w:gridCol w:w="722"/>
        <w:gridCol w:w="146"/>
        <w:gridCol w:w="734"/>
        <w:gridCol w:w="324"/>
      </w:tblGrid>
      <w:tr>
        <w:trPr/>
        <w:tc>
          <w:tcPr>
            <w:tcW w:w="17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794"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Home Health Segment</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0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Nine Months Ended September 30,</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4" w:type="dxa"/>
            <w:tcBorders/>
            <w:shd w:fill="FFFFFF" w:val="clear"/>
            <w:vAlign w:val="center"/>
          </w:tcPr>
          <w:p>
            <w:pPr>
              <w:pStyle w:val="TableContents"/>
              <w:bidi w:val="0"/>
              <w:spacing w:before="0" w:after="283"/>
              <w:jc w:val="left"/>
              <w:rPr/>
            </w:pPr>
            <w:r>
              <w:rPr/>
              <w:t> </w:t>
            </w:r>
          </w:p>
        </w:tc>
        <w:tc>
          <w:tcPr>
            <w:tcW w:w="182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4"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br/>
              <w:t>Segment</w:t>
              <w:br/>
              <w:t>Net Service</w:t>
              <w:br/>
              <w:t>Revenues</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New Mexico</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8,040</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8,375</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25,277</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24,954</w:t>
            </w:r>
          </w:p>
        </w:tc>
        <w:tc>
          <w:tcPr>
            <w:tcW w:w="146"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83.8</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Illinois</w:t>
            </w:r>
          </w:p>
        </w:tc>
        <w:tc>
          <w:tcPr>
            <w:tcW w:w="225"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2,909</w:t>
            </w:r>
          </w:p>
        </w:tc>
        <w:tc>
          <w:tcPr>
            <w:tcW w:w="146"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27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1,581</w:t>
            </w:r>
          </w:p>
        </w:tc>
        <w:tc>
          <w:tcPr>
            <w:tcW w:w="146"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27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9,539</w:t>
            </w:r>
          </w:p>
        </w:tc>
        <w:tc>
          <w:tcPr>
            <w:tcW w:w="146"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w:t>
            </w:r>
          </w:p>
        </w:tc>
        <w:tc>
          <w:tcPr>
            <w:tcW w:w="27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4,814</w:t>
            </w:r>
          </w:p>
        </w:tc>
        <w:tc>
          <w:tcPr>
            <w:tcW w:w="146"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324" w:type="dxa"/>
            <w:tcBorders/>
            <w:shd w:fill="FFFFFF" w:val="clear"/>
            <w:vAlign w:val="center"/>
          </w:tcPr>
          <w:p>
            <w:pPr>
              <w:pStyle w:val="TableContents"/>
              <w:bidi w:val="0"/>
              <w:spacing w:before="0" w:after="283"/>
              <w:jc w:val="left"/>
              <w:rPr/>
            </w:pPr>
            <w:r>
              <w:rPr/>
              <w:t> </w:t>
            </w:r>
          </w:p>
        </w:tc>
      </w:tr>
      <w:tr>
        <w:trPr/>
        <w:tc>
          <w:tcPr>
            <w:tcW w:w="17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Tennessee</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home health segment net service revenues</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substantial portion of the Company’s revenue and accounts receivable are derived from services performed for federal, state and local governmental agencies. We derive a significant amount of our net service revenues in Illinois, which represented 44.5% and 44.3% of our net service revenues for the three months ended September 30, 2023, and 2022, respectively, and accounted for 44.9% and 43.5% of our net service revenues for the nine months ended September 30, 2023 and 2022, respectively. The Illinois Department on Aging, the largest payor program for the Company’s Illinois personal care operations, accounted for 20.5% and 21.0% of the Company’s net service revenues for the three months ended September 30, 2023 and 2022, respectively, and accounted for 21.2% and 20.8% of the Company’s net service revenues for the nine months ended September 30, 2023 and 2022, respectively.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related receivables due from the Illinois Department on Aging represented 20.5% and 18.0% of the Company’s net accounts receivable at September 30, 2023 and December 31, 2022, respectively.</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impact of macroeconomic conditions, elevated global inflation and interest rates, legislative developments, trade disruptions and supply chain disruptions on our business and our customers’ businesses; financial market instability and disruptions to the banking system due to bank failures, particularly in light of the closures of Silicon Valley Bank and Signature Bank in March 2023; business disruptions due to natural disasters, acts of terrorism, pandemics (including ongoing issues related to the COVID-19 pandemic), riots, civil insurrection or social unrest, looting, protests, strikes or street demonstrations; changes in operational and reimbursement processes and payment structures at the state or federal levels; changes in Medicaid, Medicare, other government program and managed care organizations policies and payment rates, and the timeliness of reimbursements received under government programs;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the overall economic conditions and deficit reduction measures by federal and state governments, and our expectations regarding these changes; cost containment initiatives undertaken by federal and state governmental and other third-party payors; our ability to access financing through the capital and credit markets; our ability to meet debt service requirements and comply with covenants in debt agreements; our ability to integrate and manage our information systems; any security breaches, cyber-attacks, loss of data, or cybersecurity threats or incidents, and any actual or perceived failures to comply with legal requirements related to the privacy of confidential consumer data and other sensitive information; the size and growth of the markets for our services, including our expectations regarding the markets for our services; the acceptance of privatized social services; eligibility standards and limits on services imposed by state governmental agencies; the potential for litigation, audits and investigations;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potential acquisitions; the potential impact of the discontinuation of LIBOR and the transition to SOFR; the effectiveness, quality and cost of our services; our ability to successfully execute our growth strategy; changes in tax rates; the impact of inclement weather or natural disasters; and various other matters, many of which are beyond our control. In addition, these forward-looking statements are subject to the risk factors set forth in Part I, Item 1A of our Annual Report on Form 10-K for the period ended December 31, 2022, filed with the SEC on February 28, 2023.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36.5% and 36.2% of our net service revenues during the three months ended September 30, 2023 and 2022, respectively, and 36.6% and 35.9% of our net service revenues during the nine months ended September 30, 2023 and 2022,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summary of certain consolidated financial results is provided in the table below.</w:t>
      </w:r>
    </w:p>
    <w:p>
      <w:pPr>
        <w:pStyle w:val="TextBody"/>
        <w:bidi w:val="0"/>
        <w:jc w:val="left"/>
        <w:rPr/>
      </w:pPr>
      <w:r>
        <w:rPr/>
        <w:t> </w:t>
      </w:r>
    </w:p>
    <w:tbl>
      <w:tblPr>
        <w:tblW w:w="10096" w:type="dxa"/>
        <w:jc w:val="left"/>
        <w:tblInd w:w="0" w:type="dxa"/>
        <w:tblLayout w:type="fixed"/>
        <w:tblCellMar>
          <w:top w:w="28" w:type="dxa"/>
          <w:left w:w="28" w:type="dxa"/>
          <w:bottom w:w="28" w:type="dxa"/>
          <w:right w:w="28" w:type="dxa"/>
        </w:tblCellMar>
      </w:tblPr>
      <w:tblGrid>
        <w:gridCol w:w="2821"/>
        <w:gridCol w:w="146"/>
        <w:gridCol w:w="303"/>
        <w:gridCol w:w="1122"/>
        <w:gridCol w:w="209"/>
        <w:gridCol w:w="209"/>
        <w:gridCol w:w="303"/>
        <w:gridCol w:w="1122"/>
        <w:gridCol w:w="146"/>
        <w:gridCol w:w="146"/>
        <w:gridCol w:w="294"/>
        <w:gridCol w:w="1091"/>
        <w:gridCol w:w="204"/>
        <w:gridCol w:w="204"/>
        <w:gridCol w:w="294"/>
        <w:gridCol w:w="1091"/>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service revenues by segment:</w:t>
            </w:r>
          </w:p>
        </w:tc>
        <w:tc>
          <w:tcPr>
            <w:tcW w:w="146" w:type="dxa"/>
            <w:tcBorders/>
            <w:shd w:fill="FFFFFF" w:val="clear"/>
            <w:vAlign w:val="center"/>
          </w:tcPr>
          <w:p>
            <w:pPr>
              <w:pStyle w:val="TableContents"/>
              <w:bidi w:val="0"/>
              <w:spacing w:before="0" w:after="283"/>
              <w:jc w:val="center"/>
              <w:rPr/>
            </w:pPr>
            <w:r>
              <w:rPr/>
              <w:t> </w:t>
            </w:r>
          </w:p>
        </w:tc>
        <w:tc>
          <w:tcPr>
            <w:tcW w:w="326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7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vAlign w:val="center"/>
          </w:tcPr>
          <w:p>
            <w:pPr>
              <w:pStyle w:val="TableContents"/>
              <w:bidi w:val="0"/>
              <w:spacing w:before="0" w:after="283"/>
              <w:ind w:left="0" w:right="0" w:firstLine="200"/>
              <w:jc w:val="center"/>
              <w:rPr/>
            </w:pPr>
            <w:r>
              <w:rPr/>
              <w:t> </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Personal care</w:t>
            </w:r>
          </w:p>
        </w:tc>
        <w:tc>
          <w:tcPr>
            <w:tcW w:w="146" w:type="dxa"/>
            <w:tcBorders/>
            <w:shd w:fill="CFF0FC" w:val="clear"/>
            <w:vAlign w:val="center"/>
          </w:tcPr>
          <w:p>
            <w:pPr>
              <w:pStyle w:val="TableContents"/>
              <w:bidi w:val="0"/>
              <w:spacing w:before="0" w:after="283"/>
              <w:jc w:val="center"/>
              <w:rPr/>
            </w:pPr>
            <w:r>
              <w:rPr/>
              <w:t> </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201,882</w:t>
            </w:r>
          </w:p>
        </w:tc>
        <w:tc>
          <w:tcPr>
            <w:tcW w:w="209"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center"/>
              <w:rPr/>
            </w:pPr>
            <w:r>
              <w:rPr/>
              <w:t> </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590,227</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center"/>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523,142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Hospice</w:t>
            </w:r>
          </w:p>
        </w:tc>
        <w:tc>
          <w:tcPr>
            <w:tcW w:w="146"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53,121</w:t>
            </w:r>
          </w:p>
        </w:tc>
        <w:tc>
          <w:tcPr>
            <w:tcW w:w="20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152,414</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151,160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Home health</w:t>
            </w:r>
          </w:p>
        </w:tc>
        <w:tc>
          <w:tcPr>
            <w:tcW w:w="146" w:type="dxa"/>
            <w:tcBorders/>
            <w:shd w:fill="CFF0FC" w:val="cle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15,718</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39,659</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center"/>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net service revenues</w:t>
            </w:r>
          </w:p>
        </w:tc>
        <w:tc>
          <w:tcPr>
            <w:tcW w:w="146" w:type="dxa"/>
            <w:tcBorders/>
            <w:shd w:fill="FFFFFF" w:val="clear"/>
            <w:vAlign w:val="center"/>
          </w:tcPr>
          <w:p>
            <w:pPr>
              <w:pStyle w:val="TableContents"/>
              <w:bidi w:val="0"/>
              <w:spacing w:before="0" w:after="283"/>
              <w:jc w:val="center"/>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270,721</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center"/>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240,495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782,300</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center"/>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704,070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425" w:type="dxa"/>
            <w:gridSpan w:val="2"/>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center"/>
              <w:rPr/>
            </w:pPr>
            <w:r>
              <w:rPr/>
              <w:t> </w:t>
            </w:r>
          </w:p>
        </w:tc>
        <w:tc>
          <w:tcPr>
            <w:tcW w:w="142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385" w:type="dxa"/>
            <w:gridSpan w:val="2"/>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center"/>
              <w:rPr/>
            </w:pPr>
            <w:r>
              <w:rPr/>
              <w:t> </w:t>
            </w:r>
          </w:p>
        </w:tc>
        <w:tc>
          <w:tcPr>
            <w:tcW w:w="1385"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15,411</w:t>
            </w:r>
          </w:p>
        </w:tc>
        <w:tc>
          <w:tcPr>
            <w:tcW w:w="20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42,938</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31,263</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we provided our services in 22 states through 220 offices. We served approximately 77,000 and 62,000 discrete individuals, respectively, during the nine months ended September 30, 2023 and 2022. Our personal care segment also includes staffing services, with clients including assisted living facilities, nursing homes and hospice facilities.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February 1, 2022, we completed the acquisition of the operations of JourneyCare. The purchase price was approximately $86.6 million, including the amount of acquired excess cash held by JourneyCare at the closing of the acquisition (approximately $0.4 million). The JourneyCare acquisition was funded with a combination of a $35.0 million draw on the Company’s revolving credit facility and available cash. With the JourneyCare acquisition, the Company expanded its hospice services in Illinois.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October 1, 2022, we completed the acquisition of Apple Home for $12.7 million, with funding provided by drawing on the Company’s revolving credit facility. With the purchase of Apple Home, the Company expanded clinical services for its home health segment in Illinois.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January 1, 2023, we completed the acquisition of CareStaff for approximately $1.0 million, with funding provided by available cash. With the purchase of CareStaff, the Company expanded its personal care services in Florida.</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August 1, 2023, we completed the acquisition of Tennessee Quality Care for approximately $111.2 million, with funding primarily provided by drawing on the Company’s revolving credit facility. The purchase price is subject to the completion of working capital and related adjustments. With the purchase of Tennessee Quality Care, the Company expanded its services within its hospice and home health segment in Tennessee.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COVID-19 Pandemic Update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Compared to earlier periods, the number of COVID-19 infections and related hospitalizations has significantly declined. However, given the longer-term uncertainties associated with the COVID-19 pandemic, it is difficult to predict the effect and ultimate impact of the COVID-19 pandemic on the Company.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COVID-19 related expenses in our personal care segment were approximately $0.6 million and $1.3 million, respectively. For the three and nine months ended September 30, 2022, COVID-19 related expenses in our personal care segment were approximately $0.9 million and $3.7 million, respectively. COVID-19 related expenses are included in cost of service revenue on the Consolidated Statements of Income. Additionally, we recognized revenue of $1.8 million and $4.3 million attributable to temporary rate increases from certain payors in our personal care segment for the nine months ended September 30, 2023 and 2022,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Company deferred the recognition of $1.8 million of payments received from payors for COVID-19 reimbursement included within accrued expenses, which will be recognized as we incur specific expenses related to COVID-19, such as expenses related to acquiring additional personal protective equipment (“PPE”) and COVID-19 related paid time off, or will be returned to the extent COVID-19-related expenses are not incurred.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federal public health emergency declared by HHS expired May 11, 2023. We will continue to assess the impact and consequences of the COVID-19 pandemic and government responses to the pandemic, including the implementation of the CARES Act, the PPPHCE Act, the CAA, the ARPA, other stimulus and relief legislation, and the President’s National COVID-19 Preparedness Plan, on our business, results of operations, financial condition and cash flows. Given the dynamic nature of these circumstances, we cannot currently predict with certainty the extent to which our business, results of operations, financial condition or liquidity will ultimately be impacted by the pandemic but it is not expected to have a material adverse impact. See Part I, Item 1A—Risk Factors—Risks Related to Economic Conditions and the COVID-19 Pandemic of our Annual Report on Form 10-K for the year ended December 31, 2022, filed with the SEC on February 28,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See “Liquidity and Capital Resources” below for additional information regarding funds received related to COVID-19 pandemic relief.</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Recruiting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United States economy continues to experience significant inflationary pressures and a competitive labor market, and the U.S. unemployment rate remains at historically low levels. While we have seen recent improvement, the competition for new caregivers, including skilled healthcare staff, and support staff continues to be significant. If we continue to experience a shortage of caregivers, it may hinder our ability to fully meet the continuing demand for both our non-clinical and clinical services. These ongoing staffing challenges resulted in increased labor costs to satisfy our staffing requirements during the three and nine months ended September 30, 2023, compared to 2022 in our non-clinical and clinical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by Payor and Significant States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revenue by payor and significant states by segment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1"/>
        <w:gridCol w:w="212"/>
        <w:gridCol w:w="786"/>
        <w:gridCol w:w="146"/>
        <w:gridCol w:w="786"/>
        <w:gridCol w:w="271"/>
        <w:gridCol w:w="212"/>
        <w:gridCol w:w="786"/>
        <w:gridCol w:w="146"/>
        <w:gridCol w:w="786"/>
        <w:gridCol w:w="271"/>
        <w:gridCol w:w="212"/>
        <w:gridCol w:w="786"/>
        <w:gridCol w:w="146"/>
        <w:gridCol w:w="786"/>
        <w:gridCol w:w="271"/>
        <w:gridCol w:w="212"/>
        <w:gridCol w:w="786"/>
        <w:gridCol w:w="146"/>
        <w:gridCol w:w="786"/>
        <w:gridCol w:w="321"/>
      </w:tblGrid>
      <w:tr>
        <w:trPr/>
        <w:tc>
          <w:tcPr>
            <w:tcW w:w="13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Personal Care Segment</w:t>
            </w:r>
          </w:p>
        </w:tc>
        <w:tc>
          <w:tcPr>
            <w:tcW w:w="413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3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center"/>
              <w:rPr/>
            </w:pPr>
            <w:r>
              <w:rPr/>
              <w:t> </w:t>
            </w:r>
          </w:p>
        </w:tc>
        <w:tc>
          <w:tcPr>
            <w:tcW w:w="19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State, local and other governmental programs</w:t>
            </w:r>
          </w:p>
        </w:tc>
        <w:tc>
          <w:tcPr>
            <w:tcW w:w="21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101,821</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88,448</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297,541</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257,817</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Managed care organizations</w:t>
            </w:r>
          </w:p>
        </w:tc>
        <w:tc>
          <w:tcPr>
            <w:tcW w:w="212"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93,583</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w:t>
            </w:r>
          </w:p>
        </w:tc>
        <w:tc>
          <w:tcPr>
            <w:tcW w:w="27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83,199</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w:t>
            </w:r>
          </w:p>
        </w:tc>
        <w:tc>
          <w:tcPr>
            <w:tcW w:w="27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272,758</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27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241,164</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w:t>
            </w:r>
          </w:p>
        </w:tc>
        <w:tc>
          <w:tcPr>
            <w:tcW w:w="32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Private pay</w:t>
            </w:r>
          </w:p>
        </w:tc>
        <w:tc>
          <w:tcPr>
            <w:tcW w:w="212"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3,990</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7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4,521</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7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12,354</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7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13,758</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32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insurance</w:t>
            </w:r>
          </w:p>
        </w:tc>
        <w:tc>
          <w:tcPr>
            <w:tcW w:w="212"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27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1,870</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7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4,937</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27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5,988</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2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personal care segment net service revenues</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Illinois</w:t>
            </w:r>
          </w:p>
        </w:tc>
        <w:tc>
          <w:tcPr>
            <w:tcW w:w="21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105,206</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92,804</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306,711</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266,284</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New Mexico</w:t>
            </w:r>
          </w:p>
        </w:tc>
        <w:tc>
          <w:tcPr>
            <w:tcW w:w="212"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28,347</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27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26,912</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27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84,969</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27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78,825</w:t>
            </w:r>
          </w:p>
        </w:tc>
        <w:tc>
          <w:tcPr>
            <w:tcW w:w="146" w:type="dxa"/>
            <w:tcBorders/>
            <w:shd w:fill="FFFFFF" w:val="clear"/>
            <w:vAlign w:val="center"/>
          </w:tcPr>
          <w:p>
            <w:pPr>
              <w:pStyle w:val="TableContents"/>
              <w:bidi w:val="0"/>
              <w:spacing w:before="0" w:after="283"/>
              <w:jc w:val="center"/>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32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New York </w:t>
            </w:r>
            <w:r>
              <w:rPr>
                <w:rFonts w:ascii="Times New Roman" w:hAnsi="Times New Roman"/>
                <w:b w:val="false"/>
                <w:color w:val="000000"/>
                <w:sz w:val="13"/>
              </w:rPr>
              <w:t>(1)</w:t>
            </w:r>
          </w:p>
        </w:tc>
        <w:tc>
          <w:tcPr>
            <w:tcW w:w="212"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22,989</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27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20,997</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27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68,910</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27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63,510</w:t>
            </w:r>
          </w:p>
        </w:tc>
        <w:tc>
          <w:tcPr>
            <w:tcW w:w="146" w:type="dxa"/>
            <w:tcBorders/>
            <w:shd w:fill="CFF0FC" w:val="clear"/>
            <w:vAlign w:val="center"/>
          </w:tcPr>
          <w:p>
            <w:pPr>
              <w:pStyle w:val="TableContents"/>
              <w:bidi w:val="0"/>
              <w:spacing w:before="0" w:after="283"/>
              <w:jc w:val="center"/>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32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 other states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personal care segment net service revenues</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(1)</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 xml:space="preserve">Prior to June 6, 2023, when the New York State Department of Health notified the Company that it had received a contract award, the Company had suspended materially all of its new patient admissions under the New York CDPAP program. The Company has resumed new patient admissions under the New York CDPAP program as discussed below. </w:t>
      </w:r>
    </w:p>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2"/>
        <w:gridCol w:w="217"/>
        <w:gridCol w:w="696"/>
        <w:gridCol w:w="146"/>
        <w:gridCol w:w="795"/>
        <w:gridCol w:w="271"/>
        <w:gridCol w:w="217"/>
        <w:gridCol w:w="696"/>
        <w:gridCol w:w="146"/>
        <w:gridCol w:w="795"/>
        <w:gridCol w:w="271"/>
        <w:gridCol w:w="214"/>
        <w:gridCol w:w="794"/>
        <w:gridCol w:w="146"/>
        <w:gridCol w:w="795"/>
        <w:gridCol w:w="271"/>
        <w:gridCol w:w="214"/>
        <w:gridCol w:w="794"/>
        <w:gridCol w:w="146"/>
        <w:gridCol w:w="795"/>
        <w:gridCol w:w="324"/>
      </w:tblGrid>
      <w:tr>
        <w:trPr/>
        <w:tc>
          <w:tcPr>
            <w:tcW w:w="14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462"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Hospice Segment</w:t>
            </w:r>
          </w:p>
        </w:tc>
        <w:tc>
          <w:tcPr>
            <w:tcW w:w="397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6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2" w:type="dxa"/>
            <w:tcBorders/>
            <w:shd w:fill="FFFFFF" w:val="clear"/>
            <w:vAlign w:val="center"/>
          </w:tcPr>
          <w:p>
            <w:pPr>
              <w:pStyle w:val="TableContents"/>
              <w:bidi w:val="0"/>
              <w:spacing w:before="0" w:after="283"/>
              <w:jc w:val="center"/>
              <w:rPr/>
            </w:pPr>
            <w:r>
              <w:rPr/>
              <w:t> </w:t>
            </w:r>
          </w:p>
        </w:tc>
        <w:tc>
          <w:tcPr>
            <w:tcW w:w="18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2" w:type="dxa"/>
            <w:tcBorders/>
            <w:shd w:fill="FFFFFF" w:val="cle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Medicare</w:t>
            </w:r>
          </w:p>
        </w:tc>
        <w:tc>
          <w:tcPr>
            <w:tcW w:w="217"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47,313</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7"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46,537</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137,432</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137,174</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insurance</w:t>
            </w:r>
          </w:p>
        </w:tc>
        <w:tc>
          <w:tcPr>
            <w:tcW w:w="217"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3,640</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27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2,772</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27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8,916</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27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pPr>
            <w:r>
              <w:rPr/>
              <w:t> </w:t>
            </w:r>
          </w:p>
        </w:tc>
        <w:tc>
          <w:tcPr>
            <w:tcW w:w="7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7,742</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324" w:type="dxa"/>
            <w:tcBorders/>
            <w:shd w:fill="FFFFFF" w:val="clear"/>
            <w:vAlign w:val="center"/>
          </w:tcPr>
          <w:p>
            <w:pPr>
              <w:pStyle w:val="TableContents"/>
              <w:bidi w:val="0"/>
              <w:spacing w:before="0" w:after="283"/>
              <w:jc w:val="left"/>
              <w:rPr/>
            </w:pPr>
            <w:r>
              <w:rPr/>
              <w:t> </w:t>
            </w:r>
          </w:p>
        </w:tc>
      </w:tr>
      <w:tr>
        <w:trPr/>
        <w:tc>
          <w:tcPr>
            <w:tcW w:w="14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Managed care organizations</w:t>
            </w:r>
          </w:p>
        </w:tc>
        <w:tc>
          <w:tcPr>
            <w:tcW w:w="217"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1,808</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71"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1,815</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71"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5,022</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71"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pPr>
            <w:r>
              <w:rPr/>
              <w:t> </w:t>
            </w:r>
          </w:p>
        </w:tc>
        <w:tc>
          <w:tcPr>
            <w:tcW w:w="7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5,498</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324" w:type="dxa"/>
            <w:tcBorders/>
            <w:shd w:fill="CFF0FC" w:val="clear"/>
            <w:vAlign w:val="center"/>
          </w:tcPr>
          <w:p>
            <w:pPr>
              <w:pStyle w:val="TableContents"/>
              <w:bidi w:val="0"/>
              <w:spacing w:before="0" w:after="283"/>
              <w:jc w:val="left"/>
              <w:rPr/>
            </w:pPr>
            <w:r>
              <w:rPr/>
              <w:t> </w:t>
            </w:r>
          </w:p>
        </w:tc>
      </w:tr>
      <w:tr>
        <w:trPr/>
        <w:tc>
          <w:tcPr>
            <w:tcW w:w="14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hospice segment net service revenues</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Ohio</w:t>
            </w:r>
          </w:p>
        </w:tc>
        <w:tc>
          <w:tcPr>
            <w:tcW w:w="217"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18,916</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7"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18,139</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55,363</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51,714</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3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Illinois</w:t>
            </w:r>
          </w:p>
        </w:tc>
        <w:tc>
          <w:tcPr>
            <w:tcW w:w="217"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12,477</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271"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12,188</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w:t>
            </w:r>
          </w:p>
        </w:tc>
        <w:tc>
          <w:tcPr>
            <w:tcW w:w="271"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34,750</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271"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pPr>
            <w:r>
              <w:rPr/>
              <w:t> </w:t>
            </w:r>
          </w:p>
        </w:tc>
        <w:tc>
          <w:tcPr>
            <w:tcW w:w="7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35,290</w:t>
            </w:r>
          </w:p>
        </w:tc>
        <w:tc>
          <w:tcPr>
            <w:tcW w:w="146" w:type="dxa"/>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w:t>
            </w:r>
          </w:p>
        </w:tc>
        <w:tc>
          <w:tcPr>
            <w:tcW w:w="324" w:type="dxa"/>
            <w:tcBorders/>
            <w:shd w:fill="CFF0FC" w:val="clear"/>
            <w:vAlign w:val="center"/>
          </w:tcPr>
          <w:p>
            <w:pPr>
              <w:pStyle w:val="TableContents"/>
              <w:bidi w:val="0"/>
              <w:spacing w:before="0" w:after="283"/>
              <w:jc w:val="left"/>
              <w:rPr/>
            </w:pPr>
            <w:r>
              <w:rPr/>
              <w:t> </w:t>
            </w:r>
          </w:p>
        </w:tc>
      </w:tr>
      <w:tr>
        <w:trPr/>
        <w:tc>
          <w:tcPr>
            <w:tcW w:w="14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New Mexico</w:t>
            </w:r>
          </w:p>
        </w:tc>
        <w:tc>
          <w:tcPr>
            <w:tcW w:w="217"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7,619</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27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7,789</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27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23,688</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27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pPr>
            <w:r>
              <w:rPr/>
              <w:t> </w:t>
            </w:r>
          </w:p>
        </w:tc>
        <w:tc>
          <w:tcPr>
            <w:tcW w:w="7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23,867</w:t>
            </w:r>
          </w:p>
        </w:tc>
        <w:tc>
          <w:tcPr>
            <w:tcW w:w="146" w:type="dxa"/>
            <w:tcBorders/>
            <w:shd w:fill="FFFFFF" w:val="clear"/>
            <w:vAlign w:val="center"/>
          </w:tcPr>
          <w:p>
            <w:pPr>
              <w:pStyle w:val="TableContents"/>
              <w:bidi w:val="0"/>
              <w:spacing w:before="0" w:after="283"/>
              <w:jc w:val="center"/>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w:t>
            </w:r>
          </w:p>
        </w:tc>
        <w:tc>
          <w:tcPr>
            <w:tcW w:w="324" w:type="dxa"/>
            <w:tcBorders/>
            <w:shd w:fill="FFFFFF" w:val="clear"/>
            <w:vAlign w:val="center"/>
          </w:tcPr>
          <w:p>
            <w:pPr>
              <w:pStyle w:val="TableContents"/>
              <w:bidi w:val="0"/>
              <w:spacing w:before="0" w:after="283"/>
              <w:jc w:val="left"/>
              <w:rPr/>
            </w:pPr>
            <w:r>
              <w:rPr/>
              <w:t> </w:t>
            </w:r>
          </w:p>
        </w:tc>
      </w:tr>
      <w:tr>
        <w:trPr/>
        <w:tc>
          <w:tcPr>
            <w:tcW w:w="14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 other states</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hospice segment net service revenues</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2"/>
        <w:gridCol w:w="219"/>
        <w:gridCol w:w="704"/>
        <w:gridCol w:w="146"/>
        <w:gridCol w:w="801"/>
        <w:gridCol w:w="271"/>
        <w:gridCol w:w="245"/>
        <w:gridCol w:w="665"/>
        <w:gridCol w:w="146"/>
        <w:gridCol w:w="801"/>
        <w:gridCol w:w="271"/>
        <w:gridCol w:w="219"/>
        <w:gridCol w:w="704"/>
        <w:gridCol w:w="146"/>
        <w:gridCol w:w="801"/>
        <w:gridCol w:w="271"/>
        <w:gridCol w:w="219"/>
        <w:gridCol w:w="704"/>
        <w:gridCol w:w="146"/>
        <w:gridCol w:w="801"/>
        <w:gridCol w:w="323"/>
      </w:tblGrid>
      <w:tr>
        <w:trPr/>
        <w:tc>
          <w:tcPr>
            <w:tcW w:w="16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02"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Home Health Segment</w:t>
            </w:r>
          </w:p>
        </w:tc>
        <w:tc>
          <w:tcPr>
            <w:tcW w:w="399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2" w:type="dxa"/>
            <w:tcBorders/>
            <w:shd w:fill="FFFFFF" w:val="clear"/>
            <w:vAlign w:val="center"/>
          </w:tcPr>
          <w:p>
            <w:pPr>
              <w:pStyle w:val="TableContents"/>
              <w:bidi w:val="0"/>
              <w:spacing w:before="0" w:after="283"/>
              <w:jc w:val="center"/>
              <w:rPr/>
            </w:pPr>
            <w:r>
              <w:rPr/>
              <w:t> </w:t>
            </w:r>
          </w:p>
        </w:tc>
        <w:tc>
          <w:tcPr>
            <w:tcW w:w="187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2" w:type="dxa"/>
            <w:tcBorders/>
            <w:shd w:fill="FFFFFF" w:val="cle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Medicare</w:t>
            </w:r>
          </w:p>
        </w:tc>
        <w:tc>
          <w:tcPr>
            <w:tcW w:w="219"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11,325</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7,320</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29,306</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9"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21,727</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Managed care organizations</w:t>
            </w:r>
          </w:p>
        </w:tc>
        <w:tc>
          <w:tcPr>
            <w:tcW w:w="219"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3,445</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w:t>
            </w:r>
          </w:p>
        </w:tc>
        <w:tc>
          <w:tcPr>
            <w:tcW w:w="27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1,998</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w:t>
            </w:r>
          </w:p>
        </w:tc>
        <w:tc>
          <w:tcPr>
            <w:tcW w:w="27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8,239</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w:t>
            </w:r>
          </w:p>
        </w:tc>
        <w:tc>
          <w:tcPr>
            <w:tcW w:w="27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6,160</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323" w:type="dxa"/>
            <w:tcBorders/>
            <w:shd w:fill="FFFFFF" w:val="clear"/>
            <w:vAlign w:val="center"/>
          </w:tcPr>
          <w:p>
            <w:pPr>
              <w:pStyle w:val="TableContents"/>
              <w:bidi w:val="0"/>
              <w:spacing w:before="0" w:after="283"/>
              <w:jc w:val="left"/>
              <w:rPr/>
            </w:pPr>
            <w:r>
              <w:rPr/>
              <w:t> </w:t>
            </w:r>
          </w:p>
        </w:tc>
      </w:tr>
      <w:tr>
        <w:trPr/>
        <w:tc>
          <w:tcPr>
            <w:tcW w:w="16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home health segment net service revenues</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New Mexico</w:t>
            </w:r>
          </w:p>
        </w:tc>
        <w:tc>
          <w:tcPr>
            <w:tcW w:w="219"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8,040</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6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8,375</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25,277</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9"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24,954</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83.8</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Illinois</w:t>
            </w:r>
          </w:p>
        </w:tc>
        <w:tc>
          <w:tcPr>
            <w:tcW w:w="219"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2,909</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27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1,581</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27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9,539</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w:t>
            </w:r>
          </w:p>
        </w:tc>
        <w:tc>
          <w:tcPr>
            <w:tcW w:w="27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4,814</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323" w:type="dxa"/>
            <w:tcBorders/>
            <w:shd w:fill="FFFFFF" w:val="clear"/>
            <w:vAlign w:val="center"/>
          </w:tcPr>
          <w:p>
            <w:pPr>
              <w:pStyle w:val="TableContents"/>
              <w:bidi w:val="0"/>
              <w:spacing w:before="0" w:after="283"/>
              <w:jc w:val="left"/>
              <w:rPr/>
            </w:pPr>
            <w:r>
              <w:rPr/>
              <w:t> </w:t>
            </w:r>
          </w:p>
        </w:tc>
      </w:tr>
      <w:tr>
        <w:trPr/>
        <w:tc>
          <w:tcPr>
            <w:tcW w:w="16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Tennessee</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home health segment net service revenues</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derive a significant amount of our net service revenues in Illinois, which represented 44.5% and 44.3% of our net service revenues for the three months ended September 30, 2023 and 2022, respectively, and accounted for 44.9% and 43.5% of our net service revenues for the nine months ended September 30, 2023 and 2022,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 significant amount of our net service revenues are derived from one payor, the Illinois Department on Aging, the largest payor program for our Illinois personal care operations, which accounted for 20.5% and 21.0% of our net service revenues for the three months ended September 30, 2023 and 2022, respectively, and accounted for 21.2% and 20.8% of the Company’s net service revenues for the nine months ended September 30, 2023 and 2022,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Reimbursement Rates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Illinois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November 26, 2019, the City of Chicago voted to approve additional increases in the Chicago minimum wage to $14 per hour beginning July 1, 2020 and to $15 per hour beginning July 1, 2021. In each subsequent year, the City is required to raise the wage based on increases in the Consumer Price Index (“CPI”) subject to a cap and other requirements. On July 1, 2023, the rate was adjusted to $15.80 based on the increase in the CPI.</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Illinois fiscal year 2022 budget included an increase of hourly rates for in-home care services to $24.96, to be effective January 1, 2022. On July 12, 2021, in connection with the temporary increase in federal funding for Medicaid home and community-based services authorized by the ARPA, the State of Illinois submitted its Initial Spending Plan and Narrative to CMS for approval. That plan included the acceleration by two months of the rate increase to $24.96 from January 1, 2022, to November 1, 2021. The Company recognized $3.6 million related to the rate increase for the year ended December 31, 2021.</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Illinois fiscal year 2023 budget included an increase of hourly rates for in-home care services to $25.66, to be effective January 1, 2023. This increase offsets the $0.40 increase in Chicago minimum wage that occurred on July 1, 2022. In addition, CMS approved a waiver amendment proposal submitted by the Illinois Department of Healthcare and Family Services with regard to its Persons who are Elderly program, further increasing in-home care rates to $26.92, effective April 1,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Illinois fiscal year 2024 budget includes an increase in hourly rates for in-home care services to $28.07, to take effect January 1, 2024, subject to federal approval. In order to implement this rate increase, the Illinois Department of Healthcare and Family Services submitted a waiver amendment proposal to CMS in August 2023 under its Persons who are Elderly program.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business will benefit from the rate increase noted above as planned for 2024, but there is no assurance that there will be additional offsetting rate increases in Illinois for fiscal years beyond fiscal year 2024, and our financial performance will be adversely impacted for any periods in which an additional offsetting reimbursement rate increase is not in effect.</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Impact of Changes in Medicare and Medicaid Reimbursement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Home Health</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CMS updates the HHPPS payment rates each calendar year. For calendar year 2023, CMS estimates that Medicare payments to home health agencies will increase by 0.7%. This is based on a home health payment update percentage of 4.0, which reflects a 4.1% market basket update reduced by a productivity adjustment of negative 0.1 percentage points, and an estimated 3.5% decrease associated with the transition to the PDGM that is intended to help achieve budget-neutrality on a prospective basis, among other changes. Home health providers that do not comply with quality data reporting requirements are subject to a 2-percentage point reduction to their market basket update. In addition, beginning January 1, 2022,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CMS began implementing a nationwide expansion of the Home Health Value-Based Purchasing (“HHVBP”) Model in January 2022. Under the model, home health agencies will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is the first performance year under the expanded HHVBP Model, which will affect payments in calendar year 2025.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applies to home health agencies in Illinois, Ohio, North Carolina, Florida and Texas, will expand to Oklahoma effective December 1, 2023, and may expand, in the future, into additional states. Providers in states subject to the Review Choice Demonstration may initially select from the following claims review and approval processes: pre-claim review, post-payment review or a minimal post-payment review with a 25% payment reduction. Home health agencies that maintain high compliance levels will be eligible for additional options that may be less burdensome. We are currently unable to predict what impact, if any, this program may have on our result of operations or financial position.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IMPACT Act requires HHS, together with the Medicare Payment Advisory Commission, to work toward a unified payment system for post-acute care services provided by home health agencies, inpatient rehabilitation facilities, skilled nursing facilities, and long-term care hospitals. A unified post-acute care payment system would pay post-acute care providers under a single framework according to a patient’s characteristics, rather than based on the post-acute care setting where the patient receives treatment. As required under the statute, CMS and the HHS Office of the Assistant Secretary for Planning and Evaluation issued a report presenting a prototype for a unified post-acute care payment model in July 2022. CMS noted in its report the need for additional analyses and acknowledged that the universal implementation of a unified post-acute care payment system would require congressional action. The Medicare Payment Advisory Commission (“MedPAC”) submitted 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report to Congress in June 2023, concluding that designing a unified payment system is feasible, but cautioning that implementation of related policies would be complex. As Congress and other policymakers evaluate next steps, MedPAC suggested that CMS consider smaller-scale site-neutral policies to address some of the overlap in patients treated in different settings.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Hospice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2023, CMS increased hospice payment rates by 3.1%. This reflects a 3.3% market basket increase and a negative 0.2 percentage point productivity adjustment. Hospices that do not satisfy quality reporting requirements will be subject to a 4-percentage point reduction to the market basket update.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$33,494.01 for federal fiscal year 2024. If a hospice’s Medicare payments exceed its inpatient or aggregate caps, it must repay Medicare the excess amount.</w:t>
      </w:r>
    </w:p>
    <w:p>
      <w:pPr>
        <w:pStyle w:val="TextBody"/>
        <w:bidi w:val="0"/>
        <w:spacing w:before="360" w:after="283"/>
        <w:jc w:val="left"/>
        <w:rPr>
          <w:rFonts w:ascii="Times New Roman" w:hAnsi="Times New Roman"/>
          <w:sz w:val="20"/>
        </w:rPr>
      </w:pPr>
      <w:r>
        <w:rPr>
          <w:rFonts w:ascii="Times New Roman" w:hAnsi="Times New Roman"/>
          <w:b/>
          <w:i/>
          <w:color w:val="000000"/>
          <w:sz w:val="20"/>
        </w:rPr>
        <w:t>New York Consumer Directed Personal Assistance Program (</w:t>
      </w:r>
      <w:r>
        <w:rPr>
          <w:rFonts w:ascii="Times New Roman" w:hAnsi="Times New Roman"/>
          <w:color w:val="000000"/>
          <w:sz w:val="20"/>
        </w:rPr>
        <w:t>“</w:t>
      </w:r>
      <w:r>
        <w:rPr>
          <w:rFonts w:ascii="Times New Roman" w:hAnsi="Times New Roman"/>
          <w:b/>
          <w:i/>
          <w:color w:val="000000"/>
          <w:sz w:val="20"/>
        </w:rPr>
        <w:t>CDPAP</w:t>
      </w:r>
      <w:r>
        <w:rPr>
          <w:rFonts w:ascii="Times New Roman" w:hAnsi="Times New Roman"/>
          <w:color w:val="000000"/>
          <w:sz w:val="20"/>
        </w:rPr>
        <w:t>”</w:t>
      </w:r>
      <w:r>
        <w:rPr>
          <w:rFonts w:ascii="Times New Roman" w:hAnsi="Times New Roman"/>
          <w:b/>
          <w:i/>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CDPAP is a self-directed care alternative program that allows eligible individuals who need help with activities of daily living or skilled nursing services to choose their caregivers. We provide support services as a CDPAP fiscal intermediary.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April 2022, the New York legislature passed the fiscal year 2023 state budget, which amended the Fiscal Intermediary Request For Offer (“RFO”) process to authorize all fiscal intermediaries that submitted an RFO application and served at least 200 clients in New York City or 50 clients in other counties between January 1, 2020, and March 31, 2020, but that were not initially awarded a contract, to contract with the New York State Department of Health. These fiscal intermediaries were permitted to continue operating in all counties contained in their RFO application, provided they submitted an attestation and supporting information to the New York State Department of Health no later than November 29, 2022. The Company submitted an attestation on November 22, 2022, which allowed the Company to continue its CDPAP fiscal intermediary operations. However, the Company decided at that time to suspend materially all of its new fee-for-service patient admissions through County Social Service Departments in the CDPAP program.On June 6, 2023, the New York State Department of Health notified the Company that it had received a contract award. Under this contract, the Company is providing services to all current payors and has resumed new fee-for-service patient admissions through County Social Service Departments in the CDPAP program.</w:t>
      </w:r>
    </w:p>
    <w:p>
      <w:pPr>
        <w:pStyle w:val="TextBody"/>
        <w:bidi w:val="0"/>
        <w:spacing w:before="360" w:after="283"/>
        <w:jc w:val="left"/>
        <w:rPr>
          <w:rFonts w:ascii="Times New Roman" w:hAnsi="Times New Roman"/>
          <w:sz w:val="20"/>
        </w:rPr>
      </w:pPr>
      <w:r>
        <w:rPr>
          <w:rFonts w:ascii="Times New Roman" w:hAnsi="Times New Roman"/>
          <w:b/>
          <w:i/>
          <w:color w:val="000000"/>
          <w:sz w:val="20"/>
        </w:rPr>
        <w:t xml:space="preserve">CMS Proposed Rule: </w:t>
      </w:r>
      <w:r>
        <w:rPr>
          <w:rFonts w:ascii="Times New Roman" w:hAnsi="Times New Roman"/>
          <w:color w:val="000000"/>
          <w:sz w:val="20"/>
        </w:rPr>
        <w:t>“</w:t>
      </w:r>
      <w:r>
        <w:rPr>
          <w:rFonts w:ascii="Times New Roman" w:hAnsi="Times New Roman"/>
          <w:b/>
          <w:i/>
          <w:color w:val="000000"/>
          <w:sz w:val="20"/>
        </w:rPr>
        <w:t>Ensuring Access to Medicaid Services</w:t>
      </w:r>
      <w:r>
        <w:rPr>
          <w:rFonts w:ascii="Times New Roman" w:hAnsi="Times New Roman"/>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May 2023, CMS published a proposed rule, intended to improve access to services for Medicaid beneficiaries, that includes provisions related to HCBS payments. Specifically, in an effort to address workforce shortages, the proposed rule would (if finalized in its proposed form) require that a minimum of 80% of Medicaid payments in a state for home health aide, personal care services and some similar services be spent on compensation to direct care workers, in addition to related payment transparency requirements. CMS has proposed allowing states four years to implement changes required by a final rule. The ultimate impact of the 80% requirement, if finalized, could be adverse for periods after implementation, but other aspects of the rule could also benefit our business by improving access to services, depending on the policies ultimately set forth in any final rule. The comment period for the proposed rule ended July 1, 2023. The Company filed a comment letter on the proposed rule before this deadline, as did many other organizations, states and stakeholders.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Components of our Statements of Income</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Net Service Revenues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collection experience) related to uninsured accounts to record revenues.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Cost of Service Revenues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Depreciation and Amortization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Interest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is reported when incurred and principally consists of interest and unused credit line fees on the credit facility.</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Income Tax Expense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All of our income is from domestic sources. We incur state and local taxes in the states in which we operate. The difference between our federal statutory rate of 21% and our effective income tax rates is principally due to the inclusion of state taxes and non-deductible compensation, partially offset by the use of federal employment tax credits.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Operations — Consolidated</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Three Months Ended September 30, 2023 Compared to Three Months Ended September 30,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sets forth our unaudited condensed consolidated results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12"/>
        <w:gridCol w:w="146"/>
        <w:gridCol w:w="211"/>
        <w:gridCol w:w="781"/>
        <w:gridCol w:w="166"/>
        <w:gridCol w:w="146"/>
        <w:gridCol w:w="189"/>
        <w:gridCol w:w="668"/>
        <w:gridCol w:w="166"/>
        <w:gridCol w:w="271"/>
        <w:gridCol w:w="146"/>
        <w:gridCol w:w="211"/>
        <w:gridCol w:w="781"/>
        <w:gridCol w:w="166"/>
        <w:gridCol w:w="146"/>
        <w:gridCol w:w="189"/>
        <w:gridCol w:w="668"/>
        <w:gridCol w:w="146"/>
        <w:gridCol w:w="271"/>
        <w:gridCol w:w="146"/>
        <w:gridCol w:w="211"/>
        <w:gridCol w:w="676"/>
        <w:gridCol w:w="166"/>
        <w:gridCol w:w="146"/>
        <w:gridCol w:w="146"/>
        <w:gridCol w:w="571"/>
        <w:gridCol w:w="146"/>
        <w:gridCol w:w="317"/>
      </w:tblGrid>
      <w:tr>
        <w:trPr/>
        <w:tc>
          <w:tcPr>
            <w:tcW w:w="2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r>
          </w:p>
        </w:tc>
        <w:tc>
          <w:tcPr>
            <w:tcW w:w="16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Service</w:t>
            </w:r>
          </w:p>
        </w:tc>
        <w:tc>
          <w:tcPr>
            <w:tcW w:w="16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Service</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84" w:type="dxa"/>
            <w:gridSpan w:val="2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Percentages)</w:t>
            </w:r>
          </w:p>
        </w:tc>
        <w:tc>
          <w:tcPr>
            <w:tcW w:w="14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service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86,730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right"/>
              <w:rPr/>
            </w:pPr>
            <w:r>
              <w:rPr/>
              <w:t> </w:t>
            </w:r>
          </w:p>
        </w:tc>
      </w:tr>
      <w:tr>
        <w:trPr/>
        <w:tc>
          <w:tcPr>
            <w:tcW w:w="2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2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2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599.2</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2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right"/>
              <w:rPr/>
            </w:pPr>
            <w:r>
              <w:rPr/>
              <w:t> </w:t>
            </w:r>
          </w:p>
        </w:tc>
      </w:tr>
      <w:tr>
        <w:trPr/>
        <w:tc>
          <w:tcPr>
            <w:tcW w:w="2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Net service revenues increased by 12.6% to $270.7 million for the three months ended September 30, 2023 compared to $240.5 million for the three months ended September 30, 2022. Revenue increased by $22.7 million, $5.8 million and $1.8 million in our personal care, home health and hospice segments, respectively, during the three months ended September 30, 2023, compared to the same period in 2022. The increase in our personal care segment was mainly due to an increase in revenues per billable hour for the three months ended September 30,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Gross profit, expressed as a percentage of net service revenues, increased to 32.0% for the three months ended September 30, 2023, compared to 31.3% for the same period in 2022 due to growth in our higher margin home health segment, combined with an increase in gross margin in our personal care segment due to an increase in revenues per billable hour.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General and administrative expenses increased to $60.3 million for the three months ended September 30, 2023, as compared to $54.2 million for the three months ended September 30, 2022. The increase in general and administrative expenses was primarily due to acquisitions that resulted in an increase in administrative employee wages, taxes and benefit costs of $4.8 million. General and administrative expenses, expressed as a percentage of net service revenues decreased to 22.3% for the three months ended September 30, 2023, from 22.5% for the three months ended September 30,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Interest expense increased to $3.2 million for the three months ended September 30, 2022 from $2.5 million for the three months ended September 30, 2022. The increase in interest expense was primarily due to higher average outstanding borrowings due to additional borrowings used to fund acquisitions and increased interest rates under our credit facility for the three months ended September 30, 2023, compared to the three months ended September 30,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effective income tax rate was 23.8% and 23.7% for the three months ended September 30, 2023 and 2022,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Nine Months Ended September 30, 2023 Compared to Nine Months Ended September 30,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sets forth, for the periods indicated, our consolidated results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2"/>
        <w:gridCol w:w="146"/>
        <w:gridCol w:w="211"/>
        <w:gridCol w:w="781"/>
        <w:gridCol w:w="166"/>
        <w:gridCol w:w="146"/>
        <w:gridCol w:w="157"/>
        <w:gridCol w:w="615"/>
        <w:gridCol w:w="166"/>
        <w:gridCol w:w="271"/>
        <w:gridCol w:w="146"/>
        <w:gridCol w:w="211"/>
        <w:gridCol w:w="781"/>
        <w:gridCol w:w="166"/>
        <w:gridCol w:w="146"/>
        <w:gridCol w:w="157"/>
        <w:gridCol w:w="615"/>
        <w:gridCol w:w="146"/>
        <w:gridCol w:w="271"/>
        <w:gridCol w:w="146"/>
        <w:gridCol w:w="211"/>
        <w:gridCol w:w="676"/>
        <w:gridCol w:w="166"/>
        <w:gridCol w:w="146"/>
        <w:gridCol w:w="146"/>
        <w:gridCol w:w="571"/>
        <w:gridCol w:w="166"/>
        <w:gridCol w:w="317"/>
      </w:tblGrid>
      <w:tr>
        <w:trPr/>
        <w:tc>
          <w:tcPr>
            <w:tcW w:w="2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r>
          </w:p>
        </w:tc>
        <w:tc>
          <w:tcPr>
            <w:tcW w:w="16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 Service</w:t>
            </w:r>
          </w:p>
        </w:tc>
        <w:tc>
          <w:tcPr>
            <w:tcW w:w="16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 Service</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Revenues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214" w:type="dxa"/>
            <w:gridSpan w:val="24"/>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(Amounts in Thousands, Except Percentages)</w:t>
            </w:r>
          </w:p>
        </w:tc>
        <w:tc>
          <w:tcPr>
            <w:tcW w:w="16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service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704,070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6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247,463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16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right"/>
              <w:rPr/>
            </w:pPr>
            <w:r>
              <w:rPr/>
              <w:t> </w:t>
            </w:r>
          </w:p>
        </w:tc>
      </w:tr>
      <w:tr>
        <w:trPr/>
        <w:tc>
          <w:tcPr>
            <w:tcW w:w="23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162,476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16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7" w:type="dxa"/>
            <w:tcBorders/>
            <w:shd w:fill="CFF0FC" w:val="clear"/>
            <w:vAlign w:val="center"/>
          </w:tcPr>
          <w:p>
            <w:pPr>
              <w:pStyle w:val="TableContents"/>
              <w:bidi w:val="0"/>
              <w:spacing w:before="0" w:after="283"/>
              <w:jc w:val="left"/>
              <w:rPr/>
            </w:pPr>
            <w:r>
              <w:rPr/>
              <w:t> </w:t>
            </w:r>
          </w:p>
        </w:tc>
      </w:tr>
      <w:tr>
        <w:trPr/>
        <w:tc>
          <w:tcPr>
            <w:tcW w:w="23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23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292.4</w:t>
            </w:r>
          </w:p>
        </w:tc>
        <w:tc>
          <w:tcPr>
            <w:tcW w:w="16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23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w:t>
            </w:r>
          </w:p>
        </w:tc>
        <w:tc>
          <w:tcPr>
            <w:tcW w:w="16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right"/>
              <w:rPr/>
            </w:pPr>
            <w:r>
              <w:rPr/>
              <w:t> </w:t>
            </w:r>
          </w:p>
        </w:tc>
      </w:tr>
      <w:tr>
        <w:trPr/>
        <w:tc>
          <w:tcPr>
            <w:tcW w:w="23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2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Net service revenues increased by 11.1% to $782.3 million for the nine months ended September 30, 2023 compared to $704.1 million for the nine months ended September 30, 2022. Net service revenue increased by $67.1 million in our personal care segment, by $1.3 million in our hospice segment and by $9.9 million in our home health segment during the nine months ended September 30, 2023, compared to the same period in 2022. During the nine months ended September 30, 2023, the increase in our home health segment revenue was primarily due to an increase in revenue per patient day, attributable to the acquisitions of the operations of Apple Home on October 1, 2022 and Tennessee Quality Care on August 1, 2023, compared to the same period in 2022. Net service revenue increased by $67.1 million in our personal care segment due to an increase in revenues per billable hour for the nine months ended September 30, 2023 compared to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Gross profit, expressed as a percentage of net service revenues, slightly increased to 31.6% for the nine months ended September 30, 2023, compared to 31.4% for the same period in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General and administrative expenses increased to $174.0 million for the nine months ended September 30, 2023 as compared to $162.5 million for the nine months ended September 30, 2022. The increase in general and administrative expenses was primarily due to acquisitions and wage increases that resulted in an increase in administrative employee wages, taxes and benefit costs of $9.0 million. General and administrative expenses, expressed as a percentage of net service revenues increased to 22.2% for the nine months ended September 30, 2023, from 23.1% for the nine months ended September 30, 2022.</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Interest expense increased to $8.0 million for the nine months ended September 30, 2023, as compared to $6.3 million for the nine months ended September 30, 2022. The increase in interest expense was primarily due to higher average outstanding borrowings and increased interest rates under our credit facility for the nine months ended September 30, 2023, compared to the nine months ended September 30,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effective income tax rate was 23.3% and 25.4% for the nine months ended September 30, 2023 and 2022,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Results of Operations – Segments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tables and related analysis summarize our operating results and business metrics by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Personal Care Segment</w:t>
      </w:r>
    </w:p>
    <w:p>
      <w:pPr>
        <w:pStyle w:val="TextBody"/>
        <w:bidi w:val="0"/>
        <w:jc w:val="left"/>
        <w:rPr/>
      </w:pPr>
      <w:r>
        <w:rPr/>
        <w:t> </w:t>
      </w:r>
    </w:p>
    <w:tbl>
      <w:tblPr>
        <w:tblW w:w="11226" w:type="dxa"/>
        <w:jc w:val="left"/>
        <w:tblInd w:w="0" w:type="dxa"/>
        <w:tblLayout w:type="fixed"/>
        <w:tblCellMar>
          <w:top w:w="28" w:type="dxa"/>
          <w:left w:w="28" w:type="dxa"/>
          <w:bottom w:w="28" w:type="dxa"/>
          <w:right w:w="28" w:type="dxa"/>
        </w:tblCellMar>
      </w:tblPr>
      <w:tblGrid>
        <w:gridCol w:w="961"/>
        <w:gridCol w:w="181"/>
        <w:gridCol w:w="586"/>
        <w:gridCol w:w="211"/>
        <w:gridCol w:w="661"/>
        <w:gridCol w:w="211"/>
        <w:gridCol w:w="181"/>
        <w:gridCol w:w="586"/>
        <w:gridCol w:w="211"/>
        <w:gridCol w:w="661"/>
        <w:gridCol w:w="211"/>
        <w:gridCol w:w="181"/>
        <w:gridCol w:w="511"/>
        <w:gridCol w:w="146"/>
        <w:gridCol w:w="361"/>
        <w:gridCol w:w="211"/>
        <w:gridCol w:w="181"/>
        <w:gridCol w:w="586"/>
        <w:gridCol w:w="211"/>
        <w:gridCol w:w="661"/>
        <w:gridCol w:w="211"/>
        <w:gridCol w:w="181"/>
        <w:gridCol w:w="586"/>
        <w:gridCol w:w="211"/>
        <w:gridCol w:w="661"/>
        <w:gridCol w:w="211"/>
        <w:gridCol w:w="181"/>
        <w:gridCol w:w="511"/>
        <w:gridCol w:w="146"/>
        <w:gridCol w:w="361"/>
        <w:gridCol w:w="256"/>
      </w:tblGrid>
      <w:tr>
        <w:trPr/>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vAlign w:val="center"/>
          </w:tcPr>
          <w:p>
            <w:pPr>
              <w:pStyle w:val="TableContents"/>
              <w:bidi w:val="0"/>
              <w:spacing w:before="0" w:after="283"/>
              <w:jc w:val="left"/>
              <w:rPr/>
            </w:pPr>
            <w:r>
              <w:rPr/>
              <w:t> </w:t>
            </w:r>
          </w:p>
        </w:tc>
        <w:tc>
          <w:tcPr>
            <w:tcW w:w="48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w:t>
              <w:br/>
              <w:t>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w:t>
              <w:br/>
              <w:t>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pPr>
            <w:r>
              <w:rPr/>
              <w:t> </w:t>
            </w:r>
          </w:p>
        </w:tc>
        <w:tc>
          <w:tcPr>
            <w:tcW w:w="1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718" w:type="dxa"/>
            <w:gridSpan w:val="13"/>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(Amounts in Thousands, Except Percentages)</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718" w:type="dxa"/>
            <w:gridSpan w:val="13"/>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(Amounts in Thousands, Except Percentages)</w:t>
            </w:r>
          </w:p>
        </w:tc>
        <w:tc>
          <w:tcPr>
            <w:tcW w:w="256" w:type="dxa"/>
            <w:tcBorders/>
            <w:shd w:fill="FFFFFF" w:val="clear"/>
            <w:vAlign w:val="center"/>
          </w:tcPr>
          <w:p>
            <w:pPr>
              <w:pStyle w:val="TableContents"/>
              <w:bidi w:val="0"/>
              <w:spacing w:before="0" w:after="283"/>
              <w:jc w:val="left"/>
              <w:rPr/>
            </w:pPr>
            <w:r>
              <w:rPr/>
              <w:t> </w:t>
            </w:r>
          </w:p>
        </w:tc>
      </w:tr>
      <w:tr>
        <w:trPr/>
        <w:tc>
          <w:tcPr>
            <w:tcW w:w="96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Results</w:t>
            </w:r>
          </w:p>
        </w:tc>
        <w:tc>
          <w:tcPr>
            <w:tcW w:w="181" w:type="dxa"/>
            <w:tcBorders/>
            <w:shd w:fill="CFF0FC" w:val="clear"/>
            <w:vAlign w:val="center"/>
          </w:tcPr>
          <w:p>
            <w:pPr>
              <w:pStyle w:val="TableContents"/>
              <w:bidi w:val="0"/>
              <w:spacing w:before="0" w:after="283"/>
              <w:jc w:val="left"/>
              <w:rPr/>
            </w:pPr>
            <w:r>
              <w:rPr/>
              <w:t> </w:t>
            </w:r>
          </w:p>
        </w:tc>
        <w:tc>
          <w:tcPr>
            <w:tcW w:w="4718" w:type="dxa"/>
            <w:gridSpan w:val="13"/>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service revenues</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201,882</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179,180</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22,702</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590,227</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523,142</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67,085</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9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Cost of services revenues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145,808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131,968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428,163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386,940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9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Gross profit</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56,074</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27.8</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47,212</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8,862</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18.8</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162,064</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27.5</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136,202</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26.0</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25,862</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19.0</w:t>
            </w:r>
          </w:p>
        </w:tc>
        <w:tc>
          <w:tcPr>
            <w:tcW w:w="256" w:type="dxa"/>
            <w:tcBorders/>
            <w:shd w:fill="FFFFFF" w:val="clear"/>
            <w:vAlign w:val="center"/>
          </w:tcPr>
          <w:p>
            <w:pPr>
              <w:pStyle w:val="TableContents"/>
              <w:bidi w:val="0"/>
              <w:spacing w:before="0" w:after="283"/>
              <w:jc w:val="right"/>
              <w:rPr/>
            </w:pPr>
            <w:r>
              <w:rPr/>
              <w:t> </w:t>
            </w:r>
          </w:p>
        </w:tc>
      </w:tr>
      <w:tr>
        <w:trPr/>
        <w:tc>
          <w:tcPr>
            <w:tcW w:w="9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General and administrative expenses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16,096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15,238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48,299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45,688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9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Segment operating income</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39,978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31,974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113,765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90,514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96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Metrics (Actual Numbers, Except Billable Hours in Thousands)</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Locations at period end</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156</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161</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r>
      <w:tr>
        <w:trPr/>
        <w:tc>
          <w:tcPr>
            <w:tcW w:w="96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Average billable census * </w:t>
            </w:r>
            <w:r>
              <w:rPr>
                <w:rFonts w:ascii="Times New Roman" w:hAnsi="Times New Roman"/>
                <w:b w:val="false"/>
                <w:color w:val="000000"/>
                <w:sz w:val="9"/>
              </w:rPr>
              <w:t>(1)</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38,590</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37,677</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913</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38,668</w:t>
            </w:r>
          </w:p>
        </w:tc>
        <w:tc>
          <w:tcPr>
            <w:tcW w:w="211" w:type="dxa"/>
            <w:tcBorders/>
            <w:shd w:fill="CFF0FC" w:val="clear"/>
            <w:vAlign w:val="center"/>
          </w:tcPr>
          <w:p>
            <w:pPr>
              <w:pStyle w:val="TableContents"/>
              <w:bidi w:val="0"/>
              <w:spacing w:before="0" w:after="283"/>
              <w:jc w:val="right"/>
              <w:rPr/>
            </w:pPr>
            <w:r>
              <w:rPr/>
              <w:t> </w:t>
            </w:r>
          </w:p>
        </w:tc>
        <w:tc>
          <w:tcPr>
            <w:tcW w:w="661"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37,253</w:t>
            </w:r>
          </w:p>
        </w:tc>
        <w:tc>
          <w:tcPr>
            <w:tcW w:w="211" w:type="dxa"/>
            <w:tcBorders/>
            <w:shd w:fill="CFF0FC" w:val="clear"/>
            <w:vAlign w:val="center"/>
          </w:tcPr>
          <w:p>
            <w:pPr>
              <w:pStyle w:val="TableContents"/>
              <w:bidi w:val="0"/>
              <w:spacing w:before="0" w:after="283"/>
              <w:jc w:val="right"/>
              <w:rPr/>
            </w:pPr>
            <w:r>
              <w:rPr/>
              <w:t> </w:t>
            </w:r>
          </w:p>
        </w:tc>
        <w:tc>
          <w:tcPr>
            <w:tcW w:w="661"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1,415</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96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Billable hours * </w:t>
            </w:r>
            <w:r>
              <w:rPr>
                <w:rFonts w:ascii="Times New Roman" w:hAnsi="Times New Roman"/>
                <w:b w:val="false"/>
                <w:color w:val="000000"/>
                <w:sz w:val="9"/>
              </w:rPr>
              <w:t>(2)</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7,690</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7,473</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217</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22,964</w:t>
            </w:r>
          </w:p>
        </w:tc>
        <w:tc>
          <w:tcPr>
            <w:tcW w:w="211" w:type="dxa"/>
            <w:tcBorders/>
            <w:shd w:fill="FFFFFF" w:val="clear"/>
            <w:vAlign w:val="center"/>
          </w:tcPr>
          <w:p>
            <w:pPr>
              <w:pStyle w:val="TableContents"/>
              <w:bidi w:val="0"/>
              <w:spacing w:before="0" w:after="283"/>
              <w:jc w:val="right"/>
              <w:rPr/>
            </w:pPr>
            <w:r>
              <w:rPr/>
              <w:t> </w:t>
            </w:r>
          </w:p>
        </w:tc>
        <w:tc>
          <w:tcPr>
            <w:tcW w:w="66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21,947</w:t>
            </w:r>
          </w:p>
        </w:tc>
        <w:tc>
          <w:tcPr>
            <w:tcW w:w="211" w:type="dxa"/>
            <w:tcBorders/>
            <w:shd w:fill="FFFFFF" w:val="clear"/>
            <w:vAlign w:val="center"/>
          </w:tcPr>
          <w:p>
            <w:pPr>
              <w:pStyle w:val="TableContents"/>
              <w:bidi w:val="0"/>
              <w:spacing w:before="0" w:after="283"/>
              <w:jc w:val="right"/>
              <w:rPr/>
            </w:pPr>
            <w:r>
              <w:rPr/>
              <w:t> </w:t>
            </w:r>
          </w:p>
        </w:tc>
        <w:tc>
          <w:tcPr>
            <w:tcW w:w="66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1,017</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w:t>
            </w:r>
          </w:p>
        </w:tc>
        <w:tc>
          <w:tcPr>
            <w:tcW w:w="256" w:type="dxa"/>
            <w:tcBorders/>
            <w:shd w:fill="FFFFFF" w:val="clear"/>
            <w:vAlign w:val="center"/>
          </w:tcPr>
          <w:p>
            <w:pPr>
              <w:pStyle w:val="TableContents"/>
              <w:bidi w:val="0"/>
              <w:spacing w:before="0" w:after="283"/>
              <w:jc w:val="left"/>
              <w:rPr/>
            </w:pPr>
            <w:r>
              <w:rPr/>
              <w:t> </w:t>
            </w:r>
          </w:p>
        </w:tc>
      </w:tr>
      <w:tr>
        <w:trPr/>
        <w:tc>
          <w:tcPr>
            <w:tcW w:w="96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Average billable hours per census per month * </w:t>
            </w:r>
            <w:r>
              <w:rPr>
                <w:rFonts w:ascii="Times New Roman" w:hAnsi="Times New Roman"/>
                <w:b w:val="false"/>
                <w:color w:val="000000"/>
                <w:sz w:val="9"/>
              </w:rPr>
              <w:t>(2)</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66.3</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65.9</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65.8</w:t>
            </w:r>
          </w:p>
        </w:tc>
        <w:tc>
          <w:tcPr>
            <w:tcW w:w="211" w:type="dxa"/>
            <w:tcBorders/>
            <w:shd w:fill="CFF0FC" w:val="clear"/>
            <w:vAlign w:val="center"/>
          </w:tcPr>
          <w:p>
            <w:pPr>
              <w:pStyle w:val="TableContents"/>
              <w:bidi w:val="0"/>
              <w:spacing w:before="0" w:after="283"/>
              <w:jc w:val="right"/>
              <w:rPr/>
            </w:pPr>
            <w:r>
              <w:rPr/>
              <w:t> </w:t>
            </w:r>
          </w:p>
        </w:tc>
        <w:tc>
          <w:tcPr>
            <w:tcW w:w="661"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65.2</w:t>
            </w:r>
          </w:p>
        </w:tc>
        <w:tc>
          <w:tcPr>
            <w:tcW w:w="211" w:type="dxa"/>
            <w:tcBorders/>
            <w:shd w:fill="CFF0FC" w:val="clear"/>
            <w:vAlign w:val="center"/>
          </w:tcPr>
          <w:p>
            <w:pPr>
              <w:pStyle w:val="TableContents"/>
              <w:bidi w:val="0"/>
              <w:spacing w:before="0" w:after="283"/>
              <w:jc w:val="right"/>
              <w:rPr/>
            </w:pPr>
            <w:r>
              <w:rPr/>
              <w:t> </w:t>
            </w:r>
          </w:p>
        </w:tc>
        <w:tc>
          <w:tcPr>
            <w:tcW w:w="661"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0.9</w:t>
            </w:r>
          </w:p>
        </w:tc>
        <w:tc>
          <w:tcPr>
            <w:tcW w:w="256" w:type="dxa"/>
            <w:tcBorders/>
            <w:shd w:fill="CFF0FC" w:val="cle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Billable hours per business day * </w:t>
            </w:r>
            <w:r>
              <w:rPr>
                <w:rFonts w:ascii="Times New Roman" w:hAnsi="Times New Roman"/>
                <w:b w:val="false"/>
                <w:color w:val="000000"/>
                <w:sz w:val="9"/>
              </w:rPr>
              <w:t>(2)</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118,314</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113,229</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5,085</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117,765</w:t>
            </w:r>
          </w:p>
        </w:tc>
        <w:tc>
          <w:tcPr>
            <w:tcW w:w="211" w:type="dxa"/>
            <w:tcBorders/>
            <w:shd w:fill="FFFFFF" w:val="clear"/>
            <w:vAlign w:val="center"/>
          </w:tcPr>
          <w:p>
            <w:pPr>
              <w:pStyle w:val="TableContents"/>
              <w:bidi w:val="0"/>
              <w:spacing w:before="0" w:after="283"/>
              <w:jc w:val="right"/>
              <w:rPr/>
            </w:pPr>
            <w:r>
              <w:rPr/>
              <w:t> </w:t>
            </w:r>
          </w:p>
        </w:tc>
        <w:tc>
          <w:tcPr>
            <w:tcW w:w="66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112,547</w:t>
            </w:r>
          </w:p>
        </w:tc>
        <w:tc>
          <w:tcPr>
            <w:tcW w:w="211" w:type="dxa"/>
            <w:tcBorders/>
            <w:shd w:fill="FFFFFF" w:val="clear"/>
            <w:vAlign w:val="center"/>
          </w:tcPr>
          <w:p>
            <w:pPr>
              <w:pStyle w:val="TableContents"/>
              <w:bidi w:val="0"/>
              <w:spacing w:before="0" w:after="283"/>
              <w:jc w:val="right"/>
              <w:rPr/>
            </w:pPr>
            <w:r>
              <w:rPr/>
              <w:t> </w:t>
            </w:r>
          </w:p>
        </w:tc>
        <w:tc>
          <w:tcPr>
            <w:tcW w:w="66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5,218</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w:t>
            </w:r>
          </w:p>
        </w:tc>
        <w:tc>
          <w:tcPr>
            <w:tcW w:w="256" w:type="dxa"/>
            <w:tcBorders/>
            <w:shd w:fill="FFFFFF" w:val="clear"/>
            <w:vAlign w:val="center"/>
          </w:tcPr>
          <w:p>
            <w:pPr>
              <w:pStyle w:val="TableContents"/>
              <w:bidi w:val="0"/>
              <w:spacing w:before="0" w:after="283"/>
              <w:jc w:val="left"/>
              <w:rPr/>
            </w:pPr>
            <w:r>
              <w:rPr/>
              <w:t> </w:t>
            </w:r>
          </w:p>
        </w:tc>
      </w:tr>
      <w:tr>
        <w:trPr/>
        <w:tc>
          <w:tcPr>
            <w:tcW w:w="96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Revenues per billable hour * </w:t>
            </w:r>
            <w:r>
              <w:rPr>
                <w:rFonts w:ascii="Times New Roman" w:hAnsi="Times New Roman"/>
                <w:b w:val="false"/>
                <w:color w:val="000000"/>
                <w:sz w:val="9"/>
              </w:rPr>
              <w:t>(2)</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26.18</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23.92</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2.26</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25.58</w:t>
            </w:r>
          </w:p>
        </w:tc>
        <w:tc>
          <w:tcPr>
            <w:tcW w:w="211" w:type="dxa"/>
            <w:tcBorders/>
            <w:shd w:fill="CFF0FC" w:val="clear"/>
            <w:vAlign w:val="center"/>
          </w:tcPr>
          <w:p>
            <w:pPr>
              <w:pStyle w:val="TableContents"/>
              <w:bidi w:val="0"/>
              <w:spacing w:before="0" w:after="283"/>
              <w:jc w:val="right"/>
              <w:rPr/>
            </w:pPr>
            <w:r>
              <w:rPr/>
              <w:t> </w:t>
            </w:r>
          </w:p>
        </w:tc>
        <w:tc>
          <w:tcPr>
            <w:tcW w:w="661"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23.71</w:t>
            </w:r>
          </w:p>
        </w:tc>
        <w:tc>
          <w:tcPr>
            <w:tcW w:w="211" w:type="dxa"/>
            <w:tcBorders/>
            <w:shd w:fill="CFF0FC" w:val="clear"/>
            <w:vAlign w:val="center"/>
          </w:tcPr>
          <w:p>
            <w:pPr>
              <w:pStyle w:val="TableContents"/>
              <w:bidi w:val="0"/>
              <w:spacing w:before="0" w:after="283"/>
              <w:jc w:val="right"/>
              <w:rPr/>
            </w:pPr>
            <w:r>
              <w:rPr/>
              <w:t> </w:t>
            </w:r>
          </w:p>
        </w:tc>
        <w:tc>
          <w:tcPr>
            <w:tcW w:w="661"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1.87</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7.9</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96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Same store growth revenue % * </w:t>
            </w:r>
            <w:r>
              <w:rPr>
                <w:rFonts w:ascii="Times New Roman" w:hAnsi="Times New Roman"/>
                <w:b w:val="false"/>
                <w:color w:val="000000"/>
                <w:sz w:val="9"/>
              </w:rPr>
              <w:t>(3)</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(1)</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Average billable census is the number of unique clients receiving a billable service during the year and is the total census divided by months in operation during the period.</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(2)</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bonus hours, divided by billable hours.</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(3)</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ARPA associated revenue from this calculation.</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personal care segment derives a significant amount of its net service revenues from operations in Illinois, which represented 44.5% and 44.3% of our net service revenues for the three months ended September 30, 2023 and 2022, respectively, and accounted for 44.9% and 43.5% of our net service revenues for the nine months ended September 30, 2023 and 2022, respectively. One payor, the Illinois Department on Aging, accounted for 20.5% and 21.0% of net service revenues for the three months ended September 30, 2023 and 2022, respectively, and accounted for 21.2% and 20.8% of net service revenues for the nine months ended September 30, 2023 and 2022, respectively.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Net service revenues from state, local and other governmental programs accounted for 50.4% and 49.4% of personal care segment net service revenues for the three months ended September 30, 2023 and 2022, respectively. Managed care organizations accounted for 46.4% and 46.4% of personal care segment net service revenues for the three months ended September 30, 2023 and 2022, respectively, with commercial insurance, private pay and other payors accounting for the remainder of personal care segment net service revenues. Net service revenues from state, local and other governmental programs accounted for 50.4% and 49.4% of net service revenues for the nine months ended September 30, 2023 and 2022, respectively. Managed care organizations accounted for 46.2% and 46.1% of personal care segment net service revenues for the nine months ended September 30, 2023 and 2022, respectively with commercial insurance, private pay and other payors accounting for the remainder of net service revenues.</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Personal care segment net service revenues increased by 12.7% and 12.8% for the three and nine months ended September 30, 2023, respectively, compared to the three and nine months ended September 30, 2022. Net service revenues included a 9.4% and 7.8% increase in revenues per billable hour for the three and nine months ended September 30, 2023, respectively, mainly attributed to rate increases discussed above, as compared to the three and nine months ended September 30, 2022. Gross profit, expressed as a percentage of net service revenues, increased to 27.8% for the three months ended September 30, 2023 from 26.3% for the three months ended September 30, 2022 . This increase was primarily due to decreases in direct payroll and benefits as a percentage of net service revenues of 1.3% for the three months ended September 30, 2023. Gross profit expressed as a percentage of net service revenues, increased to 27.5% for the nine months ended September 30, 2023 from 26.0% for the nine months ended September 30, 2022.This increase was primarily due to a decrease of 1.4% in direct payroll as a percentage of net service revenues for the nine months ended September 30, 2023 as compared to the nine months ended September 30,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personal care segment’s general and administrative expenses primarily consist of administrative employee wages, taxes and benefit costs, rent, information technology and office expenses.The personal care segment’s general and administrative expenses, expressed as a percentage of net service revenues, was 8.0% and 8.5% for the three months ended September 30, 2023 and 2022, respectively, and 8.2% and 8.7% for the nine months ended September 30, 2023 and 2022,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Hospice Segment</w:t>
      </w:r>
    </w:p>
    <w:p>
      <w:pPr>
        <w:pStyle w:val="TextBody"/>
        <w:bidi w:val="0"/>
        <w:jc w:val="left"/>
        <w:rPr/>
      </w:pPr>
      <w:r>
        <w:rPr/>
        <w:t> </w:t>
      </w:r>
    </w:p>
    <w:tbl>
      <w:tblPr>
        <w:tblW w:w="11301" w:type="dxa"/>
        <w:jc w:val="left"/>
        <w:tblInd w:w="0" w:type="dxa"/>
        <w:tblLayout w:type="fixed"/>
        <w:tblCellMar>
          <w:top w:w="28" w:type="dxa"/>
          <w:left w:w="28" w:type="dxa"/>
          <w:bottom w:w="28" w:type="dxa"/>
          <w:right w:w="28" w:type="dxa"/>
        </w:tblCellMar>
      </w:tblPr>
      <w:tblGrid>
        <w:gridCol w:w="961"/>
        <w:gridCol w:w="181"/>
        <w:gridCol w:w="586"/>
        <w:gridCol w:w="211"/>
        <w:gridCol w:w="661"/>
        <w:gridCol w:w="211"/>
        <w:gridCol w:w="181"/>
        <w:gridCol w:w="586"/>
        <w:gridCol w:w="211"/>
        <w:gridCol w:w="661"/>
        <w:gridCol w:w="211"/>
        <w:gridCol w:w="181"/>
        <w:gridCol w:w="481"/>
        <w:gridCol w:w="146"/>
        <w:gridCol w:w="406"/>
        <w:gridCol w:w="211"/>
        <w:gridCol w:w="181"/>
        <w:gridCol w:w="586"/>
        <w:gridCol w:w="211"/>
        <w:gridCol w:w="661"/>
        <w:gridCol w:w="211"/>
        <w:gridCol w:w="181"/>
        <w:gridCol w:w="586"/>
        <w:gridCol w:w="211"/>
        <w:gridCol w:w="661"/>
        <w:gridCol w:w="211"/>
        <w:gridCol w:w="181"/>
        <w:gridCol w:w="511"/>
        <w:gridCol w:w="146"/>
        <w:gridCol w:w="406"/>
        <w:gridCol w:w="271"/>
      </w:tblGrid>
      <w:tr>
        <w:trPr/>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vAlign w:val="center"/>
          </w:tcPr>
          <w:p>
            <w:pPr>
              <w:pStyle w:val="TableContents"/>
              <w:bidi w:val="0"/>
              <w:spacing w:before="0" w:after="283"/>
              <w:jc w:val="left"/>
              <w:rPr/>
            </w:pPr>
            <w:r>
              <w:rPr/>
              <w:t> </w:t>
            </w:r>
          </w:p>
        </w:tc>
        <w:tc>
          <w:tcPr>
            <w:tcW w:w="49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pPr>
            <w:r>
              <w:rPr/>
              <w:t> </w:t>
            </w:r>
          </w:p>
        </w:tc>
        <w:tc>
          <w:tcPr>
            <w:tcW w:w="1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733" w:type="dxa"/>
            <w:gridSpan w:val="13"/>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(Amounts in Thousands, Except Percentages)</w:t>
            </w:r>
          </w:p>
        </w:tc>
        <w:tc>
          <w:tcPr>
            <w:tcW w:w="211"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4763" w:type="dxa"/>
            <w:gridSpan w:val="13"/>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(Amounts in Thousands, Except Percentages)</w:t>
            </w:r>
          </w:p>
        </w:tc>
        <w:tc>
          <w:tcPr>
            <w:tcW w:w="271" w:type="dxa"/>
            <w:tcBorders/>
            <w:shd w:fill="FFFFFF" w:val="clear"/>
            <w:vAlign w:val="center"/>
          </w:tcPr>
          <w:p>
            <w:pPr>
              <w:pStyle w:val="TableContents"/>
              <w:bidi w:val="0"/>
              <w:spacing w:before="0" w:after="283"/>
              <w:jc w:val="center"/>
              <w:rPr/>
            </w:pPr>
            <w:r>
              <w:rPr/>
              <w:t> </w:t>
            </w:r>
          </w:p>
        </w:tc>
      </w:tr>
      <w:tr>
        <w:trPr/>
        <w:tc>
          <w:tcPr>
            <w:tcW w:w="96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Results</w:t>
            </w:r>
          </w:p>
        </w:tc>
        <w:tc>
          <w:tcPr>
            <w:tcW w:w="181" w:type="dxa"/>
            <w:tcBorders/>
            <w:shd w:fill="CFF0FC" w:val="clear"/>
            <w:vAlign w:val="center"/>
          </w:tcPr>
          <w:p>
            <w:pPr>
              <w:pStyle w:val="TableContents"/>
              <w:bidi w:val="0"/>
              <w:spacing w:before="0" w:after="283"/>
              <w:jc w:val="left"/>
              <w:rPr/>
            </w:pPr>
            <w:r>
              <w:rPr/>
              <w:t> </w:t>
            </w:r>
          </w:p>
        </w:tc>
        <w:tc>
          <w:tcPr>
            <w:tcW w:w="4733" w:type="dxa"/>
            <w:gridSpan w:val="13"/>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763" w:type="dxa"/>
            <w:gridSpan w:val="13"/>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service revenues</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53,121</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51,359</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1,762</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152,414</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151,160</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1,254</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9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Cost of services revenues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28,155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25,695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82,028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74,659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7,369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9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Gross profit</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24,966</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47.0</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25,664</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50.0</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(698)</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70,386</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46.2</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76,501</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50.6</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(6,115)</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w:t>
            </w:r>
          </w:p>
        </w:tc>
        <w:tc>
          <w:tcPr>
            <w:tcW w:w="271" w:type="dxa"/>
            <w:tcBorders/>
            <w:shd w:fill="FFFFFF" w:val="clear"/>
            <w:vAlign w:val="center"/>
          </w:tcPr>
          <w:p>
            <w:pPr>
              <w:pStyle w:val="TableContents"/>
              <w:bidi w:val="0"/>
              <w:spacing w:before="0" w:after="283"/>
              <w:jc w:val="right"/>
              <w:rPr/>
            </w:pPr>
            <w:r>
              <w:rPr/>
              <w:t> </w:t>
            </w:r>
          </w:p>
        </w:tc>
      </w:tr>
      <w:tr>
        <w:trPr/>
        <w:tc>
          <w:tcPr>
            <w:tcW w:w="9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General and administrative expenses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39,028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37,298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9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Segment operating income</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31,357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39,203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96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Metrics (Actual Numbers)</w:t>
            </w:r>
          </w:p>
        </w:tc>
        <w:tc>
          <w:tcPr>
            <w:tcW w:w="181"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Locations at period end</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r>
      <w:tr>
        <w:trPr/>
        <w:tc>
          <w:tcPr>
            <w:tcW w:w="96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Admissions * </w:t>
            </w:r>
            <w:r>
              <w:rPr>
                <w:rFonts w:ascii="Times New Roman" w:hAnsi="Times New Roman"/>
                <w:b w:val="false"/>
                <w:color w:val="000000"/>
                <w:sz w:val="9"/>
              </w:rPr>
              <w:t>(1)</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3,176</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3,182</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9,576</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9,778</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(202)</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96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Average daily census * </w:t>
            </w:r>
            <w:r>
              <w:rPr>
                <w:rFonts w:ascii="Times New Roman" w:hAnsi="Times New Roman"/>
                <w:b w:val="false"/>
                <w:color w:val="000000"/>
                <w:sz w:val="9"/>
              </w:rPr>
              <w:t>(2)</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3,453</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3,280</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173</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3,426</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3,304</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w:t>
            </w:r>
          </w:p>
        </w:tc>
        <w:tc>
          <w:tcPr>
            <w:tcW w:w="271" w:type="dxa"/>
            <w:tcBorders/>
            <w:shd w:fill="FFFFFF" w:val="clear"/>
            <w:vAlign w:val="center"/>
          </w:tcPr>
          <w:p>
            <w:pPr>
              <w:pStyle w:val="TableContents"/>
              <w:bidi w:val="0"/>
              <w:spacing w:before="0" w:after="283"/>
              <w:jc w:val="left"/>
              <w:rPr/>
            </w:pPr>
            <w:r>
              <w:rPr/>
              <w:t> </w:t>
            </w:r>
          </w:p>
        </w:tc>
      </w:tr>
      <w:tr>
        <w:trPr/>
        <w:tc>
          <w:tcPr>
            <w:tcW w:w="96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Average discharge length of stay * </w:t>
            </w:r>
            <w:r>
              <w:rPr>
                <w:rFonts w:ascii="Times New Roman" w:hAnsi="Times New Roman"/>
                <w:b w:val="false"/>
                <w:color w:val="000000"/>
                <w:sz w:val="9"/>
              </w:rPr>
              <w:t>(3)</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w:t>
            </w:r>
          </w:p>
        </w:tc>
        <w:tc>
          <w:tcPr>
            <w:tcW w:w="211"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w:t>
            </w:r>
          </w:p>
        </w:tc>
        <w:tc>
          <w:tcPr>
            <w:tcW w:w="271" w:type="dxa"/>
            <w:tcBorders/>
            <w:shd w:fill="CFF0FC" w:val="cle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Patient days * </w:t>
            </w:r>
            <w:r>
              <w:rPr>
                <w:rFonts w:ascii="Times New Roman" w:hAnsi="Times New Roman"/>
                <w:b w:val="false"/>
                <w:color w:val="000000"/>
                <w:sz w:val="9"/>
              </w:rPr>
              <w:t>(4)</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311,454</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301,797</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9,657</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892,507</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880,574</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11,933</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c>
          <w:tcPr>
            <w:tcW w:w="271" w:type="dxa"/>
            <w:tcBorders/>
            <w:shd w:fill="FFFFFF" w:val="clear"/>
            <w:vAlign w:val="center"/>
          </w:tcPr>
          <w:p>
            <w:pPr>
              <w:pStyle w:val="TableContents"/>
              <w:bidi w:val="0"/>
              <w:spacing w:before="0" w:after="283"/>
              <w:jc w:val="left"/>
              <w:rPr/>
            </w:pPr>
            <w:r>
              <w:rPr/>
              <w:t> </w:t>
            </w:r>
          </w:p>
        </w:tc>
      </w:tr>
      <w:tr>
        <w:trPr/>
        <w:tc>
          <w:tcPr>
            <w:tcW w:w="96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Revenue per patient day * </w:t>
            </w:r>
            <w:r>
              <w:rPr>
                <w:rFonts w:ascii="Times New Roman" w:hAnsi="Times New Roman"/>
                <w:b w:val="false"/>
                <w:color w:val="000000"/>
                <w:sz w:val="9"/>
              </w:rPr>
              <w:t>(5)</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175.19</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170.18</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5.01</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175.23</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171.66</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3.57</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9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Organic growth</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ind w:left="0" w:right="0" w:firstLine="80"/>
              <w:jc w:val="left"/>
              <w:rPr/>
            </w:pPr>
            <w:r>
              <w:rPr/>
              <w:t> </w:t>
            </w:r>
          </w:p>
        </w:tc>
      </w:tr>
      <w:tr>
        <w:trPr/>
        <w:tc>
          <w:tcPr>
            <w:tcW w:w="961" w:type="dxa"/>
            <w:tcBorders/>
            <w:shd w:fill="CFF0FC" w:val="clear"/>
            <w:vAlign w:val="center"/>
          </w:tcPr>
          <w:p>
            <w:pPr>
              <w:pStyle w:val="TableContents"/>
              <w:bidi w:val="0"/>
              <w:spacing w:before="0" w:after="283"/>
              <w:ind w:left="80" w:right="0" w:firstLine="80"/>
              <w:jc w:val="left"/>
              <w:rPr/>
            </w:pPr>
            <w:r>
              <w:rPr>
                <w:color w:val="000000"/>
              </w:rPr>
              <w:t> </w:t>
            </w:r>
            <w:r>
              <w:rPr>
                <w:rFonts w:ascii="Times New Roman" w:hAnsi="Times New Roman"/>
                <w:b w:val="false"/>
                <w:color w:val="000000"/>
                <w:sz w:val="14"/>
              </w:rPr>
              <w:t xml:space="preserve">- Revenue * </w:t>
            </w:r>
            <w:r>
              <w:rPr>
                <w:rFonts w:ascii="Times New Roman" w:hAnsi="Times New Roman"/>
                <w:b w:val="false"/>
                <w:color w:val="000000"/>
                <w:sz w:val="9"/>
              </w:rPr>
              <w:t>(6)</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ind w:left="0" w:right="0" w:firstLine="80"/>
              <w:jc w:val="left"/>
              <w:rPr/>
            </w:pPr>
            <w:r>
              <w:rPr/>
              <w:t> </w:t>
            </w:r>
          </w:p>
        </w:tc>
      </w:tr>
      <w:tr>
        <w:trPr/>
        <w:tc>
          <w:tcPr>
            <w:tcW w:w="961" w:type="dxa"/>
            <w:tcBorders/>
            <w:shd w:fill="FFFFFF" w:val="clear"/>
            <w:vAlign w:val="center"/>
          </w:tcPr>
          <w:p>
            <w:pPr>
              <w:pStyle w:val="TableContents"/>
              <w:bidi w:val="0"/>
              <w:spacing w:before="0" w:after="283"/>
              <w:ind w:left="80" w:right="0" w:firstLine="80"/>
              <w:jc w:val="left"/>
              <w:rPr/>
            </w:pPr>
            <w:r>
              <w:rPr>
                <w:color w:val="000000"/>
              </w:rPr>
              <w:t> </w:t>
            </w:r>
            <w:r>
              <w:rPr>
                <w:rFonts w:ascii="Times New Roman" w:hAnsi="Times New Roman"/>
                <w:b w:val="false"/>
                <w:color w:val="000000"/>
                <w:sz w:val="14"/>
              </w:rPr>
              <w:t xml:space="preserve">- Average daily census * </w:t>
            </w:r>
            <w:r>
              <w:rPr>
                <w:rFonts w:ascii="Times New Roman" w:hAnsi="Times New Roman"/>
                <w:b w:val="false"/>
                <w:color w:val="000000"/>
                <w:sz w:val="9"/>
              </w:rPr>
              <w:t>(6)</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(1)</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Represents referral process and new patients on service during the period.</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(2)</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 xml:space="preserve">Average daily census is total patient days divided by the number of days in the period. </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(3)</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Average length of stay is the average number of days a patient is on service, calculated upon discharge, and is total patient days divided by total discharges in the period.</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(4)</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Patient days is days of service for all patients in the period.</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(5)</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 xml:space="preserve">Revenue per patient day is hospice revenue divided by the number of patient days in the period. </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(6)</w:t>
      </w:r>
    </w:p>
    <w:p>
      <w:pPr>
        <w:pStyle w:val="TextBody"/>
        <w:bidi w:val="0"/>
        <w:spacing w:before="90" w:after="283"/>
        <w:jc w:val="left"/>
        <w:rPr/>
      </w:pPr>
      <w:r>
        <w:rPr>
          <w:rFonts w:ascii="Times New Roman" w:hAnsi="Times New Roman"/>
          <w:b w:val="false"/>
          <w:color w:val="000000"/>
          <w:sz w:val="18"/>
        </w:rPr>
        <w:t>Revenue organic growth and average daily census organic growth reflect the change in year-over-year revenue and average daily census for the same store base. We define the same store base to include those stores open for at least 52 full weeks. These measures highlight the</w:t>
      </w:r>
      <w:r>
        <w:rPr>
          <w:color w:val="000000"/>
        </w:rPr>
        <w:t xml:space="preserve"> </w:t>
      </w:r>
      <w:r>
        <w:rPr>
          <w:rFonts w:ascii="Times New Roman" w:hAnsi="Times New Roman"/>
          <w:b w:val="false"/>
          <w:color w:val="000000"/>
          <w:sz w:val="18"/>
        </w:rPr>
        <w:t>performance of existing stores, while excluding the impact of acquisitions, new store openings and closures.</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hospice segment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 and continuous home care services, and with the JourneyCare acquisition, expanded into providing general inpatient care services. In our hospice segment, net service revenues from Medicare accounted for 89.1% and 90.6% of total hospice segment net service revenues for the three months ended September 30, 2023 and 2022, respectively, and 90.2% and 90.8% for the nine months ended September 30, 2023 and 2022, respectively. Net service revenues from managed care organizations accounted for 3.4% and 3.5% of total hospice segment net service revenues for the three months ended September 30, 2023 and 2022, respectively, and 3.3% and 3.6% for the nine months ended September 30, 2023 and 2022, respectively.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Hospice net service revenues increased by $1.8 million and $1.3 million for the three and nine months ended September 30, 2023, respectively, compared to the three and nine months ended September 30, 2022, primarily attributed to the acquisitions of Tennessee Quality Care on August 1, 2023 and Apple Home on October 1,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Gross profit, expressed as a percentage of net service revenues, was 47.0% and 50.0% for the three months ended September 30, 2023 and 2022, respectively, and 46.2% and 50.6%, for the nine months ended September 30, 2023 and 2022, respectively. For the three months ended September 30, 2023, the decrease was mainly attributed to increases in direct employee wages, taxes and benefit costs of $0.7 million. For the nine months ended September 30, 2023, the decrease was mainly attributed to the increase in direct employee wages, taxes and benefit costs of $6.0 million.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hospice segment’s general and administrative expenses primarily consist of administrative employee wages, taxes and benefit costs, rent, information technology and office expenses. General and administrative expenses, expressed as a percentage of net service revenues was 24.9% and 24.4% for the three months ended September 30, 2023 and 2022, respectively, and 25.6% and 24.7% for the nine months ended September 30, 2023 and 2022, respectively. The increase in general and administrative expenses as a percentage of net service revenues for the three and nine months ended September 30, 2023 was mainly attributed to increases in administrative employee wages, taxes and benefit costs.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Home Health Segment</w:t>
      </w:r>
    </w:p>
    <w:p>
      <w:pPr>
        <w:pStyle w:val="TextBody"/>
        <w:bidi w:val="0"/>
        <w:jc w:val="left"/>
        <w:rPr/>
      </w:pPr>
      <w:r>
        <w:rPr/>
        <w:t> </w:t>
      </w:r>
    </w:p>
    <w:tbl>
      <w:tblPr>
        <w:tblW w:w="11466" w:type="dxa"/>
        <w:jc w:val="left"/>
        <w:tblInd w:w="0" w:type="dxa"/>
        <w:tblLayout w:type="fixed"/>
        <w:tblCellMar>
          <w:top w:w="28" w:type="dxa"/>
          <w:left w:w="28" w:type="dxa"/>
          <w:bottom w:w="28" w:type="dxa"/>
          <w:right w:w="28" w:type="dxa"/>
        </w:tblCellMar>
      </w:tblPr>
      <w:tblGrid>
        <w:gridCol w:w="1036"/>
        <w:gridCol w:w="181"/>
        <w:gridCol w:w="511"/>
        <w:gridCol w:w="211"/>
        <w:gridCol w:w="661"/>
        <w:gridCol w:w="211"/>
        <w:gridCol w:w="181"/>
        <w:gridCol w:w="511"/>
        <w:gridCol w:w="211"/>
        <w:gridCol w:w="661"/>
        <w:gridCol w:w="211"/>
        <w:gridCol w:w="181"/>
        <w:gridCol w:w="511"/>
        <w:gridCol w:w="146"/>
        <w:gridCol w:w="586"/>
        <w:gridCol w:w="211"/>
        <w:gridCol w:w="181"/>
        <w:gridCol w:w="586"/>
        <w:gridCol w:w="211"/>
        <w:gridCol w:w="661"/>
        <w:gridCol w:w="211"/>
        <w:gridCol w:w="181"/>
        <w:gridCol w:w="586"/>
        <w:gridCol w:w="211"/>
        <w:gridCol w:w="661"/>
        <w:gridCol w:w="211"/>
        <w:gridCol w:w="181"/>
        <w:gridCol w:w="511"/>
        <w:gridCol w:w="146"/>
        <w:gridCol w:w="436"/>
        <w:gridCol w:w="271"/>
      </w:tblGrid>
      <w:tr>
        <w:trPr/>
        <w:tc>
          <w:tcPr>
            <w:tcW w:w="10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vAlign w:val="center"/>
          </w:tcPr>
          <w:p>
            <w:pPr>
              <w:pStyle w:val="TableContents"/>
              <w:bidi w:val="0"/>
              <w:spacing w:before="0" w:after="283"/>
              <w:jc w:val="left"/>
              <w:rPr/>
            </w:pPr>
            <w:r>
              <w:rPr/>
              <w:t> </w:t>
            </w:r>
          </w:p>
        </w:tc>
        <w:tc>
          <w:tcPr>
            <w:tcW w:w="49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pPr>
            <w:r>
              <w:rPr/>
              <w:t> </w:t>
            </w:r>
          </w:p>
        </w:tc>
        <w:tc>
          <w:tcPr>
            <w:tcW w:w="15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Segment</w:t>
              <w:br/>
              <w:t>Net Service</w:t>
              <w:br/>
              <w:t>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793" w:type="dxa"/>
            <w:gridSpan w:val="13"/>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(Amounts in Thousands, Except Percentages)</w:t>
            </w:r>
          </w:p>
        </w:tc>
        <w:tc>
          <w:tcPr>
            <w:tcW w:w="211"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4793" w:type="dxa"/>
            <w:gridSpan w:val="13"/>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(Amounts in Thousands, Except Percentages)</w:t>
            </w:r>
          </w:p>
        </w:tc>
        <w:tc>
          <w:tcPr>
            <w:tcW w:w="271" w:type="dxa"/>
            <w:tcBorders/>
            <w:shd w:fill="FFFFFF" w:val="clear"/>
            <w:vAlign w:val="center"/>
          </w:tcPr>
          <w:p>
            <w:pPr>
              <w:pStyle w:val="TableContents"/>
              <w:bidi w:val="0"/>
              <w:spacing w:before="0" w:after="283"/>
              <w:jc w:val="center"/>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Results</w:t>
            </w:r>
          </w:p>
        </w:tc>
        <w:tc>
          <w:tcPr>
            <w:tcW w:w="181" w:type="dxa"/>
            <w:tcBorders/>
            <w:shd w:fill="CFF0FC" w:val="clear"/>
            <w:vAlign w:val="center"/>
          </w:tcPr>
          <w:p>
            <w:pPr>
              <w:pStyle w:val="TableContents"/>
              <w:bidi w:val="0"/>
              <w:spacing w:before="0" w:after="283"/>
              <w:jc w:val="left"/>
              <w:rPr/>
            </w:pPr>
            <w:r>
              <w:rPr/>
              <w:t> </w:t>
            </w:r>
          </w:p>
        </w:tc>
        <w:tc>
          <w:tcPr>
            <w:tcW w:w="4793" w:type="dxa"/>
            <w:gridSpan w:val="13"/>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793" w:type="dxa"/>
            <w:gridSpan w:val="13"/>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service revenues</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15,718</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9,956</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5,762</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57.9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39,659</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29,768</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9,891</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03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Cost of services revenues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24,646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21,501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Gross profit</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5,690</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36.2</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2,309</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23.2</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3,381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146.4</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15,013</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37.9</w:t>
            </w:r>
          </w:p>
        </w:tc>
        <w:tc>
          <w:tcPr>
            <w:tcW w:w="211"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8,267</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27.8</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6,746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81.6</w:t>
            </w:r>
          </w:p>
        </w:tc>
        <w:tc>
          <w:tcPr>
            <w:tcW w:w="271" w:type="dxa"/>
            <w:tcBorders/>
            <w:shd w:fill="FFFFFF" w:val="clear"/>
            <w:vAlign w:val="center"/>
          </w:tcPr>
          <w:p>
            <w:pPr>
              <w:pStyle w:val="TableContents"/>
              <w:bidi w:val="0"/>
              <w:spacing w:before="0" w:after="283"/>
              <w:jc w:val="righ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General and administrative expenses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Segment operating income</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-1,643.3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437.7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03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Metrics (Actual Numbers)</w:t>
            </w:r>
          </w:p>
        </w:tc>
        <w:tc>
          <w:tcPr>
            <w:tcW w:w="181" w:type="dxa"/>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Locations at period end</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New admissions * </w:t>
            </w:r>
            <w:r>
              <w:rPr>
                <w:rFonts w:ascii="Times New Roman" w:hAnsi="Times New Roman"/>
                <w:b w:val="false"/>
                <w:color w:val="000000"/>
                <w:sz w:val="9"/>
              </w:rPr>
              <w:t>(1)</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4,265</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3,684</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581</w:t>
            </w:r>
          </w:p>
        </w:tc>
        <w:tc>
          <w:tcPr>
            <w:tcW w:w="146"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15.8</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11,597</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10,371</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1,226</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Recertifications * </w:t>
            </w:r>
            <w:r>
              <w:rPr>
                <w:rFonts w:ascii="Times New Roman" w:hAnsi="Times New Roman"/>
                <w:b w:val="false"/>
                <w:color w:val="000000"/>
                <w:sz w:val="9"/>
              </w:rPr>
              <w:t>(2)</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2,672</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1,482</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1,190</w:t>
            </w:r>
          </w:p>
        </w:tc>
        <w:tc>
          <w:tcPr>
            <w:tcW w:w="146"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80.3</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5,816</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4,207</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1,609</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38.2</w:t>
            </w:r>
          </w:p>
        </w:tc>
        <w:tc>
          <w:tcPr>
            <w:tcW w:w="27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Total volume * </w:t>
            </w:r>
            <w:r>
              <w:rPr>
                <w:rFonts w:ascii="Times New Roman" w:hAnsi="Times New Roman"/>
                <w:b w:val="false"/>
                <w:color w:val="000000"/>
                <w:sz w:val="9"/>
              </w:rPr>
              <w:t>(3)</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6,937</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5,166</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1,771</w:t>
            </w:r>
          </w:p>
        </w:tc>
        <w:tc>
          <w:tcPr>
            <w:tcW w:w="146"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34.3</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17,413</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14,578</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2,835</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19.4</w:t>
            </w:r>
          </w:p>
        </w:tc>
        <w:tc>
          <w:tcPr>
            <w:tcW w:w="27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Visits * </w:t>
            </w:r>
            <w:r>
              <w:rPr>
                <w:rFonts w:ascii="Times New Roman" w:hAnsi="Times New Roman"/>
                <w:b w:val="false"/>
                <w:color w:val="000000"/>
                <w:sz w:val="9"/>
              </w:rPr>
              <w:t>(4)</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94,637</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71,670</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22,967</w:t>
            </w:r>
          </w:p>
        </w:tc>
        <w:tc>
          <w:tcPr>
            <w:tcW w:w="146"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81"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240,758</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205,335</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35,423</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03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Organic growth</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ind w:left="0" w:right="0" w:firstLine="80"/>
              <w:jc w:val="left"/>
              <w:rPr/>
            </w:pPr>
            <w:r>
              <w:rPr/>
              <w:t> </w:t>
            </w:r>
          </w:p>
        </w:tc>
      </w:tr>
      <w:tr>
        <w:trPr/>
        <w:tc>
          <w:tcPr>
            <w:tcW w:w="1036" w:type="dxa"/>
            <w:tcBorders/>
            <w:shd w:fill="FFFFFF" w:val="clear"/>
            <w:vAlign w:val="center"/>
          </w:tcPr>
          <w:p>
            <w:pPr>
              <w:pStyle w:val="TableContents"/>
              <w:bidi w:val="0"/>
              <w:spacing w:before="0" w:after="283"/>
              <w:ind w:left="80" w:right="0" w:firstLine="80"/>
              <w:jc w:val="left"/>
              <w:rPr/>
            </w:pPr>
            <w:r>
              <w:rPr>
                <w:color w:val="000000"/>
              </w:rPr>
              <w:t> </w:t>
            </w:r>
            <w:r>
              <w:rPr>
                <w:rFonts w:ascii="Times New Roman" w:hAnsi="Times New Roman"/>
                <w:b w:val="false"/>
                <w:color w:val="000000"/>
                <w:sz w:val="14"/>
              </w:rPr>
              <w:t xml:space="preserve">- Revenue * </w:t>
            </w:r>
            <w:r>
              <w:rPr>
                <w:rFonts w:ascii="Times New Roman" w:hAnsi="Times New Roman"/>
                <w:b w:val="false"/>
                <w:color w:val="000000"/>
                <w:sz w:val="9"/>
              </w:rPr>
              <w:t>(5)</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righ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ind w:left="0" w:right="0" w:firstLine="80"/>
              <w:jc w:val="left"/>
              <w:rPr/>
            </w:pPr>
            <w:r>
              <w:rPr/>
              <w:t> </w:t>
            </w:r>
          </w:p>
        </w:tc>
      </w:tr>
      <w:tr>
        <w:trPr/>
        <w:tc>
          <w:tcPr>
            <w:tcW w:w="1036" w:type="dxa"/>
            <w:tcBorders/>
            <w:shd w:fill="CFF0FC" w:val="clear"/>
            <w:vAlign w:val="center"/>
          </w:tcPr>
          <w:p>
            <w:pPr>
              <w:pStyle w:val="TableContents"/>
              <w:bidi w:val="0"/>
              <w:spacing w:before="0" w:after="283"/>
              <w:ind w:left="80" w:right="0" w:firstLine="80"/>
              <w:jc w:val="left"/>
              <w:rPr/>
            </w:pPr>
            <w:r>
              <w:rPr>
                <w:color w:val="000000"/>
              </w:rPr>
              <w:t> </w:t>
            </w:r>
            <w:r>
              <w:rPr>
                <w:rFonts w:ascii="Times New Roman" w:hAnsi="Times New Roman"/>
                <w:b w:val="false"/>
                <w:color w:val="000000"/>
                <w:sz w:val="14"/>
              </w:rPr>
              <w:t xml:space="preserve">- Admissions * </w:t>
            </w:r>
            <w:r>
              <w:rPr>
                <w:rFonts w:ascii="Times New Roman" w:hAnsi="Times New Roman"/>
                <w:b w:val="false"/>
                <w:color w:val="000000"/>
                <w:sz w:val="9"/>
              </w:rPr>
              <w:t>(5)</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(18.9)</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righ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(1)</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Represents new patients during the period.</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(2)</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(3)</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Total volume is total admissions and total recertifications in the period.</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(4)</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 xml:space="preserve">Represents number of services to patients in the period. </w:t>
      </w:r>
    </w:p>
    <w:p>
      <w:pPr>
        <w:pStyle w:val="TextBody"/>
        <w:bidi w:val="0"/>
        <w:spacing w:before="90" w:after="283"/>
        <w:jc w:val="left"/>
        <w:rPr>
          <w:rFonts w:ascii="Times New Roman" w:hAnsi="Times New Roman"/>
          <w:b w:val="false"/>
          <w:color w:val="000000"/>
          <w:sz w:val="18"/>
        </w:rPr>
      </w:pPr>
      <w:r>
        <w:rPr>
          <w:rFonts w:ascii="Times New Roman" w:hAnsi="Times New Roman"/>
          <w:b w:val="false"/>
          <w:color w:val="000000"/>
          <w:sz w:val="18"/>
        </w:rPr>
        <w:t>(5)</w:t>
      </w:r>
    </w:p>
    <w:p>
      <w:pPr>
        <w:pStyle w:val="TextBody"/>
        <w:bidi w:val="0"/>
        <w:spacing w:before="90" w:after="283"/>
        <w:jc w:val="left"/>
        <w:rPr/>
      </w:pPr>
      <w:r>
        <w:rPr>
          <w:rFonts w:ascii="Times New Roman" w:hAnsi="Times New Roman"/>
          <w:b w:val="false"/>
          <w:color w:val="000000"/>
          <w:sz w:val="18"/>
        </w:rPr>
        <w:t>Revenue organic growth and admissions organic growth reflect the change in year-over-year revenue and admissions for the same store base. We define the same store base to include those stores open for at least 52 full weeks. These measures highlight the</w:t>
      </w:r>
      <w:r>
        <w:rPr>
          <w:color w:val="000000"/>
        </w:rPr>
        <w:t xml:space="preserve"> </w:t>
      </w:r>
      <w:r>
        <w:rPr>
          <w:rFonts w:ascii="Times New Roman" w:hAnsi="Times New Roman"/>
          <w:b w:val="false"/>
          <w:color w:val="000000"/>
          <w:sz w:val="18"/>
        </w:rPr>
        <w:t>performance of existing stores, while excluding the impact of acquisitions, new store openings and closures.</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home health segment generates net service revenues by providing home health services on a short-term, intermittent or episodic basis to individuals, generally to treat an illness or injury. Net service revenues from Medicare accounted for 72.1% and 73.5%,of total home health segment net service revenues, managed care organizations accounted for 21.9% and 20.1%, and other accounted for 6.0% and 6.4% for the three months ended September 30, 2023 and 2022, respectively. Net service revenues from Medicare accounted for 73.9% and 73.0% of total home health segment net service revenues, managed care organizations accounted for 20.8% and 20.7%, and other accounted for 5.3% and 6.3%, for the nine months ended September 30, 2023 and 2022,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Home Health net service revenues increased by $5.8 million and $9.9 million for the three and nine months ended September 30, 2023, respectively, compared to the three and nine months ended September 30, 2022, and total visits increased for the three months and nine months ended September 30, 2023, mainly attributed to the acquisition of Tennessee Quality Care on August 1, 2023 and Apple Home on October 1, 2022, partially offset by a same store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Gross profit, expressed as a percentage of net service revenues, was 36.2% and 23.2% for the three months ended September 30, 2023 and 2022, respectively, and 37.9% and 27.8% for the nine months ended September 30, 2023 and 2022, respectively. For the three and nine months ended September 30, 2023, the increase was primarily due to an increase in net service revenues compared to the three and nine months ended September 30, 2022.</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home health segment’s general and administrative expenses primarily consist of administrative employee wages, taxes and benefit costs, rent, information technology and office expenses. General and administrative expenses, expressed as a percentage of net service revenues was 26.3% and 24.2% for the three months ended September 30, 2023 and 2022, respectively, and 24.3% and 24.4% for the nine months ended September 30, 2023 and 2022, respectively. The increase in general and administrative expenses as a percentage of net service revenues was primarily due to acquisitions that resulted in a $1.3 million increase in administrative employee wages, taxes and benefit costs for the three and nine months ended September 30,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primary sources of liquidity are cash on hand and cash from operations and borrowings under our credit facility. At September 30, 2023 and December 31, 2022, we had cash balances of $79.8 million and $80.0 million, respectively. At September 30, 2022, we had a $600.0 million revolving credit facility and a $125.0 million incremental loan facility, which may be for term loans or an increase to the revolving loan commitments. The maturity of this credit facility is July 30, 2026.</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nine months ended September 30, 2023, we (i) drew $110.0 million under our revolving credit facility to fund, in part, the purchase price paid in connection with the Tennessee Quality Care acquisition as described above, and (ii) repaid $78.5 million under our revolving credit facility.</w:t>
      </w:r>
      <w:r>
        <w:rPr>
          <w:rFonts w:ascii="Times New Roman" w:hAnsi="Times New Roman"/>
          <w:color w:val="000000"/>
          <w:sz w:val="20"/>
        </w:rPr>
        <w:t xml:space="preserve"> </w:t>
      </w:r>
      <w:r>
        <w:rPr>
          <w:rFonts w:ascii="Times New Roman" w:hAnsi="Times New Roman"/>
          <w:b w:val="false"/>
          <w:color w:val="000000"/>
          <w:sz w:val="20"/>
        </w:rPr>
        <w:t>As of September 30, 2023, we had a total of $166.4 million in revolving loans, with an interest rate of 5.11% outstanding on its credit facility and after giving effect to the amount drawn on our credit facility, approximately $8.1 million of outstanding letters of credit and borrowing limits based on an advance multiple of adjusted EBITDA (as defined in the Credit Agreement), we had $450.0 million of capacity and $275.6 million available for borrowing under our credit facility. At December 31, 2022, we had a total of $134.9 million revolving credit loans, with an interest rate of 6.13%, outstanding on our credit facility.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credit facility requires us to maintain a total net leverage ratio not exceeding 3.75:1.00. At September 30, 2023,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See Note 8 to the Notes to Condensed Consolidated Financial Statements, </w:t>
      </w:r>
      <w:r>
        <w:rPr>
          <w:rFonts w:ascii="Times New Roman" w:hAnsi="Times New Roman"/>
          <w:b w:val="false"/>
          <w:i/>
          <w:color w:val="000000"/>
          <w:sz w:val="20"/>
        </w:rPr>
        <w:t>Long-Term Debt</w:t>
      </w:r>
      <w:r>
        <w:rPr>
          <w:rFonts w:ascii="Times New Roman" w:hAnsi="Times New Roman"/>
          <w:b w:val="false"/>
          <w:color w:val="000000"/>
          <w:sz w:val="20"/>
        </w:rPr>
        <w:t>, for additional details of our long-term debt.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COVID-19 Pandemic</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federal public health emergency declared by HHS as a result of the COVID-19 pandemic expired May 11, 2023, reflecting the evolution of the COVID-19 public health situation from its acute emergency phase. Earlier in the pandemic, federal and state governments passed legislation, promulgated regulations, and took other administrative actions intended to assist healthcare providers in providing care to COVID-19 patients and other patients during the public health emergency. These temporary measures, most of which have been reduced or terminated, included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ARPA Spending Plans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ARPA, which became law on March 11, 2021, provided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During the nine months ended September 30, 2023, the Company received state funding provided by the ARPA in an aggregate amount of $2.0 million. The Company recorded revenue of $0.2 million for certain states that met the revenue recognition criteria. The Company deferred the remaining $1.8 million, which was received from states with specific spending plans and reporting requirements. Of the total state funding received by the Company pursuant to the ARPA through September 30, 2023, the Company utilized $2.1 million and $6.9 million of these funds during the three and nine months ended September 30, 2023, primarily for caregivers and adding support to recruiting and retention efforts, and included as a reduction of cost of service revenues in the Company’s Consolidated Statements of Income. As of September 30, 2023, the deferred portion of ARPA funding of $7.8 million is included within Government stimulus advances on the Company’s Unaudited Condensed Consolidated Balance Sheets.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Medicare sequester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CARES Act and related legislation temporarily lifted the Medicare sequester that would have otherwise reduced payments to Medicare providers by 2% as required by the Budget Control Act of 2011, from May 1, 2020 through March 31, 2022. The sequestration payment adjustment was phased back in, returning to a 2% reduction on July 1, 2022. These sequestration cuts have been extended through the first six months of 2032.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our hospice segment, Medicare sequester relief resulted in an increase in net service revenues of $1.4 million for the nine months ended September 30, 2022. In the home health segment, Medicare sequester relief resulted in an increase in net service revenues of $0.3 million for the nine months ended September 30,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ARPA increases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 We cannot currently determine if, or to what extent, our business, results of operations, financial condition or liquidity will ultimately be impacted by mandated sequestration triggers under the PAYGO Act, or if or when the mandated sequestration will occur.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See Note 7 to the Notes to Condensed Consolidated Financial Statements, </w:t>
      </w:r>
      <w:r>
        <w:rPr>
          <w:rFonts w:ascii="Times New Roman" w:hAnsi="Times New Roman"/>
          <w:b w:val="false"/>
          <w:i/>
          <w:color w:val="000000"/>
          <w:sz w:val="20"/>
        </w:rPr>
        <w:t>COVID-19 Pandemic</w:t>
      </w:r>
      <w:r>
        <w:rPr>
          <w:rFonts w:ascii="Times New Roman" w:hAnsi="Times New Roman"/>
          <w:b w:val="false"/>
          <w:color w:val="000000"/>
          <w:sz w:val="20"/>
        </w:rPr>
        <w:t>, for additional details of the COVID-19 pandemic.</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changes in our cash flows:</w:t>
      </w:r>
    </w:p>
    <w:p>
      <w:pPr>
        <w:pStyle w:val="TextBody"/>
        <w:bidi w:val="0"/>
        <w:jc w:val="left"/>
        <w:rPr/>
      </w:pPr>
      <w:r>
        <w:rPr/>
        <w:t> </w:t>
      </w:r>
    </w:p>
    <w:tbl>
      <w:tblPr>
        <w:tblW w:w="7751" w:type="dxa"/>
        <w:jc w:val="left"/>
        <w:tblInd w:w="0" w:type="dxa"/>
        <w:tblLayout w:type="fixed"/>
        <w:tblCellMar>
          <w:top w:w="28" w:type="dxa"/>
          <w:left w:w="28" w:type="dxa"/>
          <w:bottom w:w="28" w:type="dxa"/>
          <w:right w:w="28" w:type="dxa"/>
        </w:tblCellMar>
      </w:tblPr>
      <w:tblGrid>
        <w:gridCol w:w="4216"/>
        <w:gridCol w:w="146"/>
        <w:gridCol w:w="290"/>
        <w:gridCol w:w="1157"/>
        <w:gridCol w:w="228"/>
        <w:gridCol w:w="200"/>
        <w:gridCol w:w="290"/>
        <w:gridCol w:w="1013"/>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shd w:fill="FFFFFF" w:val="cle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82,198</w:t>
            </w:r>
          </w:p>
        </w:tc>
        <w:tc>
          <w:tcPr>
            <w:tcW w:w="228"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80,818</w:t>
            </w:r>
          </w:p>
        </w:tc>
        <w:tc>
          <w:tcPr>
            <w:tcW w:w="21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(113,934</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(87,354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31,525</w:t>
            </w:r>
          </w:p>
        </w:tc>
        <w:tc>
          <w:tcPr>
            <w:tcW w:w="228"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(56,715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80" w:after="283"/>
        <w:jc w:val="left"/>
        <w:rPr>
          <w:rFonts w:ascii="Times New Roman" w:hAnsi="Times New Roman"/>
          <w:b w:val="false"/>
          <w:i/>
          <w:color w:val="000000"/>
          <w:sz w:val="20"/>
        </w:rPr>
      </w:pPr>
      <w:r>
        <w:rPr>
          <w:rFonts w:ascii="Times New Roman" w:hAnsi="Times New Roman"/>
          <w:b w:val="false"/>
          <w:i/>
          <w:color w:val="000000"/>
          <w:sz w:val="20"/>
        </w:rPr>
        <w:t>Nine Months Ended September 30, 2023 Compared to Nine Months Ended September 30,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Cash flows from operating activities represent the inflow of cash from our payors and the outflow of cash for payroll and payroll taxes, operating expenses, interest and taxes. Net cash provided by operating activities was $82.2 million for the nine months ended September 30, 2023, compared to net cash provided by operating activities of $80.8 million for the same period in 2022. The increase in cash provided by operations was primarily due to the timing of receipts on accounts receivable and the timing of government stimulus funds. The changes in accounts receivable were primarily related to the growth in revenue during the nine months ended September 30, 2023 compared to 2022, as described below. The related receivables due from the Illinois Department on Aging represented 20.5% and 18.0% of the Company’s net accounts receivable at September 30, 2023 and December 31, 2022, respectively, as discussed below.</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 for the nine months ended September 30, 2023 primarily consisted of $112.2 million of net cash used for the Tennessee Quality Care acquisition. For the nine months ended September 30, 2023 and 2022, property and equipment purchases, primarily related to our ongoing investments in our technology infrastructure, were $1.7 million and $2.9 million, respectively.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 for the nine months ended September 30, 2023 primarily related to borrowings of $110.0 million on the revolver portion of our credit facility to fund, in part, the Tennessee Quality Care acquisition, partially offset by a $78.5 million payment on the revolver portion of our credit facility.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Outstanding Accounts Receivable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Gross accounts receivable as of September 30, 2023 and December 31, 2022 were approximately $123.0 million and $127.1 million, respectively. Outstanding accounts receivable, net of allowance for credit losses, decreased by $4.4 million as of September 30, 2023 as compared to December 31, 2022. Accounts receivable for the Illinois Department on Aging increased approximately $2.7 million during the nine months ended September 30, 2023.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calculate our DSO by taking the trade accounts receivable outstanding, net of allowance for credit losses for doubtful accounts, divided by the net service revenues for the last quarter, multiplied by the number of days in that quarter. Our DSOs were 42 days and 45 days at September 30, 2023 and December 31, 2022, respectively. The DSOs for our largest payor, the Illinois Department on Aging, were 42 days and 43 days at September 30, 2023 and December 31, 2022,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we did not have any off-balance sheet guarantees or arrangements with unconsolidated entities.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Policies and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material changes to our critical accounting policies and estimates previously disclosed under the caption “Management’s Discussion and Analysis of Financial Condition and Results of Operations — Critical Accounting Policies and Estimates” set forth in Part II, Item 7 of our Annual Report on Form 10-K for the period ended December 31, 2022, filed on February 28, 2023.</w:t>
      </w:r>
    </w:p>
    <w:p>
      <w:pPr>
        <w:pStyle w:val="TextBody"/>
        <w:bidi w:val="0"/>
        <w:spacing w:before="360" w:after="283"/>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QUANTITATIVE AND QUALITATIVE DISCLOSURES ABOUT MARKET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exposed to market risk associated with changes in interest rates on our variable rate long-term debt. As of September 30, 2023, we had outstanding borrowings of approximately $166.4 million on our credit facility, all of such borrowings were subject to variable interest rates. If the variable rates on this debt were 100 basis points higher than the rate applicable to the borrowing during the three and nine month periods ended September 30, 2023, our net income would have decreased by $0.3 million, or $0.02 per diluted share, and $0.7 million, or $0.05 per diluted share, respectively. We do not currently have any derivative or hedging arrangements, or other known exposures, to changes in interest rates.</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Our management, with the participation of our Chief Executive Officer and our Chief Financial Officer, evaluated the effectiveness of our disclosure controls and procedures as of September 30, 2023.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the evaluation of our disclosure controls and procedures, our Chief Executive Officer and Chief Financial Officer concluded that our disclosure controls and procedures were effective as of September 30,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identified in connection with the evaluation required by Rule 13a-15(d) and 15d-15(d) of the Exchange Act that occurred during the fiscal quarter ended September 30, 2023 that have materially affected, or are reasonably likely to materially affect, our internal control over financial reporting.</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180" w:after="283"/>
        <w:jc w:val="left"/>
        <w:rPr>
          <w:rFonts w:ascii="Times New Roman" w:hAnsi="Times New Roman"/>
          <w:sz w:val="20"/>
        </w:rPr>
      </w:pPr>
      <w:bookmarkStart w:id="14" w:name="item_1_legal_proceedings"/>
      <w:bookmarkEnd w:id="1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 information with respect to this Item may be found in Note 10 to the Condensed Consolidated Financial Statements in Part I, Item 1—“Financial Statements (Unaudited),” which is incorporated herein by reference.</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Investing in our common stock involves a high degree of risk. You should carefully consider the risk factors discussed under the caption “Risk Factors” set forth in Part I, Item 1A, of our Annual Report on Form 10-K for the year ended December 31, 2022, filed on February 28, 2023.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Unregistered Sales of Equity Securities and Use of Proceeds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 Without limiting the generality of the foregoing, during the quarter ended September 30, 2023, no director or Section 16 officer adopted</w:t>
      </w:r>
      <w:r>
        <w:rPr>
          <w:rFonts w:ascii="Times New Roman" w:hAnsi="Times New Roman"/>
          <w:color w:val="000000"/>
          <w:sz w:val="20"/>
        </w:rPr>
        <w:t xml:space="preserve"> </w:t>
      </w:r>
      <w:r>
        <w:rPr>
          <w:rFonts w:ascii="Times New Roman" w:hAnsi="Times New Roman"/>
          <w:b w:val="false"/>
          <w:color w:val="000000"/>
          <w:sz w:val="20"/>
        </w:rPr>
        <w:t>or terminated</w:t>
      </w:r>
      <w:r>
        <w:rPr>
          <w:rFonts w:ascii="Times New Roman" w:hAnsi="Times New Roman"/>
          <w:color w:val="000000"/>
          <w:sz w:val="20"/>
        </w:rPr>
        <w:t xml:space="preserve"> </w:t>
      </w:r>
      <w:r>
        <w:rPr>
          <w:rFonts w:ascii="Times New Roman" w:hAnsi="Times New Roman"/>
          <w:b w:val="false"/>
          <w:color w:val="000000"/>
          <w:sz w:val="20"/>
        </w:rPr>
        <w:t>any Rule 10b5-1 trading arrangements or non-Rule 10b5-1 trading arrangements, as such terms are defined in Item 408(a) of Regulation S-K.</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0"/>
        <w:gridCol w:w="146"/>
        <w:gridCol w:w="5601"/>
        <w:gridCol w:w="146"/>
        <w:gridCol w:w="586"/>
        <w:gridCol w:w="146"/>
        <w:gridCol w:w="856"/>
        <w:gridCol w:w="146"/>
        <w:gridCol w:w="760"/>
        <w:gridCol w:w="146"/>
        <w:gridCol w:w="842"/>
      </w:tblGrid>
      <w:tr>
        <w:trPr/>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8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3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Filing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center"/>
              <w:rPr/>
            </w:pPr>
            <w:hyperlink r:id="rId2">
              <w:r>
                <w:rPr>
                  <w:rStyle w:val="InternetLink"/>
                  <w:rFonts w:ascii="Times New Roman" w:hAnsi="Times New Roman"/>
                  <w:b w:val="false"/>
                  <w:color w:val="0000FF"/>
                  <w:sz w:val="20"/>
                  <w:u w:val="single"/>
                </w:rPr>
                <w:t>3.1</w:t>
              </w:r>
            </w:hyperlink>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Amended and Restated Certificate of Incorporation of the Company dated as of October 27, 2009.</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10-Q</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001-34504</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11/20/2009</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hyperlink r:id="rId4">
              <w:r>
                <w:rPr>
                  <w:rStyle w:val="InternetLink"/>
                  <w:rFonts w:ascii="Times New Roman" w:hAnsi="Times New Roman"/>
                  <w:b w:val="false"/>
                  <w:color w:val="0000FF"/>
                  <w:sz w:val="20"/>
                  <w:u w:val="single"/>
                </w:rPr>
                <w:t>3.2</w:t>
              </w:r>
            </w:hyperlink>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Amended and Restated Bylaws of the Company, as amended by the First Amendment to the Amended and Restated Bylaws.</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10-Q</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001-34504</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05/9/2013</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hyperlink r:id="rId6">
              <w:r>
                <w:rPr>
                  <w:rStyle w:val="InternetLink"/>
                  <w:rFonts w:ascii="Times New Roman" w:hAnsi="Times New Roman"/>
                  <w:b w:val="false"/>
                  <w:color w:val="0000FF"/>
                  <w:sz w:val="20"/>
                  <w:u w:val="single"/>
                </w:rPr>
                <w:t>4.1</w:t>
              </w:r>
            </w:hyperlink>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Form of Common Stock Certificate.</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333-160634</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10/2/2009</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hyperlink w:anchor="adus-ex31_1.htm">
              <w:r>
                <w:rPr>
                  <w:rStyle w:val="InternetLink"/>
                  <w:rFonts w:ascii="Times New Roman" w:hAnsi="Times New Roman"/>
                  <w:b w:val="false"/>
                  <w:color w:val="0000FF"/>
                  <w:sz w:val="20"/>
                  <w:u w:val="single"/>
                </w:rPr>
                <w:t>31.1</w:t>
              </w:r>
            </w:hyperlink>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hyperlink w:anchor="adus-ex31_1.htm">
              <w:r>
                <w:rPr>
                  <w:rStyle w:val="InternetLink"/>
                  <w:rFonts w:ascii="Times New Roman" w:hAnsi="Times New Roman"/>
                  <w:b w:val="false"/>
                  <w:color w:val="0000FF"/>
                  <w:sz w:val="20"/>
                  <w:u w:val="single"/>
                </w:rPr>
                <w:t>Certification of Chief Executive Officer Pursuant to Rule 13a-14(a) of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hyperlink w:anchor="adus-ex31_2.htm">
              <w:r>
                <w:rPr>
                  <w:rStyle w:val="InternetLink"/>
                  <w:rFonts w:ascii="Times New Roman" w:hAnsi="Times New Roman"/>
                  <w:b w:val="false"/>
                  <w:color w:val="0000FF"/>
                  <w:sz w:val="20"/>
                  <w:u w:val="single"/>
                </w:rPr>
                <w:t>31.2</w:t>
              </w:r>
            </w:hyperlink>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hyperlink w:anchor="adus-ex31_2.htm">
              <w:r>
                <w:rPr>
                  <w:rStyle w:val="InternetLink"/>
                  <w:rFonts w:ascii="Times New Roman" w:hAnsi="Times New Roman"/>
                  <w:b w:val="false"/>
                  <w:color w:val="0000FF"/>
                  <w:sz w:val="20"/>
                  <w:u w:val="single"/>
                </w:rPr>
                <w:t>Certification of Chief Financial Officer Pursuant to Rule 13a-14(a) of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hyperlink w:anchor="adus-ex32_1.htm">
              <w:r>
                <w:rPr>
                  <w:rStyle w:val="InternetLink"/>
                  <w:rFonts w:ascii="Times New Roman" w:hAnsi="Times New Roman"/>
                  <w:b w:val="false"/>
                  <w:color w:val="0000FF"/>
                  <w:sz w:val="20"/>
                  <w:u w:val="single"/>
                </w:rPr>
                <w:t>32.1</w:t>
              </w:r>
            </w:hyperlink>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hyperlink w:anchor="adus-ex32_1.htm">
              <w:r>
                <w:rPr>
                  <w:rStyle w:val="InternetLink"/>
                  <w:rFonts w:ascii="Times New Roman" w:hAnsi="Times New Roman"/>
                  <w:b w:val="false"/>
                  <w:color w:val="0000FF"/>
                  <w:sz w:val="20"/>
                  <w:u w:val="single"/>
                </w:rPr>
                <w:t>Certification of Chief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hyperlink w:anchor="adus-ex32_2.htm">
              <w:r>
                <w:rPr>
                  <w:rStyle w:val="InternetLink"/>
                  <w:rFonts w:ascii="Times New Roman" w:hAnsi="Times New Roman"/>
                  <w:b w:val="false"/>
                  <w:color w:val="0000FF"/>
                  <w:sz w:val="20"/>
                  <w:u w:val="single"/>
                </w:rPr>
                <w:t>32.2</w:t>
              </w:r>
            </w:hyperlink>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hyperlink w:anchor="adus-ex32_2.htm">
              <w:r>
                <w:rPr>
                  <w:rStyle w:val="InternetLink"/>
                  <w:rFonts w:ascii="Times New Roman" w:hAnsi="Times New Roman"/>
                  <w:b w:val="false"/>
                  <w:color w:val="0000FF"/>
                  <w:sz w:val="20"/>
                  <w:u w:val="single"/>
                </w:rPr>
                <w:t>Certification of Chief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5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5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sz w:val="4"/>
                <w:szCs w:val="4"/>
              </w:rPr>
            </w:pPr>
            <w:r>
              <w:rPr>
                <w:sz w:val="4"/>
                <w:szCs w:val="4"/>
              </w:rPr>
            </w:r>
          </w:p>
        </w:tc>
        <w:tc>
          <w:tcPr>
            <w:tcW w:w="5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Calculation Linkbase Document.</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sz w:val="4"/>
                <w:szCs w:val="4"/>
              </w:rPr>
            </w:pPr>
            <w:r>
              <w:rPr>
                <w:sz w:val="4"/>
                <w:szCs w:val="4"/>
              </w:rPr>
            </w:r>
          </w:p>
        </w:tc>
        <w:tc>
          <w:tcPr>
            <w:tcW w:w="5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Label Linkbase Document.</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sz w:val="4"/>
                <w:szCs w:val="4"/>
              </w:rPr>
            </w:pPr>
            <w:r>
              <w:rPr>
                <w:sz w:val="4"/>
                <w:szCs w:val="4"/>
              </w:rPr>
            </w:r>
          </w:p>
        </w:tc>
        <w:tc>
          <w:tcPr>
            <w:tcW w:w="5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Presentation Linkbase Document.</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sz w:val="4"/>
                <w:szCs w:val="4"/>
              </w:rPr>
            </w:pPr>
            <w:r>
              <w:rPr>
                <w:sz w:val="4"/>
                <w:szCs w:val="4"/>
              </w:rPr>
            </w:r>
          </w:p>
        </w:tc>
        <w:tc>
          <w:tcPr>
            <w:tcW w:w="5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83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5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 and contained in Exhibit 101).</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bl>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 Management compensatory plan or arrangement</w:t>
      </w:r>
    </w:p>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hyperlink w:anchor="index">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25" w:type="dxa"/>
        <w:jc w:val="left"/>
        <w:tblInd w:w="0" w:type="dxa"/>
        <w:tblLayout w:type="fixed"/>
        <w:tblCellMar>
          <w:top w:w="28" w:type="dxa"/>
          <w:left w:w="28" w:type="dxa"/>
          <w:bottom w:w="28" w:type="dxa"/>
          <w:right w:w="28" w:type="dxa"/>
        </w:tblCellMar>
      </w:tblPr>
      <w:tblGrid>
        <w:gridCol w:w="1802"/>
        <w:gridCol w:w="162"/>
        <w:gridCol w:w="377"/>
        <w:gridCol w:w="162"/>
        <w:gridCol w:w="3122"/>
      </w:tblGrid>
      <w:tr>
        <w:trPr/>
        <w:tc>
          <w:tcPr>
            <w:tcW w:w="18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r>
      <w:tr>
        <w:trPr/>
        <w:tc>
          <w:tcPr>
            <w:tcW w:w="18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122" w:type="dxa"/>
            <w:tcBorders/>
            <w:vAlign w:val="center"/>
          </w:tcPr>
          <w:p>
            <w:pPr>
              <w:pStyle w:val="TableContents"/>
              <w:bidi w:val="0"/>
              <w:spacing w:before="0" w:after="283"/>
              <w:jc w:val="left"/>
              <w:rPr/>
            </w:pPr>
            <w:r>
              <w:rPr/>
              <w:t> </w:t>
            </w:r>
          </w:p>
        </w:tc>
      </w:tr>
      <w:tr>
        <w:trPr/>
        <w:tc>
          <w:tcPr>
            <w:tcW w:w="1802" w:type="dxa"/>
            <w:tcBorders/>
            <w:vAlign w:val="center"/>
          </w:tcPr>
          <w:p>
            <w:pPr>
              <w:pStyle w:val="TableContents"/>
              <w:bidi w:val="0"/>
              <w:spacing w:before="0" w:after="283"/>
              <w:ind w:left="0" w:right="16" w:hanging="0"/>
              <w:jc w:val="left"/>
              <w:rPr/>
            </w:pPr>
            <w:r>
              <w:rPr/>
              <w:t> </w:t>
            </w:r>
          </w:p>
        </w:tc>
        <w:tc>
          <w:tcPr>
            <w:tcW w:w="162" w:type="dxa"/>
            <w:tcBorders/>
            <w:vAlign w:val="center"/>
          </w:tcPr>
          <w:p>
            <w:pPr>
              <w:pStyle w:val="TableContents"/>
              <w:bidi w:val="0"/>
              <w:spacing w:before="0" w:after="283"/>
              <w:ind w:left="0" w:right="16" w:hanging="0"/>
              <w:jc w:val="left"/>
              <w:rPr/>
            </w:pPr>
            <w:r>
              <w:rPr/>
              <w:t> </w:t>
            </w:r>
          </w:p>
        </w:tc>
        <w:tc>
          <w:tcPr>
            <w:tcW w:w="3661" w:type="dxa"/>
            <w:gridSpan w:val="3"/>
            <w:tcBorders/>
            <w:vAlign w:val="center"/>
          </w:tcPr>
          <w:p>
            <w:pPr>
              <w:pStyle w:val="TableContents"/>
              <w:bidi w:val="0"/>
              <w:spacing w:before="0" w:after="283"/>
              <w:ind w:left="0" w:right="56" w:hanging="0"/>
              <w:jc w:val="left"/>
              <w:rPr>
                <w:rFonts w:ascii="Times New Roman" w:hAnsi="Times New Roman"/>
                <w:b/>
                <w:i/>
                <w:color w:val="000000"/>
                <w:sz w:val="18"/>
              </w:rPr>
            </w:pPr>
            <w:r>
              <w:rPr>
                <w:rFonts w:ascii="Times New Roman" w:hAnsi="Times New Roman"/>
                <w:b/>
                <w:i/>
                <w:color w:val="000000"/>
                <w:sz w:val="18"/>
              </w:rPr>
              <w:t>ADDUS HOMECARE CORPORATION</w:t>
            </w:r>
          </w:p>
        </w:tc>
      </w:tr>
      <w:tr>
        <w:trPr/>
        <w:tc>
          <w:tcPr>
            <w:tcW w:w="1802" w:type="dxa"/>
            <w:tcBorders/>
            <w:vAlign w:val="center"/>
          </w:tcPr>
          <w:p>
            <w:pPr>
              <w:pStyle w:val="TableContents"/>
              <w:bidi w:val="0"/>
              <w:spacing w:before="0" w:after="283"/>
              <w:jc w:val="left"/>
              <w:rPr/>
            </w:pPr>
            <w:r>
              <w:rPr/>
              <w:t> </w:t>
            </w:r>
          </w:p>
        </w:tc>
        <w:tc>
          <w:tcPr>
            <w:tcW w:w="539" w:type="dxa"/>
            <w:gridSpan w:val="2"/>
            <w:tcBorders/>
            <w:vAlign w:val="center"/>
          </w:tcPr>
          <w:p>
            <w:pPr>
              <w:pStyle w:val="TableContents"/>
              <w:bidi w:val="0"/>
              <w:spacing w:before="0" w:after="283"/>
              <w:jc w:val="left"/>
              <w:rPr/>
            </w:pPr>
            <w:r>
              <w:rPr/>
              <w:t> </w:t>
            </w:r>
          </w:p>
        </w:tc>
        <w:tc>
          <w:tcPr>
            <w:tcW w:w="3284" w:type="dxa"/>
            <w:gridSpan w:val="2"/>
            <w:tcBorders/>
            <w:vAlign w:val="center"/>
          </w:tcPr>
          <w:p>
            <w:pPr>
              <w:pStyle w:val="TableContents"/>
              <w:bidi w:val="0"/>
              <w:spacing w:before="0" w:after="283"/>
              <w:jc w:val="left"/>
              <w:rPr/>
            </w:pPr>
            <w:r>
              <w:rPr/>
              <w:t> </w:t>
            </w:r>
          </w:p>
        </w:tc>
      </w:tr>
      <w:tr>
        <w:trPr/>
        <w:tc>
          <w:tcPr>
            <w:tcW w:w="1802"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Date: October 31, 2023</w:t>
            </w:r>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By:</w:t>
            </w:r>
          </w:p>
        </w:tc>
        <w:tc>
          <w:tcPr>
            <w:tcW w:w="162" w:type="dxa"/>
            <w:tcBorders/>
            <w:vAlign w:val="center"/>
          </w:tcPr>
          <w:p>
            <w:pPr>
              <w:pStyle w:val="TableContents"/>
              <w:bidi w:val="0"/>
              <w:spacing w:before="0" w:after="283"/>
              <w:ind w:left="0" w:right="16" w:hanging="0"/>
              <w:jc w:val="left"/>
              <w:rPr/>
            </w:pPr>
            <w:r>
              <w:rPr/>
              <w:t> </w:t>
            </w:r>
          </w:p>
        </w:tc>
        <w:tc>
          <w:tcPr>
            <w:tcW w:w="3122" w:type="dxa"/>
            <w:tcBorders/>
            <w:vAlign w:val="center"/>
          </w:tcPr>
          <w:p>
            <w:pPr>
              <w:pStyle w:val="TableContents"/>
              <w:pBdr>
                <w:bottom w:val="single" w:sz="4" w:space="1" w:color="000000"/>
              </w:pBdr>
              <w:bidi w:val="0"/>
              <w:spacing w:before="0" w:after="283"/>
              <w:ind w:left="0" w:right="16" w:hanging="0"/>
              <w:jc w:val="center"/>
              <w:rPr>
                <w:rFonts w:ascii="Times New Roman" w:hAnsi="Times New Roman"/>
                <w:b w:val="false"/>
                <w:color w:val="000000"/>
                <w:sz w:val="18"/>
              </w:rPr>
            </w:pPr>
            <w:r>
              <w:rPr>
                <w:rFonts w:ascii="Times New Roman" w:hAnsi="Times New Roman"/>
                <w:b w:val="false"/>
                <w:color w:val="000000"/>
                <w:sz w:val="18"/>
              </w:rPr>
              <w:t>/s/ R. DIRK ALLISON</w:t>
            </w:r>
          </w:p>
        </w:tc>
      </w:tr>
      <w:tr>
        <w:trPr/>
        <w:tc>
          <w:tcPr>
            <w:tcW w:w="1802" w:type="dxa"/>
            <w:tcBorders/>
            <w:vAlign w:val="center"/>
          </w:tcPr>
          <w:p>
            <w:pPr>
              <w:pStyle w:val="TableContents"/>
              <w:bidi w:val="0"/>
              <w:spacing w:before="0" w:after="283"/>
              <w:jc w:val="left"/>
              <w:rPr/>
            </w:pPr>
            <w:r>
              <w:rPr/>
              <w:t> </w:t>
            </w:r>
          </w:p>
        </w:tc>
        <w:tc>
          <w:tcPr>
            <w:tcW w:w="539" w:type="dxa"/>
            <w:gridSpan w:val="2"/>
            <w:tcBorders/>
            <w:vAlign w:val="center"/>
          </w:tcPr>
          <w:p>
            <w:pPr>
              <w:pStyle w:val="TableContents"/>
              <w:bidi w:val="0"/>
              <w:spacing w:before="0" w:after="283"/>
              <w:jc w:val="left"/>
              <w:rPr/>
            </w:pPr>
            <w:r>
              <w:rPr/>
              <w:t> </w:t>
            </w:r>
          </w:p>
        </w:tc>
        <w:tc>
          <w:tcPr>
            <w:tcW w:w="3284" w:type="dxa"/>
            <w:gridSpan w:val="2"/>
            <w:tcBorders/>
            <w:vAlign w:val="center"/>
          </w:tcPr>
          <w:p>
            <w:pPr>
              <w:pStyle w:val="TableContents"/>
              <w:bidi w:val="0"/>
              <w:spacing w:before="0" w:after="283"/>
              <w:jc w:val="left"/>
              <w:rPr/>
            </w:pPr>
            <w:r>
              <w:rPr/>
              <w:t> </w:t>
            </w:r>
          </w:p>
        </w:tc>
      </w:tr>
      <w:tr>
        <w:trPr/>
        <w:tc>
          <w:tcPr>
            <w:tcW w:w="1802" w:type="dxa"/>
            <w:tcBorders/>
            <w:vAlign w:val="center"/>
          </w:tcPr>
          <w:p>
            <w:pPr>
              <w:pStyle w:val="TableContents"/>
              <w:bidi w:val="0"/>
              <w:spacing w:before="0" w:after="283"/>
              <w:ind w:left="0" w:right="16" w:hanging="0"/>
              <w:jc w:val="left"/>
              <w:rPr/>
            </w:pPr>
            <w:r>
              <w:rPr/>
              <w:t> </w:t>
            </w:r>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pPr>
            <w:r>
              <w:rPr/>
              <w:t> </w:t>
            </w:r>
          </w:p>
        </w:tc>
        <w:tc>
          <w:tcPr>
            <w:tcW w:w="3122" w:type="dxa"/>
            <w:tcBorders/>
            <w:vAlign w:val="center"/>
          </w:tcPr>
          <w:p>
            <w:pPr>
              <w:pStyle w:val="TableContents"/>
              <w:bidi w:val="0"/>
              <w:ind w:left="0" w:right="16" w:hanging="0"/>
              <w:jc w:val="center"/>
              <w:rPr>
                <w:rFonts w:ascii="Times New Roman" w:hAnsi="Times New Roman"/>
                <w:b/>
                <w:color w:val="000000"/>
                <w:sz w:val="18"/>
              </w:rPr>
            </w:pPr>
            <w:r>
              <w:rPr>
                <w:rFonts w:ascii="Times New Roman" w:hAnsi="Times New Roman"/>
                <w:b/>
                <w:color w:val="000000"/>
                <w:sz w:val="18"/>
              </w:rPr>
              <w:t>R. Dirk Allison</w:t>
            </w:r>
          </w:p>
          <w:p>
            <w:pPr>
              <w:pStyle w:val="TableContents"/>
              <w:bidi w:val="0"/>
              <w:ind w:left="0" w:right="16" w:hanging="0"/>
              <w:jc w:val="center"/>
              <w:rPr>
                <w:rFonts w:ascii="Times New Roman" w:hAnsi="Times New Roman"/>
                <w:b/>
                <w:color w:val="000000"/>
                <w:sz w:val="18"/>
              </w:rPr>
            </w:pPr>
            <w:r>
              <w:rPr>
                <w:rFonts w:ascii="Times New Roman" w:hAnsi="Times New Roman"/>
                <w:b/>
                <w:color w:val="000000"/>
                <w:sz w:val="18"/>
              </w:rPr>
              <w:t>Chairman and Chief Executive Officer</w:t>
            </w:r>
          </w:p>
          <w:p>
            <w:pPr>
              <w:pStyle w:val="TableContents"/>
              <w:bidi w:val="0"/>
              <w:spacing w:before="0" w:after="283"/>
              <w:ind w:left="0" w:right="16" w:hanging="0"/>
              <w:jc w:val="center"/>
              <w:rPr>
                <w:rFonts w:ascii="Times New Roman" w:hAnsi="Times New Roman"/>
                <w:b/>
                <w:color w:val="000000"/>
                <w:sz w:val="18"/>
              </w:rPr>
            </w:pPr>
            <w:r>
              <w:rPr>
                <w:rFonts w:ascii="Times New Roman" w:hAnsi="Times New Roman"/>
                <w:b/>
                <w:color w:val="000000"/>
                <w:sz w:val="18"/>
              </w:rPr>
              <w:t>(As Principal Executive Officer)</w:t>
            </w:r>
          </w:p>
        </w:tc>
      </w:tr>
      <w:tr>
        <w:trPr/>
        <w:tc>
          <w:tcPr>
            <w:tcW w:w="1802" w:type="dxa"/>
            <w:tcBorders/>
            <w:vAlign w:val="center"/>
          </w:tcPr>
          <w:p>
            <w:pPr>
              <w:pStyle w:val="TableContents"/>
              <w:bidi w:val="0"/>
              <w:spacing w:before="0" w:after="283"/>
              <w:jc w:val="left"/>
              <w:rPr/>
            </w:pPr>
            <w:r>
              <w:rPr/>
              <w:t> </w:t>
            </w:r>
          </w:p>
        </w:tc>
        <w:tc>
          <w:tcPr>
            <w:tcW w:w="539" w:type="dxa"/>
            <w:gridSpan w:val="2"/>
            <w:tcBorders/>
            <w:vAlign w:val="center"/>
          </w:tcPr>
          <w:p>
            <w:pPr>
              <w:pStyle w:val="TableContents"/>
              <w:bidi w:val="0"/>
              <w:spacing w:before="0" w:after="283"/>
              <w:jc w:val="left"/>
              <w:rPr/>
            </w:pPr>
            <w:r>
              <w:rPr/>
              <w:t> </w:t>
            </w:r>
          </w:p>
        </w:tc>
        <w:tc>
          <w:tcPr>
            <w:tcW w:w="3284" w:type="dxa"/>
            <w:gridSpan w:val="2"/>
            <w:tcBorders/>
            <w:vAlign w:val="center"/>
          </w:tcPr>
          <w:p>
            <w:pPr>
              <w:pStyle w:val="TableContents"/>
              <w:bidi w:val="0"/>
              <w:spacing w:before="0" w:after="283"/>
              <w:jc w:val="left"/>
              <w:rPr/>
            </w:pPr>
            <w:r>
              <w:rPr/>
              <w:t> </w:t>
            </w:r>
          </w:p>
        </w:tc>
      </w:tr>
      <w:tr>
        <w:trPr/>
        <w:tc>
          <w:tcPr>
            <w:tcW w:w="1802"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Date: October 31, 2023</w:t>
            </w:r>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By:</w:t>
            </w:r>
          </w:p>
        </w:tc>
        <w:tc>
          <w:tcPr>
            <w:tcW w:w="162" w:type="dxa"/>
            <w:tcBorders/>
            <w:vAlign w:val="center"/>
          </w:tcPr>
          <w:p>
            <w:pPr>
              <w:pStyle w:val="TableContents"/>
              <w:bidi w:val="0"/>
              <w:spacing w:before="0" w:after="283"/>
              <w:ind w:left="0" w:right="16" w:hanging="0"/>
              <w:jc w:val="left"/>
              <w:rPr/>
            </w:pPr>
            <w:r>
              <w:rPr/>
              <w:t> </w:t>
            </w:r>
          </w:p>
        </w:tc>
        <w:tc>
          <w:tcPr>
            <w:tcW w:w="3122" w:type="dxa"/>
            <w:tcBorders/>
            <w:vAlign w:val="center"/>
          </w:tcPr>
          <w:p>
            <w:pPr>
              <w:pStyle w:val="TableContents"/>
              <w:pBdr>
                <w:bottom w:val="single" w:sz="5" w:space="1" w:color="000000"/>
              </w:pBdr>
              <w:bidi w:val="0"/>
              <w:spacing w:before="0" w:after="283"/>
              <w:ind w:left="0" w:right="16" w:hanging="0"/>
              <w:jc w:val="center"/>
              <w:rPr>
                <w:rFonts w:ascii="Times New Roman" w:hAnsi="Times New Roman"/>
                <w:b w:val="false"/>
                <w:color w:val="000000"/>
                <w:sz w:val="18"/>
              </w:rPr>
            </w:pPr>
            <w:r>
              <w:rPr>
                <w:rFonts w:ascii="Times New Roman" w:hAnsi="Times New Roman"/>
                <w:b w:val="false"/>
                <w:color w:val="000000"/>
                <w:sz w:val="18"/>
              </w:rPr>
              <w:t>/s/ BRIAN POFF</w:t>
            </w:r>
          </w:p>
        </w:tc>
      </w:tr>
      <w:tr>
        <w:trPr/>
        <w:tc>
          <w:tcPr>
            <w:tcW w:w="1802" w:type="dxa"/>
            <w:tcBorders/>
            <w:vAlign w:val="center"/>
          </w:tcPr>
          <w:p>
            <w:pPr>
              <w:pStyle w:val="TableContents"/>
              <w:bidi w:val="0"/>
              <w:spacing w:before="0" w:after="283"/>
              <w:jc w:val="left"/>
              <w:rPr/>
            </w:pPr>
            <w:r>
              <w:rPr/>
              <w:t> </w:t>
            </w:r>
          </w:p>
        </w:tc>
        <w:tc>
          <w:tcPr>
            <w:tcW w:w="539" w:type="dxa"/>
            <w:gridSpan w:val="2"/>
            <w:tcBorders/>
            <w:vAlign w:val="center"/>
          </w:tcPr>
          <w:p>
            <w:pPr>
              <w:pStyle w:val="TableContents"/>
              <w:bidi w:val="0"/>
              <w:spacing w:before="0" w:after="283"/>
              <w:jc w:val="left"/>
              <w:rPr/>
            </w:pPr>
            <w:r>
              <w:rPr/>
              <w:t> </w:t>
            </w:r>
          </w:p>
        </w:tc>
        <w:tc>
          <w:tcPr>
            <w:tcW w:w="3284" w:type="dxa"/>
            <w:gridSpan w:val="2"/>
            <w:tcBorders/>
            <w:vAlign w:val="center"/>
          </w:tcPr>
          <w:p>
            <w:pPr>
              <w:pStyle w:val="TableContents"/>
              <w:bidi w:val="0"/>
              <w:spacing w:before="0" w:after="283"/>
              <w:jc w:val="left"/>
              <w:rPr/>
            </w:pPr>
            <w:r>
              <w:rPr/>
              <w:t> </w:t>
            </w:r>
          </w:p>
        </w:tc>
      </w:tr>
      <w:tr>
        <w:trPr/>
        <w:tc>
          <w:tcPr>
            <w:tcW w:w="18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ind w:left="0" w:right="16" w:hanging="0"/>
              <w:jc w:val="left"/>
              <w:rPr/>
            </w:pPr>
            <w:r>
              <w:rPr/>
              <w:t> </w:t>
            </w:r>
          </w:p>
        </w:tc>
        <w:tc>
          <w:tcPr>
            <w:tcW w:w="3122" w:type="dxa"/>
            <w:tcBorders/>
            <w:vAlign w:val="center"/>
          </w:tcPr>
          <w:p>
            <w:pPr>
              <w:pStyle w:val="TableContents"/>
              <w:bidi w:val="0"/>
              <w:ind w:left="0" w:right="16" w:hanging="0"/>
              <w:jc w:val="center"/>
              <w:rPr>
                <w:rFonts w:ascii="Times New Roman" w:hAnsi="Times New Roman"/>
                <w:b/>
                <w:color w:val="000000"/>
                <w:sz w:val="18"/>
              </w:rPr>
            </w:pPr>
            <w:r>
              <w:rPr>
                <w:rFonts w:ascii="Times New Roman" w:hAnsi="Times New Roman"/>
                <w:b/>
                <w:color w:val="000000"/>
                <w:sz w:val="18"/>
              </w:rPr>
              <w:t>Brian Poff</w:t>
            </w:r>
          </w:p>
          <w:p>
            <w:pPr>
              <w:pStyle w:val="TableContents"/>
              <w:bidi w:val="0"/>
              <w:ind w:left="0" w:right="16" w:hanging="0"/>
              <w:jc w:val="center"/>
              <w:rPr>
                <w:rFonts w:ascii="Times New Roman" w:hAnsi="Times New Roman"/>
                <w:b/>
                <w:color w:val="000000"/>
                <w:sz w:val="18"/>
              </w:rPr>
            </w:pPr>
            <w:r>
              <w:rPr>
                <w:rFonts w:ascii="Times New Roman" w:hAnsi="Times New Roman"/>
                <w:b/>
                <w:color w:val="000000"/>
                <w:sz w:val="18"/>
              </w:rPr>
              <w:t>Chief Financial Officer</w:t>
            </w:r>
          </w:p>
          <w:p>
            <w:pPr>
              <w:pStyle w:val="TableContents"/>
              <w:bidi w:val="0"/>
              <w:spacing w:before="0" w:after="283"/>
              <w:ind w:left="0" w:right="16" w:hanging="0"/>
              <w:jc w:val="center"/>
              <w:rPr>
                <w:rFonts w:ascii="Times New Roman" w:hAnsi="Times New Roman"/>
                <w:b/>
                <w:color w:val="000000"/>
                <w:sz w:val="18"/>
              </w:rPr>
            </w:pPr>
            <w:r>
              <w:rPr>
                <w:rFonts w:ascii="Times New Roman" w:hAnsi="Times New Roman"/>
                <w:b/>
                <w:color w:val="000000"/>
                <w:sz w:val="18"/>
              </w:rPr>
              <w:t>(As Principal Financial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18"/>
        </w:rPr>
      </w:pPr>
      <w:r>
        <w:rPr>
          <w:rFonts w:ascii="Times New Roman" w:hAnsi="Times New Roman"/>
          <w:b w:val="false"/>
          <w:color w:val="000000"/>
          <w:sz w:val="18"/>
        </w:rPr>
        <w:t>38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adus-ex31_1.htm"/>
      <w:bookmarkStart w:id="22" w:name="ksadusex31_1"/>
      <w:bookmarkEnd w:id="21"/>
      <w:bookmarkEnd w:id="22"/>
      <w:r>
        <w:rPr>
          <w:rFonts w:ascii="Times New Roman" w:hAnsi="Times New Roman"/>
          <w:b/>
          <w:color w:val="000000"/>
          <w:sz w:val="20"/>
        </w:rPr>
        <w:t>Exhibit 31.1</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CERTIFICATIONS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I, R. Dirk Allison, certify that:</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Addus HomeCare Corporation;</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b)</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c)</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d)</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b)</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59" w:type="dxa"/>
        <w:jc w:val="left"/>
        <w:tblInd w:w="0" w:type="dxa"/>
        <w:tblLayout w:type="fixed"/>
        <w:tblCellMar>
          <w:top w:w="28" w:type="dxa"/>
          <w:left w:w="28" w:type="dxa"/>
          <w:bottom w:w="28" w:type="dxa"/>
          <w:right w:w="28" w:type="dxa"/>
        </w:tblCellMar>
      </w:tblPr>
      <w:tblGrid>
        <w:gridCol w:w="1786"/>
        <w:gridCol w:w="146"/>
        <w:gridCol w:w="361"/>
        <w:gridCol w:w="286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Date: October 31, 2023</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By:</w:t>
            </w:r>
          </w:p>
        </w:tc>
        <w:tc>
          <w:tcPr>
            <w:tcW w:w="28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 R. Dirk Allison</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28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 Dirk Allison</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28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Chairman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dus-ex31_2.htm"/>
      <w:bookmarkStart w:id="24" w:name="ksadusex31_2"/>
      <w:bookmarkEnd w:id="23"/>
      <w:bookmarkEnd w:id="24"/>
      <w:r>
        <w:rPr>
          <w:rFonts w:ascii="Times New Roman" w:hAnsi="Times New Roman"/>
          <w:b/>
          <w:color w:val="000000"/>
          <w:sz w:val="20"/>
        </w:rPr>
        <w:t>Exhibit 31.2</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CERTIFICATIONS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I, Brian Poff, certify that:</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Addus HomeCare Corporation;</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b)</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c)</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d)</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b)</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079" w:type="dxa"/>
        <w:jc w:val="left"/>
        <w:tblInd w:w="0" w:type="dxa"/>
        <w:tblLayout w:type="fixed"/>
        <w:tblCellMar>
          <w:top w:w="28" w:type="dxa"/>
          <w:left w:w="28" w:type="dxa"/>
          <w:bottom w:w="28" w:type="dxa"/>
          <w:right w:w="28" w:type="dxa"/>
        </w:tblCellMar>
      </w:tblPr>
      <w:tblGrid>
        <w:gridCol w:w="1786"/>
        <w:gridCol w:w="146"/>
        <w:gridCol w:w="361"/>
        <w:gridCol w:w="178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Date: October 31, 2023</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By:</w:t>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 Brian Poff</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Brian Poff</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dus-ex32_1.htm"/>
      <w:bookmarkStart w:id="26" w:name="ksadusex32_1"/>
      <w:bookmarkEnd w:id="25"/>
      <w:bookmarkEnd w:id="26"/>
      <w:r>
        <w:rPr>
          <w:rFonts w:ascii="Times New Roman" w:hAnsi="Times New Roman"/>
          <w:b/>
          <w:color w:val="000000"/>
          <w:sz w:val="20"/>
        </w:rPr>
        <w:t>Exhibit 32.1</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for the fiscal quarter ended September 30, 2023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(1)</w:t>
      </w:r>
      <w:r>
        <w:rPr>
          <w:rFonts w:ascii="Times New Roman" w:hAnsi="Times New Roman"/>
          <w:color w:val="000000"/>
          <w:sz w:val="20"/>
        </w:rPr>
        <w:t xml:space="preserve"> </w:t>
      </w:r>
      <w:r>
        <w:rPr>
          <w:rFonts w:ascii="Times New Roman" w:hAnsi="Times New Roman"/>
          <w:b w:val="false"/>
          <w:color w:val="000000"/>
          <w:sz w:val="18"/>
        </w:rPr>
        <w:t>The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(2)</w:t>
      </w:r>
      <w:r>
        <w:rPr>
          <w:rFonts w:ascii="Times New Roman" w:hAnsi="Times New Roman"/>
          <w:color w:val="000000"/>
          <w:sz w:val="20"/>
        </w:rPr>
        <w:t xml:space="preserve"> </w:t>
      </w:r>
      <w:r>
        <w:rPr>
          <w:rFonts w:ascii="Times New Roman" w:hAnsi="Times New Roman"/>
          <w:b w:val="false"/>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251" w:type="dxa"/>
        <w:jc w:val="left"/>
        <w:tblInd w:w="0" w:type="dxa"/>
        <w:tblLayout w:type="fixed"/>
        <w:tblCellMar>
          <w:top w:w="28" w:type="dxa"/>
          <w:left w:w="28" w:type="dxa"/>
          <w:bottom w:w="28" w:type="dxa"/>
          <w:right w:w="28" w:type="dxa"/>
        </w:tblCellMar>
      </w:tblPr>
      <w:tblGrid>
        <w:gridCol w:w="1802"/>
        <w:gridCol w:w="146"/>
        <w:gridCol w:w="422"/>
        <w:gridCol w:w="1245"/>
        <w:gridCol w:w="1636"/>
      </w:tblGrid>
      <w:tr>
        <w:trPr/>
        <w:tc>
          <w:tcPr>
            <w:tcW w:w="1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8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1802"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Date: October 31, 2023</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283"/>
              <w:ind w:left="0" w:right="16" w:hanging="0"/>
              <w:jc w:val="left"/>
              <w:rPr>
                <w:rFonts w:ascii="Times New Roman" w:hAnsi="Times New Roman"/>
                <w:sz w:val="18"/>
              </w:rPr>
            </w:pPr>
            <w:r>
              <w:rPr>
                <w:rFonts w:ascii="Times New Roman" w:hAnsi="Times New Roman"/>
                <w:b w:val="false"/>
                <w:color w:val="000000"/>
                <w:sz w:val="18"/>
              </w:rPr>
              <w:t>By:</w:t>
            </w:r>
            <w:r>
              <w:rPr>
                <w:rFonts w:ascii="Times New Roman" w:hAnsi="Times New Roman"/>
                <w:color w:val="000000"/>
                <w:sz w:val="18"/>
              </w:rPr>
              <w:t xml:space="preserve"> </w:t>
            </w:r>
          </w:p>
        </w:tc>
        <w:tc>
          <w:tcPr>
            <w:tcW w:w="2881" w:type="dxa"/>
            <w:gridSpan w:val="2"/>
            <w:tcBorders>
              <w:bottom w:val="single" w:sz="5" w:space="0" w:color="000000"/>
            </w:tcBorders>
            <w:tcMar>
              <w:top w:w="0" w:type="dxa"/>
              <w:left w:w="0" w:type="dxa"/>
              <w:right w:w="0" w:type="dxa"/>
            </w:tcMar>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/s/ R. Dirk Allison</w:t>
            </w:r>
          </w:p>
        </w:tc>
      </w:tr>
      <w:tr>
        <w:trPr/>
        <w:tc>
          <w:tcPr>
            <w:tcW w:w="18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283"/>
              <w:jc w:val="left"/>
              <w:rPr/>
            </w:pPr>
            <w:r>
              <w:rPr/>
              <w:t> </w:t>
            </w:r>
          </w:p>
        </w:tc>
        <w:tc>
          <w:tcPr>
            <w:tcW w:w="2881" w:type="dxa"/>
            <w:gridSpan w:val="2"/>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R. Dirk Allison</w:t>
            </w:r>
          </w:p>
        </w:tc>
      </w:tr>
      <w:tr>
        <w:trPr/>
        <w:tc>
          <w:tcPr>
            <w:tcW w:w="18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283"/>
              <w:jc w:val="left"/>
              <w:rPr/>
            </w:pPr>
            <w:r>
              <w:rPr/>
              <w:t> </w:t>
            </w:r>
          </w:p>
        </w:tc>
        <w:tc>
          <w:tcPr>
            <w:tcW w:w="2881" w:type="dxa"/>
            <w:gridSpan w:val="2"/>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Chairman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is_certification_4"/>
      <w:bookmarkStart w:id="28" w:name="adus-ex32_2.htm"/>
      <w:bookmarkStart w:id="29" w:name="ksadusex32_2"/>
      <w:bookmarkEnd w:id="27"/>
      <w:bookmarkEnd w:id="28"/>
      <w:bookmarkEnd w:id="29"/>
      <w:r>
        <w:rPr>
          <w:rFonts w:ascii="Times New Roman" w:hAnsi="Times New Roman"/>
          <w:b/>
          <w:color w:val="000000"/>
          <w:sz w:val="20"/>
        </w:rPr>
        <w:t>Exhibit 32.2</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for the fiscal quarter ended September 30, 2023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(1)</w:t>
      </w:r>
      <w:r>
        <w:rPr>
          <w:rFonts w:ascii="Times New Roman" w:hAnsi="Times New Roman"/>
          <w:color w:val="000000"/>
          <w:sz w:val="20"/>
        </w:rPr>
        <w:t xml:space="preserve"> </w:t>
      </w:r>
      <w:r>
        <w:rPr>
          <w:rFonts w:ascii="Times New Roman" w:hAnsi="Times New Roman"/>
          <w:b w:val="false"/>
          <w:color w:val="000000"/>
          <w:sz w:val="18"/>
        </w:rPr>
        <w:t>The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(2)</w:t>
      </w:r>
      <w:r>
        <w:rPr>
          <w:rFonts w:ascii="Times New Roman" w:hAnsi="Times New Roman"/>
          <w:color w:val="000000"/>
          <w:sz w:val="20"/>
        </w:rPr>
        <w:t xml:space="preserve"> </w:t>
      </w:r>
      <w:r>
        <w:rPr>
          <w:rFonts w:ascii="Times New Roman" w:hAnsi="Times New Roman"/>
          <w:b w:val="false"/>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4171" w:type="dxa"/>
        <w:jc w:val="left"/>
        <w:tblInd w:w="0" w:type="dxa"/>
        <w:tblLayout w:type="fixed"/>
        <w:tblCellMar>
          <w:top w:w="28" w:type="dxa"/>
          <w:left w:w="28" w:type="dxa"/>
          <w:bottom w:w="28" w:type="dxa"/>
          <w:right w:w="28" w:type="dxa"/>
        </w:tblCellMar>
      </w:tblPr>
      <w:tblGrid>
        <w:gridCol w:w="1802"/>
        <w:gridCol w:w="146"/>
        <w:gridCol w:w="422"/>
        <w:gridCol w:w="777"/>
        <w:gridCol w:w="1024"/>
      </w:tblGrid>
      <w:tr>
        <w:trPr/>
        <w:tc>
          <w:tcPr>
            <w:tcW w:w="1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18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left"/>
              <w:rPr/>
            </w:pPr>
            <w:r>
              <w:rPr/>
              <w:t> </w:t>
            </w:r>
          </w:p>
        </w:tc>
      </w:tr>
      <w:tr>
        <w:trPr/>
        <w:tc>
          <w:tcPr>
            <w:tcW w:w="1802" w:type="dxa"/>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Date: October 31, 2023</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283"/>
              <w:ind w:left="0" w:right="16" w:hanging="0"/>
              <w:jc w:val="left"/>
              <w:rPr>
                <w:rFonts w:ascii="Times New Roman" w:hAnsi="Times New Roman"/>
                <w:sz w:val="18"/>
              </w:rPr>
            </w:pPr>
            <w:r>
              <w:rPr>
                <w:rFonts w:ascii="Times New Roman" w:hAnsi="Times New Roman"/>
                <w:b w:val="false"/>
                <w:color w:val="000000"/>
                <w:sz w:val="18"/>
              </w:rPr>
              <w:t>By:</w:t>
            </w:r>
            <w:r>
              <w:rPr>
                <w:rFonts w:ascii="Times New Roman" w:hAnsi="Times New Roman"/>
                <w:color w:val="000000"/>
                <w:sz w:val="18"/>
              </w:rPr>
              <w:t xml:space="preserve"> </w:t>
            </w:r>
          </w:p>
        </w:tc>
        <w:tc>
          <w:tcPr>
            <w:tcW w:w="1801" w:type="dxa"/>
            <w:gridSpan w:val="2"/>
            <w:tcBorders>
              <w:bottom w:val="single" w:sz="5" w:space="0" w:color="000000"/>
            </w:tcBorders>
            <w:tcMar>
              <w:top w:w="0" w:type="dxa"/>
              <w:left w:w="0" w:type="dxa"/>
              <w:right w:w="0" w:type="dxa"/>
            </w:tcMar>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/s/ Brian Poff</w:t>
            </w:r>
          </w:p>
        </w:tc>
      </w:tr>
      <w:tr>
        <w:trPr/>
        <w:tc>
          <w:tcPr>
            <w:tcW w:w="18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283"/>
              <w:jc w:val="left"/>
              <w:rPr/>
            </w:pPr>
            <w:r>
              <w:rPr/>
              <w:t> </w:t>
            </w:r>
          </w:p>
        </w:tc>
        <w:tc>
          <w:tcPr>
            <w:tcW w:w="1801" w:type="dxa"/>
            <w:gridSpan w:val="2"/>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Brian Poff</w:t>
            </w:r>
          </w:p>
        </w:tc>
      </w:tr>
      <w:tr>
        <w:trPr/>
        <w:tc>
          <w:tcPr>
            <w:tcW w:w="18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22" w:type="dxa"/>
            <w:tcBorders/>
            <w:vAlign w:val="center"/>
          </w:tcPr>
          <w:p>
            <w:pPr>
              <w:pStyle w:val="TableContents"/>
              <w:bidi w:val="0"/>
              <w:spacing w:before="0" w:after="283"/>
              <w:jc w:val="left"/>
              <w:rPr/>
            </w:pPr>
            <w:r>
              <w:rPr/>
              <w:t> </w:t>
            </w:r>
          </w:p>
        </w:tc>
        <w:tc>
          <w:tcPr>
            <w:tcW w:w="1801" w:type="dxa"/>
            <w:gridSpan w:val="2"/>
            <w:tcBorders/>
            <w:vAlign w:val="center"/>
          </w:tcPr>
          <w:p>
            <w:pPr>
              <w:pStyle w:val="TableContents"/>
              <w:bidi w:val="0"/>
              <w:spacing w:before="0" w:after="283"/>
              <w:ind w:left="0" w:right="16" w:hanging="0"/>
              <w:jc w:val="left"/>
              <w:rPr>
                <w:rFonts w:ascii="Times New Roman" w:hAnsi="Times New Roman"/>
                <w:b w:val="false"/>
                <w:color w:val="000000"/>
                <w:sz w:val="18"/>
              </w:rPr>
            </w:pPr>
            <w:r>
              <w:rPr>
                <w:rFonts w:ascii="Times New Roman" w:hAnsi="Times New Roman"/>
                <w:b w:val="false"/>
                <w:color w:val="000000"/>
                <w:sz w:val="18"/>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328/000119312509238641/dex31.htm" TargetMode="External"/><Relationship Id="rId3" Type="http://schemas.openxmlformats.org/officeDocument/2006/relationships/hyperlink" Target="https://www.sec.gov/Archives/edgar/data/1468328/000119312509238641/dex31.htm" TargetMode="External"/><Relationship Id="rId4" Type="http://schemas.openxmlformats.org/officeDocument/2006/relationships/hyperlink" Target="https://www.sec.gov/Archives/edgar/data/1468328/000119312513211165/d535575dex32.htm" TargetMode="External"/><Relationship Id="rId5" Type="http://schemas.openxmlformats.org/officeDocument/2006/relationships/hyperlink" Target="https://www.sec.gov/Archives/edgar/data/1468328/000119312513211165/d535575dex32.htm" TargetMode="External"/><Relationship Id="rId6" Type="http://schemas.openxmlformats.org/officeDocument/2006/relationships/hyperlink" Target="https://www.sec.gov/Archives/edgar/data/1468328/000119312509202215/dex41.htm" TargetMode="External"/><Relationship Id="rId7" Type="http://schemas.openxmlformats.org/officeDocument/2006/relationships/hyperlink" Target="https://www.sec.gov/Archives/edgar/data/1468328/000119312509202215/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21698</Words>
  <Characters>117745</Characters>
  <CharactersWithSpaces>141302</CharactersWithSpaces>
  <Paragraphs>8592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