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920"/>
        <w:spacing w:after="0"/>
        <w:rPr>
          <w:sz w:val="20"/>
          <w:szCs w:val="20"/>
          <w:color w:val="auto"/>
        </w:rPr>
      </w:pPr>
      <w:r>
        <w:rPr>
          <w:rFonts w:ascii="Arial" w:cs="Arial" w:eastAsia="Arial" w:hAnsi="Arial"/>
          <w:sz w:val="17"/>
          <w:szCs w:val="17"/>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5594985</wp:posOffset>
            </wp:positionH>
            <wp:positionV relativeFrom="paragraph">
              <wp:posOffset>-123190</wp:posOffset>
            </wp:positionV>
            <wp:extent cx="140589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574675"/>
                    </a:xfrm>
                    <a:prstGeom prst="rect">
                      <a:avLst/>
                    </a:prstGeom>
                    <a:noFill/>
                  </pic:spPr>
                </pic:pic>
              </a:graphicData>
            </a:graphic>
          </wp:anchor>
        </w:drawing>
      </w:r>
    </w:p>
    <w:p>
      <w:pPr>
        <w:spacing w:after="0" w:line="15" w:lineRule="exact"/>
        <w:rPr>
          <w:sz w:val="24"/>
          <w:szCs w:val="24"/>
          <w:color w:val="auto"/>
        </w:rPr>
      </w:pPr>
    </w:p>
    <w:p>
      <w:pPr>
        <w:jc w:val="center"/>
        <w:ind w:left="8920"/>
        <w:spacing w:after="0"/>
        <w:rPr>
          <w:sz w:val="20"/>
          <w:szCs w:val="20"/>
          <w:color w:val="auto"/>
        </w:rPr>
      </w:pPr>
      <w:r>
        <w:rPr>
          <w:rFonts w:ascii="Arial" w:cs="Arial" w:eastAsia="Arial" w:hAnsi="Arial"/>
          <w:sz w:val="18"/>
          <w:szCs w:val="18"/>
          <w:color w:val="auto"/>
        </w:rPr>
        <w:t>001-34504</w:t>
      </w:r>
    </w:p>
    <w:p>
      <w:pPr>
        <w:spacing w:after="0" w:line="9" w:lineRule="exact"/>
        <w:rPr>
          <w:sz w:val="24"/>
          <w:szCs w:val="24"/>
          <w:color w:val="auto"/>
        </w:rPr>
      </w:pPr>
    </w:p>
    <w:p>
      <w:pPr>
        <w:jc w:val="center"/>
        <w:ind w:left="8920"/>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ind w:left="8920"/>
        <w:spacing w:after="0"/>
        <w:rPr>
          <w:sz w:val="20"/>
          <w:szCs w:val="20"/>
          <w:color w:val="auto"/>
        </w:rPr>
      </w:pPr>
      <w:r>
        <w:rPr>
          <w:rFonts w:ascii="Arial" w:cs="Arial" w:eastAsia="Arial" w:hAnsi="Arial"/>
          <w:sz w:val="18"/>
          <w:szCs w:val="18"/>
          <w:color w:val="auto"/>
        </w:rPr>
        <w:t>006739106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NOTIFICATION OF LATE FILING</w:t>
      </w:r>
    </w:p>
    <w:p>
      <w:pPr>
        <w:spacing w:after="0" w:line="213" w:lineRule="exact"/>
        <w:rPr>
          <w:sz w:val="24"/>
          <w:szCs w:val="24"/>
          <w:color w:val="auto"/>
        </w:rPr>
      </w:pPr>
    </w:p>
    <w:p>
      <w:pPr>
        <w:ind w:left="2080"/>
        <w:spacing w:after="0" w:line="207" w:lineRule="exact"/>
        <w:tabs>
          <w:tab w:leader="none" w:pos="3280" w:val="left"/>
          <w:tab w:leader="none" w:pos="4560" w:val="left"/>
          <w:tab w:leader="none" w:pos="5820" w:val="left"/>
          <w:tab w:leader="none" w:pos="710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20-F</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11-K</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10-Q</w:t>
      </w:r>
      <w:r>
        <w:rPr>
          <w:rFonts w:ascii="MS PGothic" w:cs="MS PGothic" w:eastAsia="MS PGothic" w:hAnsi="MS PGothic"/>
          <w:sz w:val="17"/>
          <w:szCs w:val="17"/>
          <w:color w:val="auto"/>
        </w:rPr>
        <w:t xml:space="preserve">  ☐ </w:t>
      </w:r>
      <w:r>
        <w:rPr>
          <w:rFonts w:ascii="Arial" w:cs="Arial" w:eastAsia="Arial" w:hAnsi="Arial"/>
          <w:sz w:val="17"/>
          <w:szCs w:val="17"/>
          <w:color w:val="auto"/>
        </w:rPr>
        <w:t>Form 10-D</w:t>
      </w:r>
    </w:p>
    <w:p>
      <w:pPr>
        <w:spacing w:after="0" w:line="51" w:lineRule="exact"/>
        <w:rPr>
          <w:sz w:val="24"/>
          <w:szCs w:val="24"/>
          <w:color w:val="auto"/>
        </w:rPr>
      </w:pPr>
    </w:p>
    <w:p>
      <w:pPr>
        <w:jc w:val="both"/>
        <w:ind w:left="3300" w:right="4760" w:firstLine="3"/>
        <w:spacing w:after="0" w:line="279" w:lineRule="exact"/>
        <w:tabs>
          <w:tab w:leader="none" w:pos="3552"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Form N-SAR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N-CSR For Period Ended: March 31, 2020</w:t>
      </w:r>
    </w:p>
    <w:p>
      <w:pPr>
        <w:spacing w:after="0" w:line="95" w:lineRule="exact"/>
        <w:rPr>
          <w:rFonts w:ascii="MS PGothic" w:cs="MS PGothic" w:eastAsia="MS PGothic" w:hAnsi="MS PGothic"/>
          <w:sz w:val="17"/>
          <w:szCs w:val="17"/>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36" w:lineRule="exact"/>
        <w:rPr>
          <w:rFonts w:ascii="MS PGothic" w:cs="MS PGothic" w:eastAsia="MS PGothic" w:hAnsi="MS PGothic"/>
          <w:sz w:val="18"/>
          <w:szCs w:val="18"/>
          <w:color w:val="auto"/>
        </w:rPr>
      </w:pPr>
    </w:p>
    <w:p>
      <w:pPr>
        <w:ind w:left="3300" w:right="4700" w:firstLine="3"/>
        <w:spacing w:after="0" w:line="394" w:lineRule="auto"/>
        <w:tabs>
          <w:tab w:leader="none" w:pos="354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 For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003415" cy="36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368300"/>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-1137920</wp:posOffset>
            </wp:positionV>
            <wp:extent cx="955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5040" cy="8890"/>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-109220</wp:posOffset>
            </wp:positionV>
            <wp:extent cx="1028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30" w:lineRule="exact"/>
        <w:rPr>
          <w:sz w:val="24"/>
          <w:szCs w:val="24"/>
          <w:color w:val="auto"/>
        </w:rPr>
      </w:pPr>
    </w:p>
    <w:p>
      <w:pPr>
        <w:jc w:val="center"/>
        <w:ind w:right="-37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Addus HomeCare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Full Name of Registrant</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Former Name if Applicable</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6801 Gaylord Parkway, Suite 110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 xml:space="preserve">Address of Principal Executive Office </w:t>
      </w:r>
      <w:r>
        <w:rPr>
          <w:rFonts w:ascii="Arial" w:cs="Arial" w:eastAsia="Arial" w:hAnsi="Arial"/>
          <w:sz w:val="14"/>
          <w:szCs w:val="14"/>
          <w:i w:val="1"/>
          <w:iCs w:val="1"/>
          <w:color w:val="auto"/>
        </w:rPr>
        <w:t>(Street and Number)</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Frisco, TX 75034</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City, State and Zip Code</w:t>
      </w:r>
    </w:p>
    <w:p>
      <w:pPr>
        <w:sectPr>
          <w:pgSz w:w="11900" w:h="16838" w:orient="portrait"/>
          <w:cols w:equalWidth="0" w:num="1">
            <w:col w:w="10760"/>
          </w:cols>
          <w:pgMar w:left="440" w:top="247" w:right="699"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0780"/>
          </w:cols>
          <w:pgMar w:left="440" w:top="27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24" w:hanging="324"/>
        <w:spacing w:after="0"/>
        <w:tabs>
          <w:tab w:leader="none" w:pos="3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324" w:hanging="324"/>
        <w:spacing w:after="0" w:line="250"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-816610</wp:posOffset>
            </wp:positionV>
            <wp:extent cx="8255"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ectPr>
          <w:pgSz w:w="11900" w:h="16838" w:orient="portrait"/>
          <w:cols w:equalWidth="0" w:num="2">
            <w:col w:w="300" w:space="236"/>
            <w:col w:w="10244"/>
          </w:cols>
          <w:pgMar w:left="440" w:top="270" w:right="679" w:bottom="1440" w:gutter="0" w:footer="0" w:header="0"/>
          <w:type w:val="continuous"/>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70"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Addus HomeCare Corporation (“Addus”) will not file its Quarterly Report on Form 10-Q for the quarter ended March 31, 2020 (the “Form 10-Q”) within the prescribed time period. As previously disclosed, Addus was unable to timely file its Annual Report on Form 10-K for the year ended December 31, 2019 (the “Form 10-K”) in order to complete the valuation of a non-cash implicit price concession related to revenue and accounts receivable, including the periods to which it relates, and to perform the related internal controls assessment. Until Addus finalizes the Form 10-K it will be unable to file the Form 10-Q without unreasonable effort and expense. Addus intends to file the Form 10-Q as soon as reasonably practicable after filing the Form 10-K.</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4" w:type="dxa"/>
        <w:tblCellMar>
          <w:top w:w="0" w:type="dxa"/>
          <w:left w:w="0" w:type="dxa"/>
          <w:bottom w:w="0" w:type="dxa"/>
          <w:right w:w="0" w:type="dxa"/>
        </w:tblCellMar>
      </w:tblPr>
      <w:tr>
        <w:trPr>
          <w:trHeight w:val="230"/>
        </w:trPr>
        <w:tc>
          <w:tcPr>
            <w:tcW w:w="4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Brian Poff</w:t>
            </w:r>
          </w:p>
        </w:tc>
        <w:tc>
          <w:tcPr>
            <w:tcW w:w="880" w:type="dxa"/>
            <w:vAlign w:val="bottom"/>
          </w:tcPr>
          <w:p>
            <w:pPr>
              <w:jc w:val="right"/>
              <w:ind w:right="119"/>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20"/>
                <w:szCs w:val="20"/>
                <w:color w:val="auto"/>
              </w:rPr>
            </w:pPr>
          </w:p>
        </w:tc>
        <w:tc>
          <w:tcPr>
            <w:tcW w:w="4520" w:type="dxa"/>
            <w:vAlign w:val="bottom"/>
          </w:tcPr>
          <w:p>
            <w:pPr>
              <w:jc w:val="right"/>
              <w:ind w:right="1779"/>
              <w:spacing w:after="0"/>
              <w:rPr>
                <w:sz w:val="20"/>
                <w:szCs w:val="20"/>
                <w:color w:val="auto"/>
              </w:rPr>
            </w:pPr>
            <w:r>
              <w:rPr>
                <w:rFonts w:ascii="Arial" w:cs="Arial" w:eastAsia="Arial" w:hAnsi="Arial"/>
                <w:sz w:val="18"/>
                <w:szCs w:val="18"/>
                <w:color w:val="auto"/>
              </w:rPr>
              <w:t>535-8200</w:t>
            </w:r>
          </w:p>
        </w:tc>
      </w:tr>
      <w:tr>
        <w:trPr>
          <w:trHeight w:val="176"/>
        </w:trPr>
        <w:tc>
          <w:tcPr>
            <w:tcW w:w="440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4"/>
              </w:rPr>
              <w:t>(Name)</w:t>
            </w:r>
          </w:p>
        </w:tc>
        <w:tc>
          <w:tcPr>
            <w:tcW w:w="320" w:type="dxa"/>
            <w:vAlign w:val="bottom"/>
          </w:tcPr>
          <w:p>
            <w:pPr>
              <w:spacing w:after="0"/>
              <w:rPr>
                <w:sz w:val="15"/>
                <w:szCs w:val="15"/>
                <w:color w:val="auto"/>
              </w:rPr>
            </w:pPr>
          </w:p>
        </w:tc>
        <w:tc>
          <w:tcPr>
            <w:tcW w:w="88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4"/>
              </w:rPr>
              <w:t>(Area Code)</w:t>
            </w:r>
          </w:p>
        </w:tc>
        <w:tc>
          <w:tcPr>
            <w:tcW w:w="320" w:type="dxa"/>
            <w:vAlign w:val="bottom"/>
          </w:tcPr>
          <w:p>
            <w:pPr>
              <w:spacing w:after="0"/>
              <w:rPr>
                <w:sz w:val="15"/>
                <w:szCs w:val="15"/>
                <w:color w:val="auto"/>
              </w:rPr>
            </w:pPr>
          </w:p>
        </w:tc>
        <w:tc>
          <w:tcPr>
            <w:tcW w:w="452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2"/>
              </w:rPr>
              <w:t>(Telephone Number)</w:t>
            </w:r>
          </w:p>
        </w:tc>
      </w:tr>
    </w:tbl>
    <w:p>
      <w:pPr>
        <w:spacing w:after="0" w:line="60" w:lineRule="exact"/>
        <w:rPr>
          <w:sz w:val="20"/>
          <w:szCs w:val="20"/>
          <w:color w:val="auto"/>
        </w:rPr>
      </w:pPr>
    </w:p>
    <w:p>
      <w:pPr>
        <w:ind w:left="684" w:hanging="684"/>
        <w:spacing w:after="0"/>
        <w:tabs>
          <w:tab w:leader="none" w:pos="684" w:val="left"/>
        </w:tabs>
        <w:numPr>
          <w:ilvl w:val="0"/>
          <w:numId w:val="4"/>
        </w:numPr>
        <w:rPr>
          <w:rFonts w:ascii="Arial" w:cs="Arial" w:eastAsia="Arial" w:hAnsi="Arial"/>
          <w:sz w:val="17"/>
          <w:szCs w:val="17"/>
          <w:color w:val="auto"/>
        </w:rPr>
      </w:pPr>
      <w:r>
        <w:rPr>
          <w:rFonts w:ascii="Arial" w:cs="Arial" w:eastAsia="Arial" w:hAnsi="Arial"/>
          <w:sz w:val="17"/>
          <w:szCs w:val="17"/>
          <w:color w:val="auto"/>
        </w:rPr>
        <w:t>Have all other periodic reports required under Section 13 or 15(d) of the Securities Exchange Act of 1934 or Section 30 of the Investment</w:t>
      </w:r>
    </w:p>
    <w:p>
      <w:pPr>
        <w:spacing w:after="0" w:line="35" w:lineRule="exact"/>
        <w:rPr>
          <w:sz w:val="20"/>
          <w:szCs w:val="20"/>
          <w:color w:val="auto"/>
        </w:rPr>
      </w:pPr>
    </w:p>
    <w:p>
      <w:pPr>
        <w:ind w:left="684" w:right="360"/>
        <w:spacing w:after="0" w:line="226" w:lineRule="exact"/>
        <w:rPr>
          <w:sz w:val="20"/>
          <w:szCs w:val="20"/>
          <w:color w:val="auto"/>
        </w:rPr>
      </w:pPr>
      <w:r>
        <w:rPr>
          <w:rFonts w:ascii="Arial" w:cs="Arial" w:eastAsia="Arial" w:hAnsi="Arial"/>
          <w:sz w:val="18"/>
          <w:szCs w:val="18"/>
          <w:color w:val="auto"/>
        </w:rPr>
        <w:t xml:space="preserve">Company Act of 1940 during the preceding 12 months or for such shorter period that the registrant was required to file such report(s) been filed? If the answer is no, identify report(s).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left="684"/>
        <w:spacing w:after="0"/>
        <w:rPr>
          <w:sz w:val="20"/>
          <w:szCs w:val="20"/>
          <w:color w:val="auto"/>
        </w:rPr>
      </w:pPr>
      <w:r>
        <w:rPr>
          <w:rFonts w:ascii="Arial" w:cs="Arial" w:eastAsia="Arial" w:hAnsi="Arial"/>
          <w:sz w:val="18"/>
          <w:szCs w:val="18"/>
          <w:color w:val="auto"/>
        </w:rPr>
        <w:t>Addus has not filed its Annual Report on Form 10-K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23495</wp:posOffset>
            </wp:positionV>
            <wp:extent cx="6626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11" w:lineRule="exact"/>
        <w:rPr>
          <w:sz w:val="20"/>
          <w:szCs w:val="20"/>
          <w:color w:val="auto"/>
        </w:rPr>
      </w:pPr>
    </w:p>
    <w:p>
      <w:pPr>
        <w:ind w:left="684" w:hanging="684"/>
        <w:spacing w:after="0"/>
        <w:tabs>
          <w:tab w:leader="none" w:pos="684" w:val="left"/>
        </w:tabs>
        <w:numPr>
          <w:ilvl w:val="0"/>
          <w:numId w:val="5"/>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w:t>
      </w:r>
    </w:p>
    <w:p>
      <w:pPr>
        <w:spacing w:after="0" w:line="41" w:lineRule="exact"/>
        <w:rPr>
          <w:sz w:val="20"/>
          <w:szCs w:val="20"/>
          <w:color w:val="auto"/>
        </w:rPr>
      </w:pPr>
    </w:p>
    <w:p>
      <w:pPr>
        <w:ind w:left="684"/>
        <w:spacing w:after="0" w:line="207" w:lineRule="exact"/>
        <w:tabs>
          <w:tab w:leader="none" w:pos="6184" w:val="left"/>
          <w:tab w:leader="none" w:pos="6884" w:val="left"/>
        </w:tabs>
        <w:rPr>
          <w:sz w:val="20"/>
          <w:szCs w:val="20"/>
          <w:color w:val="auto"/>
        </w:rPr>
      </w:pPr>
      <w:r>
        <w:rPr>
          <w:rFonts w:ascii="Arial" w:cs="Arial" w:eastAsia="Arial" w:hAnsi="Arial"/>
          <w:sz w:val="18"/>
          <w:szCs w:val="18"/>
          <w:color w:val="auto"/>
        </w:rPr>
        <w:t>earnings statements to be included in the subject report or portion thereof?</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0"/>
          <w:szCs w:val="20"/>
          <w:color w:val="auto"/>
        </w:rPr>
      </w:pPr>
    </w:p>
    <w:p>
      <w:pPr>
        <w:ind w:left="684" w:right="8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7" w:lineRule="exact"/>
        <w:rPr>
          <w:sz w:val="20"/>
          <w:szCs w:val="20"/>
          <w:color w:val="auto"/>
        </w:rPr>
      </w:pPr>
    </w:p>
    <w:p>
      <w:pPr>
        <w:ind w:left="684" w:right="40"/>
        <w:spacing w:after="0" w:line="255" w:lineRule="auto"/>
        <w:rPr>
          <w:sz w:val="20"/>
          <w:szCs w:val="20"/>
          <w:color w:val="auto"/>
        </w:rPr>
      </w:pPr>
      <w:r>
        <w:rPr>
          <w:rFonts w:ascii="Arial" w:cs="Arial" w:eastAsia="Arial" w:hAnsi="Arial"/>
          <w:sz w:val="18"/>
          <w:szCs w:val="18"/>
          <w:color w:val="auto"/>
        </w:rPr>
        <w:t>The registrant anticipates reporting significant improvements in results of operations as follows: net service revenues have increased to $190.2 million for the three month period ended March 31, 2020 from the three month period ended March 31, 2019, net income increased to $8.7 million and net income per diluted share increased to $0.54 for the three month period ended March 31, 2020 from the three month period ended March 31, 2019, and cash on hand as of March 31, 2020 increased to approximately $130.5 million from March 31, 2019. The results presented are preliminary, unaudited, and subject to change pending the filing of the Form 10-K and the Form 10-Q. Refer to the Current Report on Form 8-K filed on May 4, 2020 for additional information.</w:t>
      </w:r>
    </w:p>
    <w:p>
      <w:pPr>
        <w:sectPr>
          <w:pgSz w:w="11900" w:h="16838" w:orient="portrait"/>
          <w:cols w:equalWidth="0" w:num="1">
            <w:col w:w="11024"/>
          </w:cols>
          <w:pgMar w:left="436" w:top="121" w:right="439" w:bottom="1440" w:gutter="0" w:footer="0" w:header="0"/>
        </w:sectPr>
      </w:pPr>
    </w:p>
    <w:bookmarkStart w:id="3" w:name="page4"/>
    <w:bookmarkEnd w:id="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matters discussed herein constitute forward-looking statements within the meaning of the Private Securities Litigation Reform Act of 1995. Such forward-looking statements may be identified by words such as “expect,” “anticipate,” and similar expressions. These forward-looking statements are based on current expectations and beliefs concerning future developments and their potential effect on the registrant. Forward-looking statements involve a number of risks and uncertainties that may cause actual results to differ materially from those expressed or implied by such forward-looking statements, including the anticipated impact to our business operations, reimbursements and patient population due to the recent global pandemic, caused by a novel strain of the coronavirus (COVID-19), discretionary determinations by government officials, the consummation and integration of acquisitions, anticipated transition to managed care providers, the registrant’s ability to successfully execute its growth strategy, unexpected increases in SG&amp;A and other expenses, expected benefits and unexpected costs of acquisitions and dispositions, management plans related to dispositions, the possibility that expected benefits may not materialize as expected, the failure of the business to perform as expected, changes in reimbursement, changes in government regulations, changes in the registrant’s relationships with referral sources, increased competition for the registrant’s services, changes in the interpretation of government regulations, the uncertainty regarding the outcome of discussions with managed care organizations, changes in tax rates, the impact of adverse weather, higher than anticipated costs, lower than anticipated cost savings, estimation inaccuracies in future revenues, margins, earnings and growth, whether any anticipated receipt of payments will materialize, the registrant’s ability to maintain effective internal control over financial reporting, and other risks set forth in the Risk Factors section in the registrant’s Annual Report on Form 10-K filed with the Securities and Exchange Commission on March 18, 2019 and Quarterly Report on Form 10-Q filed with the Securities and Exchange Commission on November 8, 2019, which are available at www.sec.gov. The registrant undertakes no obligation to update or revise any forward-looking statements, whether as a result of new information, future events or otherwise. In addition, these forward-looking statements necessarily depend upon assumptions, estimates and dates that may be incorrect or imprecise and involve known and unknown risks, uncertainties and other factors. Accordingly, any forward-looking statements included herein do not purport to be predictions of future events or circumstances and may not be realized.</w:t>
      </w:r>
    </w:p>
    <w:p>
      <w:pPr>
        <w:sectPr>
          <w:pgSz w:w="11900" w:h="16838" w:orient="portrait"/>
          <w:cols w:equalWidth="0" w:num="1">
            <w:col w:w="10760"/>
          </w:cols>
          <w:pgMar w:left="660" w:top="382"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(Name of Registrant as Specified in Charter)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4, 2020</w:t>
            </w: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Poff</w:t>
            </w:r>
          </w:p>
        </w:tc>
      </w:tr>
      <w:tr>
        <w:trPr>
          <w:trHeight w:val="195"/>
        </w:trPr>
        <w:tc>
          <w:tcPr>
            <w:tcW w:w="3580" w:type="dxa"/>
            <w:vAlign w:val="bottom"/>
          </w:tcPr>
          <w:p>
            <w:pPr>
              <w:spacing w:after="0"/>
              <w:rPr>
                <w:sz w:val="16"/>
                <w:szCs w:val="16"/>
                <w:color w:val="auto"/>
              </w:rPr>
            </w:pPr>
          </w:p>
        </w:tc>
        <w:tc>
          <w:tcPr>
            <w:tcW w:w="282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Brian Poff</w:t>
            </w:r>
          </w:p>
        </w:tc>
      </w:tr>
      <w:tr>
        <w:trPr>
          <w:trHeight w:val="230"/>
        </w:trPr>
        <w:tc>
          <w:tcPr>
            <w:tcW w:w="358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513"/>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48"/>
        </w:trPr>
        <w:tc>
          <w:tcPr>
            <w:tcW w:w="35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020"/>
      </w:cols>
      <w:pgMar w:left="440" w:top="5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2020-05-04T15:19:45Z</dcterms:created>
  <dcterms:modified xsi:type="dcterms:W3CDTF">2020-05-04T15:19:45Z</dcterms:modified>
</cp:coreProperties>
</file>