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9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55880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79375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86"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20"/>
          <w:szCs w:val="20"/>
          <w:color w:val="auto"/>
        </w:rPr>
      </w:pPr>
    </w:p>
    <w:p>
      <w:pPr>
        <w:ind w:left="366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9"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001-34504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-289560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64770</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57"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47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20-5340172</w:t>
            </w:r>
          </w:p>
        </w:tc>
      </w:tr>
      <w:tr>
        <w:trPr>
          <w:trHeight w:val="221"/>
        </w:trPr>
        <w:tc>
          <w:tcPr>
            <w:tcW w:w="47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91"/>
        </w:trPr>
        <w:tc>
          <w:tcPr>
            <w:tcW w:w="47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6303 Cowboys Way, Suite 600</w:t>
            </w:r>
          </w:p>
        </w:tc>
        <w:tc>
          <w:tcPr>
            <w:tcW w:w="3160" w:type="dxa"/>
            <w:vAlign w:val="bottom"/>
          </w:tcPr>
          <w:p>
            <w:pPr>
              <w:spacing w:after="0"/>
              <w:rPr>
                <w:sz w:val="24"/>
                <w:szCs w:val="24"/>
                <w:color w:val="auto"/>
              </w:rPr>
            </w:pPr>
          </w:p>
        </w:tc>
      </w:tr>
      <w:tr>
        <w:trPr>
          <w:trHeight w:val="238"/>
        </w:trPr>
        <w:tc>
          <w:tcPr>
            <w:tcW w:w="47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Frisco, TX</w:t>
            </w:r>
          </w:p>
        </w:tc>
        <w:tc>
          <w:tcPr>
            <w:tcW w:w="3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243"/>
        </w:trPr>
        <w:tc>
          <w:tcPr>
            <w:tcW w:w="47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ind w:left="5060"/>
        <w:spacing w:after="0"/>
        <w:rPr>
          <w:sz w:val="20"/>
          <w:szCs w:val="20"/>
          <w:color w:val="auto"/>
        </w:rPr>
      </w:pPr>
      <w:r>
        <w:rPr>
          <w:rFonts w:ascii="Times New Roman" w:cs="Times New Roman" w:eastAsia="Times New Roman" w:hAnsi="Times New Roman"/>
          <w:sz w:val="18"/>
          <w:szCs w:val="18"/>
          <w:b w:val="1"/>
          <w:bCs w:val="1"/>
          <w:color w:val="auto"/>
        </w:rPr>
        <w:t>(469) 535-8200</w:t>
      </w:r>
    </w:p>
    <w:p>
      <w:pPr>
        <w:spacing w:after="0" w:line="2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3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540" w:type="dxa"/>
            <w:vAlign w:val="bottom"/>
          </w:tcPr>
          <w:p>
            <w:pPr>
              <w:spacing w:after="0"/>
              <w:rPr>
                <w:sz w:val="18"/>
                <w:szCs w:val="18"/>
                <w:color w:val="auto"/>
              </w:rPr>
            </w:pPr>
          </w:p>
        </w:tc>
      </w:tr>
      <w:tr>
        <w:trPr>
          <w:trHeight w:val="171"/>
        </w:trPr>
        <w:tc>
          <w:tcPr>
            <w:tcW w:w="37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22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6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ADUS</w:t>
            </w:r>
          </w:p>
        </w:tc>
        <w:tc>
          <w:tcPr>
            <w:tcW w:w="260" w:type="dxa"/>
            <w:vAlign w:val="bottom"/>
            <w:tcBorders>
              <w:bottom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3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83" w:lineRule="exact"/>
        <w:rPr>
          <w:sz w:val="24"/>
          <w:szCs w:val="24"/>
          <w:color w:val="auto"/>
        </w:rPr>
      </w:pPr>
    </w:p>
    <w:p>
      <w:pPr>
        <w:jc w:val="both"/>
        <w:ind w:firstLine="509"/>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29, 2024, Addus HomeCare Corporation had 18,133,115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1060" w:type="dxa"/>
            <w:vAlign w:val="bottom"/>
          </w:tcPr>
          <w:p>
            <w:pPr>
              <w:spacing w:after="0"/>
              <w:rPr>
                <w:sz w:val="17"/>
                <w:szCs w:val="17"/>
                <w:color w:val="auto"/>
              </w:rPr>
            </w:pPr>
          </w:p>
        </w:tc>
      </w:tr>
      <w:tr>
        <w:trPr>
          <w:trHeight w:val="479"/>
        </w:trPr>
        <w:tc>
          <w:tcPr>
            <w:tcW w:w="18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gridSpan w:val="7"/>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ADDUS HOMECARE CORPORATION</w:t>
            </w:r>
          </w:p>
        </w:tc>
        <w:tc>
          <w:tcPr>
            <w:tcW w:w="106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20" w:type="dxa"/>
            <w:vAlign w:val="bottom"/>
            <w:gridSpan w:val="6"/>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6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20" w:type="dxa"/>
            <w:vAlign w:val="bottom"/>
            <w:gridSpan w:val="6"/>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6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10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Nine Months Ended September 30, 2024 and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Stockholders’ Equity For the Three and Nine Months Ended September 30, 2024 and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780" w:type="dxa"/>
            <w:vAlign w:val="bottom"/>
            <w:tcBorders>
              <w:left w:val="single" w:sz="8" w:color="0000FF"/>
            </w:tcBorders>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20" w:type="dxa"/>
            <w:vAlign w:val="bottom"/>
            <w:tcBorders>
              <w:right w:val="single" w:sz="8" w:color="0000EE"/>
            </w:tcBorders>
            <w:gridSpan w:val="2"/>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2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420" w:type="dxa"/>
            <w:vAlign w:val="bottom"/>
            <w:gridSpan w:val="11"/>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663"/>
        </w:trPr>
        <w:tc>
          <w:tcPr>
            <w:tcW w:w="520" w:type="dxa"/>
            <w:vAlign w:val="bottom"/>
            <w:gridSpan w:val="2"/>
          </w:tcPr>
          <w:p>
            <w:pPr>
              <w:spacing w:after="0"/>
              <w:rPr>
                <w:sz w:val="24"/>
                <w:szCs w:val="24"/>
                <w:color w:val="auto"/>
              </w:rPr>
            </w:pPr>
          </w:p>
        </w:tc>
        <w:tc>
          <w:tcPr>
            <w:tcW w:w="1140" w:type="dxa"/>
            <w:vAlign w:val="bottom"/>
            <w:tcBorders>
              <w:top w:val="single" w:sz="8" w:color="0000FF"/>
            </w:tcBorders>
            <w:gridSpan w:val="3"/>
          </w:tcPr>
          <w:p>
            <w:pPr>
              <w:spacing w:after="0"/>
              <w:rPr>
                <w:sz w:val="24"/>
                <w:szCs w:val="24"/>
                <w:color w:val="auto"/>
              </w:rPr>
            </w:pPr>
          </w:p>
        </w:tc>
        <w:tc>
          <w:tcPr>
            <w:tcW w:w="5800" w:type="dxa"/>
            <w:vAlign w:val="bottom"/>
            <w:gridSpan w:val="10"/>
          </w:tcPr>
          <w:p>
            <w:pPr>
              <w:jc w:val="center"/>
              <w:ind w:left="2039"/>
              <w:spacing w:after="0"/>
              <w:rPr>
                <w:sz w:val="20"/>
                <w:szCs w:val="20"/>
                <w:color w:val="auto"/>
              </w:rPr>
            </w:pPr>
            <w:r>
              <w:rPr>
                <w:rFonts w:ascii="Times New Roman" w:cs="Times New Roman" w:eastAsia="Times New Roman" w:hAnsi="Times New Roman"/>
                <w:sz w:val="16"/>
                <w:szCs w:val="16"/>
                <w:color w:val="auto"/>
                <w:w w:val="99"/>
              </w:rPr>
              <w:t>2</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69"/>
        </w:trPr>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7"/>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222,852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64,791</w:t>
            </w:r>
          </w:p>
        </w:tc>
      </w:tr>
      <w:tr>
        <w:trPr>
          <w:trHeight w:val="23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96,600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115,499</w:t>
            </w:r>
          </w:p>
        </w:tc>
      </w:tr>
      <w:tr>
        <w:trPr>
          <w:trHeight w:val="243"/>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13,362</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19,714</w:t>
            </w: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332,814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200,004</w:t>
            </w:r>
          </w:p>
        </w:tc>
      </w:tr>
      <w:tr>
        <w:trPr>
          <w:trHeight w:val="241"/>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23,716</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24,011</w:t>
            </w: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7"/>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663,614</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662,995</w:t>
            </w:r>
          </w:p>
        </w:tc>
      </w:tr>
      <w:tr>
        <w:trPr>
          <w:trHeight w:val="23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86,606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91,983</w:t>
            </w:r>
          </w:p>
        </w:tc>
      </w:tr>
      <w:tr>
        <w:trPr>
          <w:trHeight w:val="247"/>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44,535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45,433</w:t>
            </w:r>
          </w:p>
        </w:tc>
      </w:tr>
      <w:tr>
        <w:trPr>
          <w:trHeight w:val="23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1,616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796,371</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800,411</w:t>
            </w: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1,152,901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1,024,426</w:t>
            </w:r>
          </w:p>
        </w:tc>
      </w:tr>
      <w:tr>
        <w:trPr>
          <w:trHeight w:val="20"/>
        </w:trPr>
        <w:tc>
          <w:tcPr>
            <w:tcW w:w="7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7"/>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26,183</w:t>
            </w:r>
          </w:p>
        </w:tc>
      </w:tr>
      <w:tr>
        <w:trPr>
          <w:trHeight w:val="23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payroll</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57,982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56,551</w:t>
            </w:r>
          </w:p>
        </w:tc>
      </w:tr>
      <w:tr>
        <w:trPr>
          <w:trHeight w:val="247"/>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34,257</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33,236</w:t>
            </w:r>
          </w:p>
        </w:tc>
      </w:tr>
      <w:tr>
        <w:trPr>
          <w:trHeight w:val="23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11,155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11,339</w:t>
            </w:r>
          </w:p>
        </w:tc>
      </w:tr>
      <w:tr>
        <w:trPr>
          <w:trHeight w:val="247"/>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13,655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5,765</w:t>
            </w:r>
          </w:p>
        </w:tc>
      </w:tr>
      <w:tr>
        <w:trPr>
          <w:trHeight w:val="239"/>
        </w:trPr>
        <w:tc>
          <w:tcPr>
            <w:tcW w:w="75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Accrued workers' compensation insurance</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13,043</w:t>
            </w:r>
          </w:p>
        </w:tc>
        <w:tc>
          <w:tcPr>
            <w:tcW w:w="1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12,043</w:t>
            </w:r>
          </w:p>
        </w:tc>
      </w:tr>
      <w:tr>
        <w:trPr>
          <w:trHeight w:val="23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157,818</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145,117</w:t>
            </w:r>
          </w:p>
        </w:tc>
      </w:tr>
      <w:tr>
        <w:trPr>
          <w:trHeight w:val="23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7"/>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124,132</w:t>
            </w:r>
          </w:p>
        </w:tc>
      </w:tr>
      <w:tr>
        <w:trPr>
          <w:trHeight w:val="23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39,711</w:t>
            </w:r>
          </w:p>
        </w:tc>
      </w:tr>
      <w:tr>
        <w:trPr>
          <w:trHeight w:val="243"/>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8,841</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8,772</w:t>
            </w:r>
          </w:p>
        </w:tc>
      </w:tr>
      <w:tr>
        <w:trPr>
          <w:trHeight w:val="23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47,449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172,615</w:t>
            </w:r>
          </w:p>
        </w:tc>
      </w:tr>
      <w:tr>
        <w:trPr>
          <w:trHeight w:val="23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205,267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317,732</w:t>
            </w:r>
          </w:p>
        </w:tc>
      </w:tr>
      <w:tr>
        <w:trPr>
          <w:trHeight w:val="237"/>
        </w:trPr>
        <w:tc>
          <w:tcPr>
            <w:tcW w:w="7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5"/>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stock—$.001 par value; 40,000 authorized and 18,133 and 16,227 shares</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48"/>
        </w:trPr>
        <w:tc>
          <w:tcPr>
            <w:tcW w:w="7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r>
      <w:tr>
        <w:trPr>
          <w:trHeight w:val="239"/>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590,712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403,846</w:t>
            </w:r>
          </w:p>
        </w:tc>
      </w:tr>
      <w:tr>
        <w:trPr>
          <w:trHeight w:val="243"/>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356,904</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302,832</w:t>
            </w:r>
          </w:p>
        </w:tc>
      </w:tr>
      <w:tr>
        <w:trPr>
          <w:trHeight w:val="23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947,634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706,694</w:t>
            </w:r>
          </w:p>
        </w:tc>
      </w:tr>
      <w:tr>
        <w:trPr>
          <w:trHeight w:val="27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1,152,901</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1,024,426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-4911090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-3651250</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-2240915</wp:posOffset>
            </wp:positionV>
            <wp:extent cx="136525"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525" cy="1968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-1439545</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-1113790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-350520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111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11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ectPr>
          <w:pgSz w:w="11900" w:h="16838" w:orient="portrait"/>
          <w:cols w:equalWidth="0" w:num="1">
            <w:col w:w="11240"/>
          </w:cols>
          <w:pgMar w:left="320" w:top="765"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260" w:type="dxa"/>
            <w:vAlign w:val="bottom"/>
          </w:tcPr>
          <w:p>
            <w:pPr>
              <w:spacing w:after="0"/>
              <w:rPr>
                <w:sz w:val="17"/>
                <w:szCs w:val="17"/>
                <w:color w:val="auto"/>
              </w:rPr>
            </w:pPr>
          </w:p>
        </w:tc>
        <w:tc>
          <w:tcPr>
            <w:tcW w:w="236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For the Nine Months</w:t>
            </w:r>
          </w:p>
        </w:tc>
      </w:tr>
      <w:tr>
        <w:trPr>
          <w:trHeight w:val="225"/>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260" w:type="dxa"/>
            <w:vAlign w:val="bottom"/>
          </w:tcPr>
          <w:p>
            <w:pPr>
              <w:spacing w:after="0"/>
              <w:rPr>
                <w:sz w:val="19"/>
                <w:szCs w:val="19"/>
                <w:color w:val="auto"/>
              </w:rPr>
            </w:pPr>
          </w:p>
        </w:tc>
        <w:tc>
          <w:tcPr>
            <w:tcW w:w="236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Ended September 30,</w:t>
            </w:r>
          </w:p>
        </w:tc>
      </w:tr>
      <w:tr>
        <w:trPr>
          <w:trHeight w:val="223"/>
        </w:trPr>
        <w:tc>
          <w:tcPr>
            <w:tcW w:w="5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289,787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270,721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857,455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782,300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197,583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183,991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583,916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534,837</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92,204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86,730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273,539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247,463</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187,444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174,028</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197,760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184,477</w:t>
            </w:r>
          </w:p>
        </w:tc>
        <w:tc>
          <w:tcPr>
            <w:tcW w:w="100" w:type="dxa"/>
            <w:vAlign w:val="bottom"/>
          </w:tcPr>
          <w:p>
            <w:pPr>
              <w:spacing w:after="0"/>
              <w:rPr>
                <w:sz w:val="20"/>
                <w:szCs w:val="20"/>
                <w:color w:val="auto"/>
              </w:rPr>
            </w:pPr>
          </w:p>
        </w:tc>
      </w:tr>
      <w:tr>
        <w:trPr>
          <w:trHeight w:val="23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(1,908 )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(2,805 )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(977 )</w:t>
            </w: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 expense, net</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(1,335 )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73,139</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55,972</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income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r>
      <w:tr>
        <w:trPr>
          <w:trHeight w:val="21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outstanding:</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-2374265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-2374265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-2374265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-2047875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-2047875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-2047875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-1731010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-1731010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-1731010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-1088390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-1071245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-1088390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-1071245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-1088390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-1071245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360" w:type="dxa"/>
            <w:vAlign w:val="bottom"/>
            <w:gridSpan w:val="4"/>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July 1, 2024</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584,896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336,741</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590,712</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356,904</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947,634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360" w:type="dxa"/>
            <w:vAlign w:val="bottom"/>
            <w:gridSpan w:val="4"/>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2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403,846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302,832</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in public offering, net of offering costs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175,576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590,712</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356,904</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947,634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-3565525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-3565525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-3565525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-3565525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-2348230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-2331085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-2348230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-2331085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-2348230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-2331085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-2348230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-2331085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360" w:type="dxa"/>
            <w:vAlign w:val="bottom"/>
            <w:gridSpan w:val="4"/>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July 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398,492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267,843</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401,064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283,254</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-187960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p>
      <w:pPr>
        <w:spacing w:after="0" w:line="36" w:lineRule="exact"/>
        <w:rPr>
          <w:sz w:val="20"/>
          <w:szCs w:val="20"/>
          <w:color w:val="auto"/>
        </w:rPr>
      </w:pPr>
    </w:p>
    <w:p>
      <w:pPr>
        <w:ind w:left="160" w:right="1320" w:hanging="134"/>
        <w:spacing w:after="0" w:line="266" w:lineRule="auto"/>
        <w:rPr>
          <w:sz w:val="20"/>
          <w:szCs w:val="20"/>
          <w:color w:val="auto"/>
        </w:rPr>
      </w:pPr>
      <w:r>
        <w:rPr>
          <w:rFonts w:ascii="Times New Roman" w:cs="Times New Roman" w:eastAsia="Times New Roman" w:hAnsi="Times New Roman"/>
          <w:sz w:val="18"/>
          <w:szCs w:val="18"/>
          <w:color w:val="auto"/>
        </w:rPr>
        <w:t>Issuance of shares of common stock under restricted stock award agreements</w:t>
      </w:r>
    </w:p>
    <w:p>
      <w:pPr>
        <w:ind w:left="160" w:right="1220" w:hanging="134"/>
        <w:spacing w:after="0" w:line="266" w:lineRule="auto"/>
        <w:rPr>
          <w:sz w:val="20"/>
          <w:szCs w:val="20"/>
          <w:color w:val="auto"/>
        </w:rPr>
      </w:pPr>
      <w:r>
        <w:rPr>
          <w:rFonts w:ascii="Times New Roman" w:cs="Times New Roman" w:eastAsia="Times New Roman" w:hAnsi="Times New Roman"/>
          <w:sz w:val="18"/>
          <w:szCs w:val="18"/>
          <w:color w:val="auto"/>
        </w:rPr>
        <w:t>Forfeiture of shares of common stock under restricted stock award agreements</w:t>
      </w: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ind w:left="20" w:right="1320"/>
        <w:spacing w:after="0" w:line="313" w:lineRule="auto"/>
        <w:rPr>
          <w:sz w:val="20"/>
          <w:szCs w:val="20"/>
          <w:color w:val="auto"/>
        </w:rPr>
      </w:pPr>
      <w:r>
        <w:rPr>
          <w:rFonts w:ascii="Times New Roman" w:cs="Times New Roman" w:eastAsia="Times New Roman" w:hAnsi="Times New Roman"/>
          <w:sz w:val="18"/>
          <w:szCs w:val="18"/>
          <w:color w:val="auto"/>
        </w:rPr>
        <w:t>Shares issued for exercise of stock options Net income</w:t>
      </w:r>
    </w:p>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left="188"/>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80" w:type="dxa"/>
            <w:vAlign w:val="bottom"/>
            <w:tcBorders>
              <w:top w:val="single" w:sz="8" w:color="auto"/>
            </w:tcBorders>
          </w:tcPr>
          <w:p>
            <w:pPr>
              <w:jc w:val="center"/>
              <w:ind w:left="88"/>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vMerge w:val="continue"/>
          </w:tcPr>
          <w:p>
            <w:pPr>
              <w:spacing w:after="0"/>
              <w:rPr>
                <w:sz w:val="12"/>
                <w:szCs w:val="12"/>
                <w:color w:val="auto"/>
              </w:rPr>
            </w:pPr>
          </w:p>
        </w:tc>
        <w:tc>
          <w:tcPr>
            <w:tcW w:w="118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200" w:type="dxa"/>
            <w:vAlign w:val="bottom"/>
            <w:vMerge w:val="continue"/>
          </w:tcPr>
          <w:p>
            <w:pPr>
              <w:spacing w:after="0"/>
              <w:rPr>
                <w:sz w:val="16"/>
                <w:szCs w:val="16"/>
                <w:color w:val="auto"/>
              </w:rPr>
            </w:pP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8144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ind w:left="320"/>
        <w:spacing w:after="0"/>
        <w:tabs>
          <w:tab w:leader="none" w:pos="1540" w:val="left"/>
        </w:tabs>
        <w:rPr>
          <w:sz w:val="20"/>
          <w:szCs w:val="20"/>
          <w:color w:val="auto"/>
        </w:rPr>
      </w:pPr>
      <w:r>
        <w:rPr>
          <w:rFonts w:ascii="Times New Roman" w:cs="Times New Roman" w:eastAsia="Times New Roman" w:hAnsi="Times New Roman"/>
          <w:sz w:val="16"/>
          <w:szCs w:val="16"/>
          <w:b w:val="1"/>
          <w:bCs w:val="1"/>
          <w:color w:val="auto"/>
        </w:rPr>
        <w:t>Shares</w:t>
      </w:r>
      <w:r>
        <w:rPr>
          <w:sz w:val="20"/>
          <w:szCs w:val="20"/>
          <w:color w:val="auto"/>
        </w:rPr>
        <w:tab/>
      </w:r>
      <w:r>
        <w:rPr>
          <w:rFonts w:ascii="Times New Roman" w:cs="Times New Roman" w:eastAsia="Times New Roman" w:hAnsi="Times New Roman"/>
          <w:sz w:val="16"/>
          <w:szCs w:val="16"/>
          <w:b w:val="1"/>
          <w:bCs w:val="1"/>
          <w:color w:val="auto"/>
        </w:rPr>
        <w:t>Amount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24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393,208</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240,316</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633,540</w:t>
            </w:r>
          </w:p>
        </w:tc>
      </w:tr>
      <w:tr>
        <w:trPr>
          <w:trHeight w:val="443"/>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r>
      <w:tr>
        <w:trPr>
          <w:trHeight w:val="243"/>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42,938</w:t>
            </w:r>
          </w:p>
        </w:tc>
      </w:tr>
      <w:tr>
        <w:trPr>
          <w:trHeight w:val="239"/>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24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401,064</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283,254</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684,334</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-942340</wp:posOffset>
            </wp:positionV>
            <wp:extent cx="7132320" cy="291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-496570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-1396365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-179705</wp:posOffset>
            </wp:positionV>
            <wp:extent cx="713232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00" w:space="720"/>
            <w:col w:w="6120"/>
          </w:cols>
          <w:pgMar w:left="320" w:top="76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 (Unaudited)</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77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28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42,938</w:t>
            </w: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activities, net of acquisitions: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 under the credit facility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(13 )</w:t>
            </w:r>
          </w:p>
        </w:tc>
        <w:tc>
          <w:tcPr>
            <w:tcW w:w="6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termination of operating leases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of operating lease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(5,528 )</w:t>
            </w: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(2,118 )</w:t>
            </w: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payroll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(2,698 )</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106,016</w:t>
            </w: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(400 )</w:t>
            </w:r>
          </w:p>
        </w:tc>
        <w:tc>
          <w:tcPr>
            <w:tcW w:w="6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(109,800 )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(4,353 )</w:t>
            </w:r>
          </w:p>
        </w:tc>
        <w:tc>
          <w:tcPr>
            <w:tcW w:w="6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(4,134 )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received from disposal of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received from divestiture of business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(124 )</w:t>
            </w:r>
          </w:p>
        </w:tc>
        <w:tc>
          <w:tcPr>
            <w:tcW w:w="6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(113,934 )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revolver loan — credit facility</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(126,353 )</w:t>
            </w:r>
          </w:p>
        </w:tc>
        <w:tc>
          <w:tcPr>
            <w:tcW w:w="6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(78,500 )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 on revolver — credit facility</w:t>
            </w:r>
          </w:p>
        </w:tc>
        <w:tc>
          <w:tcPr>
            <w:tcW w:w="3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public offering</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175,578</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for debt issuance costs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(39 )</w:t>
            </w:r>
          </w:p>
        </w:tc>
        <w:tc>
          <w:tcPr>
            <w:tcW w:w="6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8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52,169</w:t>
            </w: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158,061</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79,961</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222,852</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-3002915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-3002915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-2059940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-2059940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-1137920</wp:posOffset>
            </wp:positionV>
            <wp:extent cx="93980"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-1137920</wp:posOffset>
            </wp:positionV>
            <wp:extent cx="93980" cy="196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-482600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-465455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ectPr>
          <w:pgSz w:w="11900" w:h="16838" w:orient="portrait"/>
          <w:cols w:equalWidth="0" w:num="1">
            <w:col w:w="11240"/>
          </w:cols>
          <w:pgMar w:left="320" w:top="765"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Consolidation and Presentation of Financial Statements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2023 has been derived from the Company’s audited financial statements for the year ended December 31, 2023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2023 included in our Annual Report on Form 10-K, which includes information and disclosures not included herein.</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in business combinations and when required, the quantitative assessment of goodwill. Actual results could differ from those estimates.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Computation of Weighted Average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common shares: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6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200" w:type="dxa"/>
            <w:vAlign w:val="bottom"/>
          </w:tcPr>
          <w:p>
            <w:pPr>
              <w:spacing w:after="0"/>
              <w:rPr>
                <w:sz w:val="14"/>
                <w:szCs w:val="14"/>
                <w:color w:val="auto"/>
              </w:rPr>
            </w:pPr>
          </w:p>
        </w:tc>
        <w:tc>
          <w:tcPr>
            <w:tcW w:w="26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26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00" w:type="dxa"/>
            <w:vAlign w:val="bottom"/>
          </w:tcPr>
          <w:p>
            <w:pPr>
              <w:spacing w:after="0"/>
              <w:rPr>
                <w:sz w:val="16"/>
                <w:szCs w:val="16"/>
                <w:color w:val="auto"/>
              </w:rPr>
            </w:pPr>
          </w:p>
        </w:tc>
        <w:tc>
          <w:tcPr>
            <w:tcW w:w="26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18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6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outstanding for basic per share</w:t>
            </w:r>
          </w:p>
        </w:tc>
        <w:tc>
          <w:tcPr>
            <w:tcW w:w="11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shares: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Adjusted weighted average shares outstanding for diluted per share</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18,255</w:t>
            </w:r>
          </w:p>
        </w:tc>
        <w:tc>
          <w:tcPr>
            <w:tcW w:w="1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1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1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1180" w:type="dxa"/>
            <w:vAlign w:val="bottom"/>
            <w:vMerge w:val="continue"/>
            <w:shd w:val="clear" w:color="auto" w:fill="CFF0FC"/>
          </w:tcPr>
          <w:p>
            <w:pPr>
              <w:spacing w:after="0"/>
              <w:rPr>
                <w:sz w:val="21"/>
                <w:szCs w:val="21"/>
                <w:color w:val="auto"/>
              </w:rPr>
            </w:pPr>
          </w:p>
        </w:tc>
        <w:tc>
          <w:tcPr>
            <w:tcW w:w="1420" w:type="dxa"/>
            <w:vAlign w:val="bottom"/>
            <w:gridSpan w:val="2"/>
            <w:vMerge w:val="continue"/>
            <w:shd w:val="clear" w:color="auto" w:fill="CFF0FC"/>
          </w:tcPr>
          <w:p>
            <w:pPr>
              <w:spacing w:after="0"/>
              <w:rPr>
                <w:sz w:val="21"/>
                <w:szCs w:val="21"/>
                <w:color w:val="auto"/>
              </w:rPr>
            </w:pPr>
          </w:p>
        </w:tc>
        <w:tc>
          <w:tcPr>
            <w:tcW w:w="1360" w:type="dxa"/>
            <w:vAlign w:val="bottom"/>
            <w:gridSpan w:val="2"/>
            <w:vMerge w:val="continue"/>
            <w:shd w:val="clear" w:color="auto" w:fill="CFF0FC"/>
          </w:tcPr>
          <w:p>
            <w:pPr>
              <w:spacing w:after="0"/>
              <w:rPr>
                <w:sz w:val="21"/>
                <w:szCs w:val="21"/>
                <w:color w:val="auto"/>
              </w:rPr>
            </w:pPr>
          </w:p>
        </w:tc>
        <w:tc>
          <w:tcPr>
            <w:tcW w:w="1420" w:type="dxa"/>
            <w:vAlign w:val="bottom"/>
            <w:gridSpan w:val="2"/>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11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-482600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-465455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-482600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-465455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-482600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-465455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ASU No. 2021-08, Accounting for Contract Assets and Contract Liabilities from Contracts with Customers (Topic 805). This ASU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was adopted prospectively on January 1, 2023. The additional disclosures required did not have a material impact on our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Annual disclosures are required for fiscal years beginning after December 15, 2023 and interim disclosures are required for periods within fiscal years beginning after December 15, 2024. Retrospective application is required, and early adoption is permitted. These requirements will result in expanded disclosures.</w:t>
      </w:r>
    </w:p>
    <w:p>
      <w:pPr>
        <w:spacing w:after="0" w:line="185"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Improvement to Income Tax Disclosures</w:t>
      </w:r>
      <w:r>
        <w:rPr>
          <w:rFonts w:ascii="Times New Roman" w:cs="Times New Roman" w:eastAsia="Times New Roman" w:hAnsi="Times New Roman"/>
          <w:sz w:val="17"/>
          <w:szCs w:val="17"/>
          <w:color w:val="auto"/>
        </w:rPr>
        <w:t>, which requires disclosure of disaggregated income taxes paid, prescribes standard categories for the components of the effective tax rate reconciliation, and modifies other income tax-related disclosures. ASU 2023-09 is effective for fiscal years beginning after December 15, 2024, may be applied prospectively or retrospectively, and allows for early adoption. These requirements are not expected to have an impact on the Company’s financial statements and will expand income tax disclosures.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Public Offering</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June 28, 2024, the Company completed a public offering of an aggregate 1,725,000 shares of common stock, par value $0.001 per share, including 225,000 shares of common stock sold pursuant to the exercise in full by the underwriters of their option to purchase additional shares, at a public offering price of $108.00 per share (the “Public Offering”). The Company received net proceeds of approximately $175.6 million, after deducting underwriting discounts and estimated offering expenses of approximately $10.7 million. The Company used approximately $81.4 million from the net proceeds of the Public Offering for the repayment of indebtedness outstanding under its credit facility and may use any remaining net proceeds of the Public Offering for general corporate purposes, including the Company’s previously announced planned acquisition of the personal care assets of Gentiva and any future acquisitions or investments. The Public Offering resulted in an increase to additional paid in capital of approximately $175.6 million on the Company’s Unaudited Condensed Consolidated Balance Sheets at June 30, 2024.</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 and Divestiture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June 8, 2024, the Company entered into a definitive stock and asset purchase agreement (the “Gentiva Purchase Agreement”) to acquire the personal care operations of Curo Health Services, LLC, a Delaware limited liability company which does business as Gentiva (“Gentiva”), consisting of equity interests and certain assets and liabilities, for a purchase price of approximately $350.0 million, payable in full in cash at the closing, subject to typical adjustments for working capital and other customary items (collectively, the “Gentiva Acquisition”). The acquired business operates in Arizona, Arkansas, California, Missouri, North Carolina, Tennessee and Texas, and serves approximately 16,000 patients. The Company expects to close this acquisition following completion of regulatory approvals and subject to customary closing conditions and fund it through the Company’s existing revolving credit facility and a portion of the net proceeds from the Public Offering.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May 21, 2024, the Company entered into a definitive asset purchase agreement to sell all of the Company’s New York operations for a purchase price of up to $23.0 million in cash, subject to certain adjustments, including adjustments for future operating requirements (the “New York Asset Sale”). The Company entered into a consulting agreement with the purchaser on May 21, 2024, as the transfer of clients and caregivers and payment for assets pursuant to the New York Asset Sale is occurring over time as regulatory approvals are received, coordination of the transfer of clients and caregivers occurs, and the change of control takes place. In connection with this transaction, the Company will cease operations in New York. During the three and nine months ended September 30, 2024, the Company recorded $1.0 million and $1.7 million in consulting fees, respectively, and received a $4.6 million initial payment on the acquisition.</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New York Asset Sale did not qualify as a discontinued operation because it did not represent a strategic shift that has or will have a major effect on the Company’s operation or financial results.</w:t>
      </w:r>
    </w:p>
    <w:p>
      <w:pPr>
        <w:spacing w:after="0" w:line="9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May 21, 2024, the Company’s New York personal care operations met the criteria to be classified as held for sale. The carrying value does not exceed the fair market value and will result in a gain on divestiture once the transaction closes. See Note 14 to the Notes to Unaudited Condensed Consolidated Financial Statements,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additional details regarding the treatment of the New York Asset Sale.</w:t>
      </w:r>
    </w:p>
    <w:p>
      <w:pPr>
        <w:spacing w:after="0" w:line="9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the assets and liabilities associated with our New York personal care operations included in our Unaudited Condensed Consolidated Balance Sheets as of September 30, 2024 were as follows (amounts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6"/>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r>
      <w:tr>
        <w:trPr>
          <w:trHeight w:val="236"/>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20"/>
                <w:szCs w:val="20"/>
                <w:color w:val="auto"/>
              </w:rPr>
            </w:pPr>
          </w:p>
        </w:tc>
      </w:tr>
      <w:tr>
        <w:trPr>
          <w:trHeight w:val="237"/>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00" w:type="dxa"/>
            <w:vAlign w:val="bottom"/>
          </w:tcPr>
          <w:p>
            <w:pPr>
              <w:spacing w:after="0"/>
              <w:rPr>
                <w:sz w:val="20"/>
                <w:szCs w:val="20"/>
                <w:color w:val="auto"/>
              </w:rPr>
            </w:pPr>
          </w:p>
        </w:tc>
      </w:tr>
      <w:tr>
        <w:trPr>
          <w:trHeight w:val="241"/>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payroll</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p>
        </w:tc>
      </w:tr>
      <w:tr>
        <w:trPr>
          <w:trHeight w:val="236"/>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reported on the Company’s Unaudited Condensed Consolidated Balance Sheets for operating leases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r>
      <w:tr>
        <w:trPr>
          <w:trHeight w:val="23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44,535</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45,433</w:t>
            </w:r>
          </w:p>
        </w:tc>
        <w:tc>
          <w:tcPr>
            <w:tcW w:w="100" w:type="dxa"/>
            <w:vAlign w:val="bottom"/>
            <w:shd w:val="clear" w:color="auto" w:fill="CFF0FC"/>
          </w:tcPr>
          <w:p>
            <w:pPr>
              <w:spacing w:after="0"/>
              <w:rPr>
                <w:sz w:val="20"/>
                <w:szCs w:val="20"/>
                <w:color w:val="auto"/>
              </w:rPr>
            </w:pPr>
          </w:p>
        </w:tc>
      </w:tr>
      <w:tr>
        <w:trPr>
          <w:trHeight w:val="243"/>
        </w:trPr>
        <w:tc>
          <w:tcPr>
            <w:tcW w:w="7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 (in accrued expenses)</w:t>
            </w:r>
          </w:p>
        </w:tc>
        <w:tc>
          <w:tcPr>
            <w:tcW w:w="2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100" w:type="dxa"/>
            <w:vAlign w:val="bottom"/>
            <w:shd w:val="clear" w:color="auto" w:fill="CFF0FC"/>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38,608</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39,711</w:t>
            </w:r>
          </w:p>
        </w:tc>
        <w:tc>
          <w:tcPr>
            <w:tcW w:w="100" w:type="dxa"/>
            <w:vAlign w:val="bottom"/>
          </w:tcPr>
          <w:p>
            <w:pPr>
              <w:spacing w:after="0"/>
              <w:rPr>
                <w:sz w:val="21"/>
                <w:szCs w:val="21"/>
                <w:color w:val="auto"/>
              </w:rPr>
            </w:pPr>
          </w:p>
        </w:tc>
      </w:tr>
      <w:tr>
        <w:trPr>
          <w:trHeight w:val="272"/>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49,763</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Components of lease costs were reported in general and administrative expenses in the Company’s Unaudited Condensed Consolidated Statements of Income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0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960" w:type="dxa"/>
            <w:vAlign w:val="bottom"/>
            <w:gridSpan w:val="11"/>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7"/>
        </w:trPr>
        <w:tc>
          <w:tcPr>
            <w:tcW w:w="5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9"/>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169"/>
        </w:trPr>
        <w:tc>
          <w:tcPr>
            <w:tcW w:w="5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sublease income</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(596 )</w:t>
            </w:r>
          </w:p>
        </w:tc>
        <w:tc>
          <w:tcPr>
            <w:tcW w:w="3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(704 )</w:t>
            </w:r>
          </w:p>
        </w:tc>
        <w:tc>
          <w:tcPr>
            <w:tcW w:w="380" w:type="dxa"/>
            <w:vAlign w:val="bottom"/>
          </w:tcPr>
          <w:p>
            <w:pPr>
              <w:spacing w:after="0"/>
              <w:rPr>
                <w:sz w:val="21"/>
                <w:szCs w:val="21"/>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(1,685 )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(2,104 )</w:t>
            </w:r>
          </w:p>
        </w:tc>
        <w:tc>
          <w:tcPr>
            <w:tcW w:w="60" w:type="dxa"/>
            <w:vAlign w:val="bottom"/>
          </w:tcPr>
          <w:p>
            <w:pPr>
              <w:spacing w:after="0"/>
              <w:rPr>
                <w:sz w:val="21"/>
                <w:szCs w:val="21"/>
                <w:color w:val="auto"/>
              </w:rPr>
            </w:pPr>
          </w:p>
        </w:tc>
      </w:tr>
      <w:tr>
        <w:trPr>
          <w:trHeight w:val="272"/>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 net</w:t>
            </w: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220" w:type="dxa"/>
            <w:vAlign w:val="bottom"/>
            <w:tcBorders>
              <w:bottom w:val="single" w:sz="8" w:color="CFF0FC"/>
            </w:tcBorders>
            <w:gridSpan w:val="2"/>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r>
      <w:tr>
        <w:trPr>
          <w:trHeight w:val="565"/>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 and Discount Rate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8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were as follows: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6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5.99 %</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5.47 %</w:t>
            </w:r>
          </w:p>
        </w:tc>
      </w:tr>
      <w:tr>
        <w:trPr>
          <w:trHeight w:val="59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Lease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8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Remaining operating lease payments as of September 30, 2024 were as follows: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gridSpan w:val="2"/>
          </w:tcPr>
          <w:p>
            <w:pPr>
              <w:spacing w:after="0"/>
              <w:rPr>
                <w:sz w:val="24"/>
                <w:szCs w:val="24"/>
                <w:color w:val="auto"/>
              </w:rPr>
            </w:pPr>
          </w:p>
        </w:tc>
      </w:tr>
      <w:tr>
        <w:trPr>
          <w:trHeight w:val="250"/>
        </w:trPr>
        <w:tc>
          <w:tcPr>
            <w:tcW w:w="5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3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the 12-month period ended September 30,</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(9,689 )</w:t>
            </w:r>
          </w:p>
        </w:tc>
        <w:tc>
          <w:tcPr>
            <w:tcW w:w="60" w:type="dxa"/>
            <w:vAlign w:val="bottom"/>
          </w:tcPr>
          <w:p>
            <w:pPr>
              <w:spacing w:after="0"/>
              <w:rPr>
                <w:sz w:val="20"/>
                <w:szCs w:val="20"/>
                <w:color w:val="auto"/>
              </w:rPr>
            </w:pPr>
          </w:p>
        </w:tc>
      </w:tr>
      <w:tr>
        <w:trPr>
          <w:trHeight w:val="236"/>
        </w:trPr>
        <w:tc>
          <w:tcPr>
            <w:tcW w:w="5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9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49,763</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-4019550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-4002405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-4019550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-4002405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-4019550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-4002405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-4002405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Flows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gridSpan w:val="10"/>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80" w:type="dxa"/>
            <w:vAlign w:val="bottom"/>
          </w:tcPr>
          <w:p>
            <w:pPr>
              <w:spacing w:after="0"/>
              <w:rPr>
                <w:sz w:val="20"/>
                <w:szCs w:val="20"/>
                <w:color w:val="auto"/>
              </w:rPr>
            </w:pP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15,903</w:t>
            </w:r>
          </w:p>
        </w:tc>
        <w:tc>
          <w:tcPr>
            <w:tcW w:w="100" w:type="dxa"/>
            <w:vAlign w:val="bottom"/>
            <w:shd w:val="clear" w:color="auto" w:fill="CFF0FC"/>
          </w:tcPr>
          <w:p>
            <w:pPr>
              <w:spacing w:after="0"/>
              <w:rPr>
                <w:sz w:val="21"/>
                <w:szCs w:val="21"/>
                <w:color w:val="auto"/>
              </w:rPr>
            </w:pPr>
          </w:p>
        </w:tc>
      </w:tr>
      <w:tr>
        <w:trPr>
          <w:trHeight w:val="74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 summary of the goodwill and related adjustments is provided below:</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240" w:type="dxa"/>
            <w:vAlign w:val="bottom"/>
          </w:tcPr>
          <w:p>
            <w:pPr>
              <w:spacing w:after="0"/>
              <w:rPr>
                <w:sz w:val="24"/>
                <w:szCs w:val="2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Home Health</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18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2023</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432,799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153,276</w:t>
            </w:r>
          </w:p>
        </w:tc>
        <w:tc>
          <w:tcPr>
            <w:tcW w:w="6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76,920</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662,995</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acquisitions</w:t>
            </w:r>
          </w:p>
        </w:tc>
        <w:tc>
          <w:tcPr>
            <w:tcW w:w="2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previously recorded goodwill</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September 30, 2024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432,840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153,676</w:t>
            </w:r>
          </w:p>
        </w:tc>
        <w:tc>
          <w:tcPr>
            <w:tcW w:w="6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77,098</w:t>
            </w:r>
          </w:p>
        </w:tc>
        <w:tc>
          <w:tcPr>
            <w:tcW w:w="240" w:type="dxa"/>
            <w:vAlign w:val="bottom"/>
          </w:tcPr>
          <w:p>
            <w:pPr>
              <w:spacing w:after="0"/>
              <w:rPr>
                <w:sz w:val="20"/>
                <w:szCs w:val="20"/>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663,614</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March 9, 2024, the Company completed its acquisition of the operations of Upstate Home Care Solutions (“Upstate”) for $0.4 million. With the purchase of Upstate, the Company expanded its personal care services segment in South Carolina. In connection with the Upstate acquisition, the Company recognized goodwill in its personal care segment of $0.4 million during the nine months ended September 30, 2024.</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 years. Customer and referral relationships are amortized systematically over the periods of expected economic benefit, which range from five to ten years.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and accumulated amortization of each identifiable intangible asset category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gridSpan w:val="5"/>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80" w:type="dxa"/>
            <w:vAlign w:val="bottom"/>
            <w:gridSpan w:val="2"/>
          </w:tcPr>
          <w:p>
            <w:pPr>
              <w:jc w:val="right"/>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Pr>
          <w:p>
            <w:pPr>
              <w:spacing w:after="0"/>
              <w:rPr>
                <w:sz w:val="11"/>
                <w:szCs w:val="11"/>
                <w:color w:val="auto"/>
              </w:rPr>
            </w:pPr>
          </w:p>
        </w:tc>
        <w:tc>
          <w:tcPr>
            <w:tcW w:w="1280" w:type="dxa"/>
            <w:vAlign w:val="bottom"/>
            <w:gridSpan w:val="3"/>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2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1"/>
                <w:szCs w:val="11"/>
                <w:color w:val="auto"/>
              </w:rPr>
            </w:pPr>
          </w:p>
        </w:tc>
        <w:tc>
          <w:tcPr>
            <w:tcW w:w="10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Customer and referral</w:t>
            </w:r>
          </w:p>
        </w:tc>
        <w:tc>
          <w:tcPr>
            <w:tcW w:w="12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5-10 years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(40,588 )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(39,566 )</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1-20 years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(26,112 )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(23,857 )</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3-5 years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(6,213 )</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(5,601 )</w:t>
            </w:r>
          </w:p>
        </w:tc>
        <w:tc>
          <w:tcPr>
            <w:tcW w:w="4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Licenses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6-10 years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(10,503 )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(9,015 )</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Licenses</w:t>
            </w:r>
          </w:p>
        </w:tc>
        <w:tc>
          <w:tcPr>
            <w:tcW w:w="1340" w:type="dxa"/>
            <w:vAlign w:val="bottom"/>
            <w:tcBorders>
              <w:bottom w:val="single" w:sz="8" w:color="CFF0FC"/>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(83,416 )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170,022</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(78,039 )</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-187960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both"/>
        <w:ind w:right="280" w:firstLine="509"/>
        <w:spacing w:after="0" w:line="274" w:lineRule="auto"/>
        <w:rPr>
          <w:sz w:val="20"/>
          <w:szCs w:val="20"/>
          <w:color w:val="auto"/>
        </w:rPr>
      </w:pPr>
      <w:r>
        <w:rPr>
          <w:rFonts w:ascii="Times New Roman" w:cs="Times New Roman" w:eastAsia="Times New Roman" w:hAnsi="Times New Roman"/>
          <w:sz w:val="18"/>
          <w:szCs w:val="18"/>
          <w:color w:val="auto"/>
        </w:rPr>
        <w:t>Amortization expense related to the intangible assets was $1.8 million and $5.4 million for the three and nine months ended September 30, 2024, respectively, and $1.8 million and $5.3 million for the three and nine months ended September 30, 2023, respectively. The weighted average remaining useful lives of identifiable intangible assets as of September 30, 2024 was 10.0 years.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Details of Certain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5"/>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payroll</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workers' compensation and liability insurance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licensing fees</w:t>
            </w:r>
          </w:p>
        </w:tc>
        <w:tc>
          <w:tcPr>
            <w:tcW w:w="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 insurance receivable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80" w:type="dxa"/>
            <w:vAlign w:val="bottom"/>
          </w:tcPr>
          <w:p>
            <w:pPr>
              <w:spacing w:after="0"/>
              <w:rPr>
                <w:sz w:val="24"/>
                <w:szCs w:val="24"/>
                <w:color w:val="auto"/>
              </w:rPr>
            </w:pPr>
          </w:p>
        </w:tc>
        <w:tc>
          <w:tcPr>
            <w:tcW w:w="212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4"/>
        </w:trPr>
        <w:tc>
          <w:tcPr>
            <w:tcW w:w="71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health benefits</w:t>
            </w:r>
          </w:p>
        </w:tc>
        <w:tc>
          <w:tcPr>
            <w:tcW w:w="54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2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Payor advances </w:t>
            </w:r>
            <w:r>
              <w:rPr>
                <w:rFonts w:ascii="Times New Roman" w:cs="Times New Roman" w:eastAsia="Times New Roman" w:hAnsi="Times New Roman"/>
                <w:sz w:val="24"/>
                <w:szCs w:val="24"/>
                <w:color w:val="auto"/>
                <w:vertAlign w:val="superscript"/>
              </w:rPr>
              <w:t>(1)</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other taxes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tcBorders>
              <w:bottom w:val="single" w:sz="8" w:color="CFF0FC"/>
            </w:tcBorders>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(2)</w:t>
            </w:r>
          </w:p>
        </w:tc>
        <w:tc>
          <w:tcPr>
            <w:tcW w:w="5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34,257</w:t>
            </w:r>
          </w:p>
        </w:tc>
        <w:tc>
          <w:tcPr>
            <w:tcW w:w="28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-1885315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-187960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5" w:lineRule="exact"/>
        <w:rPr>
          <w:sz w:val="20"/>
          <w:szCs w:val="20"/>
          <w:color w:val="auto"/>
        </w:rPr>
      </w:pPr>
    </w:p>
    <w:p>
      <w:pPr>
        <w:ind w:left="1260" w:right="600" w:hanging="503"/>
        <w:spacing w:after="0" w:line="298" w:lineRule="auto"/>
        <w:tabs>
          <w:tab w:leader="none" w:pos="126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deferred portion of payments received from payors for COVID-19 reimbursements which was recognized as we incurred specific COVID-19 related expenses (including expenses related to securing and maintaining adequate personnel).</w:t>
      </w:r>
    </w:p>
    <w:p>
      <w:pPr>
        <w:spacing w:after="0" w:line="96"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$4.6 million initial payment received for the New York Asset Sale as of September 30, 2024.</w:t>
      </w:r>
    </w:p>
    <w:p>
      <w:pPr>
        <w:spacing w:after="0" w:line="158"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Actions to Mitigate COVID-19’s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-699770</wp:posOffset>
            </wp:positionV>
            <wp:extent cx="1431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0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While the acute phase of the COVID-19 pandemic has faded, we will continue to closely monitor the impact of COVID-19 on all aspects of our business, including the impacts to our employees, patients and suppliers.</w:t>
      </w:r>
    </w:p>
    <w:p>
      <w:pPr>
        <w:spacing w:after="0" w:line="54"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recognition of the significant threat to the liquidity of financial markets posed by the COVID-19 pandemic, the Federal Reserve and Congress took dramatic actions to provide liquidity to businesses and the banking system in the United States, including relief for healthcare providers in the Coronavirus Aid, Relief, and Economic Stability Act (“CARES Act”), which was expanded by the Paycheck Protection Program and Health Care Enhancement Act, and the Consolidated Appropriations Act, 2021 (“CAA”), as well as the American Rescue Plan Act of 2021 (“ARPA”).</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ARPA Spending Plans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ARPA provides for $350 billion in relief funding for eligible state, local, territorial, and Tribal governments to mitigate the fiscal effects of the COVID-19 public health emergency. Additionally, the law provided for a 10 percentage point increase in federal matching funds for Medicaid home and community-based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79"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received additional state funding provided by the ARPA in an aggregate amount of $3.2 million and $15.4 million, respectively. Of the total state funding received by the Company pursuant to the ARPA through September 30, 2024, the Company utilized $2.6 million and $7.5 million during the three and nine months ended September 30, 2024, respectively, primarily for caregivers and adding support to recruiting and retention efforts, included as a reduction of cost of service revenues in the Company’s Unaudited Condensed Consolidated Statements of Income. As of September 30, 2024, the deferred portion of ARPA funding of $13.7 million is included within Government stimulus advances on the Company’s Unaudited Condensed Consolidated Balance Sheets.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Medicare Sequester</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CARES Act and related legislation also include other provisions offering financial relief, including, for example, temporarily suspending the Medicare sequester, which would have otherwise reduced payments to Medicare providers by 2% as required by the Budget Control Act of 2011. The sequestration adjustment resumed with a 1% reduction beginning April 1, 2022, and a 2% reduction beginning July 1, 2022. These sequestration cuts have been extended through April 2032.</w:t>
      </w:r>
    </w:p>
    <w:p>
      <w:pPr>
        <w:spacing w:after="0" w:line="28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ARPA increased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7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loan under the 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126,353</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Less unamortized issuance costs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(2,221 )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1260" w:right="200" w:hanging="503"/>
        <w:spacing w:after="0" w:line="307" w:lineRule="auto"/>
        <w:tabs>
          <w:tab w:leader="none" w:pos="1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2024, unamortized issuance costs of $1.6 million are recorded in Other long-term assets on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Unaudited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-304800</wp:posOffset>
            </wp:positionV>
            <wp:extent cx="1431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Secured Credit Facility</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On October 31, 2018, the Company entered into the Amended and Restated Credit Agreement, with certain lenders and Capital One, National Association, as a lender and as agent for all lenders, as amended by the First Amendment to Amended and Restated Credit Agreement, dated as of September 12, 2019, as further amended by the Second Amendment to Amended and Restated Credit Agreement, dated as of July 30, 2021, and as further amended by the Third Amendment to Amended and Restated Credit Agreement, dated as of April 26, 2023 (as described below, the “Third Amendment”) (as amended, the “Credit Agreement”, as used throughout this Quarterly Report on Form 10-Q, “credit facility” shall mean the credit facility evidenced by the Credit Agreement). As discussed further in Note 14, the credit facility consists of a $650.0 million revolving credit facility and a $150.0 million incremental loan facility, which incremental loan facility may be for term loans or an increase to the revolving loan commitments. The maturity of this credit facility is July 30, 2028.</w:t>
      </w:r>
    </w:p>
    <w:p>
      <w:pPr>
        <w:spacing w:after="0" w:line="8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On April 26, 2023, the Company entered into the Third Amendment to replace LIBOR with the Secured Overnight Financing Rate (“SOFR”) as the benchmark reference rate for loans under its credit facility. The Third Amendment did not amend any other terms of the Credit Agreement. The transition to SOFR did not and is not expected to have a material impact on the Company’s results of operations or liquidity.</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SOFR (as published by the CME Group Benchmark Administrative Limited) for an interest period of one month for such applicable day plus 0.10% (not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plus 0.10% (not to be less than zero). Swing loans may not be SOFR loans.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9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pays a fee ranging from 0.20% to 0.35% based on the applicable senior net leverage ratio times the unused portion of the revolving loan portion of the credit facility.</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did not draw on its credit facility and repaid all amounts owed under the revolving credit facility. During the nine months ended September 30, 2023, the Company (i) drew $110.0 million under its credit facility to fund, in part, the Tennessee Quality Care acquisition and (ii) repaid $78.5 million under the revolving credit facility.</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no revolving loans outstanding on its credit facility. After giving effect to the amount drawn on its credit facility, approximately $8.0 million of outstanding letters of credit and borrowing limits based on an advance multiple of adjusted EBITDA (as defined in the Credit Agreement), the Company had $511.5 million of capacity and $503.5 million available for borrowing under its credit facility. As of December 31, 2023, the Company had a total of $126.4 million of revolving loans, with an interest rate of 7.21%, outstanding on its credit facility.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the Company was in compliance with all financial covenants under the Credit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effective income tax rates were 26.1% and 23.8% for the three months ended September 30, 2024 and 2023, respectively. The effective income tax rates were 26.1% and 23.3% for the nine months ended September 30, 2024 and 2023, respectively. The difference between our federal statutory rate of 21% and our effective income tax rates is principally due to the inclusion of state taxes and non-deductible compensation, partially offset by the use of federal employment tax credits.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CODM,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tables below set forth information about the Company’s reportable segments, along with the items necessary to reconcile the segment information to the totals reported in the accompanying Unaudited Condensed Consolidated Financial Statements. Segment assets are not reviewed by the Company’s CODM function and therefore are not disclosed below.</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8"/>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Personal Care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Hospice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Home Health</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215,433</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289,787</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156,273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30,469</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197,583</w:t>
            </w:r>
          </w:p>
        </w:tc>
        <w:tc>
          <w:tcPr>
            <w:tcW w:w="100" w:type="dxa"/>
            <w:vAlign w:val="bottom"/>
          </w:tcPr>
          <w:p>
            <w:pPr>
              <w:spacing w:after="0"/>
              <w:rPr>
                <w:sz w:val="21"/>
                <w:szCs w:val="2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59,160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92,204</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35,897</w:t>
            </w:r>
          </w:p>
        </w:tc>
        <w:tc>
          <w:tcPr>
            <w:tcW w:w="100" w:type="dxa"/>
            <w:vAlign w:val="bottom"/>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56,307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2"/>
        </w:trPr>
        <w:tc>
          <w:tcPr>
            <w:tcW w:w="5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Home Health</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201,882</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270,721</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145,808</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28,155</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183,991</w:t>
            </w:r>
          </w:p>
        </w:tc>
        <w:tc>
          <w:tcPr>
            <w:tcW w:w="100" w:type="dxa"/>
            <w:vAlign w:val="bottom"/>
          </w:tcPr>
          <w:p>
            <w:pPr>
              <w:spacing w:after="0"/>
              <w:rPr>
                <w:sz w:val="21"/>
                <w:szCs w:val="2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86,730</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100" w:type="dxa"/>
            <w:vAlign w:val="bottom"/>
          </w:tcPr>
          <w:p>
            <w:pPr>
              <w:spacing w:after="0"/>
              <w:rPr>
                <w:sz w:val="21"/>
                <w:szCs w:val="21"/>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-1344930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-1327785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-1344930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-1327785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-1344930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-1327785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reconciliation: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Items not allocated at segment level: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4"/>
                <w:szCs w:val="14"/>
                <w:color w:val="auto"/>
              </w:rPr>
            </w:pPr>
          </w:p>
        </w:tc>
      </w:tr>
      <w:tr>
        <w:trPr>
          <w:trHeight w:val="169"/>
        </w:trPr>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46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56,307</w:t>
            </w:r>
          </w:p>
        </w:tc>
        <w:tc>
          <w:tcPr>
            <w:tcW w:w="2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53,257</w:t>
            </w:r>
          </w:p>
        </w:tc>
        <w:tc>
          <w:tcPr>
            <w:tcW w:w="60" w:type="dxa"/>
            <w:vAlign w:val="bottom"/>
          </w:tcPr>
          <w:p>
            <w:pPr>
              <w:spacing w:after="0"/>
              <w:rPr>
                <w:sz w:val="24"/>
                <w:szCs w:val="24"/>
                <w:color w:val="auto"/>
              </w:rPr>
            </w:pPr>
          </w:p>
        </w:tc>
      </w:tr>
      <w:tr>
        <w:trPr>
          <w:trHeight w:val="729"/>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26,908</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60" w:type="dxa"/>
            <w:vAlign w:val="bottom"/>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6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(1,908 )</w:t>
            </w:r>
          </w:p>
        </w:tc>
        <w:tc>
          <w:tcPr>
            <w:tcW w:w="6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(580 )</w:t>
            </w:r>
          </w:p>
        </w:tc>
      </w:tr>
      <w:tr>
        <w:trPr>
          <w:trHeight w:val="250"/>
        </w:trPr>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60" w:type="dxa"/>
            <w:vAlign w:val="bottom"/>
          </w:tcPr>
          <w:p>
            <w:pPr>
              <w:spacing w:after="0"/>
              <w:rPr>
                <w:sz w:val="21"/>
                <w:szCs w:val="21"/>
                <w:color w:val="auto"/>
              </w:rPr>
            </w:pPr>
          </w:p>
        </w:tc>
      </w:tr>
      <w:tr>
        <w:trPr>
          <w:trHeight w:val="239"/>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280" w:type="dxa"/>
            <w:vAlign w:val="bottom"/>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60" w:type="dxa"/>
            <w:vAlign w:val="bottom"/>
          </w:tcPr>
          <w:p>
            <w:pPr>
              <w:spacing w:after="0"/>
              <w:rPr>
                <w:sz w:val="20"/>
                <w:szCs w:val="20"/>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-1422400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-1113790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-805180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-496570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-179705</wp:posOffset>
            </wp:positionV>
            <wp:extent cx="713232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765"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Personal Care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Hospice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Home Health</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636,253</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169,202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857,455</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461,564</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89,166</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33,186</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583,916</w:t>
            </w:r>
          </w:p>
        </w:tc>
        <w:tc>
          <w:tcPr>
            <w:tcW w:w="100" w:type="dxa"/>
            <w:vAlign w:val="bottom"/>
          </w:tcPr>
          <w:p>
            <w:pPr>
              <w:spacing w:after="0"/>
              <w:rPr>
                <w:sz w:val="21"/>
                <w:szCs w:val="2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174,689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80,036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273,539</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49,907</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40,975</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104,329</w:t>
            </w:r>
          </w:p>
        </w:tc>
        <w:tc>
          <w:tcPr>
            <w:tcW w:w="100" w:type="dxa"/>
            <w:vAlign w:val="bottom"/>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124,782</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39"/>
        </w:trPr>
        <w:tc>
          <w:tcPr>
            <w:tcW w:w="5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(Amounts in Thousands)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Personal Care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Hospice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Home Health</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590,227</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152,414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782,300</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428,163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82,028</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534,837</w:t>
            </w:r>
          </w:p>
        </w:tc>
        <w:tc>
          <w:tcPr>
            <w:tcW w:w="100" w:type="dxa"/>
            <w:vAlign w:val="bottom"/>
          </w:tcPr>
          <w:p>
            <w:pPr>
              <w:spacing w:after="0"/>
              <w:rPr>
                <w:sz w:val="21"/>
                <w:szCs w:val="2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162,064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70,386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247,463</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96,980</w:t>
            </w:r>
          </w:p>
        </w:tc>
        <w:tc>
          <w:tcPr>
            <w:tcW w:w="100" w:type="dxa"/>
            <w:vAlign w:val="bottom"/>
          </w:tcPr>
          <w:p>
            <w:pPr>
              <w:spacing w:after="0"/>
              <w:rPr>
                <w:sz w:val="21"/>
                <w:szCs w:val="21"/>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113,765</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150,483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-1430655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-1414145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-1430655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-1414145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-1430655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-1414145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26" w:lineRule="exact"/>
        <w:rPr>
          <w:sz w:val="20"/>
          <w:szCs w:val="20"/>
          <w:color w:val="auto"/>
        </w:rPr>
      </w:pPr>
    </w:p>
    <w:tbl>
      <w:tblPr>
        <w:tblLayout w:type="fixed"/>
        <w:tblInd w:w="7720" w:type="dxa"/>
        <w:tblCellMar>
          <w:top w:w="0" w:type="dxa"/>
          <w:left w:w="0" w:type="dxa"/>
          <w:bottom w:w="0" w:type="dxa"/>
          <w:right w:w="0" w:type="dxa"/>
        </w:tblCellMar>
      </w:tblPr>
      <w:tr>
        <w:trPr>
          <w:trHeight w:val="169"/>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940" w:type="dxa"/>
            <w:vAlign w:val="bottom"/>
          </w:tcPr>
          <w:p>
            <w:pPr>
              <w:spacing w:after="0"/>
              <w:rPr>
                <w:sz w:val="22"/>
                <w:szCs w:val="22"/>
                <w:color w:val="auto"/>
              </w:rPr>
            </w:pPr>
          </w:p>
        </w:tc>
        <w:tc>
          <w:tcPr>
            <w:tcW w:w="2480" w:type="dxa"/>
            <w:vAlign w:val="bottom"/>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-1905</wp:posOffset>
            </wp:positionV>
            <wp:extent cx="21602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reconciliation: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Items not allocated at segment level: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169,210</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150,483</w:t>
            </w:r>
          </w:p>
        </w:tc>
        <w:tc>
          <w:tcPr>
            <w:tcW w:w="60" w:type="dxa"/>
            <w:vAlign w:val="bottom"/>
          </w:tcPr>
          <w:p>
            <w:pPr>
              <w:spacing w:after="0"/>
              <w:rPr>
                <w:sz w:val="20"/>
                <w:szCs w:val="20"/>
                <w:color w:val="auto"/>
              </w:rPr>
            </w:pPr>
          </w:p>
        </w:tc>
      </w:tr>
      <w:tr>
        <w:trPr>
          <w:trHeight w:val="729"/>
        </w:trPr>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83,115</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77,048</w:t>
            </w:r>
          </w:p>
        </w:tc>
        <w:tc>
          <w:tcPr>
            <w:tcW w:w="60" w:type="dxa"/>
            <w:vAlign w:val="bottom"/>
          </w:tcPr>
          <w:p>
            <w:pPr>
              <w:spacing w:after="0"/>
              <w:rPr>
                <w:sz w:val="24"/>
                <w:szCs w:val="24"/>
                <w:color w:val="auto"/>
              </w:rPr>
            </w:pPr>
          </w:p>
        </w:tc>
      </w:tr>
      <w:tr>
        <w:trPr>
          <w:trHeight w:val="243"/>
        </w:trPr>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6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(2,805 )</w:t>
            </w:r>
          </w:p>
        </w:tc>
        <w:tc>
          <w:tcPr>
            <w:tcW w:w="5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(977 )</w:t>
            </w:r>
          </w:p>
        </w:tc>
      </w:tr>
      <w:tr>
        <w:trPr>
          <w:trHeight w:val="250"/>
        </w:trPr>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60" w:type="dxa"/>
            <w:vAlign w:val="bottom"/>
          </w:tcPr>
          <w:p>
            <w:pPr>
              <w:spacing w:after="0"/>
              <w:rPr>
                <w:sz w:val="21"/>
                <w:szCs w:val="21"/>
                <w:color w:val="auto"/>
              </w:rPr>
            </w:pPr>
          </w:p>
        </w:tc>
      </w:tr>
      <w:tr>
        <w:trPr>
          <w:trHeight w:val="239"/>
        </w:trPr>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73,139</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55,972</w:t>
            </w:r>
          </w:p>
        </w:tc>
        <w:tc>
          <w:tcPr>
            <w:tcW w:w="60" w:type="dxa"/>
            <w:vAlign w:val="bottom"/>
          </w:tcPr>
          <w:p>
            <w:pPr>
              <w:spacing w:after="0"/>
              <w:rPr>
                <w:sz w:val="20"/>
                <w:szCs w:val="20"/>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-1422400</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-1113790</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-805180</wp:posOffset>
            </wp:positionV>
            <wp:extent cx="71323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-496570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-179070</wp:posOffset>
            </wp:positionV>
            <wp:extent cx="713232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765" w:right="3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Significant Payors</w:t>
      </w:r>
    </w:p>
    <w:p>
      <w:pPr>
        <w:spacing w:after="0" w:line="121" w:lineRule="exact"/>
        <w:rPr>
          <w:sz w:val="20"/>
          <w:szCs w:val="20"/>
          <w:color w:val="auto"/>
        </w:rPr>
      </w:pPr>
    </w:p>
    <w:p>
      <w:pPr>
        <w:jc w:val="right"/>
        <w:ind w:right="6780"/>
        <w:spacing w:after="0"/>
        <w:rPr>
          <w:sz w:val="20"/>
          <w:szCs w:val="20"/>
          <w:color w:val="auto"/>
        </w:rPr>
      </w:pPr>
      <w:r>
        <w:rPr>
          <w:rFonts w:ascii="Times New Roman" w:cs="Times New Roman" w:eastAsia="Times New Roman" w:hAnsi="Times New Roman"/>
          <w:sz w:val="18"/>
          <w:szCs w:val="18"/>
          <w:color w:val="auto"/>
        </w:rPr>
        <w:t>The Company’s revenue by payor type was as follows:</w:t>
      </w:r>
    </w:p>
    <w:p>
      <w:pPr>
        <w:sectPr>
          <w:pgSz w:w="11900" w:h="16838" w:orient="portrait"/>
          <w:cols w:equalWidth="0" w:num="1">
            <w:col w:w="11240"/>
          </w:cols>
          <w:pgMar w:left="320" w:top="765" w:right="339" w:bottom="1440" w:gutter="0" w:footer="0" w:header="0"/>
          <w:type w:val="continuous"/>
        </w:sect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3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c>
          <w:tcPr>
            <w:tcW w:w="740" w:type="dxa"/>
            <w:vAlign w:val="bottom"/>
            <w:tcBorders>
              <w:bottom w:val="single" w:sz="8" w:color="auto"/>
            </w:tcBorders>
          </w:tcPr>
          <w:p>
            <w:pPr>
              <w:spacing w:after="0"/>
              <w:rPr>
                <w:sz w:val="15"/>
                <w:szCs w:val="15"/>
                <w:color w:val="auto"/>
              </w:rPr>
            </w:pPr>
          </w:p>
        </w:tc>
      </w:tr>
      <w:tr>
        <w:trPr>
          <w:trHeight w:val="169"/>
        </w:trPr>
        <w:tc>
          <w:tcPr>
            <w:tcW w:w="124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spacing w:after="0"/>
              <w:rPr>
                <w:sz w:val="14"/>
                <w:szCs w:val="14"/>
                <w:color w:val="auto"/>
              </w:rPr>
            </w:pPr>
          </w:p>
        </w:tc>
      </w:tr>
      <w:tr>
        <w:trPr>
          <w:trHeight w:val="139"/>
        </w:trPr>
        <w:tc>
          <w:tcPr>
            <w:tcW w:w="1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left="15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r>
      <w:tr>
        <w:trPr>
          <w:trHeight w:val="148"/>
        </w:trPr>
        <w:tc>
          <w:tcPr>
            <w:tcW w:w="12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9"/>
        </w:trPr>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20" w:type="dxa"/>
            <w:vAlign w:val="bottom"/>
          </w:tcPr>
          <w:p>
            <w:pPr>
              <w:spacing w:after="0"/>
              <w:rPr>
                <w:sz w:val="12"/>
                <w:szCs w:val="12"/>
                <w:color w:val="auto"/>
              </w:rPr>
            </w:pP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102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0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12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8"/>
        </w:trPr>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 w:type="dxa"/>
            <w:vAlign w:val="bottom"/>
          </w:tcPr>
          <w:p>
            <w:pPr>
              <w:spacing w:after="0"/>
              <w:rPr>
                <w:sz w:val="15"/>
                <w:szCs w:val="15"/>
                <w:color w:val="auto"/>
              </w:rPr>
            </w:pP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102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0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12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r>
    </w:tbl>
    <w:p>
      <w:pPr>
        <w:spacing w:after="0" w:line="1" w:lineRule="exact"/>
        <w:rPr>
          <w:sz w:val="20"/>
          <w:szCs w:val="20"/>
          <w:color w:val="auto"/>
        </w:rPr>
      </w:pPr>
    </w:p>
    <w:p>
      <w:pPr>
        <w:sectPr>
          <w:pgSz w:w="11900" w:h="16838" w:orient="portrait"/>
          <w:cols w:equalWidth="0" w:num="2">
            <w:col w:w="1900" w:space="720"/>
            <w:col w:w="862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2620" w:type="dxa"/>
            <w:vAlign w:val="bottom"/>
            <w:tcBorders>
              <w:top w:val="single" w:sz="8" w:color="CFF0FC"/>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State, local and other governmental</w:t>
            </w:r>
          </w:p>
        </w:tc>
        <w:tc>
          <w:tcPr>
            <w:tcW w:w="2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116,702</w:t>
            </w:r>
          </w:p>
        </w:tc>
        <w:tc>
          <w:tcPr>
            <w:tcW w:w="14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54.2 %$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101,821</w:t>
            </w:r>
          </w:p>
        </w:tc>
        <w:tc>
          <w:tcPr>
            <w:tcW w:w="13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50.4 %$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337,458</w:t>
            </w:r>
          </w:p>
        </w:tc>
        <w:tc>
          <w:tcPr>
            <w:tcW w:w="13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53.0 %$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297,541</w:t>
            </w: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pay</w:t>
            </w: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personal care segment net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215,433</w:t>
            </w:r>
          </w:p>
        </w:tc>
        <w:tc>
          <w:tcPr>
            <w:tcW w:w="14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100.0 %$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201,882</w:t>
            </w:r>
          </w:p>
        </w:tc>
        <w:tc>
          <w:tcPr>
            <w:tcW w:w="13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100.0 %$</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636,253</w:t>
            </w:r>
          </w:p>
        </w:tc>
        <w:tc>
          <w:tcPr>
            <w:tcW w:w="13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590,227</w:t>
            </w: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2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-1199515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-1199515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-1199515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-1199515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-1199515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-1199515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-1199515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-1199515</wp:posOffset>
            </wp:positionV>
            <wp:extent cx="1289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Medicare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insurance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50"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Total hospice segment net service revenues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Medicare</w:t>
      </w:r>
    </w:p>
    <w:p>
      <w:pPr>
        <w:spacing w:after="0" w:line="36" w:lineRule="exact"/>
        <w:rPr>
          <w:sz w:val="20"/>
          <w:szCs w:val="20"/>
          <w:color w:val="auto"/>
        </w:rPr>
      </w:pPr>
    </w:p>
    <w:p>
      <w:pPr>
        <w:ind w:left="20" w:right="400"/>
        <w:spacing w:after="0" w:line="289" w:lineRule="auto"/>
        <w:rPr>
          <w:sz w:val="20"/>
          <w:szCs w:val="20"/>
          <w:color w:val="auto"/>
        </w:rPr>
      </w:pPr>
      <w:r>
        <w:rPr>
          <w:rFonts w:ascii="Times New Roman" w:cs="Times New Roman" w:eastAsia="Times New Roman" w:hAnsi="Times New Roman"/>
          <w:sz w:val="18"/>
          <w:szCs w:val="18"/>
          <w:color w:val="auto"/>
        </w:rPr>
        <w:t>Managed care organizations Other</w:t>
      </w:r>
    </w:p>
    <w:p>
      <w:pPr>
        <w:spacing w:after="0" w:line="1"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Total home health segment net service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00" w:type="dxa"/>
            <w:vAlign w:val="bottom"/>
          </w:tcPr>
          <w:p>
            <w:pPr>
              <w:spacing w:after="0"/>
              <w:rPr>
                <w:sz w:val="15"/>
                <w:szCs w:val="15"/>
                <w:color w:val="auto"/>
              </w:rPr>
            </w:pPr>
          </w:p>
        </w:tc>
        <w:tc>
          <w:tcPr>
            <w:tcW w:w="3340" w:type="dxa"/>
            <w:vAlign w:val="bottom"/>
            <w:gridSpan w:val="13"/>
          </w:tcPr>
          <w:p>
            <w:pPr>
              <w:ind w:left="80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60" w:type="dxa"/>
            <w:vAlign w:val="bottom"/>
            <w:gridSpan w:val="17"/>
          </w:tcPr>
          <w:p>
            <w:pPr>
              <w:ind w:left="72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r>
      <w:tr>
        <w:trPr>
          <w:trHeight w:val="169"/>
        </w:trPr>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3"/>
          </w:tcPr>
          <w:p>
            <w:pPr>
              <w:ind w:left="80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7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39"/>
        </w:trPr>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10"/>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10"/>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8"/>
        </w:trPr>
        <w:tc>
          <w:tcPr>
            <w:tcW w:w="100" w:type="dxa"/>
            <w:vAlign w:val="bottom"/>
          </w:tcPr>
          <w:p>
            <w:pPr>
              <w:spacing w:after="0"/>
              <w:rPr>
                <w:sz w:val="12"/>
                <w:szCs w:val="12"/>
                <w:color w:val="auto"/>
              </w:rPr>
            </w:pPr>
          </w:p>
        </w:tc>
        <w:tc>
          <w:tcPr>
            <w:tcW w:w="110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2"/>
                <w:szCs w:val="12"/>
                <w:color w:val="auto"/>
              </w:rPr>
            </w:pPr>
          </w:p>
        </w:tc>
        <w:tc>
          <w:tcPr>
            <w:tcW w:w="78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3"/>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9"/>
        </w:trPr>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gridSpan w:val="2"/>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gridSpan w:val="2"/>
          </w:tcPr>
          <w:p>
            <w:pPr>
              <w:spacing w:after="0"/>
              <w:rPr>
                <w:sz w:val="15"/>
                <w:szCs w:val="15"/>
                <w:color w:val="auto"/>
              </w:rPr>
            </w:pPr>
          </w:p>
        </w:tc>
        <w:tc>
          <w:tcPr>
            <w:tcW w:w="60" w:type="dxa"/>
            <w:vAlign w:val="bottom"/>
            <w:tcBorders>
              <w:bottom w:val="single" w:sz="8" w:color="auto"/>
            </w:tcBorders>
            <w:gridSpan w:val="2"/>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60" w:type="dxa"/>
            <w:vAlign w:val="bottom"/>
          </w:tcPr>
          <w:p>
            <w:pPr>
              <w:spacing w:after="0"/>
              <w:rPr>
                <w:sz w:val="15"/>
                <w:szCs w:val="15"/>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w w:val="8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00" w:type="dxa"/>
            <w:vAlign w:val="bottom"/>
            <w:gridSpan w:val="3"/>
          </w:tcPr>
          <w:p>
            <w:pPr>
              <w:jc w:val="right"/>
              <w:ind w:right="5"/>
              <w:spacing w:after="0"/>
              <w:rPr>
                <w:sz w:val="20"/>
                <w:szCs w:val="20"/>
                <w:color w:val="auto"/>
              </w:rPr>
            </w:pPr>
            <w:r>
              <w:rPr>
                <w:rFonts w:ascii="Times New Roman" w:cs="Times New Roman" w:eastAsia="Times New Roman" w:hAnsi="Times New Roman"/>
                <w:sz w:val="18"/>
                <w:szCs w:val="18"/>
                <w:color w:val="auto"/>
                <w:w w:val="8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gridSpan w:val="3"/>
          </w:tcPr>
          <w:p>
            <w:pPr>
              <w:jc w:val="right"/>
              <w:ind w:right="25"/>
              <w:spacing w:after="0"/>
              <w:rPr>
                <w:sz w:val="20"/>
                <w:szCs w:val="20"/>
                <w:color w:val="auto"/>
              </w:rPr>
            </w:pPr>
            <w:r>
              <w:rPr>
                <w:rFonts w:ascii="Times New Roman" w:cs="Times New Roman" w:eastAsia="Times New Roman" w:hAnsi="Times New Roman"/>
                <w:sz w:val="18"/>
                <w:szCs w:val="18"/>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1"/>
                <w:szCs w:val="21"/>
                <w:color w:val="auto"/>
              </w:rPr>
            </w:pPr>
          </w:p>
        </w:tc>
      </w:tr>
      <w:tr>
        <w:trPr>
          <w:trHeight w:val="250"/>
        </w:trPr>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21"/>
                <w:szCs w:val="21"/>
                <w:color w:val="auto"/>
              </w:rPr>
            </w:pPr>
          </w:p>
        </w:tc>
      </w:tr>
      <w:tr>
        <w:trPr>
          <w:trHeight w:val="412"/>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4"/>
          </w:tcPr>
          <w:p>
            <w:pPr>
              <w:jc w:val="right"/>
              <w:ind w:right="5"/>
              <w:spacing w:after="0"/>
              <w:rPr>
                <w:sz w:val="20"/>
                <w:szCs w:val="20"/>
                <w:color w:val="auto"/>
              </w:rPr>
            </w:pPr>
            <w:r>
              <w:rPr>
                <w:rFonts w:ascii="Times New Roman" w:cs="Times New Roman" w:eastAsia="Times New Roman" w:hAnsi="Times New Roman"/>
                <w:sz w:val="18"/>
                <w:szCs w:val="18"/>
                <w:color w:val="auto"/>
              </w:rPr>
              <w:t>100.0 %$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right"/>
              <w:ind w:right="5"/>
              <w:spacing w:after="0"/>
              <w:rPr>
                <w:sz w:val="20"/>
                <w:szCs w:val="20"/>
                <w:color w:val="auto"/>
              </w:rPr>
            </w:pPr>
            <w:r>
              <w:rPr>
                <w:rFonts w:ascii="Times New Roman" w:cs="Times New Roman" w:eastAsia="Times New Roman" w:hAnsi="Times New Roman"/>
                <w:sz w:val="18"/>
                <w:szCs w:val="18"/>
                <w:color w:val="auto"/>
              </w:rPr>
              <w:t>100.0 %$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jc w:val="right"/>
              <w:ind w:right="25"/>
              <w:spacing w:after="0"/>
              <w:rPr>
                <w:sz w:val="20"/>
                <w:szCs w:val="20"/>
                <w:color w:val="auto"/>
              </w:rPr>
            </w:pPr>
            <w:r>
              <w:rPr>
                <w:rFonts w:ascii="Times New Roman" w:cs="Times New Roman" w:eastAsia="Times New Roman" w:hAnsi="Times New Roman"/>
                <w:sz w:val="18"/>
                <w:szCs w:val="18"/>
                <w:color w:val="auto"/>
              </w:rPr>
              <w:t>100.0 %$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ind w:left="76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9"/>
        </w:trPr>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9"/>
        </w:trPr>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gridSpan w:val="2"/>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250"/>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8"/>
        </w:trPr>
        <w:tc>
          <w:tcPr>
            <w:tcW w:w="100" w:type="dxa"/>
            <w:vAlign w:val="bottom"/>
          </w:tcPr>
          <w:p>
            <w:pPr>
              <w:spacing w:after="0"/>
              <w:rPr>
                <w:sz w:val="12"/>
                <w:szCs w:val="12"/>
                <w:color w:val="auto"/>
              </w:rPr>
            </w:pPr>
          </w:p>
        </w:tc>
        <w:tc>
          <w:tcPr>
            <w:tcW w:w="110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3"/>
          </w:tcPr>
          <w:p>
            <w:pPr>
              <w:jc w:val="center"/>
              <w:ind w:right="250"/>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9"/>
        </w:trPr>
        <w:tc>
          <w:tcPr>
            <w:tcW w:w="120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 w:type="dxa"/>
            <w:vAlign w:val="bottom"/>
          </w:tcPr>
          <w:p>
            <w:pPr>
              <w:spacing w:after="0"/>
              <w:rPr>
                <w:sz w:val="15"/>
                <w:szCs w:val="15"/>
                <w:color w:val="auto"/>
              </w:rPr>
            </w:pP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Pr>
          <w:p>
            <w:pPr>
              <w:spacing w:after="0"/>
              <w:rPr>
                <w:sz w:val="15"/>
                <w:szCs w:val="15"/>
                <w:color w:val="auto"/>
              </w:rPr>
            </w:pPr>
          </w:p>
        </w:tc>
        <w:tc>
          <w:tcPr>
            <w:tcW w:w="780" w:type="dxa"/>
            <w:vAlign w:val="bottom"/>
            <w:gridSpan w:val="2"/>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0" w:type="dxa"/>
            <w:vAlign w:val="bottom"/>
            <w:gridSpan w:val="3"/>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rPr>
              <w:t>Revenues</w:t>
            </w:r>
          </w:p>
        </w:tc>
      </w:tr>
      <w:tr>
        <w:trPr>
          <w:trHeight w:val="228"/>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11,325</w:t>
            </w: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12"/>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4"/>
          </w:tcPr>
          <w:p>
            <w:pPr>
              <w:jc w:val="right"/>
              <w:ind w:right="5"/>
              <w:spacing w:after="0"/>
              <w:rPr>
                <w:sz w:val="20"/>
                <w:szCs w:val="20"/>
                <w:color w:val="auto"/>
              </w:rPr>
            </w:pPr>
            <w:r>
              <w:rPr>
                <w:rFonts w:ascii="Times New Roman" w:cs="Times New Roman" w:eastAsia="Times New Roman" w:hAnsi="Times New Roman"/>
                <w:sz w:val="18"/>
                <w:szCs w:val="18"/>
                <w:color w:val="auto"/>
              </w:rPr>
              <w:t>100.0 %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15,718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15"/>
        </w:trPr>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-2884170</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-2575560</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-2258695</wp:posOffset>
            </wp:positionV>
            <wp:extent cx="7132320" cy="291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-1161415</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-852805</wp:posOffset>
            </wp:positionV>
            <wp:extent cx="7132320"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471170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440" w:space="180"/>
            <w:col w:w="8680"/>
          </w:cols>
          <w:pgMar w:left="320" w:top="765"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6"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During the three and nine months ended September 30, 2024 and 2023, the Company derived a significant amount of its revenue from its operations in Illinois, New Mexico, New York, Ohio and Tennessee. The percentages of segment revenue for each of these significant states were as follows:</w:t>
      </w:r>
    </w:p>
    <w:p>
      <w:pPr>
        <w:sectPr>
          <w:pgSz w:w="11900" w:h="16838" w:orient="portrait"/>
          <w:cols w:equalWidth="0" w:num="1">
            <w:col w:w="11300"/>
          </w:cols>
          <w:pgMar w:left="320" w:top="765" w:right="279" w:bottom="1440" w:gutter="0" w:footer="0" w:header="0"/>
        </w:sectPr>
      </w:pP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Illinois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Mexico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New York </w:t>
      </w:r>
      <w:r>
        <w:rPr>
          <w:rFonts w:ascii="Times New Roman" w:cs="Times New Roman" w:eastAsia="Times New Roman" w:hAnsi="Times New Roman"/>
          <w:sz w:val="24"/>
          <w:szCs w:val="24"/>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All other states</w:t>
      </w:r>
    </w:p>
    <w:p>
      <w:pPr>
        <w:spacing w:after="0" w:line="30"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Total personal care segment net service revenues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ind w:left="68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39"/>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8"/>
        </w:trPr>
        <w:tc>
          <w:tcPr>
            <w:tcW w:w="200" w:type="dxa"/>
            <w:vAlign w:val="bottom"/>
          </w:tcPr>
          <w:p>
            <w:pPr>
              <w:spacing w:after="0"/>
              <w:rPr>
                <w:sz w:val="12"/>
                <w:szCs w:val="12"/>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2"/>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9"/>
        </w:trPr>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Pr>
          <w:p>
            <w:pPr>
              <w:spacing w:after="0"/>
              <w:rPr>
                <w:sz w:val="15"/>
                <w:szCs w:val="15"/>
                <w:color w:val="auto"/>
              </w:rPr>
            </w:pPr>
          </w:p>
        </w:tc>
        <w:tc>
          <w:tcPr>
            <w:tcW w:w="124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tcPr>
          <w:p>
            <w:pPr>
              <w:spacing w:after="0"/>
              <w:rPr>
                <w:sz w:val="15"/>
                <w:szCs w:val="15"/>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tcPr>
          <w:p>
            <w:pPr>
              <w:spacing w:after="0"/>
              <w:rPr>
                <w:sz w:val="15"/>
                <w:szCs w:val="15"/>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00" w:type="dxa"/>
            <w:vAlign w:val="bottom"/>
            <w:gridSpan w:val="2"/>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Revenues</w:t>
            </w:r>
          </w:p>
        </w:tc>
      </w:tr>
      <w:tr>
        <w:trPr>
          <w:trHeight w:val="228"/>
        </w:trPr>
        <w:tc>
          <w:tcPr>
            <w:tcW w:w="2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105,206</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330,265</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306,711</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1"/>
                <w:szCs w:val="2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53,149</w:t>
            </w: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151,176</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129,637</w:t>
            </w: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21"/>
                <w:szCs w:val="21"/>
                <w:color w:val="auto"/>
              </w:rPr>
            </w:pPr>
          </w:p>
        </w:tc>
      </w:tr>
      <w:tr>
        <w:trPr>
          <w:trHeight w:val="412"/>
        </w:trPr>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201,882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636,253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590,227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-916305</wp:posOffset>
            </wp:positionV>
            <wp:extent cx="71323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-607695</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-290830</wp:posOffset>
            </wp:positionV>
            <wp:extent cx="7132320" cy="291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2300" w:space="300"/>
            <w:col w:w="8700"/>
          </w:cols>
          <w:pgMar w:left="320" w:top="765" w:right="279" w:bottom="1440" w:gutter="0" w:footer="0" w:header="0"/>
          <w:type w:val="continuous"/>
        </w:sectPr>
      </w:pPr>
    </w:p>
    <w:p>
      <w:pPr>
        <w:ind w:left="1360" w:right="120" w:hanging="514"/>
        <w:spacing w:after="0" w:line="258" w:lineRule="auto"/>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selection process for CDPAP fiscal intermediaries has changed significantly in recent years and the program continues to be an area of focus for New York governmental authorities. As a result of the changes and uncertainty in the state, the Company determined that its New York personal care operations no longer fit its growth strategy and reached an agreement to divest these operations. See Note 4 to the Notes to Unaudited Condensed Consolidated Financial Statements, </w:t>
      </w:r>
      <w:r>
        <w:rPr>
          <w:rFonts w:ascii="Times New Roman" w:cs="Times New Roman" w:eastAsia="Times New Roman" w:hAnsi="Times New Roman"/>
          <w:sz w:val="18"/>
          <w:szCs w:val="18"/>
          <w:i w:val="1"/>
          <w:iCs w:val="1"/>
          <w:color w:val="auto"/>
        </w:rPr>
        <w:t>Acquisition and Divestiture</w:t>
      </w:r>
      <w:r>
        <w:rPr>
          <w:rFonts w:ascii="Times New Roman" w:cs="Times New Roman" w:eastAsia="Times New Roman" w:hAnsi="Times New Roman"/>
          <w:sz w:val="18"/>
          <w:szCs w:val="18"/>
          <w:color w:val="auto"/>
        </w:rPr>
        <w:t>, for additional details regarding our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-702945</wp:posOffset>
            </wp:positionV>
            <wp:extent cx="1431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Ohio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Illinois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Mexico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 other states</w:t>
      </w:r>
    </w:p>
    <w:p>
      <w:pPr>
        <w:spacing w:after="0" w:line="36"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Total hospice segment net service revenues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Mexico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Illinois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Tennessee</w:t>
      </w:r>
    </w:p>
    <w:p>
      <w:pPr>
        <w:spacing w:after="0" w:line="36"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Total home health segment net service revenues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2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12"/>
          </w:tcPr>
          <w:p>
            <w:pPr>
              <w:ind w:left="68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12"/>
          </w:tcPr>
          <w:p>
            <w:pPr>
              <w:ind w:left="68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9"/>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9"/>
        </w:trPr>
        <w:tc>
          <w:tcPr>
            <w:tcW w:w="200" w:type="dxa"/>
            <w:vAlign w:val="bottom"/>
          </w:tcPr>
          <w:p>
            <w:pPr>
              <w:spacing w:after="0"/>
              <w:rPr>
                <w:sz w:val="12"/>
                <w:szCs w:val="1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80" w:type="dxa"/>
            <w:vAlign w:val="bottom"/>
          </w:tcPr>
          <w:p>
            <w:pPr>
              <w:spacing w:after="0"/>
              <w:rPr>
                <w:sz w:val="12"/>
                <w:szCs w:val="12"/>
                <w:color w:val="auto"/>
              </w:rPr>
            </w:pPr>
          </w:p>
        </w:tc>
        <w:tc>
          <w:tcPr>
            <w:tcW w:w="108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60" w:type="dxa"/>
            <w:vAlign w:val="bottom"/>
          </w:tcPr>
          <w:p>
            <w:pPr>
              <w:spacing w:after="0"/>
              <w:rPr>
                <w:sz w:val="12"/>
                <w:szCs w:val="12"/>
                <w:color w:val="auto"/>
              </w:rPr>
            </w:pPr>
          </w:p>
        </w:tc>
        <w:tc>
          <w:tcPr>
            <w:tcW w:w="104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3"/>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3"/>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9"/>
        </w:trPr>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6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gridSpan w:val="3"/>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80" w:type="dxa"/>
            <w:vAlign w:val="bottom"/>
            <w:gridSpan w:val="3"/>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rPr>
              <w:t>Revenues</w:t>
            </w:r>
          </w:p>
        </w:tc>
      </w:tr>
      <w:tr>
        <w:trPr>
          <w:trHeight w:val="228"/>
        </w:trPr>
        <w:tc>
          <w:tcPr>
            <w:tcW w:w="2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55,363</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38,613</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12"/>
        </w:trPr>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57,309</w:t>
            </w:r>
          </w:p>
        </w:tc>
        <w:tc>
          <w:tcPr>
            <w:tcW w:w="120" w:type="dxa"/>
            <w:vAlign w:val="bottom"/>
          </w:tcPr>
          <w:p>
            <w:pPr>
              <w:spacing w:after="0"/>
              <w:rPr>
                <w:sz w:val="24"/>
                <w:szCs w:val="24"/>
                <w:color w:val="auto"/>
              </w:rPr>
            </w:pPr>
          </w:p>
        </w:tc>
        <w:tc>
          <w:tcPr>
            <w:tcW w:w="1200" w:type="dxa"/>
            <w:vAlign w:val="bottom"/>
            <w:gridSpan w:val="5"/>
          </w:tcPr>
          <w:p>
            <w:pPr>
              <w:jc w:val="right"/>
              <w:ind w:right="5"/>
              <w:spacing w:after="0"/>
              <w:rPr>
                <w:sz w:val="20"/>
                <w:szCs w:val="20"/>
                <w:color w:val="auto"/>
              </w:rPr>
            </w:pPr>
            <w:r>
              <w:rPr>
                <w:rFonts w:ascii="Times New Roman" w:cs="Times New Roman" w:eastAsia="Times New Roman" w:hAnsi="Times New Roman"/>
                <w:sz w:val="18"/>
                <w:szCs w:val="18"/>
                <w:color w:val="auto"/>
              </w:rPr>
              <w:t>100.0 %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169,202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4"/>
          </w:tcPr>
          <w:p>
            <w:pPr>
              <w:jc w:val="right"/>
              <w:ind w:right="5"/>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5"/>
        </w:trPr>
        <w:tc>
          <w:tcPr>
            <w:tcW w:w="200" w:type="dxa"/>
            <w:vAlign w:val="bottom"/>
          </w:tcPr>
          <w:p>
            <w:pPr>
              <w:spacing w:after="0"/>
              <w:rPr>
                <w:sz w:val="24"/>
                <w:szCs w:val="24"/>
                <w:color w:val="auto"/>
              </w:rPr>
            </w:pPr>
          </w:p>
        </w:tc>
        <w:tc>
          <w:tcPr>
            <w:tcW w:w="3260" w:type="dxa"/>
            <w:vAlign w:val="bottom"/>
            <w:gridSpan w:val="12"/>
          </w:tcPr>
          <w:p>
            <w:pPr>
              <w:ind w:left="70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15"/>
          </w:tcPr>
          <w:p>
            <w:pPr>
              <w:ind w:left="72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r>
      <w:tr>
        <w:trPr>
          <w:trHeight w:val="169"/>
        </w:trPr>
        <w:tc>
          <w:tcPr>
            <w:tcW w:w="2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39"/>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2"/>
                <w:szCs w:val="12"/>
                <w:color w:val="auto"/>
              </w:rPr>
            </w:pPr>
          </w:p>
        </w:tc>
      </w:tr>
      <w:tr>
        <w:trPr>
          <w:trHeight w:val="148"/>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9"/>
        </w:trPr>
        <w:tc>
          <w:tcPr>
            <w:tcW w:w="200" w:type="dxa"/>
            <w:vAlign w:val="bottom"/>
          </w:tcPr>
          <w:p>
            <w:pPr>
              <w:spacing w:after="0"/>
              <w:rPr>
                <w:sz w:val="12"/>
                <w:szCs w:val="1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80" w:type="dxa"/>
            <w:vAlign w:val="bottom"/>
          </w:tcPr>
          <w:p>
            <w:pPr>
              <w:spacing w:after="0"/>
              <w:rPr>
                <w:sz w:val="12"/>
                <w:szCs w:val="12"/>
                <w:color w:val="auto"/>
              </w:rPr>
            </w:pPr>
          </w:p>
        </w:tc>
        <w:tc>
          <w:tcPr>
            <w:tcW w:w="108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60" w:type="dxa"/>
            <w:vAlign w:val="bottom"/>
          </w:tcPr>
          <w:p>
            <w:pPr>
              <w:spacing w:after="0"/>
              <w:rPr>
                <w:sz w:val="12"/>
                <w:szCs w:val="12"/>
                <w:color w:val="auto"/>
              </w:rPr>
            </w:pPr>
          </w:p>
        </w:tc>
        <w:tc>
          <w:tcPr>
            <w:tcW w:w="1040" w:type="dxa"/>
            <w:vAlign w:val="bottom"/>
            <w:gridSpan w:val="5"/>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3"/>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3"/>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9"/>
        </w:trPr>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gridSpan w:val="2"/>
          </w:tcPr>
          <w:p>
            <w:pPr>
              <w:spacing w:after="0"/>
              <w:rPr>
                <w:sz w:val="15"/>
                <w:szCs w:val="15"/>
                <w:color w:val="auto"/>
              </w:rPr>
            </w:pPr>
          </w:p>
        </w:tc>
        <w:tc>
          <w:tcPr>
            <w:tcW w:w="80" w:type="dxa"/>
            <w:vAlign w:val="bottom"/>
            <w:tcBorders>
              <w:bottom w:val="single" w:sz="8" w:color="auto"/>
            </w:tcBorders>
            <w:gridSpan w:val="2"/>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gridSpan w:val="2"/>
          </w:tcPr>
          <w:p>
            <w:pPr>
              <w:spacing w:after="0"/>
              <w:rPr>
                <w:sz w:val="15"/>
                <w:szCs w:val="15"/>
                <w:color w:val="auto"/>
              </w:rPr>
            </w:pPr>
          </w:p>
        </w:tc>
        <w:tc>
          <w:tcPr>
            <w:tcW w:w="80" w:type="dxa"/>
            <w:vAlign w:val="bottom"/>
            <w:tcBorders>
              <w:bottom w:val="single" w:sz="8" w:color="auto"/>
            </w:tcBorders>
            <w:gridSpan w:val="2"/>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60" w:type="dxa"/>
            <w:vAlign w:val="bottom"/>
          </w:tcPr>
          <w:p>
            <w:pPr>
              <w:spacing w:after="0"/>
              <w:rPr>
                <w:sz w:val="15"/>
                <w:szCs w:val="15"/>
                <w:color w:val="auto"/>
              </w:rPr>
            </w:pPr>
          </w:p>
        </w:tc>
      </w:tr>
      <w:tr>
        <w:trPr>
          <w:trHeight w:val="228"/>
        </w:trPr>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20" w:type="dxa"/>
            <w:vAlign w:val="bottom"/>
            <w:gridSpan w:val="3"/>
          </w:tcPr>
          <w:p>
            <w:pPr>
              <w:jc w:val="right"/>
              <w:ind w:right="5"/>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gridSpan w:val="3"/>
          </w:tcPr>
          <w:p>
            <w:pPr>
              <w:jc w:val="right"/>
              <w:ind w:right="5"/>
              <w:spacing w:after="0"/>
              <w:rPr>
                <w:sz w:val="20"/>
                <w:szCs w:val="20"/>
                <w:color w:val="auto"/>
              </w:rPr>
            </w:pPr>
            <w:r>
              <w:rPr>
                <w:rFonts w:ascii="Times New Roman" w:cs="Times New Roman" w:eastAsia="Times New Roman" w:hAnsi="Times New Roman"/>
                <w:sz w:val="18"/>
                <w:szCs w:val="18"/>
                <w:color w:val="auto"/>
                <w:w w:val="8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w w:val="8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20"/>
                <w:szCs w:val="20"/>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20" w:type="dxa"/>
            <w:vAlign w:val="bottom"/>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1"/>
                <w:szCs w:val="21"/>
                <w:color w:val="auto"/>
              </w:rPr>
            </w:pPr>
          </w:p>
        </w:tc>
      </w:tr>
      <w:tr>
        <w:trPr>
          <w:trHeight w:val="412"/>
        </w:trPr>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120" w:type="dxa"/>
            <w:vAlign w:val="bottom"/>
          </w:tcPr>
          <w:p>
            <w:pPr>
              <w:spacing w:after="0"/>
              <w:rPr>
                <w:sz w:val="24"/>
                <w:szCs w:val="24"/>
                <w:color w:val="auto"/>
              </w:rPr>
            </w:pPr>
          </w:p>
        </w:tc>
        <w:tc>
          <w:tcPr>
            <w:tcW w:w="1200" w:type="dxa"/>
            <w:vAlign w:val="bottom"/>
            <w:gridSpan w:val="5"/>
          </w:tcPr>
          <w:p>
            <w:pPr>
              <w:jc w:val="right"/>
              <w:ind w:right="5"/>
              <w:spacing w:after="0"/>
              <w:rPr>
                <w:sz w:val="20"/>
                <w:szCs w:val="20"/>
                <w:color w:val="auto"/>
              </w:rPr>
            </w:pPr>
            <w:r>
              <w:rPr>
                <w:rFonts w:ascii="Times New Roman" w:cs="Times New Roman" w:eastAsia="Times New Roman" w:hAnsi="Times New Roman"/>
                <w:sz w:val="18"/>
                <w:szCs w:val="18"/>
                <w:color w:val="auto"/>
              </w:rPr>
              <w:t>100.0 %$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5"/>
          </w:tcPr>
          <w:p>
            <w:pPr>
              <w:jc w:val="right"/>
              <w:ind w:right="5"/>
              <w:spacing w:after="0"/>
              <w:rPr>
                <w:sz w:val="20"/>
                <w:szCs w:val="20"/>
                <w:color w:val="auto"/>
              </w:rPr>
            </w:pPr>
            <w:r>
              <w:rPr>
                <w:rFonts w:ascii="Times New Roman" w:cs="Times New Roman" w:eastAsia="Times New Roman" w:hAnsi="Times New Roman"/>
                <w:sz w:val="18"/>
                <w:szCs w:val="18"/>
                <w:color w:val="auto"/>
              </w:rPr>
              <w:t>100.0 %$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4"/>
          </w:tcPr>
          <w:p>
            <w:pPr>
              <w:jc w:val="right"/>
              <w:ind w:right="5"/>
              <w:spacing w:after="0"/>
              <w:rPr>
                <w:sz w:val="20"/>
                <w:szCs w:val="20"/>
                <w:color w:val="auto"/>
              </w:rPr>
            </w:pPr>
            <w:r>
              <w:rPr>
                <w:rFonts w:ascii="Times New Roman" w:cs="Times New Roman" w:eastAsia="Times New Roman" w:hAnsi="Times New Roman"/>
                <w:sz w:val="18"/>
                <w:szCs w:val="18"/>
                <w:color w:val="auto"/>
              </w:rPr>
              <w:t>100.0 %$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-2476500</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-2167890</wp:posOffset>
            </wp:positionV>
            <wp:extent cx="71323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-1851025</wp:posOffset>
            </wp:positionV>
            <wp:extent cx="7132320" cy="291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-762635</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-453390</wp:posOffset>
            </wp:positionV>
            <wp:extent cx="7132320" cy="162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2440" w:space="160"/>
            <w:col w:w="8700"/>
          </w:cols>
          <w:pgMar w:left="320" w:top="765" w:right="279" w:bottom="1440" w:gutter="0" w:footer="0" w:header="0"/>
          <w:type w:val="continuous"/>
        </w:sect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 substantial portion of the Company’s revenue and accounts receivable are derived from services performed for federal, state and local governmental agencies. The personal care segment derives a significant amount of its net service revenues in Illinois, which represented 38.6%, and 38.9% of our net service revenues for the three months ended September 30, 2024, and 2023, respectively, and accounted for 38.5% and 39.2% of our net service revenues for the nine months ended September 30, 2024 and 2023, respectively. The Illinois Department on Aging, the largest payor program for the Company’s Illinois personal care operations, accounted for 21.4% and 20.5% of the Company’s net service revenues for the three months ended September 30, 2024 and 2023, respectively, and accounted for 21.1% and 21.2% of the Company’s net service revenues for the nine months ended September 30, 2024 and 2023, respectively.</w:t>
      </w:r>
    </w:p>
    <w:p>
      <w:pPr>
        <w:spacing w:after="0" w:line="18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related receivables due from the Illinois Department on Aging represented 21.7% and 25.8% of the Company’s net accounts receivable at September 30, 2024 and December 31, 2023, respectively.</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Fourth Amendment to Credit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October 22, 2024, the Company entered into a Fourth Amendment to Amended and Restated Credit Agreement (the “Fourth Amendment”) with certain lenders and Capital One, National Association, as a lender and as agent for all lenders, which further amended the Credit Agreement. The Fourth Amendment, among other things, (i) increased the Company’s revolving credit facility to an aggregate amount of $650,000,000, (ii) increased the Company’s incremental loan facility to an aggregate amount of $150,000,000, and (iii) extended the maturity date of the credit facility from July 30, 2026 to July 30, 2028.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Disposition Treatment</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October 2024, the Company qualified for sale consideration of the New York Asset Sale. As a result, the Company will deconsolidate the results of its New York operations and record a gain on divestiture. The New York Asset Sale purchase price of up to $23 million includes 50% cash consideration, paid out as an initial payment of $4.6 million and $6.9 million paid pro rata as a deferred payment as caregivers are transferred and 50% in the form of contingent consideration for the Company’s CDPAP business.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impact of macroeconomic conditions, including inflation and elevated interest rates, legislative and political developments, trade disruptions and the potential adverse effects of current geopolitical conditions; business disruptions due to inclement weather, natural disasters, acts of terrorism, pandemics, riots, civil insurrection or social unrest, looting, protests, strikes or street demonstrations; changes in operational and reimbursement processes and payment structures at the state or federal levels; changes in Medicaid, Medicare, other government programs and managed care organizations policies and payment rates, and the timeliness of reimbursements received under government programs;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the overall economic conditions and deficit reduction measures by federal and state governments, and our expectations regarding these changes; cost containment initiatives undertaken by federal and state governmental and other third-party payors; our ability to access financing through the capital and credit markets; our ability to meet debt service requirements and comply with covenants in debt agreements; our ability to integrate and manage our information systems; any security breaches, cyber-attacks, loss of data, or cybersecurity threats or incidents, and any actual or perceived failures to comply with legal requirements related to the privacy of confidential consumer data and other sensitive information; the size and growth of the markets for our services, including our expectations regarding the markets for our services; eligibility standards and limits on services imposed by state governmental agencies; the potential for litigation, audits and investigations; discretionary determinations by government officials; our ability to successfully implement our business model to grow our business; our ability to continue identifying, pursuing, consummating and integrating acquisition opportunities, including our ability to complete the Gentiva Acquisition and to realize the anticipated benefits from such acquisition, and expanding into new geographic markets; our ability to complete the New York Asset Sale; the impact of acquisitions and dispositions on our business, including the potential inability to realize the benefits of potential acquisitions; the effectiveness, quality and cost of our services; our ability to successfully execute our growth strategy; changes in tax rates; and various other matters, many of which are beyond our control. In addition, these forward-looking statements are subject to the risk factors set forth in Part I, Item 1A of our Annual Report on Form 10-K for the period ended December 31, 2023, filed with the SEC on February 27, 2024, as updated by the risk factors set forth in Part II, Item 1A of this Quarterly Report on Form 10-Q.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organizations accounted for 34.3% and 36.5% of our net service revenues during the three months ended September 30, 2024 and 2023, respectively, and 35.1% and 36.6% of our net service revenues during the nine months ended September 30, 2024 and 2023, respectively.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certain consolidated financial results is provided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40" w:type="dxa"/>
            <w:vAlign w:val="bottom"/>
          </w:tcPr>
          <w:p>
            <w:pPr>
              <w:spacing w:after="0"/>
              <w:rPr>
                <w:sz w:val="13"/>
                <w:szCs w:val="13"/>
                <w:color w:val="auto"/>
              </w:rPr>
            </w:pPr>
          </w:p>
        </w:tc>
        <w:tc>
          <w:tcPr>
            <w:tcW w:w="26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 by segment:</w:t>
            </w:r>
          </w:p>
        </w:tc>
        <w:tc>
          <w:tcPr>
            <w:tcW w:w="260" w:type="dxa"/>
            <w:vAlign w:val="bottom"/>
          </w:tcPr>
          <w:p>
            <w:pPr>
              <w:spacing w:after="0"/>
              <w:rPr>
                <w:sz w:val="20"/>
                <w:szCs w:val="20"/>
                <w:color w:val="auto"/>
              </w:rPr>
            </w:pPr>
          </w:p>
        </w:tc>
        <w:tc>
          <w:tcPr>
            <w:tcW w:w="230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215,433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201,882</w:t>
            </w:r>
          </w:p>
        </w:tc>
        <w:tc>
          <w:tcPr>
            <w:tcW w:w="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636,253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590,227</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Hospice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152,414</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health</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service revenues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289,787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270,721</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857,455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782,300</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-490855</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-490855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-490855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we provided our services in 22 states through 214 offices. We served approximately 80,000 and 62,000 discrete individuals, respectively, during the nine months ended September 30, 2024 and 2023. Our personal care segment also includes staffing services, with clients including assisted living facilities, nursing homes and hospice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On January 1, 2023, we completed the acquisition of CareStaff for approximately $1.0 million, with funding provided by available cash. With the purchase of CareStaff, the Company expanded its personal care services in Florida.</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August 1, 2023, we completed the acquisition of Tennessee Quality Care for approximately $111.2 million, with funding primarily provided by drawing on the Company’s revolving credit facility. With the purchase of Tennessee Quality Care, the Company expanded its services within its hospice and home health segments to Tennessee.</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On March 9, 2024, we completed our acquisition of the operations of Upstate for $0.4 million, with funding provided by available cash. With the purchase of Upstate, the Company expanded its personal care services segment in South Carolina.</w:t>
      </w:r>
    </w:p>
    <w:p>
      <w:pPr>
        <w:spacing w:after="0" w:line="16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8, 2024, we entered into the Gentiva Purchase Agreement to acquire the personal care operations of Gentiva, consisting of equity interests and certain assets and liabilities, for a purchase price of approximately $350.0 million, payable in full in cash at the closing, subject to typical adjustments for working capital and other customary items. The acquired business operates in Arizona, Arkansas, California, Missouri, North Carolina, Tennessee and Texas, and serves approximately 16,000 patients. The Company expects to close this acquisition following completion of regulatory approvals and subject to customary closing conditions and will fund this acquisition through the Company’s existing revolving credit facility and a portion of the net proceeds from the Public Offering.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Asset Sale</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May 21, 2024, we entered into the New York Asset Sale. The Company entered into a consulting agreement as the transfer of clients and caregivers and payment for assets pursuant to the New York Asset Sale is occurring over time as regulatory approvals are received, coordination of the transfer of clients and caregivers occurs, and the change of control takes place. In connection with this transaction, the Company will cease operations in New York. See Note 14 to the Notes to Unaudited Condensed Consolidated Financial Statements,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additional details regarding the New York Asset Sale.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the labor market continues to be tight and unemployment remains at low levels, the competition for new caregivers, including skilled healthcare staff, and support staff continues to be significant. In recent periods, the United States economy has experienced, and may continue to experience, significant inflationary pressures. To the extent that we continue to experience a shortage of caregivers, it may hinder our ability to fully meet the continuing demand for both our non-clinical and clinical services.</w:t>
      </w:r>
    </w:p>
    <w:p>
      <w:pPr>
        <w:sectPr>
          <w:pgSz w:w="11900" w:h="16838" w:orient="portrait"/>
          <w:cols w:equalWidth="0" w:num="1">
            <w:col w:w="11240"/>
          </w:cols>
          <w:pgMar w:left="320" w:top="765"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Payor and Significant States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 by payor and significant states by segment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Personal Care Segment</w:t>
            </w:r>
          </w:p>
        </w:tc>
        <w:tc>
          <w:tcPr>
            <w:tcW w:w="1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140" w:type="dxa"/>
            <w:vAlign w:val="bottom"/>
            <w:gridSpan w:val="2"/>
            <w:vMerge w:val="continue"/>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120" w:type="dxa"/>
            <w:vAlign w:val="bottom"/>
            <w:gridSpan w:val="2"/>
            <w:vMerge w:val="continue"/>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180" w:type="dxa"/>
            <w:vAlign w:val="bottom"/>
            <w:gridSpan w:val="3"/>
            <w:vMerge w:val="continue"/>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State, local and other</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governmental programs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116,702</w:t>
            </w:r>
          </w:p>
        </w:tc>
        <w:tc>
          <w:tcPr>
            <w:tcW w:w="1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101,821</w:t>
            </w:r>
          </w:p>
        </w:tc>
        <w:tc>
          <w:tcPr>
            <w:tcW w:w="1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337,458</w:t>
            </w:r>
          </w:p>
        </w:tc>
        <w:tc>
          <w:tcPr>
            <w:tcW w:w="1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93,584</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281,732</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pay</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personal care segment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215,433</w:t>
            </w:r>
          </w:p>
        </w:tc>
        <w:tc>
          <w:tcPr>
            <w:tcW w:w="120" w:type="dxa"/>
            <w:vAlign w:val="bottom"/>
          </w:tcPr>
          <w:p>
            <w:pPr>
              <w:spacing w:after="0"/>
              <w:rPr>
                <w:sz w:val="17"/>
                <w:szCs w:val="17"/>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201,882</w:t>
            </w:r>
          </w:p>
        </w:tc>
        <w:tc>
          <w:tcPr>
            <w:tcW w:w="120" w:type="dxa"/>
            <w:vAlign w:val="bottom"/>
          </w:tcPr>
          <w:p>
            <w:pPr>
              <w:spacing w:after="0"/>
              <w:rPr>
                <w:sz w:val="17"/>
                <w:szCs w:val="17"/>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636,253</w:t>
            </w:r>
          </w:p>
        </w:tc>
        <w:tc>
          <w:tcPr>
            <w:tcW w:w="10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590,227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105,206</w:t>
            </w: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330,265</w:t>
            </w: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4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86,573</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New York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68,239</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68,910</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53,149</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151,176</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129,637</w:t>
            </w: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personal care segment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215,433</w:t>
            </w:r>
          </w:p>
        </w:tc>
        <w:tc>
          <w:tcPr>
            <w:tcW w:w="120" w:type="dxa"/>
            <w:vAlign w:val="bottom"/>
          </w:tcPr>
          <w:p>
            <w:pPr>
              <w:spacing w:after="0"/>
              <w:rPr>
                <w:sz w:val="17"/>
                <w:szCs w:val="17"/>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201,882</w:t>
            </w:r>
          </w:p>
        </w:tc>
        <w:tc>
          <w:tcPr>
            <w:tcW w:w="120" w:type="dxa"/>
            <w:vAlign w:val="bottom"/>
          </w:tcPr>
          <w:p>
            <w:pPr>
              <w:spacing w:after="0"/>
              <w:rPr>
                <w:sz w:val="17"/>
                <w:szCs w:val="17"/>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636,253</w:t>
            </w:r>
          </w:p>
        </w:tc>
        <w:tc>
          <w:tcPr>
            <w:tcW w:w="10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590,227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-2125345</wp:posOffset>
            </wp:positionV>
            <wp:extent cx="7132320" cy="291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-1216660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-1216660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-1216660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-1216660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-1216660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-1216660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-1216660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24" w:lineRule="exact"/>
        <w:rPr>
          <w:sz w:val="20"/>
          <w:szCs w:val="20"/>
          <w:color w:val="auto"/>
        </w:rPr>
      </w:pPr>
    </w:p>
    <w:p>
      <w:pPr>
        <w:ind w:left="1360" w:right="80" w:hanging="514"/>
        <w:spacing w:after="0" w:line="258"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selection process for CDPAP fiscal intermediaries has changed significantly in recent years and the program continues to be an area of focus for New York governmental authorities. As a result of the changes and uncertainty in the state, the Company determined that its New York personal care operations no longer fit its growth strategy and reached an agreement to divest these operations. See Note 4 to the Notes to Unaudited Condensed Consolidated Financial Statements, </w:t>
      </w:r>
      <w:r>
        <w:rPr>
          <w:rFonts w:ascii="Times New Roman" w:cs="Times New Roman" w:eastAsia="Times New Roman" w:hAnsi="Times New Roman"/>
          <w:sz w:val="18"/>
          <w:szCs w:val="18"/>
          <w:i w:val="1"/>
          <w:iCs w:val="1"/>
          <w:color w:val="auto"/>
        </w:rPr>
        <w:t>Acquisition and Divestiture</w:t>
      </w:r>
      <w:r>
        <w:rPr>
          <w:rFonts w:ascii="Times New Roman" w:cs="Times New Roman" w:eastAsia="Times New Roman" w:hAnsi="Times New Roman"/>
          <w:sz w:val="18"/>
          <w:szCs w:val="18"/>
          <w:color w:val="auto"/>
        </w:rPr>
        <w:t>, for additional details regarding our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-702945</wp:posOffset>
            </wp:positionV>
            <wp:extent cx="14916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Hospice Segment</w:t>
            </w: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160" w:type="dxa"/>
            <w:vAlign w:val="bottom"/>
            <w:gridSpan w:val="2"/>
            <w:vMerge w:val="continue"/>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120" w:type="dxa"/>
            <w:vAlign w:val="bottom"/>
            <w:gridSpan w:val="2"/>
            <w:vMerge w:val="continue"/>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180" w:type="dxa"/>
            <w:vAlign w:val="bottom"/>
            <w:gridSpan w:val="3"/>
            <w:vMerge w:val="continue"/>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52,413</w:t>
            </w: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47,313</w:t>
            </w: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154,187</w:t>
            </w: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0" w:type="dxa"/>
            <w:vAlign w:val="bottom"/>
          </w:tcPr>
          <w:p>
            <w:pPr>
              <w:spacing w:after="0"/>
              <w:rPr>
                <w:sz w:val="1"/>
                <w:szCs w:val="1"/>
                <w:color w:val="auto"/>
              </w:rPr>
            </w:pPr>
          </w:p>
        </w:tc>
      </w:tr>
      <w:tr>
        <w:trPr>
          <w:trHeight w:val="24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hospice segment net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57,309</w:t>
            </w:r>
          </w:p>
        </w:tc>
        <w:tc>
          <w:tcPr>
            <w:tcW w:w="120" w:type="dxa"/>
            <w:vAlign w:val="bottom"/>
          </w:tcPr>
          <w:p>
            <w:pPr>
              <w:spacing w:after="0"/>
              <w:rPr>
                <w:sz w:val="17"/>
                <w:szCs w:val="17"/>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53,121</w:t>
            </w:r>
          </w:p>
        </w:tc>
        <w:tc>
          <w:tcPr>
            <w:tcW w:w="10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169,202</w:t>
            </w:r>
          </w:p>
        </w:tc>
        <w:tc>
          <w:tcPr>
            <w:tcW w:w="10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152,414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62,400</w:t>
            </w: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47"/>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38,544</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14,109</w:t>
            </w: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46,897</w:t>
            </w: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38,613</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hospice segment net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57,309</w:t>
            </w:r>
          </w:p>
        </w:tc>
        <w:tc>
          <w:tcPr>
            <w:tcW w:w="120" w:type="dxa"/>
            <w:vAlign w:val="bottom"/>
          </w:tcPr>
          <w:p>
            <w:pPr>
              <w:spacing w:after="0"/>
              <w:rPr>
                <w:sz w:val="17"/>
                <w:szCs w:val="17"/>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53,121</w:t>
            </w:r>
          </w:p>
        </w:tc>
        <w:tc>
          <w:tcPr>
            <w:tcW w:w="10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169,202</w:t>
            </w:r>
          </w:p>
        </w:tc>
        <w:tc>
          <w:tcPr>
            <w:tcW w:w="10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152,414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291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-299085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-299085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-299085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-299085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-299085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-299085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-299085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Home Health Segment</w:t>
            </w:r>
          </w:p>
        </w:tc>
        <w:tc>
          <w:tcPr>
            <w:tcW w:w="200" w:type="dxa"/>
            <w:vAlign w:val="bottom"/>
          </w:tcPr>
          <w:p>
            <w:pPr>
              <w:spacing w:after="0"/>
              <w:rPr>
                <w:sz w:val="16"/>
                <w:szCs w:val="16"/>
                <w:color w:val="auto"/>
              </w:rPr>
            </w:pPr>
          </w:p>
        </w:tc>
        <w:tc>
          <w:tcPr>
            <w:tcW w:w="3320" w:type="dxa"/>
            <w:vAlign w:val="bottom"/>
            <w:gridSpan w:val="10"/>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80" w:type="dxa"/>
            <w:vAlign w:val="bottom"/>
            <w:gridSpan w:val="1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Service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70.6 %$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72.1 %$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69.6 %$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0" w:type="dxa"/>
            <w:vAlign w:val="bottom"/>
          </w:tcPr>
          <w:p>
            <w:pPr>
              <w:spacing w:after="0"/>
              <w:rPr>
                <w:sz w:val="1"/>
                <w:szCs w:val="1"/>
                <w:color w:val="auto"/>
              </w:rPr>
            </w:pPr>
          </w:p>
        </w:tc>
      </w:tr>
      <w:tr>
        <w:trPr>
          <w:trHeight w:val="245"/>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5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home health segment net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100.0 %$</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100.0 %$</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100.0 %$</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54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47.4 %$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51.2 %$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46.5 %$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0" w:type="dxa"/>
            <w:vAlign w:val="bottom"/>
          </w:tcPr>
          <w:p>
            <w:pPr>
              <w:spacing w:after="0"/>
              <w:rPr>
                <w:sz w:val="1"/>
                <w:szCs w:val="1"/>
                <w:color w:val="auto"/>
              </w:rPr>
            </w:pPr>
          </w:p>
        </w:tc>
      </w:tr>
      <w:tr>
        <w:trPr>
          <w:trHeight w:val="245"/>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19,437</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home health segment net</w:t>
            </w:r>
          </w:p>
        </w:tc>
        <w:tc>
          <w:tcPr>
            <w:tcW w:w="2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17,045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vMerge w:val="restart"/>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8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15,718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vMerge w:val="restart"/>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82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52,000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restart"/>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8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39,659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0"/>
        </w:trPr>
        <w:tc>
          <w:tcPr>
            <w:tcW w:w="2540" w:type="dxa"/>
            <w:vAlign w:val="bottom"/>
          </w:tcPr>
          <w:p>
            <w:pPr>
              <w:ind w:left="20"/>
              <w:spacing w:after="0" w:line="1" w:lineRule="exact"/>
              <w:rPr>
                <w:sz w:val="20"/>
                <w:szCs w:val="20"/>
                <w:color w:val="auto"/>
              </w:rPr>
            </w:pPr>
            <w:r>
              <w:rPr>
                <w:rFonts w:ascii="Times New Roman" w:cs="Times New Roman" w:eastAsia="Times New Roman" w:hAnsi="Times New Roman"/>
                <w:sz w:val="1"/>
                <w:szCs w:val="1"/>
                <w:color w:val="auto"/>
              </w:rPr>
              <w:t>service revenues</w:t>
            </w:r>
          </w:p>
        </w:tc>
        <w:tc>
          <w:tcPr>
            <w:tcW w:w="20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gridSpan w:val="2"/>
          </w:tcPr>
          <w:p>
            <w:pPr>
              <w:jc w:val="right"/>
              <w:ind w:right="8"/>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-1062355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-1062355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-1062355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-1062355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-1062355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-1062355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-1062355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-299720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-299720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-299720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-299720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-299720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-299720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-299720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in Illinois, which represented 38.6% and 38.9% of our net service revenues for the three months ended September 30, 2024 and 2023, respectively, and accounted for 38.5% and 39.2% of our net service revenues for the nine months ended September 30, 2024 and 2023, respectively.</w:t>
      </w:r>
    </w:p>
    <w:p>
      <w:pPr>
        <w:spacing w:after="0" w:line="176"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A significant amount of our net service revenues are derived from one payor, the Illinois Department on Aging, the largest payor program for our Illinois personal care operations, which accounted for 21.4% and 20.5% of our net service revenues for the three months ended September 30, 2024 and 2023, respectively, and accounted for 21.1% and 21.2% of the Company’s net service revenues for the nine months ended September 30,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Rates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Illinois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City of Chicago requires the Chicago minimum wage to be adjusted annually based on increases in the Consumer Price Index (“CPI”), subject to a cap and other requirements. On July 1, 2024, the rate was adjusted to $16.20 based on the increase in the CPI.</w:t>
      </w:r>
    </w:p>
    <w:p>
      <w:pPr>
        <w:spacing w:after="0" w:line="16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Illinois fiscal year 2023 budget included an increase of hourly rates for in-home care services to $25.66, to be effective January 1, 2023. This increase offsets the $0.40 increase in Chicago minimum wage that occurred on July 1, 2022. In addition, CMS approved a waiver amendment proposal submitted by the Illinois Department of Healthcare and Family Services with regard to its Persons who are Elderly program, further increasing in-home care rates to $26.92, effective March 1, 2023.</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Illinois Medicaid omnibus legislation passed in June 2023 included an increase in hourly rates for in-home care services to $28.07, which took effect on January 1, 2024 and required a minimum wage rate of $17.00 per hour. CMS approved an amendment to the Illinois HCBS Waiver for Persons Who are Elderly, which included the rate increase for in-home care services to $28.07, effective January 1, 2024.</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Illinois fiscal year 2025 budget includes an increase in hourly rates for in-home care services to $29.63, to take effect January 1, 2025, subject to federal approval. This rate supports the required minimum wage of $18.00 per hour for direct service workers.</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business will benefit from the rate increases noted above as planned for 2025, but there is no assurance that there will be additional rate increases in Illinois for fiscal years beyond fiscal year 2025 to offset increases to minimum wage, and our financial performance will be adversely impacted for any periods in which an additional offsetting reimbursement rate increase is not in effect.</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Changes in Medicare and Medicaid Reimbursement</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Hospice</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2024, CMS increased hospice payment rates by 2.9%. This reflects a 3.4% market basket increase and a negative 0.5 percentage point productivity adjustment. Hospices that do not satisfy quality reporting requirements are subject to a 4-percentage point reduction to the market basket update.</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$34,465.34 for federal fiscal year 2025. If a hospice’s Medicare payments exceed its inpatient or aggregate caps, it must repay Medicare the excess amount.</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Home Health</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CMS updates the HHPPS payment rates each calendar year. For calendar year 2024, CMS estimates that Medicare payments to home health agencies will increase by 0.8%. This is based on a home health payment update percentage of 3.0, which reflects a 3.3% market basket update reduced by a productivity adjustment of negative 0.3 percentage points, and an estimated 2.6% decrease associated with the transition to the PDGM, among other changes. Home health providers that do not comply with quality data reporting requirements are subject to a 2-percentage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CMS began implementing a nationwide expansion of the Home Health Value-Based Purchasing (“HHVBP”) Model in 2022. Under the HHVBP Model, home health agencies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was the first performance year under the expanded HHVBP Model, which will affect payments in calendar year 2025.</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currently applies to home health agencies in certain states, including Illinois, Ohio, Oklahoma, North Carolina, Florida and Texas. Providers in states subject to the Review Choice Demonstration for Home Health Services may initially select either pre-claim review or post-payment review. Previously, providers could also opt for minimal post-payment review with a 25% payment reduction, but CMS has removed this option. Providers that had selected the minimal post-payment review option transitioned to pre-claim or post-payment review in mid-July. Home health agencies that maintain high compliance levels are eligible for additional options that may be less burdensome. This program has not had a material impact on our results of operations or financial position.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The IMPACT Act required the Department of Health and Human Services (“HHS”), together with the Medicare Payment Advisory Commission (“MedPAC”), to consider and propose a unified payment system for post-acute care services provided by home health agencies, inpatient rehabilitation facilities, skilled nursing facilities and long-term care hospitals. A unified post-acute care payment system would pay post-acute care providers under a single framework according to a patient’s characteristics, rather than based on the post-acute care setting where the patient receives treatment. As required under the statute, CMS and the HHS Office of the Assistant Secretary for Planning and Evaluation issued a report in July 2022 presenting a prototype for a unified post-acute care payment model, and MedPAC submitted a report to Congress in June 2023 evaluating a prototype design. Although both CMS and MedPAC concluded that designing a unified payment system is feasible, CMS noted that universal implementation of a unified payment system would require congressional action and MedPAC cautioned that implementation would be complex. Due to the agency resources required to implement a unified model, MedPAC noted that CMS may consider smaller-scale site-neutral policies to address some of the overlap in patients treated in different settings and highlighted that recent changes to various post-acute care payment systems address some of the concerns underlying the push for a unified model.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Consumer Directed Personal Assistance Program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CDPAP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CDPAP is a self-directed care alternative program that allows eligible individuals who need help with activities of daily living or skilled nursing services to choose their caregivers. We provide support services as a CDPAP fiscal intermediary. The Company recognized approximately $9.3 million and $30.3 million in revenue from the program for the three and nine months ended September 30, 2024, respectively and $10.2 million and $30.6 million in revenue from the program for the three and nine months ended September 30, 2023, respectively.</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selection process for CDPAP fiscal intermediaries has changed significantly in recent years and the program continues to be an area of focus for New York governmental authorities. As a result of the changes and uncertainty in the state, the Company determined that its New York personal care operations no longer fit its growth strategy and reached an agreement to divest these operations. See Note 4 to the Notes to Unaudited Condensed Consolidated Financial Statements, Acquisition and Divestiture, for additional details regarding our divestiture.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CMS Final Rule: “Ensuring Access to Medicaid Services”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April 22, 2024, CMS announced a final rule intended to improve access to services and quality of care for Medicaid beneficiaries across fee-for-service and managed care delivery systems. The final rule includes significant provisions related to HCBS, including the “80/20” or “payment adequacy” requirement, which will require states to ensure that at least 80% of all Medicaid payments a provider receives for homemaker, home health aide, and personal care services, less certain excluded costs, under specified programs are spent on total compensation (including benefits) for direct care workers furnishing these services, rather than administrative overhead or profit, subject to limited exceptions. States are required to ensure compliance with the 80/20 requirement by mid-2030. The final rule made a number of technical changes to the definitions used in calculating compliance that clarified or narrowed the revenue covered by the calculation and clarified or expanded the payments to workers that are counted in satisfying the requirement, which combined to make compliance less onerous to providers.</w:t>
      </w:r>
    </w:p>
    <w:p>
      <w:pPr>
        <w:spacing w:after="0" w:line="192" w:lineRule="exact"/>
        <w:rPr>
          <w:sz w:val="20"/>
          <w:szCs w:val="20"/>
          <w:color w:val="auto"/>
        </w:rPr>
      </w:pPr>
    </w:p>
    <w:p>
      <w:pPr>
        <w:jc w:val="both"/>
        <w:ind w:right="160" w:firstLine="554"/>
        <w:spacing w:after="0" w:line="289" w:lineRule="auto"/>
        <w:rPr>
          <w:sz w:val="20"/>
          <w:szCs w:val="20"/>
          <w:color w:val="auto"/>
        </w:rPr>
      </w:pPr>
      <w:r>
        <w:rPr>
          <w:rFonts w:ascii="Times New Roman" w:cs="Times New Roman" w:eastAsia="Times New Roman" w:hAnsi="Times New Roman"/>
          <w:sz w:val="17"/>
          <w:szCs w:val="17"/>
          <w:color w:val="auto"/>
        </w:rPr>
        <w:t>The final rule includes several other measures intended to promote transparency and enhance quality and access to services, including a variety of reporting requirements for states. Given the very long implementation period and the likelihood of further changes as a result of litigation, administration changes, further rule-making and state changes in response to the final rule, it is premature to predict the ultimate impact of the final rule on our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Statements of Income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Service Revenues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is reported when incurred and principally consists of interest and unused credit line fees on the credit facility.</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the states in which we operate. The effective income tax rates were 26.1% and 23.8% for the three months ended September 30, 2024 and 2023, respectively. The effective income tax rates were 26.1% and 23.3% for the nine months ended September 30, 2024 and 2023, respectively. The difference between our federal statutory rate of 21% and our effective income tax rates is principally due to the inclusion of state taxes and non-deductible compensation, partially offset by the use of federal employment tax credits.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to Three Months Ended September 30,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unaudited condensed consolidated results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gridSpan w:val="10"/>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3"/>
        </w:trPr>
        <w:tc>
          <w:tcPr>
            <w:tcW w:w="44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5"/>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7"/>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0" w:type="dxa"/>
            <w:vAlign w:val="bottom"/>
            <w:gridSpan w:val="10"/>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289,787</w:t>
            </w:r>
          </w:p>
        </w:tc>
        <w:tc>
          <w:tcPr>
            <w:tcW w:w="300" w:type="dxa"/>
            <w:vAlign w:val="bottom"/>
            <w:tcBorders>
              <w:right w:val="single" w:sz="8" w:color="CFF0FC"/>
            </w:tcBorders>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270,721</w:t>
            </w:r>
          </w:p>
        </w:tc>
        <w:tc>
          <w:tcPr>
            <w:tcW w:w="280" w:type="dxa"/>
            <w:vAlign w:val="bottom"/>
            <w:tcBorders>
              <w:right w:val="single" w:sz="8" w:color="CFF0FC"/>
            </w:tcBorders>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197,583</w:t>
            </w:r>
          </w:p>
        </w:tc>
        <w:tc>
          <w:tcPr>
            <w:tcW w:w="3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183,991</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92,204</w:t>
            </w:r>
          </w:p>
        </w:tc>
        <w:tc>
          <w:tcPr>
            <w:tcW w:w="300" w:type="dxa"/>
            <w:vAlign w:val="bottom"/>
            <w:tcBorders>
              <w:right w:val="single" w:sz="8" w:color="CFF0FC"/>
            </w:tcBorders>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86,730</w:t>
            </w:r>
          </w:p>
        </w:tc>
        <w:tc>
          <w:tcPr>
            <w:tcW w:w="280" w:type="dxa"/>
            <w:vAlign w:val="bottom"/>
            <w:tcBorders>
              <w:right w:val="single" w:sz="8" w:color="CFF0FC"/>
            </w:tcBorders>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60,271</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300" w:type="dxa"/>
            <w:vAlign w:val="bottom"/>
            <w:tcBorders>
              <w:right w:val="single" w:sz="8" w:color="CFF0FC"/>
            </w:tcBorders>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80" w:type="dxa"/>
            <w:vAlign w:val="bottom"/>
            <w:tcBorders>
              <w:right w:val="single" w:sz="8" w:color="CFF0FC"/>
            </w:tcBorders>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(174 )</w:t>
            </w:r>
          </w:p>
        </w:tc>
        <w:tc>
          <w:tcPr>
            <w:tcW w:w="2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180" w:type="dxa"/>
            <w:vAlign w:val="bottom"/>
            <w:shd w:val="clear" w:color="auto" w:fill="CFF0FC"/>
          </w:tcPr>
          <w:p>
            <w:pPr>
              <w:spacing w:after="0"/>
              <w:rPr>
                <w:sz w:val="21"/>
                <w:szCs w:val="21"/>
                <w:color w:val="auto"/>
              </w:rPr>
            </w:pPr>
          </w:p>
        </w:tc>
      </w:tr>
      <w:tr>
        <w:trPr>
          <w:trHeight w:val="241"/>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66,251</w:t>
            </w:r>
          </w:p>
        </w:tc>
        <w:tc>
          <w:tcPr>
            <w:tcW w:w="300" w:type="dxa"/>
            <w:vAlign w:val="bottom"/>
            <w:tcBorders>
              <w:top w:val="single" w:sz="8" w:color="CFF0FC"/>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63,891</w:t>
            </w:r>
          </w:p>
        </w:tc>
        <w:tc>
          <w:tcPr>
            <w:tcW w:w="28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r>
      <w:tr>
        <w:trPr>
          <w:trHeight w:val="232"/>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25,953</w:t>
            </w:r>
          </w:p>
        </w:tc>
        <w:tc>
          <w:tcPr>
            <w:tcW w:w="300" w:type="dxa"/>
            <w:vAlign w:val="bottom"/>
            <w:tcBorders>
              <w:bottom w:val="single" w:sz="8" w:color="CFF0FC"/>
              <w:right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22,839</w:t>
            </w:r>
          </w:p>
        </w:tc>
        <w:tc>
          <w:tcPr>
            <w:tcW w:w="280" w:type="dxa"/>
            <w:vAlign w:val="bottom"/>
            <w:tcBorders>
              <w:bottom w:val="single" w:sz="8" w:color="CFF0FC"/>
              <w:right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r>
      <w:tr>
        <w:trPr>
          <w:trHeight w:val="23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(1,908 )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(1,328 )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tcBorders>
              <w:right w:val="single" w:sz="8" w:color="CFF0FC"/>
            </w:tcBorders>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80" w:type="dxa"/>
            <w:vAlign w:val="bottom"/>
            <w:tcBorders>
              <w:right w:val="single" w:sz="8" w:color="CFF0FC"/>
            </w:tcBorders>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(2,626 )</w:t>
            </w:r>
          </w:p>
        </w:tc>
        <w:tc>
          <w:tcPr>
            <w:tcW w:w="2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(82.1 )</w:t>
            </w:r>
          </w:p>
        </w:tc>
        <w:tc>
          <w:tcPr>
            <w:tcW w:w="180" w:type="dxa"/>
            <w:vAlign w:val="bottom"/>
            <w:shd w:val="clear" w:color="auto" w:fill="CFF0FC"/>
          </w:tcPr>
          <w:p>
            <w:pPr>
              <w:spacing w:after="0"/>
              <w:rPr>
                <w:sz w:val="21"/>
                <w:szCs w:val="2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(3,954 )</w:t>
            </w:r>
          </w:p>
        </w:tc>
        <w:tc>
          <w:tcPr>
            <w:tcW w:w="2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(151.0 )</w:t>
            </w:r>
          </w:p>
        </w:tc>
        <w:tc>
          <w:tcPr>
            <w:tcW w:w="180" w:type="dxa"/>
            <w:vAlign w:val="bottom"/>
          </w:tcPr>
          <w:p>
            <w:pPr>
              <w:spacing w:after="0"/>
              <w:rPr>
                <w:sz w:val="20"/>
                <w:szCs w:val="20"/>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300" w:type="dxa"/>
            <w:vAlign w:val="bottom"/>
            <w:tcBorders>
              <w:right w:val="single" w:sz="8" w:color="CFF0FC"/>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280" w:type="dxa"/>
            <w:vAlign w:val="bottom"/>
            <w:tcBorders>
              <w:right w:val="single" w:sz="8" w:color="CFF0FC"/>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3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81"/>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300" w:type="dxa"/>
            <w:vAlign w:val="bottom"/>
            <w:tcBorders>
              <w:bottom w:val="single" w:sz="8" w:color="CFF0FC"/>
              <w:right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280" w:type="dxa"/>
            <w:vAlign w:val="bottom"/>
            <w:tcBorders>
              <w:bottom w:val="single" w:sz="8" w:color="CFF0FC"/>
              <w:right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-1310640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-1310640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-1310640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-1310640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-1310640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-984885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-984885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-984885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-984885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-984885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-984885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-668020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-668020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-668020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-668020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-668020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-668020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service revenues increased by 7.0% to $289.8 million for the three months ended September 30, 2024 compared to $270.7 million for the three months ended September 30, 2023. Revenue increased by $13.6 million in our personal care segment, $4.2 million in our hospice segment and $1.3 million in our home health segment during the three months ended September 30, 2024, compared to the same period in 2023. The increase in our personal care segment was mainly due to an increase in revenues per billable hour for the three months ended September 30, 2024. The increase in our hospice and home health segments was primarily due to the acquisition of the operations of Tennessee Quality Care on August 1, 2023.</w:t>
      </w:r>
    </w:p>
    <w:p>
      <w:pPr>
        <w:spacing w:after="0" w:line="183"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Gross profit, expressed as a percentage of net service revenues, decreased to 31.8% for the three months ended September 30, 2024, compared to 32.0% for the same period in 2023, due to slightly lower margins in our personal care and hospice segments as the result of increases to direct care wages.</w:t>
      </w:r>
    </w:p>
    <w:p>
      <w:pPr>
        <w:spacing w:after="0" w:line="14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to $62.8 million for the three months ended September 30, 2024, as compared to $60.3 million for the three months ended September 30, 2023. The increase in general and administrative expenses was primarily due to the Tennessee Quality Care acquisition that resulted in an increase in administrative employee wages, bonus, taxes and benefit costs of $2.5 million. General and administrative expenses, expressed as a percentage of net service revenues, decreased to 21.7% for the three months ended September 30, 2024, from 22.3% for the three months ended September 30, 2023.</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Interest expense decreased to $0.6 million for the three months ended September 30, 2024 from $3.2 million for the three months ended September 30, 2023. The decrease in interest expense was primarily due to decreased amounts held under our credit facility for the three months ended September 30, 2024 compared to the three months ended September 30, 2023. Interest income increased $1.3 million due to an increase in cash investment into interest bearing accounts from the Public Offering.</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26.1% and 23.8% for the three months ended September 30, 2024 and 2023, respectively. Our higher effective income tax rate for the three months ended September 30, 2024 was principally due to a lower excess tax benefit as well as a lower benefit from the use of federal employment tax credits. For the three months ended September 30, 2024 and 2023, the excess tax benefit and federal employment tax credits were 3.1% and 5.0%,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to Nine Months Ended September 30,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unaudited condensed consolidated results of operations.</w:t>
      </w:r>
    </w:p>
    <w:p>
      <w:pPr>
        <w:spacing w:after="0" w:line="2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60"/>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76"/>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9"/>
        </w:trPr>
        <w:tc>
          <w:tcPr>
            <w:tcW w:w="4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63"/>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857,455</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782,300</w:t>
            </w:r>
          </w:p>
        </w:tc>
        <w:tc>
          <w:tcPr>
            <w:tcW w:w="280" w:type="dxa"/>
            <w:vAlign w:val="bottom"/>
            <w:tcBorders>
              <w:right w:val="single" w:sz="8" w:color="CFF0FC"/>
            </w:tcBorders>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583,916</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534,837</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273,539</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247,463</w:t>
            </w:r>
          </w:p>
        </w:tc>
        <w:tc>
          <w:tcPr>
            <w:tcW w:w="280" w:type="dxa"/>
            <w:vAlign w:val="bottom"/>
            <w:tcBorders>
              <w:right w:val="single" w:sz="8" w:color="CFF0FC"/>
            </w:tcBorders>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187,444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174,028</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280" w:type="dxa"/>
            <w:vAlign w:val="bottom"/>
            <w:tcBorders>
              <w:right w:val="single" w:sz="8" w:color="CFF0FC"/>
            </w:tcBorders>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(133 )</w:t>
            </w:r>
          </w:p>
        </w:tc>
        <w:tc>
          <w:tcPr>
            <w:tcW w:w="2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shd w:val="clear" w:color="auto" w:fill="CFF0FC"/>
          </w:tcPr>
          <w:p>
            <w:pPr>
              <w:spacing w:after="0"/>
              <w:rPr>
                <w:sz w:val="21"/>
                <w:szCs w:val="21"/>
                <w:color w:val="auto"/>
              </w:rPr>
            </w:pPr>
          </w:p>
        </w:tc>
      </w:tr>
      <w:tr>
        <w:trPr>
          <w:trHeight w:val="241"/>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197,760</w:t>
            </w:r>
          </w:p>
        </w:tc>
        <w:tc>
          <w:tcPr>
            <w:tcW w:w="240" w:type="dxa"/>
            <w:vAlign w:val="bottom"/>
            <w:tcBorders>
              <w:top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184,477</w:t>
            </w:r>
          </w:p>
        </w:tc>
        <w:tc>
          <w:tcPr>
            <w:tcW w:w="28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r>
      <w:tr>
        <w:trPr>
          <w:trHeight w:val="232"/>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75,779</w:t>
            </w: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62,986</w:t>
            </w:r>
          </w:p>
        </w:tc>
        <w:tc>
          <w:tcPr>
            <w:tcW w:w="280" w:type="dxa"/>
            <w:vAlign w:val="bottom"/>
            <w:tcBorders>
              <w:bottom w:val="single" w:sz="8" w:color="CFF0FC"/>
              <w:right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r>
      <w:tr>
        <w:trPr>
          <w:trHeight w:val="23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(2,805 )</w:t>
            </w:r>
          </w:p>
        </w:tc>
        <w:tc>
          <w:tcPr>
            <w:tcW w:w="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280" w:type="dxa"/>
            <w:vAlign w:val="bottom"/>
            <w:tcBorders>
              <w:right w:val="single" w:sz="8" w:color="CFF0FC"/>
            </w:tcBorders>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(2,546 )</w:t>
            </w:r>
          </w:p>
        </w:tc>
        <w:tc>
          <w:tcPr>
            <w:tcW w:w="2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(31.9 )</w:t>
            </w:r>
          </w:p>
        </w:tc>
        <w:tc>
          <w:tcPr>
            <w:tcW w:w="180" w:type="dxa"/>
            <w:vAlign w:val="bottom"/>
            <w:shd w:val="clear" w:color="auto" w:fill="CFF0FC"/>
          </w:tcPr>
          <w:p>
            <w:pPr>
              <w:spacing w:after="0"/>
              <w:rPr>
                <w:sz w:val="21"/>
                <w:szCs w:val="2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(4,374 )</w:t>
            </w:r>
          </w:p>
        </w:tc>
        <w:tc>
          <w:tcPr>
            <w:tcW w:w="2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(62.4 )</w:t>
            </w:r>
          </w:p>
        </w:tc>
        <w:tc>
          <w:tcPr>
            <w:tcW w:w="180" w:type="dxa"/>
            <w:vAlign w:val="bottom"/>
          </w:tcPr>
          <w:p>
            <w:pPr>
              <w:spacing w:after="0"/>
              <w:rPr>
                <w:sz w:val="20"/>
                <w:szCs w:val="20"/>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73,139</w:t>
            </w:r>
          </w:p>
        </w:tc>
        <w:tc>
          <w:tcPr>
            <w:tcW w:w="24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55,972</w:t>
            </w:r>
          </w:p>
        </w:tc>
        <w:tc>
          <w:tcPr>
            <w:tcW w:w="280" w:type="dxa"/>
            <w:vAlign w:val="bottom"/>
            <w:tcBorders>
              <w:right w:val="single" w:sz="8" w:color="CFF0FC"/>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81"/>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2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42,938</w:t>
            </w:r>
          </w:p>
        </w:tc>
        <w:tc>
          <w:tcPr>
            <w:tcW w:w="280" w:type="dxa"/>
            <w:vAlign w:val="bottom"/>
            <w:tcBorders>
              <w:bottom w:val="single" w:sz="8" w:color="CFF0FC"/>
              <w:right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-1310640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-1310640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-1310640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-1310640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-1310640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-984885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-984885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-984885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-984885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-984885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-984885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-668020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-668020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-668020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-668020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-668020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-668020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Net service revenues increased by 9.6% to $857.5 million for the nine months ended September 30, 2024 compared to $782.3 million for the nine months ended September 30, 2023. Net service revenue increased by $46.0 million in our personal care segment, by $16.8 million in our hospice segment and by $12.3 million in our home health segment during the nine months ended September 30, 2024, compared to the same period in 2023. During the nine months ended September 30, 2024, the increase in our personal care segment net service revenues was primarily due to an increase in revenues per billable hour, attributable to the rate increases discussed above, compared to the same period in 2023. The increase in net service revenues in our hospice and home health segments is primarily attributable to the acquisition of the operations of Tennessee Quality Care on August 1, 2023.</w:t>
      </w:r>
    </w:p>
    <w:p>
      <w:pPr>
        <w:spacing w:after="0" w:line="18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31.9% for the nine months ended September 30, 2024 compared to 31.6% for the nine months ended September 30, 2023 due to an increase in net service revenues and gross profit in our personal care segment and higher margin in our hospice segment due to the acquisition of the operations of Tennessee Quality Care on August 1, 2023.</w:t>
      </w:r>
    </w:p>
    <w:p>
      <w:pPr>
        <w:spacing w:after="0" w:line="17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to $187.4 million for the nine months ended September 30, 2024 as compared to $174.0 million for the nine months ended September 30, 2023. The increase in general and administrative expenses was primarily due to the Tennessee Quality Care acquisitions that resulted in an increase in administrative employee wages, bonus, taxes and benefit costs of $8.4 million and an increase in acquisition-related expense of $2.8 million. General and administrative expenses, expressed as a percentage of net service revenues, decreased to 21.9% for the nine months ended September 30, 2024, from 22.2% for the nine months ended September 30, 2023.</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Interest expense decreased to $5.4 million for the nine months ended September 30, 2024, as compared to $8.0 million for the nine months ended September 30, 2023. The decrease in interest expense was primarily due to decreased amounts held under our credit facility for the nine months ended September 30, 2024, compared to the nine months ended September 30, 2023. Interest income increased $1.8 million due to an increase in cash investment into interest bearing accounts from the Public Offering.</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26.1% and 23.3% for the nine months ended September 30, 2024 and 2023, respectively. Our higher effective income tax rate for the nine months ended September 30, 2024 was principally due to a lower excess tax benefit as well as a lower benefit from the use of federal employment tax credits. For the nine months ended September 30, 2024 and 2023, the excess tax benefit and federal employment tax credits were 3.1% and 5.8%,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Segments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and related analysis summarize our operating results and business metrics by segment:</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20" w:type="dxa"/>
            <w:vAlign w:val="bottom"/>
            <w:gridSpan w:val="8"/>
          </w:tcPr>
          <w:p>
            <w:pPr>
              <w:ind w:left="100"/>
              <w:spacing w:after="0"/>
              <w:rPr>
                <w:sz w:val="20"/>
                <w:szCs w:val="20"/>
                <w:color w:val="auto"/>
              </w:rPr>
            </w:pPr>
            <w:r>
              <w:rPr>
                <w:rFonts w:ascii="Times New Roman" w:cs="Times New Roman" w:eastAsia="Times New Roman" w:hAnsi="Times New Roman"/>
                <w:sz w:val="13"/>
                <w:szCs w:val="13"/>
                <w:b w:val="1"/>
                <w:bCs w:val="1"/>
                <w:color w:val="auto"/>
              </w:rPr>
              <w:t>For the Three Months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7"/>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For the Nine Months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7"/>
              </w:rPr>
              <w:t>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2"/>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w w:val="81"/>
              </w:rPr>
              <w:t>in Thousands,</w:t>
            </w:r>
          </w:p>
        </w:tc>
        <w:tc>
          <w:tcPr>
            <w:tcW w:w="120" w:type="dxa"/>
            <w:vAlign w:val="bottom"/>
          </w:tcPr>
          <w:p>
            <w:pPr>
              <w:spacing w:after="0"/>
              <w:rPr>
                <w:sz w:val="13"/>
                <w:szCs w:val="13"/>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Except Percentages)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00" w:type="dxa"/>
            <w:vAlign w:val="bottom"/>
          </w:tcPr>
          <w:p>
            <w:pPr>
              <w:spacing w:after="0"/>
              <w:rPr>
                <w:sz w:val="13"/>
                <w:szCs w:val="13"/>
                <w:color w:val="auto"/>
              </w:rPr>
            </w:pPr>
          </w:p>
        </w:tc>
        <w:tc>
          <w:tcPr>
            <w:tcW w:w="238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Results</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service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215,433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100.0 %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201,882</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100.0 %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w w:val="92"/>
              </w:rPr>
              <w:t>6.7 %$</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636,253</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590,227</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100.0 %$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46,026</w:t>
            </w:r>
          </w:p>
        </w:tc>
        <w:tc>
          <w:tcPr>
            <w:tcW w:w="10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85"/>
              </w:rPr>
              <w:t>7.8 %</w:t>
            </w:r>
          </w:p>
        </w:tc>
        <w:tc>
          <w:tcPr>
            <w:tcW w:w="20" w:type="dxa"/>
            <w:vAlign w:val="bottom"/>
          </w:tcPr>
          <w:p>
            <w:pPr>
              <w:spacing w:after="0"/>
              <w:rPr>
                <w:sz w:val="14"/>
                <w:szCs w:val="14"/>
                <w:color w:val="auto"/>
              </w:rPr>
            </w:pPr>
          </w:p>
        </w:tc>
      </w:tr>
      <w:tr>
        <w:trPr>
          <w:trHeight w:val="162"/>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 of services revenues</w:t>
            </w: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156,273</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145,808</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10,465</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85"/>
              </w:rPr>
              <w:t>7.2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461,564</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428,163</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33,401</w:t>
            </w: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8"/>
              </w:rPr>
              <w:t>7.8</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59,160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56,074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85"/>
              </w:rPr>
              <w:t>5.5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174,689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162,064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12,625</w:t>
            </w:r>
          </w:p>
        </w:tc>
        <w:tc>
          <w:tcPr>
            <w:tcW w:w="100" w:type="dxa"/>
            <w:vAlign w:val="bottom"/>
          </w:tcPr>
          <w:p>
            <w:pPr>
              <w:spacing w:after="0"/>
              <w:rPr>
                <w:sz w:val="13"/>
                <w:szCs w:val="13"/>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8"/>
              </w:rPr>
              <w:t>7.8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17,489</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16,096</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85"/>
              </w:rPr>
              <w:t>8.7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49,907</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48,299</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8"/>
              </w:rPr>
              <w:t>3.3</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1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Segment operating income</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41,671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19.3 % $</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39,978</w:t>
            </w:r>
          </w:p>
        </w:tc>
        <w:tc>
          <w:tcPr>
            <w:tcW w:w="10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3"/>
                <w:szCs w:val="13"/>
                <w:color w:val="auto"/>
              </w:rPr>
              <w:t>19.8 % $</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1,693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3"/>
                <w:szCs w:val="13"/>
                <w:color w:val="auto"/>
                <w:w w:val="92"/>
              </w:rPr>
              <w:t>4.2 %$</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124,782</w:t>
            </w:r>
          </w:p>
        </w:tc>
        <w:tc>
          <w:tcPr>
            <w:tcW w:w="104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3"/>
                <w:szCs w:val="13"/>
                <w:color w:val="auto"/>
              </w:rPr>
              <w:t>19.7 %$</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113,765</w:t>
            </w:r>
          </w:p>
        </w:tc>
        <w:tc>
          <w:tcPr>
            <w:tcW w:w="1060" w:type="dxa"/>
            <w:vAlign w:val="bottom"/>
            <w:gridSpan w:val="5"/>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19.3 %$</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11,017</w:t>
            </w:r>
          </w:p>
        </w:tc>
        <w:tc>
          <w:tcPr>
            <w:tcW w:w="100" w:type="dxa"/>
            <w:vAlign w:val="bottom"/>
          </w:tcPr>
          <w:p>
            <w:pPr>
              <w:spacing w:after="0"/>
              <w:rPr>
                <w:sz w:val="13"/>
                <w:szCs w:val="13"/>
                <w:color w:val="auto"/>
              </w:rPr>
            </w:pPr>
          </w:p>
        </w:tc>
        <w:tc>
          <w:tcPr>
            <w:tcW w:w="5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auto"/>
                <w:w w:val="85"/>
              </w:rPr>
              <w:t>9.7 %</w:t>
            </w:r>
          </w:p>
        </w:tc>
        <w:tc>
          <w:tcPr>
            <w:tcW w:w="20" w:type="dxa"/>
            <w:vAlign w:val="bottom"/>
          </w:tcPr>
          <w:p>
            <w:pPr>
              <w:spacing w:after="0"/>
              <w:rPr>
                <w:sz w:val="13"/>
                <w:szCs w:val="13"/>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212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Business Metrics (Actual Numbers,</w:t>
            </w: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r>
      <w:tr>
        <w:trPr>
          <w:trHeight w:val="169"/>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Except Billable Hours in Thousands)</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Locations at period end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Average billable census * </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37,701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38,590</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(2.3)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37,803</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38,668</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87"/>
              </w:rPr>
              <w:t>(2.2) %</w:t>
            </w:r>
          </w:p>
        </w:tc>
        <w:tc>
          <w:tcPr>
            <w:tcW w:w="20" w:type="dxa"/>
            <w:vAlign w:val="bottom"/>
          </w:tcPr>
          <w:p>
            <w:pPr>
              <w:spacing w:after="0"/>
              <w:rPr>
                <w:sz w:val="14"/>
                <w:szCs w:val="14"/>
                <w:color w:val="auto"/>
              </w:rPr>
            </w:pPr>
          </w:p>
        </w:tc>
      </w:tr>
      <w:tr>
        <w:trPr>
          <w:trHeight w:val="162"/>
        </w:trPr>
        <w:tc>
          <w:tcPr>
            <w:tcW w:w="21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Billable hours * </w:t>
            </w:r>
            <w:r>
              <w:rPr>
                <w:rFonts w:ascii="Times New Roman" w:cs="Times New Roman" w:eastAsia="Times New Roman" w:hAnsi="Times New Roman"/>
                <w:sz w:val="16"/>
                <w:szCs w:val="16"/>
                <w:color w:val="auto"/>
                <w:vertAlign w:val="superscript"/>
              </w:rPr>
              <w:t>(2)</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85"/>
              </w:rPr>
              <w:t>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8"/>
              </w:rPr>
              <w:t>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2"/>
        </w:trPr>
        <w:tc>
          <w:tcPr>
            <w:tcW w:w="21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Average billable hours per census per</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r>
      <w:tr>
        <w:trPr>
          <w:trHeight w:val="176"/>
        </w:trPr>
        <w:tc>
          <w:tcPr>
            <w:tcW w:w="21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month * </w:t>
            </w:r>
            <w:r>
              <w:rPr>
                <w:rFonts w:ascii="Times New Roman" w:cs="Times New Roman" w:eastAsia="Times New Roman" w:hAnsi="Times New Roman"/>
                <w:sz w:val="16"/>
                <w:szCs w:val="16"/>
                <w:color w:val="auto"/>
                <w:vertAlign w:val="superscript"/>
              </w:rPr>
              <w:t>(2)</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85"/>
              </w:rPr>
              <w:t>3.6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1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Billable hours per business day * </w:t>
            </w:r>
            <w:r>
              <w:rPr>
                <w:rFonts w:ascii="Times New Roman" w:cs="Times New Roman" w:eastAsia="Times New Roman" w:hAnsi="Times New Roman"/>
                <w:sz w:val="16"/>
                <w:szCs w:val="16"/>
                <w:color w:val="auto"/>
                <w:vertAlign w:val="superscript"/>
              </w:rPr>
              <w:t>(2)</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6"/>
              </w:rPr>
              <w:t>(0.4)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8"/>
              </w:rPr>
              <w:t>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Revenues per billable hour * </w:t>
            </w:r>
            <w:r>
              <w:rPr>
                <w:rFonts w:ascii="Times New Roman" w:cs="Times New Roman" w:eastAsia="Times New Roman" w:hAnsi="Times New Roman"/>
                <w:sz w:val="16"/>
                <w:szCs w:val="16"/>
                <w:color w:val="auto"/>
                <w:vertAlign w:val="superscript"/>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10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2"/>
              </w:rPr>
              <w:t>5.7 %$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27.49</w:t>
            </w:r>
          </w:p>
        </w:tc>
        <w:tc>
          <w:tcPr>
            <w:tcW w:w="10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25.58</w:t>
            </w:r>
          </w:p>
        </w:tc>
        <w:tc>
          <w:tcPr>
            <w:tcW w:w="10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85"/>
              </w:rPr>
              <w:t>7.5 %</w:t>
            </w:r>
          </w:p>
        </w:tc>
        <w:tc>
          <w:tcPr>
            <w:tcW w:w="20" w:type="dxa"/>
            <w:vAlign w:val="bottom"/>
          </w:tcPr>
          <w:p>
            <w:pPr>
              <w:spacing w:after="0"/>
              <w:rPr>
                <w:sz w:val="14"/>
                <w:szCs w:val="14"/>
                <w:color w:val="auto"/>
              </w:rPr>
            </w:pPr>
          </w:p>
        </w:tc>
      </w:tr>
      <w:tr>
        <w:trPr>
          <w:trHeight w:val="22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Same store growth revenue % * </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13.9 %</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jc w:val="right"/>
              <w:ind w:right="657"/>
              <w:spacing w:after="0"/>
              <w:rPr>
                <w:sz w:val="20"/>
                <w:szCs w:val="20"/>
                <w:color w:val="auto"/>
              </w:rPr>
            </w:pPr>
            <w:r>
              <w:rPr>
                <w:rFonts w:ascii="Times New Roman" w:cs="Times New Roman" w:eastAsia="Times New Roman" w:hAnsi="Times New Roman"/>
                <w:sz w:val="13"/>
                <w:szCs w:val="13"/>
                <w:color w:val="auto"/>
              </w:rPr>
              <w:t>8.4 %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jc w:val="right"/>
              <w:ind w:right="637"/>
              <w:spacing w:after="0"/>
              <w:rPr>
                <w:sz w:val="20"/>
                <w:szCs w:val="20"/>
                <w:color w:val="auto"/>
              </w:rPr>
            </w:pPr>
            <w:r>
              <w:rPr>
                <w:rFonts w:ascii="Times New Roman" w:cs="Times New Roman" w:eastAsia="Times New Roman" w:hAnsi="Times New Roman"/>
                <w:sz w:val="13"/>
                <w:szCs w:val="13"/>
                <w:color w:val="auto"/>
              </w:rPr>
              <w:t>12.5 %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-1381760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-1381760</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-1381760</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-1381760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-1381760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-1381760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-1381760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-1381760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-1381760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-1381760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-1381760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-1381760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-1167765</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-1167765</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-1167765</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-1167765</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-1167765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-1167765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-1167765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-1167765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-1167765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-1167765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-1167765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-1167765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1" w:lineRule="exact"/>
        <w:rPr>
          <w:sz w:val="20"/>
          <w:szCs w:val="20"/>
          <w:color w:val="auto"/>
        </w:rPr>
      </w:pPr>
    </w:p>
    <w:p>
      <w:pPr>
        <w:ind w:left="520" w:right="140" w:hanging="512"/>
        <w:spacing w:after="0" w:line="298"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billable census is the number of unique clients receiving a billable service during the year and is the total census divided by months in operation during the period.</w:t>
      </w:r>
    </w:p>
    <w:p>
      <w:pPr>
        <w:spacing w:after="0" w:line="29" w:lineRule="exact"/>
        <w:rPr>
          <w:rFonts w:ascii="Times New Roman" w:cs="Times New Roman" w:eastAsia="Times New Roman" w:hAnsi="Times New Roman"/>
          <w:sz w:val="16"/>
          <w:szCs w:val="16"/>
          <w:color w:val="auto"/>
        </w:rPr>
      </w:pPr>
    </w:p>
    <w:p>
      <w:pPr>
        <w:ind w:left="520" w:right="180" w:hanging="512"/>
        <w:spacing w:after="0" w:line="281"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bonus hours, divided by billable hours.</w:t>
      </w:r>
    </w:p>
    <w:p>
      <w:pPr>
        <w:spacing w:after="0" w:line="42" w:lineRule="exact"/>
        <w:rPr>
          <w:rFonts w:ascii="Times New Roman" w:cs="Times New Roman" w:eastAsia="Times New Roman" w:hAnsi="Times New Roman"/>
          <w:sz w:val="16"/>
          <w:szCs w:val="16"/>
          <w:color w:val="auto"/>
        </w:rPr>
      </w:pPr>
    </w:p>
    <w:p>
      <w:pPr>
        <w:ind w:left="520" w:right="240" w:hanging="512"/>
        <w:spacing w:after="0" w:line="281"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ARPA associated revenue from this calculation.</w:t>
      </w:r>
    </w:p>
    <w:p>
      <w:pPr>
        <w:spacing w:after="0" w:line="42" w:lineRule="exact"/>
        <w:rPr>
          <w:sz w:val="20"/>
          <w:szCs w:val="20"/>
          <w:color w:val="auto"/>
        </w:rPr>
      </w:pPr>
    </w:p>
    <w:p>
      <w:pPr>
        <w:ind w:right="100" w:firstLine="8"/>
        <w:spacing w:after="0" w:line="269" w:lineRule="auto"/>
        <w:tabs>
          <w:tab w:leader="none" w:pos="1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from operations in Illinois, which represented 38.6% and 38.9% of our net service revenues for the three months ended September 30, 2024 and 2023, respectively, and accounted for 38.5% and 39.2% of our net service revenues for the nine months ended September 30, 2024 and 2023, respectively. One payor, the Illinois Department on Aging, accounted for 21.4% and 20.5% of net service revenues for the three months ended September 30, 2024 and 2023, respectively, and accounted for 21.1% and 21.2% of net service revenues for the nine months ended September 30, 2024 and 2023, respectively.</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Net service revenues from state, local and other governmental programs accounted for 54.2% and 50.4% of personal care segment net service revenues for the three months ended September 30, 2024 and 2023, respectively. Managed care organizations accounted for 43.3% and 46.4% of personal care segment net service revenues for the three months ended September 30, 2024 and 2023, respectively, with commercial insurance, private pay and other payors accounting for the remainder of personal care segment net service revenues. Net service revenues from state, local and other governmental programs accounted for 53.0% and 50.4% of net service revenues for the nine months ended September 30, 2024 and 2023, respectively. Managed care organizations accounted for 44.3% and 46.2% of personal care segment net service revenues for the nine months ended September 30, 2024 and 2023, respectively, with commercial insurance, private pay and other payors accounting for the remainder of net service revenues.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Personal care segment net service revenues increased by 6.7% and 7.8% for the three and nine months ended September 30, 2024, respectively, compared to the three and nine months ended September 30, 2023. Net service revenues included a 5.7% and 7.5% increase in revenues per billable hour for the three and nine months ended September 30, 2024, respectively, mainly attributed to rate increases discussed above, as compared to the three and nine months ended September 30, 2023.</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decreased to 27.5% for the three months ended September 30, 2024 from 27.8% for the three months ended September 30, 2023. The decrease was mainly attributed to increases in direct care wages, taxes and benefit costs for the three months ended September 30, 2024. Gross profit, expressed as a percentage of net service revenues, was 27.5% for both the nine months ended September 30, 2024 and the nine months ended September 30, 2023.</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personal care segment’s general and administrative expenses primarily consist of administrative employee wages, taxes and benefit costs, rent, information technology and office expenses. General and administrative expenses, expressed as a percentage of net service revenues, were 8.1% and 8.0% for the three months ended September 30, 2024 and 2023, respectively, and 7.8% and 8.2% for the nine months ended September 30,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 September 30,</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ind w:left="300"/>
              <w:spacing w:after="0"/>
              <w:rPr>
                <w:sz w:val="20"/>
                <w:szCs w:val="20"/>
                <w:color w:val="auto"/>
              </w:rPr>
            </w:pPr>
            <w:r>
              <w:rPr>
                <w:rFonts w:ascii="Times New Roman" w:cs="Times New Roman" w:eastAsia="Times New Roman" w:hAnsi="Times New Roman"/>
                <w:sz w:val="13"/>
                <w:szCs w:val="13"/>
                <w:b w:val="1"/>
                <w:bCs w:val="1"/>
                <w:color w:val="auto"/>
                <w:w w:val="95"/>
              </w:rPr>
              <w:t>For the Nine Months Ended September 30,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2"/>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9"/>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60" w:type="dxa"/>
            <w:vAlign w:val="bottom"/>
            <w:gridSpan w:val="12"/>
          </w:tcPr>
          <w:p>
            <w:pPr>
              <w:ind w:left="280"/>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Results</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service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57,309</w:t>
            </w:r>
          </w:p>
        </w:tc>
        <w:tc>
          <w:tcPr>
            <w:tcW w:w="12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100.0 %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7.9 %$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169,202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20" w:type="dxa"/>
            <w:vAlign w:val="bottom"/>
          </w:tcPr>
          <w:p>
            <w:pPr>
              <w:spacing w:after="0"/>
              <w:rPr>
                <w:sz w:val="14"/>
                <w:szCs w:val="14"/>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 of services revenues</w:t>
            </w: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30,469</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28,155</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89,166</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82,028</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7,138</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26,840</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80,036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70,386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14,070</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13,246</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40,975</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39,028</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12,770</w:t>
            </w:r>
          </w:p>
        </w:tc>
        <w:tc>
          <w:tcPr>
            <w:tcW w:w="120" w:type="dxa"/>
            <w:vAlign w:val="bottom"/>
          </w:tcPr>
          <w:p>
            <w:pPr>
              <w:spacing w:after="0"/>
              <w:rPr>
                <w:sz w:val="13"/>
                <w:szCs w:val="13"/>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22.2 %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22.1 %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9.0 %$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23.1 %$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31,358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20.6 %$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24.6 %</w:t>
            </w:r>
          </w:p>
        </w:tc>
        <w:tc>
          <w:tcPr>
            <w:tcW w:w="20" w:type="dxa"/>
            <w:vAlign w:val="bottom"/>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Business Metrics (Actual Numbers)</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Locations at period end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Admissions * </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3,105</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3,176</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-2.2 %</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9,771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Average daily census * </w:t>
            </w:r>
            <w:r>
              <w:rPr>
                <w:rFonts w:ascii="Times New Roman" w:cs="Times New Roman" w:eastAsia="Times New Roman" w:hAnsi="Times New Roman"/>
                <w:sz w:val="16"/>
                <w:szCs w:val="16"/>
                <w:color w:val="auto"/>
                <w:vertAlign w:val="superscript"/>
              </w:rPr>
              <w:t>(2)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3,534</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Average discharge length of stay * </w:t>
            </w:r>
            <w:r>
              <w:rPr>
                <w:rFonts w:ascii="Times New Roman" w:cs="Times New Roman" w:eastAsia="Times New Roman" w:hAnsi="Times New Roman"/>
                <w:sz w:val="16"/>
                <w:szCs w:val="16"/>
                <w:color w:val="auto"/>
                <w:vertAlign w:val="superscript"/>
              </w:rPr>
              <w:t>(3)</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6"/>
              </w:rPr>
              <w:t>(0.8)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Patient days * </w:t>
            </w:r>
            <w:r>
              <w:rPr>
                <w:rFonts w:ascii="Times New Roman" w:cs="Times New Roman" w:eastAsia="Times New Roman" w:hAnsi="Times New Roman"/>
                <w:sz w:val="16"/>
                <w:szCs w:val="16"/>
                <w:color w:val="auto"/>
                <w:vertAlign w:val="superscript"/>
              </w:rPr>
              <w:t>(4)</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325,160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311,454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947,241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892,507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Revenue per patient day * </w:t>
            </w:r>
            <w:r>
              <w:rPr>
                <w:rFonts w:ascii="Times New Roman" w:cs="Times New Roman" w:eastAsia="Times New Roman" w:hAnsi="Times New Roman"/>
                <w:sz w:val="16"/>
                <w:szCs w:val="16"/>
                <w:color w:val="auto"/>
                <w:vertAlign w:val="superscript"/>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176.25</w:t>
            </w: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175.19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0.6 % $</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179.43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175.23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Organic growth</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 Revenue * </w:t>
            </w:r>
            <w:r>
              <w:rPr>
                <w:rFonts w:ascii="Times New Roman" w:cs="Times New Roman" w:eastAsia="Times New Roman" w:hAnsi="Times New Roman"/>
                <w:sz w:val="16"/>
                <w:szCs w:val="16"/>
                <w:color w:val="auto"/>
                <w:vertAlign w:val="superscript"/>
              </w:rPr>
              <w:t>(6)</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3.1 %</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5.2 %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20"/>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 Average daily census * </w:t>
            </w:r>
            <w:r>
              <w:rPr>
                <w:rFonts w:ascii="Times New Roman" w:cs="Times New Roman" w:eastAsia="Times New Roman" w:hAnsi="Times New Roman"/>
                <w:sz w:val="16"/>
                <w:szCs w:val="16"/>
                <w:color w:val="auto"/>
                <w:vertAlign w:val="superscript"/>
              </w:rPr>
              <w:t>(6)</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(0.9)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0.8 %</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0.8 %</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-1416050</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-1416050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-1416050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-1416050</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-1416050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-1416050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-1416050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-1416050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-1416050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-1416050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-1416050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-1202055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-1202055</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-1202055</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-1202055</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-1202055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-1202055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-1202055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-1202055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-1202055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-1202055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-1202055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-1202055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referral process and new patients on service during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daily census is total patient days divided by the number of days in the period.</w:t>
      </w:r>
    </w:p>
    <w:p>
      <w:pPr>
        <w:spacing w:after="0" w:line="99" w:lineRule="exact"/>
        <w:rPr>
          <w:rFonts w:ascii="Times New Roman" w:cs="Times New Roman" w:eastAsia="Times New Roman" w:hAnsi="Times New Roman"/>
          <w:sz w:val="16"/>
          <w:szCs w:val="16"/>
          <w:color w:val="auto"/>
        </w:rPr>
      </w:pPr>
    </w:p>
    <w:p>
      <w:pPr>
        <w:ind w:left="520" w:right="300" w:hanging="512"/>
        <w:spacing w:after="0" w:line="298" w:lineRule="auto"/>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length of stay is the average number of days a patient is on service, calculated upon discharge, and is total patient days divided by total discharges in the period.</w:t>
      </w:r>
    </w:p>
    <w:p>
      <w:pPr>
        <w:spacing w:after="0" w:line="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 days is days of service for all patients in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per patient day is hospice revenue divided by the number of patient days in the period.</w:t>
      </w:r>
    </w:p>
    <w:p>
      <w:pPr>
        <w:spacing w:after="0" w:line="99" w:lineRule="exact"/>
        <w:rPr>
          <w:rFonts w:ascii="Times New Roman" w:cs="Times New Roman" w:eastAsia="Times New Roman" w:hAnsi="Times New Roman"/>
          <w:sz w:val="16"/>
          <w:szCs w:val="16"/>
          <w:color w:val="auto"/>
        </w:rPr>
      </w:pPr>
    </w:p>
    <w:p>
      <w:pPr>
        <w:ind w:left="520" w:right="100" w:hanging="512"/>
        <w:spacing w:after="0" w:line="281" w:lineRule="auto"/>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42" w:lineRule="exact"/>
        <w:rPr>
          <w:sz w:val="20"/>
          <w:szCs w:val="20"/>
          <w:color w:val="auto"/>
        </w:rPr>
      </w:pPr>
    </w:p>
    <w:p>
      <w:pPr>
        <w:ind w:right="100" w:firstLine="8"/>
        <w:spacing w:after="0" w:line="269" w:lineRule="auto"/>
        <w:tabs>
          <w:tab w:leader="none" w:pos="1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hospice segment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 and continuous home care services, and with the JourneyCare acquisition, expanded into providing general inpatient care services. In our hospice segment, net service revenues from Medicare accounted for 91.5% and 89.1% of total hospice segment net service revenues for the three months ended September 30, 2024 and 2023, respectively, and 91.1% and 90.2% for the nine months ended September 30, 2024 and 2023, respectively. Net service revenues from managed care organizations accounted for 3.2% and 3.4% of total hospice segment net service revenues for each the three months ended September 30, 2024 and 2023, respectively, and 3.3% and 3.3% for the nine months ended September 30, 2024 and 2023, respectively.</w:t>
      </w:r>
    </w:p>
    <w:p>
      <w:pPr>
        <w:spacing w:after="0" w:line="19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Hospice net service revenues increased by $4.2 million and $16.8 million for the three and nine months ended September 30, 2024, respectively, compared to the three and nine months ended September 30, 2023, primarily attributed to organic growth and the acquisitions of the operations of Tennessee Quality Care on August 1, 2023.</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46.8% and 47.0% for the three months ended September 30, 2024 and 2023, respectively, and 47.3% and 46.2% for the nine months ended September 30, 2024 and 2023, respectively. For the three months ended September 30, 2024, gross profit was relatively consistent with the prior period, and for the nine months ended September 30, 2024, the increase was mainly attributed to a decrease in direct care wages, taxes and benefit costs as a percentage of net service revenues.</w:t>
      </w:r>
    </w:p>
    <w:p>
      <w:pPr>
        <w:spacing w:after="0" w:line="180"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were 24.6% and 24.9% for the three months ended September 30, 2024 and 2023, respectively, and 24.2% and 25.6% for the nine months ended September 30, 2024 and 2023, respectively. The decrease in general and administrative expenses as a percentage of net service revenues was primarily due to more efficient operations for administrative employees for the three and nine months ended September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9"/>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ind w:left="300"/>
              <w:spacing w:after="0"/>
              <w:rPr>
                <w:sz w:val="20"/>
                <w:szCs w:val="20"/>
                <w:color w:val="auto"/>
              </w:rPr>
            </w:pPr>
            <w:r>
              <w:rPr>
                <w:rFonts w:ascii="Times New Roman" w:cs="Times New Roman" w:eastAsia="Times New Roman" w:hAnsi="Times New Roman"/>
                <w:sz w:val="13"/>
                <w:szCs w:val="13"/>
                <w:b w:val="1"/>
                <w:bCs w:val="1"/>
                <w:color w:val="auto"/>
                <w:w w:val="95"/>
              </w:rPr>
              <w:t>For the Nine Months Ended September 30,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2"/>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4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60" w:type="dxa"/>
            <w:vAlign w:val="bottom"/>
            <w:gridSpan w:val="12"/>
          </w:tcPr>
          <w:p>
            <w:pPr>
              <w:ind w:left="280"/>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Results</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service revenues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17,045</w:t>
            </w:r>
          </w:p>
        </w:tc>
        <w:tc>
          <w:tcPr>
            <w:tcW w:w="120" w:type="dxa"/>
            <w:vAlign w:val="bottom"/>
          </w:tcPr>
          <w:p>
            <w:pPr>
              <w:spacing w:after="0"/>
              <w:rPr>
                <w:sz w:val="14"/>
                <w:szCs w:val="14"/>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100.0 %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31.1 %</w:t>
            </w:r>
          </w:p>
        </w:tc>
        <w:tc>
          <w:tcPr>
            <w:tcW w:w="20" w:type="dxa"/>
            <w:vAlign w:val="bottom"/>
          </w:tcPr>
          <w:p>
            <w:pPr>
              <w:spacing w:after="0"/>
              <w:rPr>
                <w:sz w:val="14"/>
                <w:szCs w:val="14"/>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 of services revenues</w:t>
            </w: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10,841</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10,028</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33,186</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24,646</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8,540</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6,204</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4,338</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4,131</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13,447</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9,653</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Segment operating income</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1,866</w:t>
            </w:r>
          </w:p>
        </w:tc>
        <w:tc>
          <w:tcPr>
            <w:tcW w:w="120" w:type="dxa"/>
            <w:vAlign w:val="bottom"/>
          </w:tcPr>
          <w:p>
            <w:pPr>
              <w:spacing w:after="0"/>
              <w:rPr>
                <w:sz w:val="13"/>
                <w:szCs w:val="13"/>
                <w:color w:val="auto"/>
              </w:rPr>
            </w:pPr>
          </w:p>
        </w:tc>
        <w:tc>
          <w:tcPr>
            <w:tcW w:w="10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10.9 % $</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1,559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9.9 % $</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19.7 %$</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5,367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10.3 %$</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5,360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13.6 %$</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Business Metrics (Actual Numbers)</w:t>
            </w: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Locations at period end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New admissions * </w:t>
            </w:r>
            <w:r>
              <w:rPr>
                <w:rFonts w:ascii="Times New Roman" w:cs="Times New Roman" w:eastAsia="Times New Roman" w:hAnsi="Times New Roman"/>
                <w:sz w:val="16"/>
                <w:szCs w:val="16"/>
                <w:color w:val="auto"/>
                <w:vertAlign w:val="superscript"/>
              </w:rPr>
              <w:t>(1)</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4,437</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4.0 %</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14,257</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11,597</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22.9 %</w:t>
            </w: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Recertifications * </w:t>
            </w:r>
            <w:r>
              <w:rPr>
                <w:rFonts w:ascii="Times New Roman" w:cs="Times New Roman" w:eastAsia="Times New Roman" w:hAnsi="Times New Roman"/>
                <w:sz w:val="16"/>
                <w:szCs w:val="16"/>
                <w:color w:val="auto"/>
                <w:vertAlign w:val="superscript"/>
              </w:rPr>
              <w:t>(2)</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Total volume *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7,790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24,055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17,413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Visits * </w:t>
            </w:r>
            <w:r>
              <w:rPr>
                <w:rFonts w:ascii="Times New Roman" w:cs="Times New Roman" w:eastAsia="Times New Roman" w:hAnsi="Times New Roman"/>
                <w:sz w:val="16"/>
                <w:szCs w:val="16"/>
                <w:color w:val="auto"/>
                <w:vertAlign w:val="superscript"/>
              </w:rPr>
              <w:t>(4)</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104,730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10,093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10.7 %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322,713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240,758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34.0 %</w:t>
            </w: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Organic growth</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 Revenue * </w:t>
            </w:r>
            <w:r>
              <w:rPr>
                <w:rFonts w:ascii="Times New Roman" w:cs="Times New Roman" w:eastAsia="Times New Roman" w:hAnsi="Times New Roman"/>
                <w:sz w:val="16"/>
                <w:szCs w:val="16"/>
                <w:color w:val="auto"/>
                <w:vertAlign w:val="superscript"/>
              </w:rPr>
              <w:t>(5)</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(5.4) %</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(2.5) %</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 Admissions * </w:t>
            </w:r>
            <w:r>
              <w:rPr>
                <w:rFonts w:ascii="Times New Roman" w:cs="Times New Roman" w:eastAsia="Times New Roman" w:hAnsi="Times New Roman"/>
                <w:sz w:val="16"/>
                <w:szCs w:val="16"/>
                <w:color w:val="auto"/>
                <w:vertAlign w:val="superscript"/>
              </w:rPr>
              <w:t>(5)</w:t>
            </w:r>
          </w:p>
        </w:tc>
        <w:tc>
          <w:tcPr>
            <w:tcW w:w="1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 %</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(0.3)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(13.5)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-1276350</wp:posOffset>
            </wp:positionV>
            <wp:extent cx="768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-1276350</wp:posOffset>
            </wp:positionV>
            <wp:extent cx="768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-1276350</wp:posOffset>
            </wp:positionV>
            <wp:extent cx="768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-1276350</wp:posOffset>
            </wp:positionV>
            <wp:extent cx="768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-1276350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-1276350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-1276350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-1276350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-1276350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-1276350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-1276350</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-1062355</wp:posOffset>
            </wp:positionV>
            <wp:extent cx="768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-1062355</wp:posOffset>
            </wp:positionV>
            <wp:extent cx="76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-1062355</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-1062355</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-1062355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-1062355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-1062355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-1062355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-1062355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-1062355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new patients during the period.</w:t>
      </w:r>
    </w:p>
    <w:p>
      <w:pPr>
        <w:spacing w:after="0" w:line="99" w:lineRule="exact"/>
        <w:rPr>
          <w:rFonts w:ascii="Times New Roman" w:cs="Times New Roman" w:eastAsia="Times New Roman" w:hAnsi="Times New Roman"/>
          <w:sz w:val="16"/>
          <w:szCs w:val="16"/>
          <w:color w:val="auto"/>
        </w:rPr>
      </w:pPr>
    </w:p>
    <w:p>
      <w:pPr>
        <w:ind w:left="520" w:right="140" w:hanging="512"/>
        <w:spacing w:after="0" w:line="298" w:lineRule="auto"/>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volume is total admissions and total recertifications in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number of services to patients in the period.</w:t>
      </w:r>
    </w:p>
    <w:p>
      <w:pPr>
        <w:spacing w:after="0" w:line="99" w:lineRule="exact"/>
        <w:rPr>
          <w:rFonts w:ascii="Times New Roman" w:cs="Times New Roman" w:eastAsia="Times New Roman" w:hAnsi="Times New Roman"/>
          <w:sz w:val="16"/>
          <w:szCs w:val="16"/>
          <w:color w:val="auto"/>
        </w:rPr>
      </w:pPr>
    </w:p>
    <w:p>
      <w:pPr>
        <w:ind w:left="520" w:right="280" w:hanging="512"/>
        <w:spacing w:after="0" w:line="281" w:lineRule="auto"/>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9" w:lineRule="exact"/>
        <w:rPr>
          <w:sz w:val="20"/>
          <w:szCs w:val="20"/>
          <w:color w:val="auto"/>
        </w:rPr>
      </w:pPr>
    </w:p>
    <w:p>
      <w:pPr>
        <w:ind w:right="80" w:firstLine="8"/>
        <w:spacing w:after="0" w:line="269" w:lineRule="auto"/>
        <w:tabs>
          <w:tab w:leader="none" w:pos="1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home health segment generates net service revenues by providing home health services on a short-term, intermittent or episodic basis to individuals, generally to treat an illness or injury. Net service revenues from Medicare accounted for 70.6% and 72.1%, managed care organizations accounted for 24.7% and 21.9% and other accounted for 4.7% and 6.0% of total home health segment net service revenues for the three months ended September 30, 2024 and 2023, respectively. Net service revenues from Medicare accounted for 69.6% and 73.9%, managed care organizations accounted for 25.6% and 20.8% and other accounted for 4.8% and 5.3% of total home health segment net service revenues for the nine months ended September 30, 2024 and 2023,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88"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Home health net service revenues increased by $1.3 million and $12.3 million for the three and nine months ended September 30, 2024, respectively, compared to the three and nine months ended September 30, 2023. Total visits increased for the three months and nine months ended September 30, 2024, mainly attributed to the acquisition of Tennessee Quality Care on August 1, 2023.</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36.4% and 36.2% for the three months ended September 30, 2024 and 2023, respectively, and 36.2% and 37.9% for the nine months ended September 30, 2024 and 2023, respectively. For the nine months ended September 30, 2024, the decrease was primarily due to an increase in direct care wages compared to net service revenues.</w:t>
      </w:r>
    </w:p>
    <w:p>
      <w:pPr>
        <w:spacing w:after="0" w:line="176" w:lineRule="exact"/>
        <w:rPr>
          <w:sz w:val="20"/>
          <w:szCs w:val="20"/>
          <w:color w:val="auto"/>
        </w:rPr>
      </w:pPr>
    </w:p>
    <w:p>
      <w:pPr>
        <w:ind w:right="200" w:firstLine="509"/>
        <w:spacing w:after="0" w:line="276" w:lineRule="auto"/>
        <w:rPr>
          <w:sz w:val="20"/>
          <w:szCs w:val="20"/>
          <w:color w:val="auto"/>
        </w:rPr>
      </w:pPr>
      <w:r>
        <w:rPr>
          <w:rFonts w:ascii="Times New Roman" w:cs="Times New Roman" w:eastAsia="Times New Roman" w:hAnsi="Times New Roman"/>
          <w:sz w:val="17"/>
          <w:szCs w:val="17"/>
          <w:color w:val="auto"/>
        </w:rPr>
        <w:t>The home health segment’s general and administrative expenses primarily consist of administrative employee wages, taxes and benefit costs, rent, information technology and office expenses. General and administrative expenses, expressed as a percentage of net service revenues, were 25.5% and</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26.3% for the three months ended September 30, 2024 and 2023, respectively, and 25.9% and 24.3% for the nine months ended September 30, 2024 and 2023, respectively. The increase in general and administrative expenses as a percentage of net service revenues was primarily due to increases in administrative employee wages, taxes and benefit costs for the nine months ended September 30, 2024.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from operations and borrowings under our credit facility. At September 30, 2024 and December 31, 2023, we had cash balances of $222.9 million and $64.8 million, respectively. At September 30, 2024, we had a $600.0 million revolving credit facility and a $125.0 million incremental loan facility, which may be for term loans or an increase to the revolving loan commitments. The maturity of this credit facility, as of September 30, 2024, was July 30, 2026. It was subsequently extended to July 30, 2028.</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we used $0.4 million in cash to fund the Upstate acquisition and repaid $126.4 million under our revolving credit facility. As of September 30, 2024, we had no revolving loans outstanding on our credit facility and after giving effect to the amount drawn on our credit facility, approximately $8.0 million of outstanding letters of credit and borrowing limits based on an advance multiple of adjusted EBITDA (as defined in the Credit Agreement), we had $511.5 million of capacity and $503.5 million available for borrowing under our credit facility. At December 31, 2023, we had a total of $126.4 million revolving credit loans, with an interest rate of 7.21%, outstanding on our credit facility.</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credit facility requires us to maintain a total net leverage ratio not exceeding 3.75:1.00. At September 30, 2024,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78"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9 to the Notes to Unaudited Condensed Consolidated Financial Statements,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Note 14 to the Notes to Unaudited Condensed Consolidated Financial Statements,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additional details of our long-term debt.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June 28, 2024, the Company completed a public offering of an aggregate 1,725,000 shares of common stock, par value $0.001 per share, including 225,000 shares of common stock sold pursuant to the exercise in full by the underwriters of their option to purchase additional shares, at a public offering price of $108.00 per share (the “Public Offering”). The Company received net proceeds of approximately $175.6 million, after deducting underwriting discounts and estimated offering expenses of approximately $10.7 million. The Company used approximately $81.4 million from the net proceeds of the Public Offering for the repayment of indebtedness outstanding under its credit facility and may use any remaining net proceeds of the Public Offering for general corporate purposes, including the Company’s previously announced planned acquisition of the personal care assets of Gentiva and any future acquisitions or investments. The Public Offering resulted in an increase to additional paid in capital of approximately $175.6 million on the Company’s Unaudited Condensed Consolidated Balance Sheet at June 30, 2024.</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COVID-19 Relief Funding</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Economic conditions in the United States continue to be challenging in various respects. For example, the United States economy continues to experience inflationary pressures, elevated interest rates and challenging labor market conditions. Any resulting economic downturn would pose a risk to states’ revenues, which in turn could affect our reimbursements and collections received for services rendered. Depending on the severity and length of any potential economic downturn as well as the extent of any federal support, states could face significant fiscal challenges and revise their revenue forecasts and adjust their budgets, and sales tax collections and income tax withholdings could be depressed.</w:t>
      </w:r>
    </w:p>
    <w:p>
      <w:pPr>
        <w:spacing w:after="0" w:line="2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ARPA Spending Plans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ARPA provides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is participating</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29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received additional state funding provided by the ARPA in an aggregate amount of $3.2 million and $15.4 million, respectively. Of the total state funding received by the Company pursuant to the ARPA through September 30, 2024, the Company utilized $2.6 million and $7.5 million during the three and nine months ended September 30, 2024, respectively, primarily for caregivers and adding support to recruiting and retention efforts, included as a reduction of cost of service revenues in the Company’s Unaudited Condensed Consolidated Statements of Income. As of September 30, 2024, the deferred portion of ARPA funding of $13.7 million is included within Government stimulus advances on the Company’s Unaudited Condensed Consolidated Balance Sheets.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Medicare sequester</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CARES Act and related laws temporarily lifted the Medicare sequester, which would have otherwise reduced payments to Medicare providers by 2% as required by the Budget Control Act of 2011, from May 1, 2020, through March 31, 2022. The sequestration payment adjustment was phased back in with a 1% reduction beginning April 1, 2022, and returned to 2% on July 1, 2022. These sequestration cuts have been extended through April 2032.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However, the ARPA increased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 We cannot currently determine if, or to what extent, our business, results of operations, financial condition or liquidity will ultimately be impacted by mandated sequestration triggers under the PAYGO Act, or if or when the mandated sequestration will occur. Further, we anticipate that the federal deficit will continue to place pressure on government healthcare programs, and it is possible that future deficit reduction legislation will impose additional Medicare spending reductions.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changes in our cash flows: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5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50"/>
        </w:trPr>
        <w:tc>
          <w:tcPr>
            <w:tcW w:w="77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1"/>
                <w:szCs w:val="21"/>
                <w:color w:val="auto"/>
              </w:rPr>
            </w:pPr>
          </w:p>
        </w:tc>
      </w:tr>
      <w:tr>
        <w:trPr>
          <w:trHeight w:val="169"/>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106,016</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82,198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20"/>
                <w:szCs w:val="20"/>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(124 )</w:t>
            </w:r>
          </w:p>
        </w:tc>
        <w:tc>
          <w:tcPr>
            <w:tcW w:w="6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(113,934 )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52,169</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31,525</w:t>
            </w:r>
          </w:p>
        </w:tc>
        <w:tc>
          <w:tcPr>
            <w:tcW w:w="100" w:type="dxa"/>
            <w:vAlign w:val="bottom"/>
            <w:shd w:val="clear" w:color="auto" w:fill="CFF0FC"/>
          </w:tcPr>
          <w:p>
            <w:pPr>
              <w:spacing w:after="0"/>
              <w:rPr>
                <w:sz w:val="21"/>
                <w:szCs w:val="21"/>
                <w:color w:val="auto"/>
              </w:rPr>
            </w:pPr>
          </w:p>
        </w:tc>
      </w:tr>
    </w:tbl>
    <w:p>
      <w:pPr>
        <w:spacing w:after="0" w:line="3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to Nine Months Ended September 30, 2023</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represent the inflow of cash from our payors and the outflow of cash for payroll and payroll taxes, operating expenses, interest and taxes. Net cash provided by operating activities was $106.0 million for the nine months ended September 30, 2024, compared to net cash provided by operating activities of $82.2 million for the same period in 2023. The increase in cash provided by operations was primarily due to the timing of receipts on accounts receivable and the timing of government stimulus funds. The changes in accounts receivable were primarily related to the growth in revenue and a decrease in days sales outstanding (“DSO”) during the nine months ended September 30, 2024 compared to 2023, as described below. The related receivables due from the Illinois Department on Aging represented 21.7% and 20.5% of the Company’s net accounts receivable at September 30, 2024 and September 30, 2023, respectively, as discussed below.</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primarily consisted of $0.4 million of net cash used for the Upstate acquisition and $4.4 million for property and equipment purchases, which were primarily related to our ongoing investments in our technology infrastructure, offset by $4.6 million in proceeds received as a deposit on the sale of our New York business. Net cash used in investing activities for the nine months ended September 30, 2023 primarily consisted of $112.2 million of net cash used for the Tennessee Quality Care acquisition. For the nine months ended September 30, 2023, property and equipment purchases, primarily related to our ongoing investments in our technology infrastructure, were $1.7 million.</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primarily related to a $126.4 million payment on the revolver portion of our credit facility, offset by $175.6 million in net proceeds received from the Public Offering, and also included cash received from the exercise of stock options of $3.0 million. Net cash provided by financing activities for the nine months ended September 30, 2023 primarily related to borrowings of $110.0 million on the revolver portion of our credit facility to fund, in part, the Tennessee Quality Care acquisition, partially offset by a $78.5 million payment on the revolver portion of our credit facility.</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Outstanding Accounts Receivable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Gross accounts receivable as of September 30, 2024 and December 31, 2023 were approximately $100.0 million and $117.8 million, respectively. Outstanding accounts receivable, net of allowance for credit losses, decreased by $18.9 million as of September 30, 2024 as compared to December 31, 2023. Accounts receivable for the Illinois Department on Aging decreased approximately $8.0 million during the nine months ended September 30, 2024.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83"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calculate our DSO by taking the trade accounts receivable outstanding, net of allowance for credit losses for doubtful accounts, divided by the net service revenues for the last quarter, multiplied by the number of days in that quarter. Our DSOs were 32 days and 39 days at September 30, 2024 and December 31, 2023, respectively. The DSOs for our largest payor, the Illinois Department on Aging, were 33 days and 50 days at September 30, 2024 and December 31, 2023,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we did not have any off-balance sheet guarantees or arrangements with unconsolidated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previously disclosed under the caption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 Critical Accounting Policies and Estimates” set forth in Part II, Item 7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period ended December 31, 2023, filed on February 27,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2 to the Notes to Unaudited Condensed Consolidated Financial Statements for further discussion.</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September 30, 2024, however, we had no outstanding borrowings on our credit facility. We do not currently have any derivative or hedging arrangements, or other known exposures, to changes in interest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2024.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our disclosure controls and procedures were effective as of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fiscal quarter ended September 30, 2024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11 to the Condensed Consolidated Financial Statements in Part I, Item 1—“Financial Statements (Unaudited),” which is incorporated herein by reference, 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2023, filed on February 27, 2024. Except as set forth below,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complete the acquisition of Gentiva on a timely basis or at all and may not realize the benefits that are anticipated from the Gentiva Acquisition.</w:t>
      </w:r>
    </w:p>
    <w:p>
      <w:pPr>
        <w:spacing w:after="0" w:line="5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the Gentiva Purchase Agreement to acquire the personal care business of Gentiva, for a purchase price of approximately $350.0 million, payable in full in cash at the closing, subject to customary adjustments for working capital and other items. The Gentiva Acquisition is expected to close upon the completion of regulatory approvals and subject to the satisfaction of other closing conditions.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we will be able to successfully consummate the Gentiva Acquisition as provided for under the Gentiva Purchase Agreement, or, if such acquisition is completed, we cannot predict the timing of such closing. In addition, we have incurred, and will continue to incur, significant costs, expenses and fees for professional services and other transaction costs in connection with the Gentiva Acquisition, and these fees and costs are payable by us regardless of whether the Gentiva Acquisition is consummated. If we fail to consummate the Gentiva Acquisition or should the completion be significantly delayed, we could fail to realize all or a portion of the intended economic benefits of such acquisition. Any failure to complete the Gentiva Acquisition could have a negative impact on our business, financial condition and the market price of our common stock.</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benefits that are expected to result from the Gentiva Acquisition will depend, in part, on our ability to realize the growth opportunities we anticipate from the Gentiva Acquisition, which is contingent, in part, on successful integration and Gentiva performing in accordance with our expectations. Even a successful integration and meeting performance expectations may not result in the realization of the full benefits we currently expect, nor can we give assurances that these benefits will be achieved when expected or at all. Moreover, we expect to incur expenses in connection with the integration of Gentiva, and as such, the benefits may be offset by costs incurred or delays in integrating the businesses. Further, our due diligence review of Gentiva may not have successfully identified all potential issues. In addition, the integration of Gentiva may result in material unanticipated problems, expenses, liabilities, regulatory risks, and diversion of management’s attention.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pendency of the Gentiva Acquisition could cause disruptions and create uncertainty surrounding our business and affect our relationships with our customers and employees. We have diverted, and will continue to divert, significant management resources to complete the Gentiva Acquisition, which could have a negative impact on our ability to manage existing operations or pursue alternative strategic transactions, which could adversely affect our business, financial condition and results of operations. Until the completion of the Gentiva Acquisition, holders of shares of our common stock will be exposed to the risks faced by our existing business without any of the potential benefits from the Gentiva Acquisition. As a result of investor perceptions about the terms, conditions, risks or benefits of the Gentiva Acquisition, the market price of shares of our common stock may decline.</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ending September 30, 2024, each of the following directors and Section 16 officers adopted a Rule 10b5-1 Trading Arrangement (as defined in Item 408(a) of Regulation S-K) to sell common shares: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Name</w:t>
            </w:r>
          </w:p>
        </w:tc>
        <w:tc>
          <w:tcPr>
            <w:tcW w:w="32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Adoption Date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Expiration Date </w:t>
            </w:r>
            <w:r>
              <w:rPr>
                <w:rFonts w:ascii="Times New Roman" w:cs="Times New Roman" w:eastAsia="Times New Roman" w:hAnsi="Times New Roman"/>
                <w:sz w:val="21"/>
                <w:szCs w:val="21"/>
                <w:b w:val="1"/>
                <w:bCs w:val="1"/>
                <w:color w:val="auto"/>
                <w:w w:val="98"/>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Vesting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 Shares Being</w:t>
            </w:r>
          </w:p>
        </w:tc>
      </w:tr>
      <w:tr>
        <w:trPr>
          <w:trHeight w:val="203"/>
        </w:trPr>
        <w:tc>
          <w:tcPr>
            <w:tcW w:w="19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 Subject to</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Sold (Subject to</w:t>
            </w:r>
          </w:p>
        </w:tc>
      </w:tr>
      <w:tr>
        <w:trPr>
          <w:trHeight w:val="164"/>
        </w:trPr>
        <w:tc>
          <w:tcPr>
            <w:tcW w:w="19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Sell-To-Cover</w:t>
            </w:r>
          </w:p>
        </w:tc>
        <w:tc>
          <w:tcPr>
            <w:tcW w:w="16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Certain Conditions)</w:t>
            </w:r>
          </w:p>
        </w:tc>
      </w:tr>
      <w:tr>
        <w:trPr>
          <w:trHeight w:val="143"/>
        </w:trPr>
        <w:tc>
          <w:tcPr>
            <w:tcW w:w="1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1660" w:type="dxa"/>
            <w:vAlign w:val="bottom"/>
          </w:tcPr>
          <w:p>
            <w:pPr>
              <w:spacing w:after="0"/>
              <w:rPr>
                <w:sz w:val="12"/>
                <w:szCs w:val="12"/>
                <w:color w:val="auto"/>
              </w:rPr>
            </w:pPr>
          </w:p>
        </w:tc>
      </w:tr>
      <w:tr>
        <w:trPr>
          <w:trHeight w:val="46"/>
        </w:trPr>
        <w:tc>
          <w:tcPr>
            <w:tcW w:w="194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196"/>
        </w:trPr>
        <w:tc>
          <w:tcPr>
            <w:tcW w:w="194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rPr>
              <w:t>R. Dirk Allison</w:t>
            </w:r>
          </w:p>
        </w:tc>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Chief Executive Officer and Chairman of</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26, 2024</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26, 2025</w:t>
            </w:r>
          </w:p>
        </w:tc>
        <w:tc>
          <w:tcPr>
            <w:tcW w:w="13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6"/>
                <w:szCs w:val="16"/>
                <w:color w:val="auto"/>
                <w:w w:val="92"/>
              </w:rPr>
              <w:t>87,500</w:t>
            </w:r>
            <w:r>
              <w:rPr>
                <w:rFonts w:ascii="Times New Roman" w:cs="Times New Roman" w:eastAsia="Times New Roman" w:hAnsi="Times New Roman"/>
                <w:sz w:val="21"/>
                <w:szCs w:val="21"/>
                <w:color w:val="auto"/>
                <w:w w:val="92"/>
                <w:vertAlign w:val="superscript"/>
              </w:rPr>
              <w:t>(3)</w:t>
            </w:r>
          </w:p>
        </w:tc>
      </w:tr>
      <w:tr>
        <w:trPr>
          <w:trHeight w:val="230"/>
        </w:trPr>
        <w:tc>
          <w:tcPr>
            <w:tcW w:w="1940" w:type="dxa"/>
            <w:vAlign w:val="bottom"/>
            <w:shd w:val="clear" w:color="auto" w:fill="CCEEFF"/>
          </w:tcPr>
          <w:p>
            <w:pPr>
              <w:spacing w:after="0"/>
              <w:rPr>
                <w:sz w:val="19"/>
                <w:szCs w:val="19"/>
                <w:color w:val="auto"/>
              </w:rPr>
            </w:pPr>
          </w:p>
        </w:tc>
        <w:tc>
          <w:tcPr>
            <w:tcW w:w="322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the Board</w:t>
            </w:r>
          </w:p>
        </w:tc>
        <w:tc>
          <w:tcPr>
            <w:tcW w:w="1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Each plan will expire on the date represented in the table or upon the earlier completion of all transactions contemplated by the arrangement.</w:t>
      </w:r>
    </w:p>
    <w:p>
      <w:pPr>
        <w:spacing w:after="0" w:line="2" w:lineRule="exact"/>
        <w:rPr>
          <w:sz w:val="20"/>
          <w:szCs w:val="20"/>
          <w:color w:val="auto"/>
        </w:rPr>
      </w:pPr>
    </w:p>
    <w:p>
      <w:pPr>
        <w:ind w:right="280" w:firstLine="8"/>
        <w:spacing w:after="0" w:line="269" w:lineRule="auto"/>
        <w:tabs>
          <w:tab w:leader="none" w:pos="153"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column indicates the total number of shares vesting in connection with equity awards, not the number of shares to be sold. The actual number of shares to be sold will be a smaller number based on whatever is required to satisfy payment of applicable withholding taxes under sell-to-cover arrangements.</w:t>
      </w:r>
    </w:p>
    <w:p>
      <w:pPr>
        <w:spacing w:after="0" w:line="6" w:lineRule="exact"/>
        <w:rPr>
          <w:rFonts w:ascii="Times New Roman" w:cs="Times New Roman" w:eastAsia="Times New Roman" w:hAnsi="Times New Roman"/>
          <w:sz w:val="18"/>
          <w:szCs w:val="18"/>
          <w:color w:val="auto"/>
          <w:vertAlign w:val="superscript"/>
        </w:rPr>
      </w:pPr>
    </w:p>
    <w:p>
      <w:pPr>
        <w:ind w:right="180" w:firstLine="8"/>
        <w:spacing w:after="0" w:line="264" w:lineRule="auto"/>
        <w:tabs>
          <w:tab w:leader="none" w:pos="167"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Allison became CEO of the Company in early 2016 and, in connection with that appointment, received a grant of options with respect to 150,000 shares on January 21, 2016, of which 87,500 remain outstanding and unexercised. Those options have a ten-year term and are thus forfeited if not exercised by early 2026. Mr. Allison has established this plan in order to effectuate an orderly process for exercising and selling before the date of forfeiture.</w:t>
      </w:r>
    </w:p>
    <w:p>
      <w:pPr>
        <w:spacing w:after="0" w:line="79"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Each trading arrangement noted above is intended to satisfy the affirmative defense in Rule 10b5-1(c). No other director or Section 16 officer adopted or terminated any Rule 10b5-1 trading arrangements or non-Rule 10b5-1 trading arrangements, as such terms are defined in Item 408(a) of Regulation S-K, during the quarter ending September 30,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27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80"/>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60" w:type="dxa"/>
            <w:vAlign w:val="bottom"/>
            <w:tcBorders>
              <w:bottom w:val="single" w:sz="8" w:color="auto"/>
            </w:tcBorders>
          </w:tcPr>
          <w:p>
            <w:pPr>
              <w:spacing w:after="0"/>
              <w:rPr>
                <w:sz w:val="24"/>
                <w:szCs w:val="24"/>
                <w:color w:val="auto"/>
              </w:rPr>
            </w:pPr>
          </w:p>
        </w:tc>
      </w:tr>
      <w:tr>
        <w:trPr>
          <w:trHeight w:val="207"/>
        </w:trPr>
        <w:tc>
          <w:tcPr>
            <w:tcW w:w="214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45"/>
        </w:trPr>
        <w:tc>
          <w:tcPr>
            <w:tcW w:w="2140" w:type="dxa"/>
            <w:vAlign w:val="bottom"/>
            <w:tcBorders>
              <w:bottom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7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20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Date Filing</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bl>
    <w:p>
      <w:pPr>
        <w:spacing w:after="0" w:line="144" w:lineRule="exact"/>
        <w:rPr>
          <w:sz w:val="20"/>
          <w:szCs w:val="20"/>
          <w:color w:val="auto"/>
        </w:rPr>
      </w:pPr>
    </w:p>
    <w:p>
      <w:pPr>
        <w:sectPr>
          <w:pgSz w:w="11900" w:h="16838" w:orient="portrait"/>
          <w:cols w:equalWidth="0" w:num="1">
            <w:col w:w="11240"/>
          </w:cols>
          <w:pgMar w:left="320" w:top="756" w:right="339" w:bottom="1440" w:gutter="0" w:footer="0" w:header="0"/>
        </w:sectPr>
      </w:pPr>
    </w:p>
    <w:p>
      <w:pPr>
        <w:ind w:left="960" w:hanging="658"/>
        <w:spacing w:after="0" w:line="282" w:lineRule="auto"/>
        <w:tabs>
          <w:tab w:leader="none" w:pos="940" w:val="left"/>
        </w:tabs>
        <w:rPr>
          <w:rFonts w:ascii="Times New Roman" w:cs="Times New Roman" w:eastAsia="Times New Roman" w:hAnsi="Times New Roman"/>
          <w:sz w:val="18"/>
          <w:szCs w:val="18"/>
          <w:u w:val="single" w:color="auto"/>
          <w:color w:val="0000FF"/>
        </w:rPr>
      </w:pPr>
      <w:hyperlink r:id="rId454">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454">
        <w:r>
          <w:rPr>
            <w:rFonts w:ascii="Times New Roman" w:cs="Times New Roman" w:eastAsia="Times New Roman" w:hAnsi="Times New Roman"/>
            <w:sz w:val="18"/>
            <w:szCs w:val="18"/>
            <w:u w:val="single" w:color="auto"/>
            <w:color w:val="0000FF"/>
          </w:rPr>
          <w:t>Amended and Restated Certificate of Incorporation of the Company dated as of</w:t>
        </w:r>
      </w:hyperlink>
      <w:r>
        <w:rPr>
          <w:rFonts w:ascii="Times New Roman" w:cs="Times New Roman" w:eastAsia="Times New Roman" w:hAnsi="Times New Roman"/>
          <w:sz w:val="18"/>
          <w:szCs w:val="18"/>
          <w:u w:val="single" w:color="auto"/>
          <w:color w:val="0000FF"/>
        </w:rPr>
        <w:t xml:space="preserve"> </w:t>
      </w:r>
      <w:hyperlink r:id="rId454">
        <w:r>
          <w:rPr>
            <w:rFonts w:ascii="Times New Roman" w:cs="Times New Roman" w:eastAsia="Times New Roman" w:hAnsi="Times New Roman"/>
            <w:sz w:val="18"/>
            <w:szCs w:val="18"/>
            <w:u w:val="single" w:color="auto"/>
            <w:color w:val="0000FF"/>
          </w:rPr>
          <w:t>October 27, 2009.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194945</wp:posOffset>
            </wp:positionH>
            <wp:positionV relativeFrom="paragraph">
              <wp:posOffset>-185420</wp:posOffset>
            </wp:positionV>
            <wp:extent cx="40798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407987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-48260</wp:posOffset>
            </wp:positionV>
            <wp:extent cx="8248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01" w:lineRule="exact"/>
        <w:rPr>
          <w:rFonts w:ascii="Times New Roman" w:cs="Times New Roman" w:eastAsia="Times New Roman" w:hAnsi="Times New Roman"/>
          <w:sz w:val="18"/>
          <w:szCs w:val="18"/>
          <w:u w:val="single" w:color="auto"/>
          <w:color w:val="0000FF"/>
        </w:rPr>
      </w:pPr>
    </w:p>
    <w:p>
      <w:pPr>
        <w:ind w:left="960" w:right="460" w:hanging="658"/>
        <w:spacing w:after="0" w:line="282" w:lineRule="auto"/>
        <w:tabs>
          <w:tab w:leader="none" w:pos="940" w:val="left"/>
        </w:tabs>
        <w:rPr>
          <w:rFonts w:ascii="Times New Roman" w:cs="Times New Roman" w:eastAsia="Times New Roman" w:hAnsi="Times New Roman"/>
          <w:sz w:val="18"/>
          <w:szCs w:val="18"/>
          <w:u w:val="single" w:color="auto"/>
          <w:color w:val="0000FF"/>
        </w:rPr>
      </w:pPr>
      <w:hyperlink r:id="rId457">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457">
        <w:r>
          <w:rPr>
            <w:rFonts w:ascii="Times New Roman" w:cs="Times New Roman" w:eastAsia="Times New Roman" w:hAnsi="Times New Roman"/>
            <w:sz w:val="18"/>
            <w:szCs w:val="18"/>
            <w:u w:val="single" w:color="auto"/>
            <w:color w:val="0000FF"/>
          </w:rPr>
          <w:t>Amended and Restated Bylaws of the Company, as amended by the First</w:t>
        </w:r>
      </w:hyperlink>
      <w:r>
        <w:rPr>
          <w:rFonts w:ascii="Times New Roman" w:cs="Times New Roman" w:eastAsia="Times New Roman" w:hAnsi="Times New Roman"/>
          <w:sz w:val="18"/>
          <w:szCs w:val="18"/>
          <w:u w:val="single" w:color="auto"/>
          <w:color w:val="0000FF"/>
        </w:rPr>
        <w:t xml:space="preserve"> </w:t>
      </w:r>
      <w:hyperlink r:id="rId457">
        <w:r>
          <w:rPr>
            <w:rFonts w:ascii="Times New Roman" w:cs="Times New Roman" w:eastAsia="Times New Roman" w:hAnsi="Times New Roman"/>
            <w:sz w:val="18"/>
            <w:szCs w:val="18"/>
            <w:u w:val="single" w:color="auto"/>
            <w:color w:val="0000FF"/>
          </w:rPr>
          <w:t>Amendment to the Amended and Restated Bylaws.</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194945</wp:posOffset>
            </wp:positionH>
            <wp:positionV relativeFrom="paragraph">
              <wp:posOffset>-185420</wp:posOffset>
            </wp:positionV>
            <wp:extent cx="37776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3777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-48260</wp:posOffset>
            </wp:positionV>
            <wp:extent cx="233870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101" w:lineRule="exact"/>
        <w:rPr>
          <w:rFonts w:ascii="Times New Roman" w:cs="Times New Roman" w:eastAsia="Times New Roman" w:hAnsi="Times New Roman"/>
          <w:sz w:val="18"/>
          <w:szCs w:val="18"/>
          <w:u w:val="single" w:color="auto"/>
          <w:color w:val="0000FF"/>
        </w:rPr>
      </w:pPr>
    </w:p>
    <w:p>
      <w:pPr>
        <w:ind w:left="300"/>
        <w:spacing w:after="0"/>
        <w:tabs>
          <w:tab w:leader="none" w:pos="940" w:val="left"/>
        </w:tabs>
        <w:rPr>
          <w:rFonts w:ascii="Times New Roman" w:cs="Times New Roman" w:eastAsia="Times New Roman" w:hAnsi="Times New Roman"/>
          <w:sz w:val="18"/>
          <w:szCs w:val="18"/>
          <w:u w:val="single" w:color="auto"/>
          <w:color w:val="0000FF"/>
        </w:rPr>
      </w:pPr>
      <w:hyperlink r:id="rId460">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460">
        <w:r>
          <w:rPr>
            <w:rFonts w:ascii="Times New Roman" w:cs="Times New Roman" w:eastAsia="Times New Roman" w:hAnsi="Times New Roman"/>
            <w:sz w:val="18"/>
            <w:szCs w:val="18"/>
            <w:u w:val="single" w:color="auto"/>
            <w:color w:val="0000FF"/>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207200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2072005" cy="8255"/>
                    </a:xfrm>
                    <a:prstGeom prst="rect">
                      <a:avLst/>
                    </a:prstGeom>
                    <a:noFill/>
                  </pic:spPr>
                </pic:pic>
              </a:graphicData>
            </a:graphic>
          </wp:anchor>
        </w:drawing>
      </w:r>
    </w:p>
    <w:p>
      <w:pPr>
        <w:spacing w:after="0" w:line="165" w:lineRule="exact"/>
        <w:rPr>
          <w:sz w:val="20"/>
          <w:szCs w:val="20"/>
          <w:color w:val="auto"/>
        </w:rPr>
      </w:pPr>
    </w:p>
    <w:p>
      <w:pPr>
        <w:ind w:left="960" w:right="260" w:hanging="703"/>
        <w:spacing w:after="0" w:line="266"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of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-313055</wp:posOffset>
            </wp:positionV>
            <wp:extent cx="38557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385572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-175895</wp:posOffset>
            </wp:positionV>
            <wp:extent cx="34874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348742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-38735</wp:posOffset>
            </wp:positionV>
            <wp:extent cx="133286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11/20/2009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60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5/9/2013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99"/>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333-160634</w:t>
            </w: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10/2/2009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967" w:lineRule="exact"/>
        <w:rPr>
          <w:sz w:val="20"/>
          <w:szCs w:val="20"/>
          <w:color w:val="auto"/>
        </w:rPr>
      </w:pPr>
    </w:p>
    <w:p>
      <w:pPr>
        <w:sectPr>
          <w:pgSz w:w="11900" w:h="16838" w:orient="portrait"/>
          <w:cols w:equalWidth="0" w:num="2">
            <w:col w:w="6680" w:space="480"/>
            <w:col w:w="4080"/>
          </w:cols>
          <w:pgMar w:left="320" w:top="756" w:right="339" w:bottom="1440" w:gutter="0" w:footer="0" w:header="0"/>
          <w:type w:val="continuous"/>
        </w:sectPr>
      </w:pPr>
    </w:p>
    <w:tbl>
      <w:tblPr>
        <w:tblLayout w:type="fixed"/>
        <w:tblInd w:w="8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17"/>
                <w:szCs w:val="17"/>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394"/>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101.INS</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r>
      <w:tr>
        <w:trPr>
          <w:trHeight w:val="234"/>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392"/>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101.CAL</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92"/>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101.LAB</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391"/>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101.PRE</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392"/>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101.DEF</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57" w:lineRule="exact"/>
        <w:rPr>
          <w:sz w:val="20"/>
          <w:szCs w:val="20"/>
          <w:color w:val="auto"/>
        </w:rPr>
      </w:pPr>
    </w:p>
    <w:p>
      <w:pPr>
        <w:ind w:left="960" w:right="4560" w:hanging="675"/>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i w:val="1"/>
          <w:iCs w:val="1"/>
          <w:color w:val="auto"/>
        </w:rPr>
        <w:t>ADDUS HOMECARE CORPORATION</w:t>
      </w:r>
    </w:p>
    <w:p>
      <w:pPr>
        <w:spacing w:after="0" w:line="333" w:lineRule="exact"/>
        <w:rPr>
          <w:sz w:val="20"/>
          <w:szCs w:val="20"/>
          <w:color w:val="auto"/>
        </w:rPr>
      </w:pPr>
    </w:p>
    <w:p>
      <w:pPr>
        <w:ind w:left="20"/>
        <w:spacing w:after="0"/>
        <w:tabs>
          <w:tab w:leader="none" w:pos="5640" w:val="left"/>
          <w:tab w:leader="none" w:pos="7880" w:val="left"/>
        </w:tabs>
        <w:rPr>
          <w:sz w:val="20"/>
          <w:szCs w:val="20"/>
          <w:color w:val="auto"/>
        </w:rPr>
      </w:pPr>
      <w:r>
        <w:rPr>
          <w:rFonts w:ascii="Times New Roman" w:cs="Times New Roman" w:eastAsia="Times New Roman" w:hAnsi="Times New Roman"/>
          <w:sz w:val="16"/>
          <w:szCs w:val="16"/>
          <w:color w:val="auto"/>
        </w:rPr>
        <w:t>Date: November 5,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29210</wp:posOffset>
            </wp:positionV>
            <wp:extent cx="324929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3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R. Dirk Allison</w:t>
      </w:r>
    </w:p>
    <w:p>
      <w:pPr>
        <w:spacing w:after="0" w:line="2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Chairman and Chief Executive Officer</w:t>
      </w:r>
    </w:p>
    <w:p>
      <w:pPr>
        <w:spacing w:after="0" w:line="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(As Principal Executive Officer)</w:t>
      </w:r>
    </w:p>
    <w:p>
      <w:pPr>
        <w:spacing w:after="0" w:line="335" w:lineRule="exact"/>
        <w:rPr>
          <w:sz w:val="20"/>
          <w:szCs w:val="20"/>
          <w:color w:val="auto"/>
        </w:rPr>
      </w:pPr>
    </w:p>
    <w:p>
      <w:pPr>
        <w:ind w:left="20"/>
        <w:spacing w:after="0"/>
        <w:tabs>
          <w:tab w:leader="none" w:pos="5640" w:val="left"/>
          <w:tab w:leader="none" w:pos="8080" w:val="left"/>
        </w:tabs>
        <w:rPr>
          <w:sz w:val="20"/>
          <w:szCs w:val="20"/>
          <w:color w:val="auto"/>
        </w:rPr>
      </w:pPr>
      <w:r>
        <w:rPr>
          <w:rFonts w:ascii="Times New Roman" w:cs="Times New Roman" w:eastAsia="Times New Roman" w:hAnsi="Times New Roman"/>
          <w:sz w:val="16"/>
          <w:szCs w:val="16"/>
          <w:color w:val="auto"/>
        </w:rPr>
        <w:t>Date: November 5,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20320</wp:posOffset>
            </wp:positionV>
            <wp:extent cx="324929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3249295" cy="8890"/>
                    </a:xfrm>
                    <a:prstGeom prst="rect">
                      <a:avLst/>
                    </a:prstGeom>
                    <a:noFill/>
                  </pic:spPr>
                </pic:pic>
              </a:graphicData>
            </a:graphic>
          </wp:anchor>
        </w:drawing>
      </w:r>
    </w:p>
    <w:p>
      <w:pPr>
        <w:spacing w:after="0" w:line="30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Brian Poff</w:t>
      </w:r>
    </w:p>
    <w:p>
      <w:pPr>
        <w:spacing w:after="0" w:line="2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(As Principal Financial Officer)</w:t>
      </w:r>
    </w:p>
    <w:p>
      <w:pPr>
        <w:spacing w:after="0" w:line="200" w:lineRule="exact"/>
        <w:rPr>
          <w:sz w:val="20"/>
          <w:szCs w:val="20"/>
          <w:color w:val="auto"/>
        </w:rPr>
      </w:pPr>
    </w:p>
    <w:p>
      <w:pPr>
        <w:spacing w:after="0" w:line="2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Dirk Allison, certify that:</w:t>
      </w:r>
    </w:p>
    <w:p>
      <w:pPr>
        <w:spacing w:after="0" w:line="17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jc w:val="both"/>
        <w:ind w:right="260" w:firstLine="8"/>
        <w:spacing w:after="0" w:line="312" w:lineRule="auto"/>
        <w:tabs>
          <w:tab w:leader="none" w:pos="50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220" w:firstLine="8"/>
        <w:spacing w:after="0" w:line="282" w:lineRule="auto"/>
        <w:tabs>
          <w:tab w:leader="none" w:pos="5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8"/>
        <w:spacing w:after="0" w:line="266" w:lineRule="auto"/>
        <w:tabs>
          <w:tab w:leader="none" w:pos="5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6"/>
          <w:szCs w:val="16"/>
          <w:color w:val="auto"/>
        </w:rPr>
      </w:pPr>
    </w:p>
    <w:p>
      <w:pPr>
        <w:ind w:left="1020" w:right="180" w:hanging="503"/>
        <w:spacing w:after="0" w:line="298"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ind w:left="1020" w:right="120" w:hanging="503"/>
        <w:spacing w:after="0" w:line="28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right="220" w:firstLine="8"/>
        <w:spacing w:after="0" w:line="282" w:lineRule="auto"/>
        <w:tabs>
          <w:tab w:leader="none" w:pos="5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1020" w:right="360" w:hanging="503"/>
        <w:spacing w:after="0" w:line="298"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020" w:right="560" w:hanging="503"/>
        <w:spacing w:after="0" w:line="298"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6"/>
          <w:szCs w:val="16"/>
          <w:color w:val="auto"/>
        </w:rPr>
        <w:t>Date: November 5, 2024</w:t>
      </w:r>
      <w:r>
        <w:rPr>
          <w:sz w:val="20"/>
          <w:szCs w:val="20"/>
          <w:color w:val="auto"/>
        </w:rPr>
        <w:tab/>
      </w:r>
      <w:r>
        <w:rPr>
          <w:rFonts w:ascii="Times New Roman" w:cs="Times New Roman" w:eastAsia="Times New Roman" w:hAnsi="Times New Roman"/>
          <w:sz w:val="16"/>
          <w:szCs w:val="16"/>
          <w:color w:val="auto"/>
        </w:rPr>
        <w:t>By:  /s/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29210</wp:posOffset>
            </wp:positionV>
            <wp:extent cx="34118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R. Dirk Allison</w:t>
      </w:r>
    </w:p>
    <w:p>
      <w:pPr>
        <w:spacing w:after="0" w:line="4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Poff, certify that:</w:t>
      </w:r>
    </w:p>
    <w:p>
      <w:pPr>
        <w:spacing w:after="0" w:line="171"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6"/>
          <w:szCs w:val="16"/>
          <w:color w:val="auto"/>
        </w:rPr>
      </w:pPr>
    </w:p>
    <w:p>
      <w:pPr>
        <w:ind w:left="1020" w:right="180" w:hanging="503"/>
        <w:spacing w:after="0" w:line="298"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1020" w:right="120" w:hanging="503"/>
        <w:spacing w:after="0" w:line="281"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1020" w:right="360" w:hanging="503"/>
        <w:spacing w:after="0" w:line="298"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020" w:right="560" w:hanging="503"/>
        <w:spacing w:after="0" w:line="298"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6"/>
          <w:szCs w:val="16"/>
          <w:color w:val="auto"/>
        </w:rPr>
        <w:t>Date: November 5, 2024</w:t>
      </w:r>
      <w:r>
        <w:rPr>
          <w:sz w:val="20"/>
          <w:szCs w:val="20"/>
          <w:color w:val="auto"/>
        </w:rPr>
        <w:tab/>
      </w:r>
      <w:r>
        <w:rPr>
          <w:rFonts w:ascii="Times New Roman" w:cs="Times New Roman" w:eastAsia="Times New Roman" w:hAnsi="Times New Roman"/>
          <w:sz w:val="16"/>
          <w:szCs w:val="16"/>
          <w:color w:val="auto"/>
        </w:rPr>
        <w:t>By:  /s/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29210</wp:posOffset>
            </wp:positionV>
            <wp:extent cx="34118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Brian Poff</w:t>
      </w:r>
    </w:p>
    <w:p>
      <w:pPr>
        <w:spacing w:after="0" w:line="4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2024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207" w:lineRule="exact"/>
        <w:rPr>
          <w:sz w:val="20"/>
          <w:szCs w:val="20"/>
          <w:color w:val="auto"/>
        </w:rPr>
      </w:pPr>
    </w:p>
    <w:p>
      <w:pPr>
        <w:ind w:left="440" w:hanging="401"/>
        <w:spacing w:after="0"/>
        <w:tabs>
          <w:tab w:leader="none" w:pos="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440" w:hanging="401"/>
        <w:spacing w:after="0"/>
        <w:tabs>
          <w:tab w:leader="none" w:pos="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November 5, 2024</w:t>
            </w:r>
          </w:p>
        </w:tc>
        <w:tc>
          <w:tcPr>
            <w:tcW w:w="7660" w:type="dxa"/>
            <w:vAlign w:val="bottom"/>
            <w:gridSpan w:val="2"/>
          </w:tcPr>
          <w:p>
            <w:pPr>
              <w:ind w:left="1940"/>
              <w:spacing w:after="0"/>
              <w:rPr>
                <w:sz w:val="20"/>
                <w:szCs w:val="20"/>
                <w:color w:val="auto"/>
              </w:rPr>
            </w:pPr>
            <w:r>
              <w:rPr>
                <w:rFonts w:ascii="Times New Roman" w:cs="Times New Roman" w:eastAsia="Times New Roman" w:hAnsi="Times New Roman"/>
                <w:sz w:val="16"/>
                <w:szCs w:val="16"/>
                <w:color w:val="auto"/>
              </w:rPr>
              <w:t>By:  /s/ R. Dirk Allison</w:t>
            </w:r>
          </w:p>
        </w:tc>
      </w:tr>
      <w:tr>
        <w:trPr>
          <w:trHeight w:val="251"/>
        </w:trPr>
        <w:tc>
          <w:tcPr>
            <w:tcW w:w="35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 Dirk Allison</w:t>
            </w:r>
          </w:p>
        </w:tc>
      </w:tr>
      <w:tr>
        <w:trPr>
          <w:trHeight w:val="270"/>
        </w:trPr>
        <w:tc>
          <w:tcPr>
            <w:tcW w:w="35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674"/>
        </w:trPr>
        <w:tc>
          <w:tcPr>
            <w:tcW w:w="35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2024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207" w:lineRule="exact"/>
        <w:rPr>
          <w:sz w:val="20"/>
          <w:szCs w:val="20"/>
          <w:color w:val="auto"/>
        </w:rPr>
      </w:pPr>
    </w:p>
    <w:p>
      <w:pPr>
        <w:ind w:left="440" w:hanging="401"/>
        <w:spacing w:after="0"/>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440" w:hanging="401"/>
        <w:spacing w:after="0"/>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November 5, 2024</w:t>
            </w:r>
          </w:p>
        </w:tc>
        <w:tc>
          <w:tcPr>
            <w:tcW w:w="7660" w:type="dxa"/>
            <w:vAlign w:val="bottom"/>
            <w:gridSpan w:val="2"/>
          </w:tcPr>
          <w:p>
            <w:pPr>
              <w:ind w:left="1940"/>
              <w:spacing w:after="0"/>
              <w:rPr>
                <w:sz w:val="20"/>
                <w:szCs w:val="20"/>
                <w:color w:val="auto"/>
              </w:rPr>
            </w:pPr>
            <w:r>
              <w:rPr>
                <w:rFonts w:ascii="Times New Roman" w:cs="Times New Roman" w:eastAsia="Times New Roman" w:hAnsi="Times New Roman"/>
                <w:sz w:val="16"/>
                <w:szCs w:val="16"/>
                <w:color w:val="auto"/>
              </w:rPr>
              <w:t>By:  /s/ Brian Poff</w:t>
            </w:r>
          </w:p>
        </w:tc>
      </w:tr>
      <w:tr>
        <w:trPr>
          <w:trHeight w:val="251"/>
        </w:trPr>
        <w:tc>
          <w:tcPr>
            <w:tcW w:w="35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Brian Poff</w:t>
            </w:r>
          </w:p>
        </w:tc>
      </w:tr>
      <w:tr>
        <w:trPr>
          <w:trHeight w:val="270"/>
        </w:trPr>
        <w:tc>
          <w:tcPr>
            <w:tcW w:w="35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74"/>
        </w:trPr>
        <w:tc>
          <w:tcPr>
            <w:tcW w:w="35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2)"/>
      <w:numFmt w:val="decimal"/>
      <w:start w:val="1"/>
    </w:lvl>
  </w:abstractNum>
  <w:abstractNum w:abstractNumId="3">
    <w:nsid w:val="1190CDE7"/>
    <w:multiLevelType w:val="hybridMultilevel"/>
    <w:lvl w:ilvl="0">
      <w:lvlJc w:val="left"/>
      <w:lvlText w:val="%1."/>
      <w:numFmt w:val="decimal"/>
      <w:start w:val="8"/>
    </w:lvl>
    <w:lvl w:ilvl="1">
      <w:lvlJc w:val="left"/>
      <w:lvlText w:val="%2"/>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2"/>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54" Type="http://schemas.openxmlformats.org/officeDocument/2006/relationships/hyperlink" Target="https://www.sec.gov/Archives/edgar/data/1468328/000119312509238641/dex31.htm" TargetMode="External"/><Relationship Id="rId457" Type="http://schemas.openxmlformats.org/officeDocument/2006/relationships/hyperlink" Target="https://www.sec.gov/Archives/edgar/data/1468328/000119312513211165/d535575dex32.htm" TargetMode="External"/><Relationship Id="rId460" Type="http://schemas.openxmlformats.org/officeDocument/2006/relationships/hyperlink" Target="https://www.sec.gov/Archives/edgar/data/1468328/0001193125092022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2024-11-05T15:24:00Z</dcterms:created>
  <dcterms:modified xsi:type="dcterms:W3CDTF">2024-11-05T15:24:00Z</dcterms:modified>
</cp:coreProperties>
</file>