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b w:val="1"/>
          <w:bCs w:val="1"/>
          <w:u w:val="single" w:color="auto"/>
          <w:color w:val="0563C1"/>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-5080</wp:posOffset>
            </wp:positionV>
            <wp:extent cx="86931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86931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208280</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35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3108325</wp:posOffset>
            </wp:positionH>
            <wp:positionV relativeFrom="paragraph">
              <wp:posOffset>55880</wp:posOffset>
            </wp:positionV>
            <wp:extent cx="92583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925830" cy="8255"/>
                    </a:xfrm>
                    <a:prstGeom prst="rect">
                      <a:avLst/>
                    </a:prstGeom>
                    <a:noFill/>
                  </pic:spPr>
                </pic:pic>
              </a:graphicData>
            </a:graphic>
          </wp:anchor>
        </w:drawing>
      </w:r>
    </w:p>
    <w:p>
      <w:pPr>
        <w:spacing w:after="0" w:line="11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3108325</wp:posOffset>
            </wp:positionH>
            <wp:positionV relativeFrom="paragraph">
              <wp:posOffset>79375</wp:posOffset>
            </wp:positionV>
            <wp:extent cx="92583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925830" cy="8255"/>
                    </a:xfrm>
                    <a:prstGeom prst="rect">
                      <a:avLst/>
                    </a:prstGeom>
                    <a:noFill/>
                  </pic:spPr>
                </pic:pic>
              </a:graphicData>
            </a:graphic>
          </wp:anchor>
        </w:drawing>
      </w:r>
    </w:p>
    <w:p>
      <w:pPr>
        <w:spacing w:after="0" w:line="172" w:lineRule="exact"/>
        <w:rPr>
          <w:sz w:val="24"/>
          <w:szCs w:val="24"/>
          <w:color w:val="auto"/>
        </w:rPr>
      </w:pPr>
    </w:p>
    <w:p>
      <w:pPr>
        <w:ind w:left="500" w:hanging="492"/>
        <w:spacing w:after="0"/>
        <w:tabs>
          <w:tab w:leader="none" w:pos="500" w:val="left"/>
        </w:tabs>
        <w:numPr>
          <w:ilvl w:val="0"/>
          <w:numId w:val="1"/>
        </w:numPr>
        <w:rPr>
          <w:rFonts w:ascii="MS PGothic" w:cs="MS PGothic" w:eastAsia="MS PGothic" w:hAnsi="MS PGothic"/>
          <w:sz w:val="20"/>
          <w:szCs w:val="20"/>
          <w:color w:val="auto"/>
        </w:rPr>
      </w:pPr>
      <w:r>
        <w:rPr>
          <w:rFonts w:ascii="Times New Roman" w:cs="Times New Roman" w:eastAsia="Times New Roman" w:hAnsi="Times New Roman"/>
          <w:sz w:val="20"/>
          <w:szCs w:val="20"/>
          <w:b w:val="1"/>
          <w:bCs w:val="1"/>
          <w:color w:val="auto"/>
        </w:rPr>
        <w:t>QUARTERLY REPORT PURSUANT TO SECTION 13 OR 15(d) OF THE SECURITIES EXCHANGE ACT OF 1934</w:t>
      </w:r>
    </w:p>
    <w:p>
      <w:pPr>
        <w:spacing w:after="0" w:line="85" w:lineRule="exact"/>
        <w:rPr>
          <w:rFonts w:ascii="MS PGothic" w:cs="MS PGothic" w:eastAsia="MS PGothic" w:hAnsi="MS PGothic"/>
          <w:sz w:val="20"/>
          <w:szCs w:val="20"/>
          <w:color w:val="auto"/>
        </w:rPr>
      </w:pPr>
    </w:p>
    <w:p>
      <w:pPr>
        <w:ind w:left="3820"/>
        <w:spacing w:after="0"/>
        <w:rPr>
          <w:rFonts w:ascii="MS PGothic" w:cs="MS PGothic" w:eastAsia="MS PGothic" w:hAnsi="MS PGothic"/>
          <w:sz w:val="20"/>
          <w:szCs w:val="20"/>
          <w:color w:val="auto"/>
        </w:rPr>
      </w:pPr>
      <w:r>
        <w:rPr>
          <w:rFonts w:ascii="Times New Roman" w:cs="Times New Roman" w:eastAsia="Times New Roman" w:hAnsi="Times New Roman"/>
          <w:sz w:val="18"/>
          <w:szCs w:val="18"/>
          <w:b w:val="1"/>
          <w:bCs w:val="1"/>
          <w:color w:val="auto"/>
        </w:rPr>
        <w:t>For the quarterly period ended March 31, 2025</w:t>
      </w:r>
    </w:p>
    <w:p>
      <w:pPr>
        <w:spacing w:after="0" w:line="7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86" w:lineRule="exact"/>
        <w:rPr>
          <w:sz w:val="24"/>
          <w:szCs w:val="24"/>
          <w:color w:val="auto"/>
        </w:rPr>
      </w:pPr>
    </w:p>
    <w:p>
      <w:pPr>
        <w:ind w:left="500" w:hanging="492"/>
        <w:spacing w:after="0"/>
        <w:tabs>
          <w:tab w:leader="none" w:pos="500" w:val="left"/>
        </w:tabs>
        <w:numPr>
          <w:ilvl w:val="0"/>
          <w:numId w:val="2"/>
        </w:numPr>
        <w:rPr>
          <w:rFonts w:ascii="MS PGothic" w:cs="MS PGothic" w:eastAsia="MS PGothic" w:hAnsi="MS PGothic"/>
          <w:sz w:val="20"/>
          <w:szCs w:val="20"/>
          <w:color w:val="auto"/>
        </w:rPr>
      </w:pPr>
      <w:r>
        <w:rPr>
          <w:rFonts w:ascii="Times New Roman" w:cs="Times New Roman" w:eastAsia="Times New Roman" w:hAnsi="Times New Roman"/>
          <w:sz w:val="20"/>
          <w:szCs w:val="20"/>
          <w:b w:val="1"/>
          <w:bCs w:val="1"/>
          <w:color w:val="auto"/>
        </w:rPr>
        <w:t>TRANSITION REPORT PURSUANT TO SECTION 13 OR 15(d) OF THE SECURITIES EXCHANGE ACT OF 1934</w:t>
      </w:r>
    </w:p>
    <w:p>
      <w:pPr>
        <w:spacing w:after="0" w:line="85" w:lineRule="exact"/>
        <w:rPr>
          <w:sz w:val="24"/>
          <w:szCs w:val="24"/>
          <w:color w:val="auto"/>
        </w:rPr>
      </w:pPr>
    </w:p>
    <w:p>
      <w:pPr>
        <w:ind w:left="3600"/>
        <w:spacing w:after="0"/>
        <w:tabs>
          <w:tab w:leader="none" w:pos="6720" w:val="left"/>
        </w:tabs>
        <w:rPr>
          <w:sz w:val="20"/>
          <w:szCs w:val="20"/>
          <w:color w:val="auto"/>
        </w:rPr>
      </w:pPr>
      <w:r>
        <w:rPr>
          <w:rFonts w:ascii="Times New Roman" w:cs="Times New Roman" w:eastAsia="Times New Roman" w:hAnsi="Times New Roman"/>
          <w:sz w:val="18"/>
          <w:szCs w:val="18"/>
          <w:b w:val="1"/>
          <w:bCs w:val="1"/>
          <w:color w:val="auto"/>
        </w:rPr>
        <w:t>For the transition period from</w:t>
      </w:r>
      <w:r>
        <w:rPr>
          <w:sz w:val="20"/>
          <w:szCs w:val="20"/>
          <w:color w:val="auto"/>
        </w:rPr>
        <w:tab/>
      </w:r>
      <w:r>
        <w:rPr>
          <w:rFonts w:ascii="Times New Roman" w:cs="Times New Roman" w:eastAsia="Times New Roman" w:hAnsi="Times New Roman"/>
          <w:sz w:val="16"/>
          <w:szCs w:val="16"/>
          <w:b w:val="1"/>
          <w:bCs w:val="1"/>
          <w:color w:val="auto"/>
        </w:rPr>
        <w:t>to</w:t>
      </w:r>
    </w:p>
    <w:p>
      <w:pPr>
        <w:spacing w:after="0" w:line="9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Commission file number 001-34504</w:t>
      </w:r>
    </w:p>
    <w:p>
      <w:pPr>
        <w:spacing w:after="0" w:line="8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ADDUS HOMECARE CORPORATION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3108325</wp:posOffset>
            </wp:positionH>
            <wp:positionV relativeFrom="paragraph">
              <wp:posOffset>-289560</wp:posOffset>
            </wp:positionV>
            <wp:extent cx="92583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925830" cy="8255"/>
                    </a:xfrm>
                    <a:prstGeom prst="rect">
                      <a:avLst/>
                    </a:prstGeom>
                    <a:noFill/>
                  </pic:spPr>
                </pic:pic>
              </a:graphicData>
            </a:graphic>
          </wp:anchor>
        </w:drawing>
      </w:r>
    </w:p>
    <w:p>
      <w:pPr>
        <w:spacing w:after="0" w:line="3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3108325</wp:posOffset>
            </wp:positionH>
            <wp:positionV relativeFrom="paragraph">
              <wp:posOffset>64770</wp:posOffset>
            </wp:positionV>
            <wp:extent cx="92583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925830" cy="8255"/>
                    </a:xfrm>
                    <a:prstGeom prst="rect">
                      <a:avLst/>
                    </a:prstGeom>
                    <a:noFill/>
                  </pic:spPr>
                </pic:pic>
              </a:graphicData>
            </a:graphic>
          </wp:anchor>
        </w:drawing>
      </w:r>
    </w:p>
    <w:p>
      <w:pPr>
        <w:spacing w:after="0" w:line="316" w:lineRule="exact"/>
        <w:rPr>
          <w:sz w:val="24"/>
          <w:szCs w:val="24"/>
          <w:color w:val="auto"/>
        </w:rPr>
      </w:pPr>
    </w:p>
    <w:tbl>
      <w:tblPr>
        <w:tblLayout w:type="fixed"/>
        <w:tblInd w:w="10" w:type="dxa"/>
        <w:tblCellMar>
          <w:top w:w="0" w:type="dxa"/>
          <w:left w:w="0" w:type="dxa"/>
          <w:bottom w:w="0" w:type="dxa"/>
          <w:right w:w="0" w:type="dxa"/>
        </w:tblCellMar>
      </w:tblPr>
      <w:tr>
        <w:trPr>
          <w:trHeight w:val="216"/>
        </w:trPr>
        <w:tc>
          <w:tcPr>
            <w:tcW w:w="4640" w:type="dxa"/>
            <w:vAlign w:val="bottom"/>
            <w:gridSpan w:val="2"/>
          </w:tcPr>
          <w:p>
            <w:pPr>
              <w:jc w:val="center"/>
              <w:ind w:left="952"/>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2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580" w:type="dxa"/>
            <w:vAlign w:val="bottom"/>
          </w:tcPr>
          <w:p>
            <w:pPr>
              <w:jc w:val="right"/>
              <w:ind w:right="2193"/>
              <w:spacing w:after="0"/>
              <w:rPr>
                <w:sz w:val="20"/>
                <w:szCs w:val="20"/>
                <w:color w:val="auto"/>
              </w:rPr>
            </w:pPr>
            <w:r>
              <w:rPr>
                <w:rFonts w:ascii="Times New Roman" w:cs="Times New Roman" w:eastAsia="Times New Roman" w:hAnsi="Times New Roman"/>
                <w:sz w:val="18"/>
                <w:szCs w:val="18"/>
                <w:b w:val="1"/>
                <w:bCs w:val="1"/>
                <w:color w:val="auto"/>
              </w:rPr>
              <w:t>20-5340172</w:t>
            </w:r>
          </w:p>
        </w:tc>
        <w:tc>
          <w:tcPr>
            <w:tcW w:w="0" w:type="dxa"/>
            <w:vAlign w:val="bottom"/>
          </w:tcPr>
          <w:p>
            <w:pPr>
              <w:spacing w:after="0"/>
              <w:rPr>
                <w:sz w:val="1"/>
                <w:szCs w:val="1"/>
                <w:color w:val="auto"/>
              </w:rPr>
            </w:pPr>
          </w:p>
        </w:tc>
      </w:tr>
      <w:tr>
        <w:trPr>
          <w:trHeight w:val="216"/>
        </w:trPr>
        <w:tc>
          <w:tcPr>
            <w:tcW w:w="4640" w:type="dxa"/>
            <w:vAlign w:val="bottom"/>
            <w:gridSpan w:val="2"/>
          </w:tcPr>
          <w:p>
            <w:pPr>
              <w:jc w:val="center"/>
              <w:ind w:left="952"/>
              <w:spacing w:after="0"/>
              <w:rPr>
                <w:sz w:val="20"/>
                <w:szCs w:val="20"/>
                <w:color w:val="auto"/>
              </w:rPr>
            </w:pPr>
            <w:r>
              <w:rPr>
                <w:rFonts w:ascii="Times New Roman" w:cs="Times New Roman" w:eastAsia="Times New Roman" w:hAnsi="Times New Roman"/>
                <w:sz w:val="18"/>
                <w:szCs w:val="18"/>
                <w:b w:val="1"/>
                <w:bCs w:val="1"/>
                <w:color w:val="auto"/>
                <w:w w:val="99"/>
              </w:rPr>
              <w:t>(State or other jurisdiction of</w:t>
            </w:r>
          </w:p>
        </w:tc>
        <w:tc>
          <w:tcPr>
            <w:tcW w:w="2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580" w:type="dxa"/>
            <w:vAlign w:val="bottom"/>
          </w:tcPr>
          <w:p>
            <w:pPr>
              <w:jc w:val="center"/>
              <w:ind w:right="1753"/>
              <w:spacing w:after="0"/>
              <w:rPr>
                <w:sz w:val="20"/>
                <w:szCs w:val="20"/>
                <w:color w:val="auto"/>
              </w:rPr>
            </w:pPr>
            <w:r>
              <w:rPr>
                <w:rFonts w:ascii="Times New Roman" w:cs="Times New Roman" w:eastAsia="Times New Roman" w:hAnsi="Times New Roman"/>
                <w:sz w:val="18"/>
                <w:szCs w:val="18"/>
                <w:b w:val="1"/>
                <w:bCs w:val="1"/>
                <w:color w:val="auto"/>
                <w:w w:val="99"/>
              </w:rPr>
              <w:t>(I.R.S. Employer</w:t>
            </w:r>
          </w:p>
        </w:tc>
        <w:tc>
          <w:tcPr>
            <w:tcW w:w="0" w:type="dxa"/>
            <w:vAlign w:val="bottom"/>
          </w:tcPr>
          <w:p>
            <w:pPr>
              <w:spacing w:after="0"/>
              <w:rPr>
                <w:sz w:val="1"/>
                <w:szCs w:val="1"/>
                <w:color w:val="auto"/>
              </w:rPr>
            </w:pPr>
          </w:p>
        </w:tc>
      </w:tr>
      <w:tr>
        <w:trPr>
          <w:trHeight w:val="238"/>
        </w:trPr>
        <w:tc>
          <w:tcPr>
            <w:tcW w:w="4640" w:type="dxa"/>
            <w:vAlign w:val="bottom"/>
            <w:gridSpan w:val="2"/>
          </w:tcPr>
          <w:p>
            <w:pPr>
              <w:jc w:val="center"/>
              <w:ind w:left="952"/>
              <w:spacing w:after="0"/>
              <w:rPr>
                <w:sz w:val="20"/>
                <w:szCs w:val="20"/>
                <w:color w:val="auto"/>
              </w:rPr>
            </w:pPr>
            <w:r>
              <w:rPr>
                <w:rFonts w:ascii="Times New Roman" w:cs="Times New Roman" w:eastAsia="Times New Roman" w:hAnsi="Times New Roman"/>
                <w:sz w:val="18"/>
                <w:szCs w:val="18"/>
                <w:b w:val="1"/>
                <w:bCs w:val="1"/>
                <w:color w:val="auto"/>
              </w:rPr>
              <w:t>incorporation or organization)</w:t>
            </w:r>
          </w:p>
        </w:tc>
        <w:tc>
          <w:tcPr>
            <w:tcW w:w="28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580" w:type="dxa"/>
            <w:vAlign w:val="bottom"/>
          </w:tcPr>
          <w:p>
            <w:pPr>
              <w:jc w:val="center"/>
              <w:ind w:right="1773"/>
              <w:spacing w:after="0"/>
              <w:rPr>
                <w:sz w:val="20"/>
                <w:szCs w:val="20"/>
                <w:color w:val="auto"/>
              </w:rPr>
            </w:pPr>
            <w:r>
              <w:rPr>
                <w:rFonts w:ascii="Times New Roman" w:cs="Times New Roman" w:eastAsia="Times New Roman" w:hAnsi="Times New Roman"/>
                <w:sz w:val="18"/>
                <w:szCs w:val="18"/>
                <w:b w:val="1"/>
                <w:bCs w:val="1"/>
                <w:color w:val="auto"/>
                <w:w w:val="99"/>
              </w:rPr>
              <w:t>Identification No.)</w:t>
            </w:r>
          </w:p>
        </w:tc>
        <w:tc>
          <w:tcPr>
            <w:tcW w:w="0" w:type="dxa"/>
            <w:vAlign w:val="bottom"/>
          </w:tcPr>
          <w:p>
            <w:pPr>
              <w:spacing w:after="0"/>
              <w:rPr>
                <w:sz w:val="1"/>
                <w:szCs w:val="1"/>
                <w:color w:val="auto"/>
              </w:rPr>
            </w:pPr>
          </w:p>
        </w:tc>
      </w:tr>
      <w:tr>
        <w:trPr>
          <w:trHeight w:val="437"/>
        </w:trPr>
        <w:tc>
          <w:tcPr>
            <w:tcW w:w="4640" w:type="dxa"/>
            <w:vAlign w:val="bottom"/>
            <w:gridSpan w:val="2"/>
          </w:tcPr>
          <w:p>
            <w:pPr>
              <w:jc w:val="center"/>
              <w:ind w:left="952"/>
              <w:spacing w:after="0"/>
              <w:rPr>
                <w:sz w:val="20"/>
                <w:szCs w:val="20"/>
                <w:color w:val="auto"/>
              </w:rPr>
            </w:pPr>
            <w:r>
              <w:rPr>
                <w:rFonts w:ascii="Times New Roman" w:cs="Times New Roman" w:eastAsia="Times New Roman" w:hAnsi="Times New Roman"/>
                <w:sz w:val="18"/>
                <w:szCs w:val="18"/>
                <w:b w:val="1"/>
                <w:bCs w:val="1"/>
                <w:color w:val="auto"/>
              </w:rPr>
              <w:t>6303 Cowboys Way, Suite 600</w:t>
            </w:r>
          </w:p>
        </w:tc>
        <w:tc>
          <w:tcPr>
            <w:tcW w:w="2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4640" w:type="dxa"/>
            <w:vAlign w:val="bottom"/>
            <w:gridSpan w:val="2"/>
          </w:tcPr>
          <w:p>
            <w:pPr>
              <w:jc w:val="center"/>
              <w:ind w:left="932"/>
              <w:spacing w:after="0"/>
              <w:rPr>
                <w:sz w:val="20"/>
                <w:szCs w:val="20"/>
                <w:color w:val="auto"/>
              </w:rPr>
            </w:pPr>
            <w:r>
              <w:rPr>
                <w:rFonts w:ascii="Times New Roman" w:cs="Times New Roman" w:eastAsia="Times New Roman" w:hAnsi="Times New Roman"/>
                <w:sz w:val="18"/>
                <w:szCs w:val="18"/>
                <w:b w:val="1"/>
                <w:bCs w:val="1"/>
                <w:color w:val="auto"/>
                <w:w w:val="99"/>
              </w:rPr>
              <w:t>Frisco, TX</w:t>
            </w:r>
          </w:p>
        </w:tc>
        <w:tc>
          <w:tcPr>
            <w:tcW w:w="2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580" w:type="dxa"/>
            <w:vAlign w:val="bottom"/>
          </w:tcPr>
          <w:p>
            <w:pPr>
              <w:jc w:val="right"/>
              <w:ind w:right="2413"/>
              <w:spacing w:after="0"/>
              <w:rPr>
                <w:sz w:val="20"/>
                <w:szCs w:val="20"/>
                <w:color w:val="auto"/>
              </w:rPr>
            </w:pPr>
            <w:r>
              <w:rPr>
                <w:rFonts w:ascii="Times New Roman" w:cs="Times New Roman" w:eastAsia="Times New Roman" w:hAnsi="Times New Roman"/>
                <w:sz w:val="18"/>
                <w:szCs w:val="18"/>
                <w:b w:val="1"/>
                <w:bCs w:val="1"/>
                <w:color w:val="auto"/>
              </w:rPr>
              <w:t>75034</w:t>
            </w:r>
          </w:p>
        </w:tc>
        <w:tc>
          <w:tcPr>
            <w:tcW w:w="0" w:type="dxa"/>
            <w:vAlign w:val="bottom"/>
          </w:tcPr>
          <w:p>
            <w:pPr>
              <w:spacing w:after="0"/>
              <w:rPr>
                <w:sz w:val="1"/>
                <w:szCs w:val="1"/>
                <w:color w:val="auto"/>
              </w:rPr>
            </w:pPr>
          </w:p>
        </w:tc>
      </w:tr>
      <w:tr>
        <w:trPr>
          <w:trHeight w:val="238"/>
        </w:trPr>
        <w:tc>
          <w:tcPr>
            <w:tcW w:w="4640" w:type="dxa"/>
            <w:vAlign w:val="bottom"/>
            <w:gridSpan w:val="2"/>
          </w:tcPr>
          <w:p>
            <w:pPr>
              <w:jc w:val="center"/>
              <w:ind w:left="932"/>
              <w:spacing w:after="0"/>
              <w:rPr>
                <w:sz w:val="20"/>
                <w:szCs w:val="20"/>
                <w:color w:val="auto"/>
              </w:rPr>
            </w:pPr>
            <w:r>
              <w:rPr>
                <w:rFonts w:ascii="Times New Roman" w:cs="Times New Roman" w:eastAsia="Times New Roman" w:hAnsi="Times New Roman"/>
                <w:sz w:val="18"/>
                <w:szCs w:val="18"/>
                <w:b w:val="1"/>
                <w:bCs w:val="1"/>
                <w:color w:val="auto"/>
                <w:w w:val="99"/>
              </w:rPr>
              <w:t>(Address of principal executive offices)</w:t>
            </w:r>
          </w:p>
        </w:tc>
        <w:tc>
          <w:tcPr>
            <w:tcW w:w="2800" w:type="dxa"/>
            <w:vAlign w:val="bottom"/>
            <w:vMerge w:val="restart"/>
          </w:tcPr>
          <w:p>
            <w:pPr>
              <w:jc w:val="right"/>
              <w:ind w:right="1176"/>
              <w:spacing w:after="0"/>
              <w:rPr>
                <w:sz w:val="20"/>
                <w:szCs w:val="20"/>
                <w:color w:val="auto"/>
              </w:rPr>
            </w:pPr>
            <w:r>
              <w:rPr>
                <w:rFonts w:ascii="Times New Roman" w:cs="Times New Roman" w:eastAsia="Times New Roman" w:hAnsi="Times New Roman"/>
                <w:sz w:val="18"/>
                <w:szCs w:val="18"/>
                <w:b w:val="1"/>
                <w:bCs w:val="1"/>
                <w:color w:val="auto"/>
              </w:rPr>
              <w:t>(469) 535-8200</w:t>
            </w:r>
          </w:p>
        </w:tc>
        <w:tc>
          <w:tcPr>
            <w:tcW w:w="220" w:type="dxa"/>
            <w:vAlign w:val="bottom"/>
          </w:tcPr>
          <w:p>
            <w:pPr>
              <w:spacing w:after="0"/>
              <w:rPr>
                <w:sz w:val="20"/>
                <w:szCs w:val="20"/>
                <w:color w:val="auto"/>
              </w:rPr>
            </w:pPr>
          </w:p>
        </w:tc>
        <w:tc>
          <w:tcPr>
            <w:tcW w:w="3580" w:type="dxa"/>
            <w:vAlign w:val="bottom"/>
          </w:tcPr>
          <w:p>
            <w:pPr>
              <w:jc w:val="center"/>
              <w:ind w:right="1773"/>
              <w:spacing w:after="0"/>
              <w:rPr>
                <w:sz w:val="20"/>
                <w:szCs w:val="20"/>
                <w:color w:val="auto"/>
              </w:rPr>
            </w:pPr>
            <w:r>
              <w:rPr>
                <w:rFonts w:ascii="Times New Roman" w:cs="Times New Roman" w:eastAsia="Times New Roman" w:hAnsi="Times New Roman"/>
                <w:sz w:val="18"/>
                <w:szCs w:val="18"/>
                <w:b w:val="1"/>
                <w:bCs w:val="1"/>
                <w:color w:val="auto"/>
              </w:rPr>
              <w:t>(Zip Code)</w:t>
            </w:r>
          </w:p>
        </w:tc>
        <w:tc>
          <w:tcPr>
            <w:tcW w:w="0" w:type="dxa"/>
            <w:vAlign w:val="bottom"/>
          </w:tcPr>
          <w:p>
            <w:pPr>
              <w:spacing w:after="0"/>
              <w:rPr>
                <w:sz w:val="1"/>
                <w:szCs w:val="1"/>
                <w:color w:val="auto"/>
              </w:rPr>
            </w:pPr>
          </w:p>
        </w:tc>
      </w:tr>
      <w:tr>
        <w:trPr>
          <w:trHeight w:val="194"/>
        </w:trPr>
        <w:tc>
          <w:tcPr>
            <w:tcW w:w="37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80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35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3720" w:type="dxa"/>
            <w:vAlign w:val="bottom"/>
          </w:tcPr>
          <w:p>
            <w:pPr>
              <w:spacing w:after="0"/>
              <w:rPr>
                <w:sz w:val="20"/>
                <w:szCs w:val="20"/>
                <w:color w:val="auto"/>
              </w:rPr>
            </w:pPr>
          </w:p>
        </w:tc>
        <w:tc>
          <w:tcPr>
            <w:tcW w:w="7520" w:type="dxa"/>
            <w:vAlign w:val="bottom"/>
            <w:gridSpan w:val="4"/>
          </w:tcPr>
          <w:p>
            <w:pPr>
              <w:ind w:left="120"/>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w:t>
            </w:r>
          </w:p>
        </w:tc>
        <w:tc>
          <w:tcPr>
            <w:tcW w:w="0" w:type="dxa"/>
            <w:vAlign w:val="bottom"/>
          </w:tcPr>
          <w:p>
            <w:pPr>
              <w:spacing w:after="0"/>
              <w:rPr>
                <w:sz w:val="1"/>
                <w:szCs w:val="1"/>
                <w:color w:val="auto"/>
              </w:rPr>
            </w:pPr>
          </w:p>
        </w:tc>
      </w:tr>
      <w:tr>
        <w:trPr>
          <w:trHeight w:val="264"/>
        </w:trPr>
        <w:tc>
          <w:tcPr>
            <w:tcW w:w="3720" w:type="dxa"/>
            <w:vAlign w:val="bottom"/>
          </w:tcPr>
          <w:p>
            <w:pPr>
              <w:spacing w:after="0"/>
              <w:rPr>
                <w:sz w:val="22"/>
                <w:szCs w:val="22"/>
                <w:color w:val="auto"/>
              </w:rPr>
            </w:pPr>
          </w:p>
        </w:tc>
        <w:tc>
          <w:tcPr>
            <w:tcW w:w="3940" w:type="dxa"/>
            <w:vAlign w:val="bottom"/>
            <w:gridSpan w:val="3"/>
          </w:tcPr>
          <w:p>
            <w:pPr>
              <w:ind w:left="40"/>
              <w:spacing w:after="0"/>
              <w:rPr>
                <w:sz w:val="20"/>
                <w:szCs w:val="20"/>
                <w:color w:val="auto"/>
              </w:rPr>
            </w:pPr>
            <w:r>
              <w:rPr>
                <w:rFonts w:ascii="Times New Roman" w:cs="Times New Roman" w:eastAsia="Times New Roman" w:hAnsi="Times New Roman"/>
                <w:sz w:val="16"/>
                <w:szCs w:val="16"/>
                <w:color w:val="auto"/>
              </w:rPr>
              <w:t>Securities registered pursuant to Section 12(b) of the Act:</w:t>
            </w:r>
          </w:p>
        </w:tc>
        <w:tc>
          <w:tcPr>
            <w:tcW w:w="3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71"/>
        </w:trPr>
        <w:tc>
          <w:tcPr>
            <w:tcW w:w="372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28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358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3720" w:type="dxa"/>
            <w:vAlign w:val="bottom"/>
            <w:tcBorders>
              <w:left w:val="single" w:sz="8" w:color="auto"/>
              <w:bottom w:val="single" w:sz="8" w:color="auto"/>
              <w:right w:val="single" w:sz="8" w:color="auto"/>
            </w:tcBorders>
          </w:tcPr>
          <w:p>
            <w:pPr>
              <w:jc w:val="center"/>
              <w:spacing w:after="0" w:line="176" w:lineRule="exact"/>
              <w:rPr>
                <w:sz w:val="20"/>
                <w:szCs w:val="20"/>
                <w:color w:val="auto"/>
              </w:rPr>
            </w:pPr>
            <w:r>
              <w:rPr>
                <w:rFonts w:ascii="Times New Roman" w:cs="Times New Roman" w:eastAsia="Times New Roman" w:hAnsi="Times New Roman"/>
                <w:sz w:val="16"/>
                <w:szCs w:val="16"/>
                <w:color w:val="auto"/>
              </w:rPr>
              <w:t>Title of each class</w:t>
            </w:r>
          </w:p>
        </w:tc>
        <w:tc>
          <w:tcPr>
            <w:tcW w:w="920" w:type="dxa"/>
            <w:vAlign w:val="bottom"/>
            <w:tcBorders>
              <w:bottom w:val="single" w:sz="8" w:color="auto"/>
            </w:tcBorders>
          </w:tcPr>
          <w:p>
            <w:pPr>
              <w:spacing w:after="0"/>
              <w:rPr>
                <w:sz w:val="17"/>
                <w:szCs w:val="17"/>
                <w:color w:val="auto"/>
              </w:rPr>
            </w:pPr>
          </w:p>
        </w:tc>
        <w:tc>
          <w:tcPr>
            <w:tcW w:w="2800" w:type="dxa"/>
            <w:vAlign w:val="bottom"/>
            <w:tcBorders>
              <w:bottom w:val="single" w:sz="8" w:color="auto"/>
              <w:right w:val="single" w:sz="8" w:color="auto"/>
            </w:tcBorders>
          </w:tcPr>
          <w:p>
            <w:pPr>
              <w:jc w:val="right"/>
              <w:ind w:right="1176"/>
              <w:spacing w:after="0" w:line="176" w:lineRule="exact"/>
              <w:rPr>
                <w:sz w:val="20"/>
                <w:szCs w:val="20"/>
                <w:color w:val="auto"/>
              </w:rPr>
            </w:pPr>
            <w:r>
              <w:rPr>
                <w:rFonts w:ascii="Times New Roman" w:cs="Times New Roman" w:eastAsia="Times New Roman" w:hAnsi="Times New Roman"/>
                <w:sz w:val="16"/>
                <w:szCs w:val="16"/>
                <w:color w:val="auto"/>
              </w:rPr>
              <w:t>Trading Symbol(s)</w:t>
            </w:r>
          </w:p>
        </w:tc>
        <w:tc>
          <w:tcPr>
            <w:tcW w:w="220" w:type="dxa"/>
            <w:vAlign w:val="bottom"/>
            <w:tcBorders>
              <w:bottom w:val="single" w:sz="8" w:color="auto"/>
            </w:tcBorders>
          </w:tcPr>
          <w:p>
            <w:pPr>
              <w:spacing w:after="0"/>
              <w:rPr>
                <w:sz w:val="17"/>
                <w:szCs w:val="17"/>
                <w:color w:val="auto"/>
              </w:rPr>
            </w:pPr>
          </w:p>
        </w:tc>
        <w:tc>
          <w:tcPr>
            <w:tcW w:w="3580" w:type="dxa"/>
            <w:vAlign w:val="bottom"/>
            <w:tcBorders>
              <w:bottom w:val="single" w:sz="8" w:color="auto"/>
              <w:right w:val="single" w:sz="8" w:color="auto"/>
            </w:tcBorders>
          </w:tcPr>
          <w:p>
            <w:pPr>
              <w:jc w:val="center"/>
              <w:ind w:right="153"/>
              <w:spacing w:after="0" w:line="176" w:lineRule="exact"/>
              <w:rPr>
                <w:sz w:val="20"/>
                <w:szCs w:val="20"/>
                <w:color w:val="auto"/>
              </w:rPr>
            </w:pPr>
            <w:r>
              <w:rPr>
                <w:rFonts w:ascii="Times New Roman" w:cs="Times New Roman" w:eastAsia="Times New Roman" w:hAnsi="Times New Roman"/>
                <w:sz w:val="16"/>
                <w:szCs w:val="16"/>
                <w:color w:val="auto"/>
              </w:rPr>
              <w:t>Name of each exchange on which registered</w:t>
            </w:r>
          </w:p>
        </w:tc>
        <w:tc>
          <w:tcPr>
            <w:tcW w:w="0" w:type="dxa"/>
            <w:vAlign w:val="bottom"/>
          </w:tcPr>
          <w:p>
            <w:pPr>
              <w:spacing w:after="0"/>
              <w:rPr>
                <w:sz w:val="1"/>
                <w:szCs w:val="1"/>
                <w:color w:val="auto"/>
              </w:rPr>
            </w:pPr>
          </w:p>
        </w:tc>
      </w:tr>
      <w:tr>
        <w:trPr>
          <w:trHeight w:val="179"/>
        </w:trPr>
        <w:tc>
          <w:tcPr>
            <w:tcW w:w="3720" w:type="dxa"/>
            <w:vAlign w:val="bottom"/>
            <w:tcBorders>
              <w:left w:val="single" w:sz="8" w:color="auto"/>
              <w:bottom w:val="single" w:sz="8" w:color="auto"/>
              <w:right w:val="single" w:sz="8" w:color="auto"/>
            </w:tcBorders>
          </w:tcPr>
          <w:p>
            <w:pPr>
              <w:jc w:val="center"/>
              <w:spacing w:after="0" w:line="179" w:lineRule="exact"/>
              <w:rPr>
                <w:sz w:val="20"/>
                <w:szCs w:val="20"/>
                <w:color w:val="auto"/>
              </w:rPr>
            </w:pPr>
            <w:r>
              <w:rPr>
                <w:rFonts w:ascii="Times New Roman" w:cs="Times New Roman" w:eastAsia="Times New Roman" w:hAnsi="Times New Roman"/>
                <w:sz w:val="16"/>
                <w:szCs w:val="16"/>
                <w:color w:val="auto"/>
              </w:rPr>
              <w:t>Common Stock, $0.001 par value</w:t>
            </w:r>
          </w:p>
        </w:tc>
        <w:tc>
          <w:tcPr>
            <w:tcW w:w="920" w:type="dxa"/>
            <w:vAlign w:val="bottom"/>
            <w:tcBorders>
              <w:bottom w:val="single" w:sz="8" w:color="auto"/>
            </w:tcBorders>
          </w:tcPr>
          <w:p>
            <w:pPr>
              <w:spacing w:after="0"/>
              <w:rPr>
                <w:sz w:val="15"/>
                <w:szCs w:val="15"/>
                <w:color w:val="auto"/>
              </w:rPr>
            </w:pPr>
          </w:p>
        </w:tc>
        <w:tc>
          <w:tcPr>
            <w:tcW w:w="2800" w:type="dxa"/>
            <w:vAlign w:val="bottom"/>
            <w:tcBorders>
              <w:bottom w:val="single" w:sz="8" w:color="auto"/>
              <w:right w:val="single" w:sz="8" w:color="auto"/>
            </w:tcBorders>
          </w:tcPr>
          <w:p>
            <w:pPr>
              <w:jc w:val="right"/>
              <w:ind w:right="1556"/>
              <w:spacing w:after="0" w:line="179" w:lineRule="exact"/>
              <w:rPr>
                <w:sz w:val="20"/>
                <w:szCs w:val="20"/>
                <w:color w:val="auto"/>
              </w:rPr>
            </w:pPr>
            <w:r>
              <w:rPr>
                <w:rFonts w:ascii="Times New Roman" w:cs="Times New Roman" w:eastAsia="Times New Roman" w:hAnsi="Times New Roman"/>
                <w:sz w:val="16"/>
                <w:szCs w:val="16"/>
                <w:color w:val="auto"/>
              </w:rPr>
              <w:t>ADUS</w:t>
            </w:r>
          </w:p>
        </w:tc>
        <w:tc>
          <w:tcPr>
            <w:tcW w:w="220" w:type="dxa"/>
            <w:vAlign w:val="bottom"/>
            <w:tcBorders>
              <w:bottom w:val="single" w:sz="8" w:color="auto"/>
            </w:tcBorders>
          </w:tcPr>
          <w:p>
            <w:pPr>
              <w:spacing w:after="0"/>
              <w:rPr>
                <w:sz w:val="15"/>
                <w:szCs w:val="15"/>
                <w:color w:val="auto"/>
              </w:rPr>
            </w:pPr>
          </w:p>
        </w:tc>
        <w:tc>
          <w:tcPr>
            <w:tcW w:w="3580" w:type="dxa"/>
            <w:vAlign w:val="bottom"/>
            <w:tcBorders>
              <w:bottom w:val="single" w:sz="8" w:color="auto"/>
              <w:right w:val="single" w:sz="8" w:color="auto"/>
            </w:tcBorders>
          </w:tcPr>
          <w:p>
            <w:pPr>
              <w:jc w:val="center"/>
              <w:ind w:right="153"/>
              <w:spacing w:after="0" w:line="179" w:lineRule="exact"/>
              <w:rPr>
                <w:sz w:val="20"/>
                <w:szCs w:val="20"/>
                <w:color w:val="auto"/>
              </w:rPr>
            </w:pPr>
            <w:r>
              <w:rPr>
                <w:rFonts w:ascii="Times New Roman" w:cs="Times New Roman" w:eastAsia="Times New Roman" w:hAnsi="Times New Roman"/>
                <w:sz w:val="16"/>
                <w:szCs w:val="16"/>
                <w:color w:val="auto"/>
              </w:rPr>
              <w:t>The Nasdaq Stock Market, LLC</w:t>
            </w:r>
          </w:p>
        </w:tc>
        <w:tc>
          <w:tcPr>
            <w:tcW w:w="0" w:type="dxa"/>
            <w:vAlign w:val="bottom"/>
          </w:tcPr>
          <w:p>
            <w:pPr>
              <w:spacing w:after="0"/>
              <w:rPr>
                <w:sz w:val="1"/>
                <w:szCs w:val="1"/>
                <w:color w:val="auto"/>
              </w:rPr>
            </w:pPr>
          </w:p>
        </w:tc>
      </w:tr>
    </w:tbl>
    <w:p>
      <w:pPr>
        <w:spacing w:after="0" w:line="130" w:lineRule="exact"/>
        <w:rPr>
          <w:sz w:val="24"/>
          <w:szCs w:val="24"/>
          <w:color w:val="auto"/>
        </w:rPr>
      </w:pPr>
    </w:p>
    <w:p>
      <w:pPr>
        <w:ind w:right="60" w:firstLine="509"/>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63" w:lineRule="exact"/>
        <w:rPr>
          <w:sz w:val="24"/>
          <w:szCs w:val="24"/>
          <w:color w:val="auto"/>
        </w:rPr>
      </w:pPr>
    </w:p>
    <w:p>
      <w:pPr>
        <w:ind w:right="40" w:firstLine="509"/>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63" w:lineRule="exact"/>
        <w:rPr>
          <w:sz w:val="24"/>
          <w:szCs w:val="24"/>
          <w:color w:val="auto"/>
        </w:rPr>
      </w:pPr>
    </w:p>
    <w:p>
      <w:pPr>
        <w:jc w:val="both"/>
        <w:ind w:right="180" w:firstLine="509"/>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266" w:lineRule="exact"/>
        <w:rPr>
          <w:sz w:val="24"/>
          <w:szCs w:val="24"/>
          <w:color w:val="auto"/>
        </w:rPr>
      </w:pPr>
    </w:p>
    <w:tbl>
      <w:tblPr>
        <w:tblLayout w:type="fixed"/>
        <w:tblInd w:w="0" w:type="dxa"/>
        <w:tblCellMar>
          <w:top w:w="0" w:type="dxa"/>
          <w:left w:w="0" w:type="dxa"/>
          <w:bottom w:w="0" w:type="dxa"/>
          <w:right w:w="0" w:type="dxa"/>
        </w:tblCellMar>
      </w:tblPr>
      <w:tr>
        <w:trPr>
          <w:trHeight w:val="202"/>
        </w:trPr>
        <w:tc>
          <w:tcPr>
            <w:tcW w:w="2100" w:type="dxa"/>
            <w:vAlign w:val="bottom"/>
          </w:tcPr>
          <w:p>
            <w:pPr>
              <w:spacing w:after="0"/>
              <w:rPr>
                <w:sz w:val="20"/>
                <w:szCs w:val="20"/>
                <w:color w:val="auto"/>
              </w:rPr>
            </w:pPr>
            <w:r>
              <w:rPr>
                <w:rFonts w:ascii="Times New Roman" w:cs="Times New Roman" w:eastAsia="Times New Roman" w:hAnsi="Times New Roman"/>
                <w:sz w:val="16"/>
                <w:szCs w:val="16"/>
                <w:color w:val="auto"/>
              </w:rPr>
              <w:t>Large Accelerated Filer</w:t>
            </w:r>
          </w:p>
        </w:tc>
        <w:tc>
          <w:tcPr>
            <w:tcW w:w="2400" w:type="dxa"/>
            <w:vAlign w:val="bottom"/>
          </w:tcPr>
          <w:p>
            <w:pPr>
              <w:ind w:left="240"/>
              <w:spacing w:after="0" w:line="161" w:lineRule="exact"/>
              <w:rPr>
                <w:sz w:val="20"/>
                <w:szCs w:val="20"/>
                <w:color w:val="auto"/>
              </w:rPr>
            </w:pPr>
            <w:r>
              <w:rPr>
                <w:rFonts w:ascii="MS PGothic" w:cs="MS PGothic" w:eastAsia="MS PGothic" w:hAnsi="MS PGothic"/>
                <w:sz w:val="16"/>
                <w:szCs w:val="16"/>
                <w:color w:val="auto"/>
              </w:rPr>
              <w:t>☒</w:t>
            </w:r>
          </w:p>
        </w:tc>
        <w:tc>
          <w:tcPr>
            <w:tcW w:w="4100" w:type="dxa"/>
            <w:vAlign w:val="bottom"/>
          </w:tcPr>
          <w:p>
            <w:pPr>
              <w:ind w:left="2000"/>
              <w:spacing w:after="0"/>
              <w:rPr>
                <w:sz w:val="20"/>
                <w:szCs w:val="20"/>
                <w:color w:val="auto"/>
              </w:rPr>
            </w:pPr>
            <w:r>
              <w:rPr>
                <w:rFonts w:ascii="Times New Roman" w:cs="Times New Roman" w:eastAsia="Times New Roman" w:hAnsi="Times New Roman"/>
                <w:sz w:val="16"/>
                <w:szCs w:val="16"/>
                <w:color w:val="auto"/>
              </w:rPr>
              <w:t>Accelerated Filer</w:t>
            </w:r>
          </w:p>
        </w:tc>
        <w:tc>
          <w:tcPr>
            <w:tcW w:w="400" w:type="dxa"/>
            <w:vAlign w:val="bottom"/>
          </w:tcPr>
          <w:p>
            <w:pPr>
              <w:ind w:left="26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03"/>
        </w:trPr>
        <w:tc>
          <w:tcPr>
            <w:tcW w:w="2100" w:type="dxa"/>
            <w:vAlign w:val="bottom"/>
          </w:tcPr>
          <w:p>
            <w:pPr>
              <w:spacing w:after="0"/>
              <w:rPr>
                <w:sz w:val="20"/>
                <w:szCs w:val="20"/>
                <w:color w:val="auto"/>
              </w:rPr>
            </w:pPr>
            <w:r>
              <w:rPr>
                <w:rFonts w:ascii="Times New Roman" w:cs="Times New Roman" w:eastAsia="Times New Roman" w:hAnsi="Times New Roman"/>
                <w:sz w:val="16"/>
                <w:szCs w:val="16"/>
                <w:color w:val="auto"/>
              </w:rPr>
              <w:t>Non-Accelerated Filer</w:t>
            </w:r>
          </w:p>
        </w:tc>
        <w:tc>
          <w:tcPr>
            <w:tcW w:w="2400" w:type="dxa"/>
            <w:vAlign w:val="bottom"/>
          </w:tcPr>
          <w:p>
            <w:pPr>
              <w:ind w:left="240"/>
              <w:spacing w:after="0" w:line="161" w:lineRule="exact"/>
              <w:rPr>
                <w:sz w:val="20"/>
                <w:szCs w:val="20"/>
                <w:color w:val="auto"/>
              </w:rPr>
            </w:pPr>
            <w:r>
              <w:rPr>
                <w:rFonts w:ascii="MS PGothic" w:cs="MS PGothic" w:eastAsia="MS PGothic" w:hAnsi="MS PGothic"/>
                <w:sz w:val="16"/>
                <w:szCs w:val="16"/>
                <w:color w:val="auto"/>
              </w:rPr>
              <w:t>☐</w:t>
            </w:r>
          </w:p>
        </w:tc>
        <w:tc>
          <w:tcPr>
            <w:tcW w:w="4100" w:type="dxa"/>
            <w:vAlign w:val="bottom"/>
          </w:tcPr>
          <w:p>
            <w:pPr>
              <w:ind w:left="2000"/>
              <w:spacing w:after="0"/>
              <w:rPr>
                <w:sz w:val="20"/>
                <w:szCs w:val="20"/>
                <w:color w:val="auto"/>
              </w:rPr>
            </w:pPr>
            <w:r>
              <w:rPr>
                <w:rFonts w:ascii="Times New Roman" w:cs="Times New Roman" w:eastAsia="Times New Roman" w:hAnsi="Times New Roman"/>
                <w:sz w:val="16"/>
                <w:szCs w:val="16"/>
                <w:color w:val="auto"/>
              </w:rPr>
              <w:t>Smaller Reporting Company</w:t>
            </w:r>
          </w:p>
        </w:tc>
        <w:tc>
          <w:tcPr>
            <w:tcW w:w="400" w:type="dxa"/>
            <w:vAlign w:val="bottom"/>
          </w:tcPr>
          <w:p>
            <w:pPr>
              <w:ind w:left="26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72"/>
        </w:trPr>
        <w:tc>
          <w:tcPr>
            <w:tcW w:w="2100" w:type="dxa"/>
            <w:vAlign w:val="bottom"/>
          </w:tcPr>
          <w:p>
            <w:pPr>
              <w:spacing w:after="0"/>
              <w:rPr>
                <w:sz w:val="20"/>
                <w:szCs w:val="20"/>
                <w:color w:val="auto"/>
              </w:rPr>
            </w:pPr>
            <w:r>
              <w:rPr>
                <w:rFonts w:ascii="Times New Roman" w:cs="Times New Roman" w:eastAsia="Times New Roman" w:hAnsi="Times New Roman"/>
                <w:sz w:val="16"/>
                <w:szCs w:val="16"/>
                <w:color w:val="auto"/>
              </w:rPr>
              <w:t>Emerging Growth Company</w:t>
            </w:r>
          </w:p>
        </w:tc>
        <w:tc>
          <w:tcPr>
            <w:tcW w:w="2400" w:type="dxa"/>
            <w:vAlign w:val="bottom"/>
          </w:tcPr>
          <w:p>
            <w:pPr>
              <w:ind w:left="240"/>
              <w:spacing w:after="0" w:line="161" w:lineRule="exact"/>
              <w:rPr>
                <w:sz w:val="20"/>
                <w:szCs w:val="20"/>
                <w:color w:val="auto"/>
              </w:rPr>
            </w:pPr>
            <w:r>
              <w:rPr>
                <w:rFonts w:ascii="MS PGothic" w:cs="MS PGothic" w:eastAsia="MS PGothic" w:hAnsi="MS PGothic"/>
                <w:sz w:val="16"/>
                <w:szCs w:val="16"/>
                <w:color w:val="auto"/>
              </w:rPr>
              <w:t>☐</w:t>
            </w:r>
          </w:p>
        </w:tc>
        <w:tc>
          <w:tcPr>
            <w:tcW w:w="4100" w:type="dxa"/>
            <w:vAlign w:val="bottom"/>
          </w:tcPr>
          <w:p>
            <w:pPr>
              <w:spacing w:after="0"/>
              <w:rPr>
                <w:sz w:val="23"/>
                <w:szCs w:val="23"/>
                <w:color w:val="auto"/>
              </w:rPr>
            </w:pPr>
          </w:p>
        </w:tc>
        <w:tc>
          <w:tcPr>
            <w:tcW w:w="400" w:type="dxa"/>
            <w:vAlign w:val="bottom"/>
          </w:tcPr>
          <w:p>
            <w:pPr>
              <w:spacing w:after="0"/>
              <w:rPr>
                <w:sz w:val="23"/>
                <w:szCs w:val="23"/>
                <w:color w:val="auto"/>
              </w:rPr>
            </w:pPr>
          </w:p>
        </w:tc>
      </w:tr>
    </w:tbl>
    <w:p>
      <w:pPr>
        <w:spacing w:after="0" w:line="70" w:lineRule="exact"/>
        <w:rPr>
          <w:sz w:val="24"/>
          <w:szCs w:val="24"/>
          <w:color w:val="auto"/>
        </w:rPr>
      </w:pPr>
    </w:p>
    <w:p>
      <w:pPr>
        <w:ind w:right="300" w:firstLine="509"/>
        <w:spacing w:after="0" w:line="236"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 w:lineRule="exact"/>
        <w:rPr>
          <w:sz w:val="24"/>
          <w:szCs w:val="24"/>
          <w:color w:val="auto"/>
        </w:rPr>
      </w:pPr>
    </w:p>
    <w:p>
      <w:pPr>
        <w:ind w:left="520" w:right="1280"/>
        <w:spacing w:after="0" w:line="239"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As of April 29, 2025, Addus HomeCare Corporation had 18,399,139 shares of Common Stock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879475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95250</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07"/>
        </w:trPr>
        <w:tc>
          <w:tcPr>
            <w:tcW w:w="10160" w:type="dxa"/>
            <w:vAlign w:val="bottom"/>
            <w:gridSpan w:val="21"/>
          </w:tcPr>
          <w:p>
            <w:pPr>
              <w:spacing w:after="0"/>
              <w:rPr>
                <w:sz w:val="20"/>
                <w:szCs w:val="20"/>
                <w:color w:val="auto"/>
              </w:rPr>
            </w:pPr>
            <w:r>
              <w:rPr>
                <w:rFonts w:ascii="Times New Roman" w:cs="Times New Roman" w:eastAsia="Times New Roman" w:hAnsi="Times New Roman"/>
                <w:sz w:val="18"/>
                <w:szCs w:val="18"/>
                <w:b w:val="1"/>
                <w:bCs w:val="1"/>
                <w:color w:val="0563C1"/>
              </w:rPr>
              <w:t>Table of Contents</w:t>
            </w:r>
          </w:p>
        </w:tc>
        <w:tc>
          <w:tcPr>
            <w:tcW w:w="1080" w:type="dxa"/>
            <w:vAlign w:val="bottom"/>
          </w:tcPr>
          <w:p>
            <w:pPr>
              <w:spacing w:after="0"/>
              <w:rPr>
                <w:sz w:val="17"/>
                <w:szCs w:val="17"/>
                <w:color w:val="auto"/>
              </w:rPr>
            </w:pPr>
          </w:p>
        </w:tc>
      </w:tr>
      <w:tr>
        <w:trPr>
          <w:trHeight w:val="668"/>
        </w:trPr>
        <w:tc>
          <w:tcPr>
            <w:tcW w:w="180" w:type="dxa"/>
            <w:vAlign w:val="bottom"/>
            <w:tcBorders>
              <w:top w:val="single" w:sz="8" w:color="0563C1"/>
            </w:tcBorders>
          </w:tcPr>
          <w:p>
            <w:pPr>
              <w:spacing w:after="0"/>
              <w:rPr>
                <w:sz w:val="24"/>
                <w:szCs w:val="24"/>
                <w:color w:val="auto"/>
              </w:rPr>
            </w:pPr>
          </w:p>
        </w:tc>
        <w:tc>
          <w:tcPr>
            <w:tcW w:w="400" w:type="dxa"/>
            <w:vAlign w:val="bottom"/>
            <w:tcBorders>
              <w:top w:val="single" w:sz="8" w:color="0563C1"/>
            </w:tcBorders>
          </w:tcPr>
          <w:p>
            <w:pPr>
              <w:spacing w:after="0"/>
              <w:rPr>
                <w:sz w:val="24"/>
                <w:szCs w:val="24"/>
                <w:color w:val="auto"/>
              </w:rPr>
            </w:pPr>
          </w:p>
        </w:tc>
        <w:tc>
          <w:tcPr>
            <w:tcW w:w="360" w:type="dxa"/>
            <w:vAlign w:val="bottom"/>
            <w:tcBorders>
              <w:top w:val="single" w:sz="8" w:color="0563C1"/>
            </w:tcBorders>
          </w:tcPr>
          <w:p>
            <w:pPr>
              <w:spacing w:after="0"/>
              <w:rPr>
                <w:sz w:val="24"/>
                <w:szCs w:val="24"/>
                <w:color w:val="auto"/>
              </w:rPr>
            </w:pPr>
          </w:p>
        </w:tc>
        <w:tc>
          <w:tcPr>
            <w:tcW w:w="440" w:type="dxa"/>
            <w:vAlign w:val="bottom"/>
            <w:tcBorders>
              <w:top w:val="single" w:sz="8" w:color="0563C1"/>
            </w:tcBorders>
          </w:tcPr>
          <w:p>
            <w:pPr>
              <w:spacing w:after="0"/>
              <w:rPr>
                <w:sz w:val="24"/>
                <w:szCs w:val="24"/>
                <w:color w:val="auto"/>
              </w:rPr>
            </w:pPr>
          </w:p>
        </w:tc>
        <w:tc>
          <w:tcPr>
            <w:tcW w:w="3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20" w:type="dxa"/>
            <w:vAlign w:val="bottom"/>
            <w:gridSpan w:val="8"/>
          </w:tcPr>
          <w:p>
            <w:pPr>
              <w:jc w:val="center"/>
              <w:ind w:right="2460"/>
              <w:spacing w:after="0"/>
              <w:rPr>
                <w:sz w:val="20"/>
                <w:szCs w:val="20"/>
                <w:color w:val="auto"/>
              </w:rPr>
            </w:pPr>
            <w:r>
              <w:rPr>
                <w:rFonts w:ascii="Times New Roman" w:cs="Times New Roman" w:eastAsia="Times New Roman" w:hAnsi="Times New Roman"/>
                <w:sz w:val="18"/>
                <w:szCs w:val="18"/>
                <w:b w:val="1"/>
                <w:bCs w:val="1"/>
                <w:color w:val="auto"/>
                <w:w w:val="99"/>
              </w:rPr>
              <w:t>ADDUS HOMECARE CORPORATION</w:t>
            </w:r>
          </w:p>
        </w:tc>
        <w:tc>
          <w:tcPr>
            <w:tcW w:w="1080" w:type="dxa"/>
            <w:vAlign w:val="bottom"/>
          </w:tcPr>
          <w:p>
            <w:pPr>
              <w:spacing w:after="0"/>
              <w:rPr>
                <w:sz w:val="24"/>
                <w:szCs w:val="24"/>
                <w:color w:val="auto"/>
              </w:rPr>
            </w:pPr>
          </w:p>
        </w:tc>
      </w:tr>
      <w:tr>
        <w:trPr>
          <w:trHeight w:val="378"/>
        </w:trPr>
        <w:tc>
          <w:tcPr>
            <w:tcW w:w="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5200" w:type="dxa"/>
            <w:vAlign w:val="bottom"/>
            <w:gridSpan w:val="7"/>
          </w:tcPr>
          <w:p>
            <w:pPr>
              <w:jc w:val="center"/>
              <w:ind w:right="3860"/>
              <w:spacing w:after="0"/>
              <w:rPr>
                <w:sz w:val="20"/>
                <w:szCs w:val="20"/>
                <w:color w:val="auto"/>
              </w:rPr>
            </w:pPr>
            <w:r>
              <w:rPr>
                <w:rFonts w:ascii="Times New Roman" w:cs="Times New Roman" w:eastAsia="Times New Roman" w:hAnsi="Times New Roman"/>
                <w:sz w:val="18"/>
                <w:szCs w:val="18"/>
                <w:b w:val="1"/>
                <w:bCs w:val="1"/>
                <w:color w:val="auto"/>
              </w:rPr>
              <w:t>FORM 10-Q</w:t>
            </w:r>
          </w:p>
        </w:tc>
        <w:tc>
          <w:tcPr>
            <w:tcW w:w="1080" w:type="dxa"/>
            <w:vAlign w:val="bottom"/>
          </w:tcPr>
          <w:p>
            <w:pPr>
              <w:spacing w:after="0"/>
              <w:rPr>
                <w:sz w:val="24"/>
                <w:szCs w:val="24"/>
                <w:color w:val="auto"/>
              </w:rPr>
            </w:pPr>
          </w:p>
        </w:tc>
      </w:tr>
      <w:tr>
        <w:trPr>
          <w:trHeight w:val="378"/>
        </w:trPr>
        <w:tc>
          <w:tcPr>
            <w:tcW w:w="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5200" w:type="dxa"/>
            <w:vAlign w:val="bottom"/>
            <w:gridSpan w:val="7"/>
          </w:tcPr>
          <w:p>
            <w:pPr>
              <w:jc w:val="center"/>
              <w:ind w:right="3860"/>
              <w:spacing w:after="0"/>
              <w:rPr>
                <w:sz w:val="20"/>
                <w:szCs w:val="20"/>
                <w:color w:val="auto"/>
              </w:rPr>
            </w:pPr>
            <w:r>
              <w:rPr>
                <w:rFonts w:ascii="Times New Roman" w:cs="Times New Roman" w:eastAsia="Times New Roman" w:hAnsi="Times New Roman"/>
                <w:sz w:val="18"/>
                <w:szCs w:val="18"/>
                <w:b w:val="1"/>
                <w:bCs w:val="1"/>
                <w:color w:val="auto"/>
                <w:w w:val="99"/>
              </w:rPr>
              <w:t>INDEX</w:t>
            </w:r>
          </w:p>
        </w:tc>
        <w:tc>
          <w:tcPr>
            <w:tcW w:w="1080" w:type="dxa"/>
            <w:vAlign w:val="bottom"/>
          </w:tcPr>
          <w:p>
            <w:pPr>
              <w:spacing w:after="0"/>
              <w:rPr>
                <w:sz w:val="24"/>
                <w:szCs w:val="24"/>
                <w:color w:val="auto"/>
              </w:rPr>
            </w:pPr>
          </w:p>
        </w:tc>
      </w:tr>
      <w:tr>
        <w:trPr>
          <w:trHeight w:val="378"/>
        </w:trPr>
        <w:tc>
          <w:tcPr>
            <w:tcW w:w="180" w:type="dxa"/>
            <w:vAlign w:val="bottom"/>
          </w:tcPr>
          <w:p>
            <w:pPr>
              <w:spacing w:after="0"/>
              <w:rPr>
                <w:sz w:val="24"/>
                <w:szCs w:val="24"/>
                <w:color w:val="auto"/>
              </w:rPr>
            </w:pPr>
          </w:p>
        </w:tc>
        <w:tc>
          <w:tcPr>
            <w:tcW w:w="2940" w:type="dxa"/>
            <w:vAlign w:val="bottom"/>
            <w:tcBorders>
              <w:bottom w:val="single" w:sz="8" w:color="0000FF"/>
            </w:tcBorders>
            <w:gridSpan w:val="9"/>
          </w:tcPr>
          <w:p>
            <w:pPr>
              <w:spacing w:after="0"/>
              <w:rPr>
                <w:sz w:val="20"/>
                <w:szCs w:val="20"/>
                <w:color w:val="auto"/>
              </w:rPr>
            </w:pPr>
            <w:r>
              <w:rPr>
                <w:rFonts w:ascii="Times New Roman" w:cs="Times New Roman" w:eastAsia="Times New Roman" w:hAnsi="Times New Roman"/>
                <w:sz w:val="18"/>
                <w:szCs w:val="18"/>
                <w:color w:val="0000FF"/>
                <w:w w:val="99"/>
              </w:rPr>
              <w:t>PART I. FINANCIAL INFORMATION</w:t>
            </w:r>
          </w:p>
        </w:tc>
        <w:tc>
          <w:tcPr>
            <w:tcW w:w="20" w:type="dxa"/>
            <w:vAlign w:val="bottom"/>
            <w:tcBorders>
              <w:bottom w:val="single" w:sz="8" w:color="0000EE"/>
            </w:tcBorders>
          </w:tcPr>
          <w:p>
            <w:pPr>
              <w:spacing w:after="0"/>
              <w:rPr>
                <w:sz w:val="24"/>
                <w:szCs w:val="24"/>
                <w:color w:val="auto"/>
              </w:rPr>
            </w:pPr>
          </w:p>
        </w:tc>
        <w:tc>
          <w:tcPr>
            <w:tcW w:w="7020" w:type="dxa"/>
            <w:vAlign w:val="bottom"/>
            <w:gridSpan w:val="10"/>
          </w:tcPr>
          <w:p>
            <w:pPr>
              <w:spacing w:after="0"/>
              <w:rPr>
                <w:sz w:val="24"/>
                <w:szCs w:val="2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318"/>
        </w:trPr>
        <w:tc>
          <w:tcPr>
            <w:tcW w:w="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58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Item 1. Financial Statements (Unaudited)</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0"/>
        </w:trPr>
        <w:tc>
          <w:tcPr>
            <w:tcW w:w="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60" w:type="dxa"/>
            <w:vAlign w:val="bottom"/>
            <w:tcBorders>
              <w:right w:val="single" w:sz="8" w:color="0000FF"/>
            </w:tcBorders>
            <w:shd w:val="clear" w:color="auto" w:fill="0000FF"/>
          </w:tcPr>
          <w:p>
            <w:pPr>
              <w:spacing w:after="0" w:line="20" w:lineRule="exact"/>
              <w:rPr>
                <w:sz w:val="1"/>
                <w:szCs w:val="1"/>
                <w:color w:val="auto"/>
              </w:rPr>
            </w:pPr>
          </w:p>
        </w:tc>
        <w:tc>
          <w:tcPr>
            <w:tcW w:w="760" w:type="dxa"/>
            <w:vAlign w:val="bottom"/>
            <w:gridSpan w:val="2"/>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3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60" w:type="dxa"/>
            <w:vAlign w:val="bottom"/>
            <w:gridSpan w:val="3"/>
            <w:shd w:val="clear" w:color="auto" w:fill="0000FF"/>
          </w:tcPr>
          <w:p>
            <w:pPr>
              <w:spacing w:after="0" w:line="20" w:lineRule="exact"/>
              <w:rPr>
                <w:sz w:val="1"/>
                <w:szCs w:val="1"/>
                <w:color w:val="auto"/>
              </w:rPr>
            </w:pPr>
          </w:p>
        </w:tc>
        <w:tc>
          <w:tcPr>
            <w:tcW w:w="100" w:type="dxa"/>
            <w:vAlign w:val="bottom"/>
            <w:tcBorders>
              <w:right w:val="single" w:sz="8" w:color="0000EE"/>
            </w:tcBorders>
            <w:shd w:val="clear" w:color="auto" w:fill="0000FF"/>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r>
      <w:tr>
        <w:trPr>
          <w:trHeight w:val="318"/>
        </w:trPr>
        <w:tc>
          <w:tcPr>
            <w:tcW w:w="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22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Condensed Consolidated Balance Sheets as of March 31, 2025 and December 31, 2024</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0"/>
        </w:trPr>
        <w:tc>
          <w:tcPr>
            <w:tcW w:w="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60" w:type="dxa"/>
            <w:vAlign w:val="bottom"/>
            <w:tcBorders>
              <w:right w:val="single" w:sz="8" w:color="0000FF"/>
            </w:tcBorders>
          </w:tcPr>
          <w:p>
            <w:pPr>
              <w:spacing w:after="0" w:line="20" w:lineRule="exact"/>
              <w:rPr>
                <w:sz w:val="1"/>
                <w:szCs w:val="1"/>
                <w:color w:val="auto"/>
              </w:rPr>
            </w:pPr>
          </w:p>
        </w:tc>
        <w:tc>
          <w:tcPr>
            <w:tcW w:w="760" w:type="dxa"/>
            <w:vAlign w:val="bottom"/>
            <w:gridSpan w:val="2"/>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38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60" w:type="dxa"/>
            <w:vAlign w:val="bottom"/>
            <w:gridSpan w:val="3"/>
            <w:shd w:val="clear" w:color="auto" w:fill="0000EE"/>
          </w:tcPr>
          <w:p>
            <w:pPr>
              <w:spacing w:after="0" w:line="20" w:lineRule="exact"/>
              <w:rPr>
                <w:sz w:val="1"/>
                <w:szCs w:val="1"/>
                <w:color w:val="auto"/>
              </w:rPr>
            </w:pPr>
          </w:p>
        </w:tc>
        <w:tc>
          <w:tcPr>
            <w:tcW w:w="1520" w:type="dxa"/>
            <w:vAlign w:val="bottom"/>
            <w:tcBorders>
              <w:right w:val="single" w:sz="8" w:color="0000EE"/>
            </w:tcBorders>
            <w:gridSpan w:val="2"/>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780" w:type="dxa"/>
            <w:vAlign w:val="bottom"/>
            <w:tcBorders>
              <w:left w:val="single" w:sz="8" w:color="0000EE"/>
            </w:tcBorders>
            <w:shd w:val="clear" w:color="auto" w:fill="0000E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r>
      <w:tr>
        <w:trPr>
          <w:trHeight w:val="318"/>
        </w:trPr>
        <w:tc>
          <w:tcPr>
            <w:tcW w:w="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22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Condensed Consolidated Statements of Income For the Three Months Ended March 31, 2025 and 2024</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0"/>
        </w:trPr>
        <w:tc>
          <w:tcPr>
            <w:tcW w:w="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60" w:type="dxa"/>
            <w:vAlign w:val="bottom"/>
            <w:tcBorders>
              <w:right w:val="single" w:sz="8" w:color="0000EE"/>
            </w:tcBorders>
          </w:tcPr>
          <w:p>
            <w:pPr>
              <w:spacing w:after="0" w:line="20" w:lineRule="exact"/>
              <w:rPr>
                <w:sz w:val="1"/>
                <w:szCs w:val="1"/>
                <w:color w:val="auto"/>
              </w:rPr>
            </w:pPr>
          </w:p>
        </w:tc>
        <w:tc>
          <w:tcPr>
            <w:tcW w:w="760" w:type="dxa"/>
            <w:vAlign w:val="bottom"/>
            <w:gridSpan w:val="2"/>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3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60" w:type="dxa"/>
            <w:vAlign w:val="bottom"/>
            <w:gridSpan w:val="3"/>
            <w:shd w:val="clear" w:color="auto" w:fill="0000FF"/>
          </w:tcPr>
          <w:p>
            <w:pPr>
              <w:spacing w:after="0" w:line="20" w:lineRule="exact"/>
              <w:rPr>
                <w:sz w:val="1"/>
                <w:szCs w:val="1"/>
                <w:color w:val="auto"/>
              </w:rPr>
            </w:pPr>
          </w:p>
        </w:tc>
        <w:tc>
          <w:tcPr>
            <w:tcW w:w="1520" w:type="dxa"/>
            <w:vAlign w:val="bottom"/>
            <w:tcBorders>
              <w:right w:val="single" w:sz="8" w:color="0000FF"/>
            </w:tcBorders>
            <w:gridSpan w:val="2"/>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2120" w:type="dxa"/>
            <w:vAlign w:val="bottom"/>
            <w:tcBorders>
              <w:left w:val="single" w:sz="8" w:color="0000FF"/>
            </w:tcBorders>
            <w:gridSpan w:val="2"/>
            <w:shd w:val="clear" w:color="auto" w:fill="0000FF"/>
          </w:tcPr>
          <w:p>
            <w:pPr>
              <w:spacing w:after="0" w:line="20" w:lineRule="exact"/>
              <w:rPr>
                <w:sz w:val="1"/>
                <w:szCs w:val="1"/>
                <w:color w:val="auto"/>
              </w:rPr>
            </w:pPr>
          </w:p>
        </w:tc>
        <w:tc>
          <w:tcPr>
            <w:tcW w:w="780" w:type="dxa"/>
            <w:vAlign w:val="bottom"/>
            <w:tcBorders>
              <w:right w:val="single" w:sz="8" w:color="0000EE"/>
            </w:tcBorders>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r>
      <w:tr>
        <w:trPr>
          <w:trHeight w:val="318"/>
        </w:trPr>
        <w:tc>
          <w:tcPr>
            <w:tcW w:w="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22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Condensed Consolidated Statement of Stockholders’ Equity For the Three Months Ended March 31, 2025 and 2024</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0"/>
        </w:trPr>
        <w:tc>
          <w:tcPr>
            <w:tcW w:w="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60" w:type="dxa"/>
            <w:vAlign w:val="bottom"/>
            <w:tcBorders>
              <w:right w:val="single" w:sz="8" w:color="0000EE"/>
            </w:tcBorders>
          </w:tcPr>
          <w:p>
            <w:pPr>
              <w:spacing w:after="0" w:line="20" w:lineRule="exact"/>
              <w:rPr>
                <w:sz w:val="1"/>
                <w:szCs w:val="1"/>
                <w:color w:val="auto"/>
              </w:rPr>
            </w:pPr>
          </w:p>
        </w:tc>
        <w:tc>
          <w:tcPr>
            <w:tcW w:w="760" w:type="dxa"/>
            <w:vAlign w:val="bottom"/>
            <w:gridSpan w:val="2"/>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3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60" w:type="dxa"/>
            <w:vAlign w:val="bottom"/>
            <w:gridSpan w:val="3"/>
            <w:shd w:val="clear" w:color="auto" w:fill="0000FF"/>
          </w:tcPr>
          <w:p>
            <w:pPr>
              <w:spacing w:after="0" w:line="20" w:lineRule="exact"/>
              <w:rPr>
                <w:sz w:val="1"/>
                <w:szCs w:val="1"/>
                <w:color w:val="auto"/>
              </w:rPr>
            </w:pPr>
          </w:p>
        </w:tc>
        <w:tc>
          <w:tcPr>
            <w:tcW w:w="1520" w:type="dxa"/>
            <w:vAlign w:val="bottom"/>
            <w:tcBorders>
              <w:right w:val="single" w:sz="8" w:color="0000FF"/>
            </w:tcBorders>
            <w:gridSpan w:val="2"/>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2120" w:type="dxa"/>
            <w:vAlign w:val="bottom"/>
            <w:tcBorders>
              <w:left w:val="single" w:sz="8" w:color="0000FF"/>
            </w:tcBorders>
            <w:gridSpan w:val="2"/>
            <w:shd w:val="clear" w:color="auto" w:fill="0000FF"/>
          </w:tcPr>
          <w:p>
            <w:pPr>
              <w:spacing w:after="0" w:line="20" w:lineRule="exact"/>
              <w:rPr>
                <w:sz w:val="1"/>
                <w:szCs w:val="1"/>
                <w:color w:val="auto"/>
              </w:rPr>
            </w:pPr>
          </w:p>
        </w:tc>
        <w:tc>
          <w:tcPr>
            <w:tcW w:w="1080" w:type="dxa"/>
            <w:vAlign w:val="bottom"/>
            <w:gridSpan w:val="2"/>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r>
      <w:tr>
        <w:trPr>
          <w:trHeight w:val="318"/>
        </w:trPr>
        <w:tc>
          <w:tcPr>
            <w:tcW w:w="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22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Condensed Consolidated Statements of Cash Flows For the Three Months Ended March 31, 2025 and 2024</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20"/>
        </w:trPr>
        <w:tc>
          <w:tcPr>
            <w:tcW w:w="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60" w:type="dxa"/>
            <w:vAlign w:val="bottom"/>
            <w:tcBorders>
              <w:right w:val="single" w:sz="8" w:color="0000EE"/>
            </w:tcBorders>
          </w:tcPr>
          <w:p>
            <w:pPr>
              <w:spacing w:after="0" w:line="20" w:lineRule="exact"/>
              <w:rPr>
                <w:sz w:val="1"/>
                <w:szCs w:val="1"/>
                <w:color w:val="auto"/>
              </w:rPr>
            </w:pPr>
          </w:p>
        </w:tc>
        <w:tc>
          <w:tcPr>
            <w:tcW w:w="760" w:type="dxa"/>
            <w:vAlign w:val="bottom"/>
            <w:gridSpan w:val="2"/>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3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60" w:type="dxa"/>
            <w:vAlign w:val="bottom"/>
            <w:gridSpan w:val="3"/>
            <w:shd w:val="clear" w:color="auto" w:fill="0000FF"/>
          </w:tcPr>
          <w:p>
            <w:pPr>
              <w:spacing w:after="0" w:line="20" w:lineRule="exact"/>
              <w:rPr>
                <w:sz w:val="1"/>
                <w:szCs w:val="1"/>
                <w:color w:val="auto"/>
              </w:rPr>
            </w:pPr>
          </w:p>
        </w:tc>
        <w:tc>
          <w:tcPr>
            <w:tcW w:w="1520" w:type="dxa"/>
            <w:vAlign w:val="bottom"/>
            <w:tcBorders>
              <w:right w:val="single" w:sz="8" w:color="0000FF"/>
            </w:tcBorders>
            <w:gridSpan w:val="2"/>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2120" w:type="dxa"/>
            <w:vAlign w:val="bottom"/>
            <w:tcBorders>
              <w:left w:val="single" w:sz="8" w:color="0000FF"/>
            </w:tcBorders>
            <w:gridSpan w:val="2"/>
            <w:shd w:val="clear" w:color="auto" w:fill="0000FF"/>
          </w:tcPr>
          <w:p>
            <w:pPr>
              <w:spacing w:after="0" w:line="20" w:lineRule="exact"/>
              <w:rPr>
                <w:sz w:val="1"/>
                <w:szCs w:val="1"/>
                <w:color w:val="auto"/>
              </w:rPr>
            </w:pPr>
          </w:p>
        </w:tc>
        <w:tc>
          <w:tcPr>
            <w:tcW w:w="1080" w:type="dxa"/>
            <w:vAlign w:val="bottom"/>
            <w:gridSpan w:val="2"/>
            <w:shd w:val="clear" w:color="auto" w:fill="0000FF"/>
          </w:tcPr>
          <w:p>
            <w:pPr>
              <w:spacing w:after="0" w:line="20" w:lineRule="exact"/>
              <w:rPr>
                <w:sz w:val="1"/>
                <w:szCs w:val="1"/>
                <w:color w:val="auto"/>
              </w:rPr>
            </w:pPr>
          </w:p>
        </w:tc>
        <w:tc>
          <w:tcPr>
            <w:tcW w:w="1500" w:type="dxa"/>
            <w:vAlign w:val="bottom"/>
            <w:gridSpan w:val="2"/>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r>
      <w:tr>
        <w:trPr>
          <w:trHeight w:val="318"/>
        </w:trPr>
        <w:tc>
          <w:tcPr>
            <w:tcW w:w="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22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Notes to Condensed Consolidated Financial Statements</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20"/>
        </w:trPr>
        <w:tc>
          <w:tcPr>
            <w:tcW w:w="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60" w:type="dxa"/>
            <w:vAlign w:val="bottom"/>
            <w:gridSpan w:val="2"/>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3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60" w:type="dxa"/>
            <w:vAlign w:val="bottom"/>
            <w:gridSpan w:val="3"/>
            <w:shd w:val="clear" w:color="auto" w:fill="0000FF"/>
          </w:tcPr>
          <w:p>
            <w:pPr>
              <w:spacing w:after="0" w:line="20" w:lineRule="exact"/>
              <w:rPr>
                <w:sz w:val="1"/>
                <w:szCs w:val="1"/>
                <w:color w:val="auto"/>
              </w:rPr>
            </w:pPr>
          </w:p>
        </w:tc>
        <w:tc>
          <w:tcPr>
            <w:tcW w:w="1520" w:type="dxa"/>
            <w:vAlign w:val="bottom"/>
            <w:tcBorders>
              <w:right w:val="single" w:sz="8" w:color="0000EE"/>
            </w:tcBorders>
            <w:gridSpan w:val="2"/>
            <w:shd w:val="clear" w:color="auto" w:fill="0000FF"/>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120" w:type="dxa"/>
            <w:vAlign w:val="bottom"/>
            <w:gridSpan w:val="2"/>
          </w:tcPr>
          <w:p>
            <w:pPr>
              <w:spacing w:after="0" w:line="20" w:lineRule="exact"/>
              <w:rPr>
                <w:sz w:val="1"/>
                <w:szCs w:val="1"/>
                <w:color w:val="auto"/>
              </w:rPr>
            </w:pPr>
          </w:p>
        </w:tc>
        <w:tc>
          <w:tcPr>
            <w:tcW w:w="2580" w:type="dxa"/>
            <w:vAlign w:val="bottom"/>
            <w:gridSpan w:val="4"/>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r>
      <w:tr>
        <w:trPr>
          <w:trHeight w:val="318"/>
        </w:trPr>
        <w:tc>
          <w:tcPr>
            <w:tcW w:w="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58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Item 2. Management’s Discussion and Analysis of Financial Condition and Results of Operations</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r>
      <w:tr>
        <w:trPr>
          <w:trHeight w:val="20"/>
        </w:trPr>
        <w:tc>
          <w:tcPr>
            <w:tcW w:w="180" w:type="dxa"/>
            <w:vAlign w:val="bottom"/>
          </w:tcPr>
          <w:p>
            <w:pPr>
              <w:spacing w:after="0" w:line="20" w:lineRule="exact"/>
              <w:rPr>
                <w:sz w:val="1"/>
                <w:szCs w:val="1"/>
                <w:color w:val="auto"/>
              </w:rPr>
            </w:pPr>
          </w:p>
        </w:tc>
        <w:tc>
          <w:tcPr>
            <w:tcW w:w="400" w:type="dxa"/>
            <w:vAlign w:val="bottom"/>
            <w:tcBorders>
              <w:right w:val="single" w:sz="8" w:color="0000EE"/>
            </w:tcBorders>
          </w:tcPr>
          <w:p>
            <w:pPr>
              <w:spacing w:after="0" w:line="20" w:lineRule="exact"/>
              <w:rPr>
                <w:sz w:val="1"/>
                <w:szCs w:val="1"/>
                <w:color w:val="auto"/>
              </w:rPr>
            </w:pPr>
          </w:p>
        </w:tc>
        <w:tc>
          <w:tcPr>
            <w:tcW w:w="1120" w:type="dxa"/>
            <w:vAlign w:val="bottom"/>
            <w:gridSpan w:val="3"/>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3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60" w:type="dxa"/>
            <w:vAlign w:val="bottom"/>
            <w:gridSpan w:val="3"/>
            <w:shd w:val="clear" w:color="auto" w:fill="0000FF"/>
          </w:tcPr>
          <w:p>
            <w:pPr>
              <w:spacing w:after="0" w:line="20" w:lineRule="exact"/>
              <w:rPr>
                <w:sz w:val="1"/>
                <w:szCs w:val="1"/>
                <w:color w:val="auto"/>
              </w:rPr>
            </w:pPr>
          </w:p>
        </w:tc>
        <w:tc>
          <w:tcPr>
            <w:tcW w:w="2020" w:type="dxa"/>
            <w:vAlign w:val="bottom"/>
            <w:gridSpan w:val="3"/>
            <w:shd w:val="clear" w:color="auto" w:fill="0000FF"/>
          </w:tcPr>
          <w:p>
            <w:pPr>
              <w:spacing w:after="0" w:line="20" w:lineRule="exact"/>
              <w:rPr>
                <w:sz w:val="1"/>
                <w:szCs w:val="1"/>
                <w:color w:val="auto"/>
              </w:rPr>
            </w:pPr>
          </w:p>
        </w:tc>
        <w:tc>
          <w:tcPr>
            <w:tcW w:w="2120" w:type="dxa"/>
            <w:vAlign w:val="bottom"/>
            <w:tcBorders>
              <w:left w:val="single" w:sz="8" w:color="0000FF"/>
            </w:tcBorders>
            <w:gridSpan w:val="2"/>
            <w:shd w:val="clear" w:color="auto" w:fill="0000FF"/>
          </w:tcPr>
          <w:p>
            <w:pPr>
              <w:spacing w:after="0" w:line="20" w:lineRule="exact"/>
              <w:rPr>
                <w:sz w:val="1"/>
                <w:szCs w:val="1"/>
                <w:color w:val="auto"/>
              </w:rPr>
            </w:pPr>
          </w:p>
        </w:tc>
        <w:tc>
          <w:tcPr>
            <w:tcW w:w="2580" w:type="dxa"/>
            <w:vAlign w:val="bottom"/>
            <w:gridSpan w:val="4"/>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r>
      <w:tr>
        <w:trPr>
          <w:trHeight w:val="318"/>
        </w:trPr>
        <w:tc>
          <w:tcPr>
            <w:tcW w:w="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58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Item 3. Quantitative and Qualitative Disclosures About Market Risk</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r>
      <w:tr>
        <w:trPr>
          <w:trHeight w:val="20"/>
        </w:trPr>
        <w:tc>
          <w:tcPr>
            <w:tcW w:w="180" w:type="dxa"/>
            <w:vAlign w:val="bottom"/>
          </w:tcPr>
          <w:p>
            <w:pPr>
              <w:spacing w:after="0" w:line="20" w:lineRule="exact"/>
              <w:rPr>
                <w:sz w:val="1"/>
                <w:szCs w:val="1"/>
                <w:color w:val="auto"/>
              </w:rPr>
            </w:pPr>
          </w:p>
        </w:tc>
        <w:tc>
          <w:tcPr>
            <w:tcW w:w="400" w:type="dxa"/>
            <w:vAlign w:val="bottom"/>
            <w:tcBorders>
              <w:right w:val="single" w:sz="8" w:color="0000EE"/>
            </w:tcBorders>
          </w:tcPr>
          <w:p>
            <w:pPr>
              <w:spacing w:after="0" w:line="20" w:lineRule="exact"/>
              <w:rPr>
                <w:sz w:val="1"/>
                <w:szCs w:val="1"/>
                <w:color w:val="auto"/>
              </w:rPr>
            </w:pPr>
          </w:p>
        </w:tc>
        <w:tc>
          <w:tcPr>
            <w:tcW w:w="1120" w:type="dxa"/>
            <w:vAlign w:val="bottom"/>
            <w:gridSpan w:val="3"/>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3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60" w:type="dxa"/>
            <w:vAlign w:val="bottom"/>
            <w:gridSpan w:val="3"/>
            <w:shd w:val="clear" w:color="auto" w:fill="0000FF"/>
          </w:tcPr>
          <w:p>
            <w:pPr>
              <w:spacing w:after="0" w:line="20" w:lineRule="exact"/>
              <w:rPr>
                <w:sz w:val="1"/>
                <w:szCs w:val="1"/>
                <w:color w:val="auto"/>
              </w:rPr>
            </w:pPr>
          </w:p>
        </w:tc>
        <w:tc>
          <w:tcPr>
            <w:tcW w:w="2020" w:type="dxa"/>
            <w:vAlign w:val="bottom"/>
            <w:gridSpan w:val="3"/>
            <w:shd w:val="clear" w:color="auto" w:fill="0000FF"/>
          </w:tcPr>
          <w:p>
            <w:pPr>
              <w:spacing w:after="0" w:line="20" w:lineRule="exact"/>
              <w:rPr>
                <w:sz w:val="1"/>
                <w:szCs w:val="1"/>
                <w:color w:val="auto"/>
              </w:rPr>
            </w:pPr>
          </w:p>
        </w:tc>
        <w:tc>
          <w:tcPr>
            <w:tcW w:w="4700" w:type="dxa"/>
            <w:vAlign w:val="bottom"/>
            <w:tcBorders>
              <w:left w:val="single" w:sz="8" w:color="0000FF"/>
            </w:tcBorders>
            <w:gridSpan w:val="6"/>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r>
      <w:tr>
        <w:trPr>
          <w:trHeight w:val="318"/>
        </w:trPr>
        <w:tc>
          <w:tcPr>
            <w:tcW w:w="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58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Item 4. Controls and Procedures</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r>
      <w:tr>
        <w:trPr>
          <w:trHeight w:val="20"/>
        </w:trPr>
        <w:tc>
          <w:tcPr>
            <w:tcW w:w="180" w:type="dxa"/>
            <w:vAlign w:val="bottom"/>
          </w:tcPr>
          <w:p>
            <w:pPr>
              <w:spacing w:after="0" w:line="20" w:lineRule="exact"/>
              <w:rPr>
                <w:sz w:val="1"/>
                <w:szCs w:val="1"/>
                <w:color w:val="auto"/>
              </w:rPr>
            </w:pPr>
          </w:p>
        </w:tc>
        <w:tc>
          <w:tcPr>
            <w:tcW w:w="400" w:type="dxa"/>
            <w:vAlign w:val="bottom"/>
            <w:tcBorders>
              <w:right w:val="single" w:sz="8" w:color="0000EE"/>
            </w:tcBorders>
          </w:tcPr>
          <w:p>
            <w:pPr>
              <w:spacing w:after="0" w:line="20" w:lineRule="exact"/>
              <w:rPr>
                <w:sz w:val="1"/>
                <w:szCs w:val="1"/>
                <w:color w:val="auto"/>
              </w:rPr>
            </w:pPr>
          </w:p>
        </w:tc>
        <w:tc>
          <w:tcPr>
            <w:tcW w:w="1120" w:type="dxa"/>
            <w:vAlign w:val="bottom"/>
            <w:gridSpan w:val="3"/>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3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60" w:type="dxa"/>
            <w:vAlign w:val="bottom"/>
            <w:gridSpan w:val="3"/>
          </w:tcPr>
          <w:p>
            <w:pPr>
              <w:spacing w:after="0" w:line="20" w:lineRule="exact"/>
              <w:rPr>
                <w:sz w:val="1"/>
                <w:szCs w:val="1"/>
                <w:color w:val="auto"/>
              </w:rPr>
            </w:pPr>
          </w:p>
        </w:tc>
        <w:tc>
          <w:tcPr>
            <w:tcW w:w="2020" w:type="dxa"/>
            <w:vAlign w:val="bottom"/>
            <w:gridSpan w:val="3"/>
          </w:tcPr>
          <w:p>
            <w:pPr>
              <w:spacing w:after="0" w:line="20" w:lineRule="exact"/>
              <w:rPr>
                <w:sz w:val="1"/>
                <w:szCs w:val="1"/>
                <w:color w:val="auto"/>
              </w:rPr>
            </w:pPr>
          </w:p>
        </w:tc>
        <w:tc>
          <w:tcPr>
            <w:tcW w:w="4700" w:type="dxa"/>
            <w:vAlign w:val="bottom"/>
            <w:gridSpan w:val="6"/>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r>
      <w:tr>
        <w:trPr>
          <w:trHeight w:val="318"/>
        </w:trPr>
        <w:tc>
          <w:tcPr>
            <w:tcW w:w="180" w:type="dxa"/>
            <w:vAlign w:val="bottom"/>
          </w:tcPr>
          <w:p>
            <w:pPr>
              <w:spacing w:after="0"/>
              <w:rPr>
                <w:sz w:val="24"/>
                <w:szCs w:val="24"/>
                <w:color w:val="auto"/>
              </w:rPr>
            </w:pPr>
          </w:p>
        </w:tc>
        <w:tc>
          <w:tcPr>
            <w:tcW w:w="9980" w:type="dxa"/>
            <w:vAlign w:val="bottom"/>
            <w:gridSpan w:val="20"/>
          </w:tcPr>
          <w:p>
            <w:pPr>
              <w:spacing w:after="0"/>
              <w:rPr>
                <w:sz w:val="20"/>
                <w:szCs w:val="20"/>
                <w:color w:val="auto"/>
              </w:rPr>
            </w:pPr>
            <w:r>
              <w:rPr>
                <w:rFonts w:ascii="Times New Roman" w:cs="Times New Roman" w:eastAsia="Times New Roman" w:hAnsi="Times New Roman"/>
                <w:sz w:val="18"/>
                <w:szCs w:val="18"/>
                <w:color w:val="0000FF"/>
              </w:rPr>
              <w:t>PART II. OTHER INFORMATION</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r>
      <w:tr>
        <w:trPr>
          <w:trHeight w:val="318"/>
        </w:trPr>
        <w:tc>
          <w:tcPr>
            <w:tcW w:w="180" w:type="dxa"/>
            <w:vAlign w:val="bottom"/>
          </w:tcPr>
          <w:p>
            <w:pPr>
              <w:spacing w:after="0"/>
              <w:rPr>
                <w:sz w:val="24"/>
                <w:szCs w:val="24"/>
                <w:color w:val="auto"/>
              </w:rPr>
            </w:pPr>
          </w:p>
        </w:tc>
        <w:tc>
          <w:tcPr>
            <w:tcW w:w="400" w:type="dxa"/>
            <w:vAlign w:val="bottom"/>
            <w:tcBorders>
              <w:top w:val="single" w:sz="8" w:color="0000FF"/>
            </w:tcBorders>
          </w:tcPr>
          <w:p>
            <w:pPr>
              <w:spacing w:after="0"/>
              <w:rPr>
                <w:sz w:val="24"/>
                <w:szCs w:val="24"/>
                <w:color w:val="auto"/>
              </w:rPr>
            </w:pPr>
          </w:p>
        </w:tc>
        <w:tc>
          <w:tcPr>
            <w:tcW w:w="2220" w:type="dxa"/>
            <w:vAlign w:val="bottom"/>
            <w:tcBorders>
              <w:top w:val="single" w:sz="8" w:color="0000FF"/>
            </w:tcBorders>
            <w:gridSpan w:val="6"/>
          </w:tcPr>
          <w:p>
            <w:pPr>
              <w:spacing w:after="0"/>
              <w:rPr>
                <w:sz w:val="20"/>
                <w:szCs w:val="20"/>
                <w:color w:val="auto"/>
              </w:rPr>
            </w:pPr>
            <w:r>
              <w:rPr>
                <w:rFonts w:ascii="Times New Roman" w:cs="Times New Roman" w:eastAsia="Times New Roman" w:hAnsi="Times New Roman"/>
                <w:sz w:val="18"/>
                <w:szCs w:val="18"/>
                <w:color w:val="0000FF"/>
              </w:rPr>
              <w:t>Item 1. Legal Proceedings</w:t>
            </w:r>
          </w:p>
        </w:tc>
        <w:tc>
          <w:tcPr>
            <w:tcW w:w="7360" w:type="dxa"/>
            <w:vAlign w:val="bottom"/>
            <w:gridSpan w:val="13"/>
          </w:tcPr>
          <w:p>
            <w:pPr>
              <w:spacing w:after="0"/>
              <w:rPr>
                <w:sz w:val="24"/>
                <w:szCs w:val="2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r>
      <w:tr>
        <w:trPr>
          <w:trHeight w:val="20"/>
        </w:trPr>
        <w:tc>
          <w:tcPr>
            <w:tcW w:w="180" w:type="dxa"/>
            <w:vAlign w:val="bottom"/>
          </w:tcPr>
          <w:p>
            <w:pPr>
              <w:spacing w:after="0" w:line="20" w:lineRule="exact"/>
              <w:rPr>
                <w:sz w:val="1"/>
                <w:szCs w:val="1"/>
                <w:color w:val="auto"/>
              </w:rPr>
            </w:pPr>
          </w:p>
        </w:tc>
        <w:tc>
          <w:tcPr>
            <w:tcW w:w="400" w:type="dxa"/>
            <w:vAlign w:val="bottom"/>
            <w:tcBorders>
              <w:right w:val="single" w:sz="8" w:color="0000EE"/>
            </w:tcBorders>
          </w:tcPr>
          <w:p>
            <w:pPr>
              <w:spacing w:after="0" w:line="20" w:lineRule="exact"/>
              <w:rPr>
                <w:sz w:val="1"/>
                <w:szCs w:val="1"/>
                <w:color w:val="auto"/>
              </w:rPr>
            </w:pPr>
          </w:p>
        </w:tc>
        <w:tc>
          <w:tcPr>
            <w:tcW w:w="1120" w:type="dxa"/>
            <w:vAlign w:val="bottom"/>
            <w:gridSpan w:val="3"/>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020" w:type="dxa"/>
            <w:vAlign w:val="bottom"/>
            <w:tcBorders>
              <w:left w:val="single" w:sz="8" w:color="0000FF"/>
            </w:tcBorders>
            <w:gridSpan w:val="5"/>
          </w:tcPr>
          <w:p>
            <w:pPr>
              <w:spacing w:after="0" w:line="20" w:lineRule="exact"/>
              <w:rPr>
                <w:sz w:val="1"/>
                <w:szCs w:val="1"/>
                <w:color w:val="auto"/>
              </w:rPr>
            </w:pPr>
          </w:p>
        </w:tc>
        <w:tc>
          <w:tcPr>
            <w:tcW w:w="2020" w:type="dxa"/>
            <w:vAlign w:val="bottom"/>
            <w:gridSpan w:val="3"/>
          </w:tcPr>
          <w:p>
            <w:pPr>
              <w:spacing w:after="0" w:line="20" w:lineRule="exact"/>
              <w:rPr>
                <w:sz w:val="1"/>
                <w:szCs w:val="1"/>
                <w:color w:val="auto"/>
              </w:rPr>
            </w:pPr>
          </w:p>
        </w:tc>
        <w:tc>
          <w:tcPr>
            <w:tcW w:w="4700" w:type="dxa"/>
            <w:vAlign w:val="bottom"/>
            <w:gridSpan w:val="6"/>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r>
      <w:tr>
        <w:trPr>
          <w:trHeight w:val="318"/>
        </w:trPr>
        <w:tc>
          <w:tcPr>
            <w:tcW w:w="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58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Item 1A. Risk Factors</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r>
      <w:tr>
        <w:trPr>
          <w:trHeight w:val="20"/>
        </w:trPr>
        <w:tc>
          <w:tcPr>
            <w:tcW w:w="180" w:type="dxa"/>
            <w:vAlign w:val="bottom"/>
          </w:tcPr>
          <w:p>
            <w:pPr>
              <w:spacing w:after="0" w:line="20" w:lineRule="exact"/>
              <w:rPr>
                <w:sz w:val="1"/>
                <w:szCs w:val="1"/>
                <w:color w:val="auto"/>
              </w:rPr>
            </w:pPr>
          </w:p>
        </w:tc>
        <w:tc>
          <w:tcPr>
            <w:tcW w:w="400" w:type="dxa"/>
            <w:vAlign w:val="bottom"/>
            <w:tcBorders>
              <w:right w:val="single" w:sz="8" w:color="0000EE"/>
            </w:tcBorders>
          </w:tcPr>
          <w:p>
            <w:pPr>
              <w:spacing w:after="0" w:line="20" w:lineRule="exact"/>
              <w:rPr>
                <w:sz w:val="1"/>
                <w:szCs w:val="1"/>
                <w:color w:val="auto"/>
              </w:rPr>
            </w:pPr>
          </w:p>
        </w:tc>
        <w:tc>
          <w:tcPr>
            <w:tcW w:w="1120" w:type="dxa"/>
            <w:vAlign w:val="bottom"/>
            <w:gridSpan w:val="3"/>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20" w:type="dxa"/>
            <w:vAlign w:val="bottom"/>
            <w:gridSpan w:val="5"/>
          </w:tcPr>
          <w:p>
            <w:pPr>
              <w:spacing w:after="0" w:line="20" w:lineRule="exact"/>
              <w:rPr>
                <w:sz w:val="1"/>
                <w:szCs w:val="1"/>
                <w:color w:val="auto"/>
              </w:rPr>
            </w:pPr>
          </w:p>
        </w:tc>
        <w:tc>
          <w:tcPr>
            <w:tcW w:w="2020" w:type="dxa"/>
            <w:vAlign w:val="bottom"/>
            <w:gridSpan w:val="3"/>
          </w:tcPr>
          <w:p>
            <w:pPr>
              <w:spacing w:after="0" w:line="20" w:lineRule="exact"/>
              <w:rPr>
                <w:sz w:val="1"/>
                <w:szCs w:val="1"/>
                <w:color w:val="auto"/>
              </w:rPr>
            </w:pPr>
          </w:p>
        </w:tc>
        <w:tc>
          <w:tcPr>
            <w:tcW w:w="4700" w:type="dxa"/>
            <w:vAlign w:val="bottom"/>
            <w:gridSpan w:val="6"/>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r>
      <w:tr>
        <w:trPr>
          <w:trHeight w:val="318"/>
        </w:trPr>
        <w:tc>
          <w:tcPr>
            <w:tcW w:w="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58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Item 2. Unregistered Sales of Equity Securities and Use of Proceeds</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r>
      <w:tr>
        <w:trPr>
          <w:trHeight w:val="20"/>
        </w:trPr>
        <w:tc>
          <w:tcPr>
            <w:tcW w:w="180" w:type="dxa"/>
            <w:vAlign w:val="bottom"/>
          </w:tcPr>
          <w:p>
            <w:pPr>
              <w:spacing w:after="0" w:line="20" w:lineRule="exact"/>
              <w:rPr>
                <w:sz w:val="1"/>
                <w:szCs w:val="1"/>
                <w:color w:val="auto"/>
              </w:rPr>
            </w:pPr>
          </w:p>
        </w:tc>
        <w:tc>
          <w:tcPr>
            <w:tcW w:w="400" w:type="dxa"/>
            <w:vAlign w:val="bottom"/>
            <w:tcBorders>
              <w:right w:val="single" w:sz="8" w:color="0000EE"/>
            </w:tcBorders>
          </w:tcPr>
          <w:p>
            <w:pPr>
              <w:spacing w:after="0" w:line="20" w:lineRule="exact"/>
              <w:rPr>
                <w:sz w:val="1"/>
                <w:szCs w:val="1"/>
                <w:color w:val="auto"/>
              </w:rPr>
            </w:pPr>
          </w:p>
        </w:tc>
        <w:tc>
          <w:tcPr>
            <w:tcW w:w="1120" w:type="dxa"/>
            <w:vAlign w:val="bottom"/>
            <w:gridSpan w:val="3"/>
            <w:shd w:val="clear" w:color="auto" w:fill="0000FF"/>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1020" w:type="dxa"/>
            <w:vAlign w:val="bottom"/>
            <w:tcBorders>
              <w:left w:val="single" w:sz="8" w:color="0000FF"/>
            </w:tcBorders>
            <w:gridSpan w:val="5"/>
            <w:shd w:val="clear" w:color="auto" w:fill="0000FF"/>
          </w:tcPr>
          <w:p>
            <w:pPr>
              <w:spacing w:after="0" w:line="20" w:lineRule="exact"/>
              <w:rPr>
                <w:sz w:val="1"/>
                <w:szCs w:val="1"/>
                <w:color w:val="auto"/>
              </w:rPr>
            </w:pPr>
          </w:p>
        </w:tc>
        <w:tc>
          <w:tcPr>
            <w:tcW w:w="2020" w:type="dxa"/>
            <w:vAlign w:val="bottom"/>
            <w:gridSpan w:val="3"/>
            <w:shd w:val="clear" w:color="auto" w:fill="0000FF"/>
          </w:tcPr>
          <w:p>
            <w:pPr>
              <w:spacing w:after="0" w:line="20" w:lineRule="exact"/>
              <w:rPr>
                <w:sz w:val="1"/>
                <w:szCs w:val="1"/>
                <w:color w:val="auto"/>
              </w:rPr>
            </w:pPr>
          </w:p>
        </w:tc>
        <w:tc>
          <w:tcPr>
            <w:tcW w:w="4700" w:type="dxa"/>
            <w:vAlign w:val="bottom"/>
            <w:gridSpan w:val="6"/>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r>
      <w:tr>
        <w:trPr>
          <w:trHeight w:val="318"/>
        </w:trPr>
        <w:tc>
          <w:tcPr>
            <w:tcW w:w="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58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Item 3. Defaults Upon Senior Securities</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r>
      <w:tr>
        <w:trPr>
          <w:trHeight w:val="20"/>
        </w:trPr>
        <w:tc>
          <w:tcPr>
            <w:tcW w:w="180" w:type="dxa"/>
            <w:vAlign w:val="bottom"/>
          </w:tcPr>
          <w:p>
            <w:pPr>
              <w:spacing w:after="0" w:line="20" w:lineRule="exact"/>
              <w:rPr>
                <w:sz w:val="1"/>
                <w:szCs w:val="1"/>
                <w:color w:val="auto"/>
              </w:rPr>
            </w:pPr>
          </w:p>
        </w:tc>
        <w:tc>
          <w:tcPr>
            <w:tcW w:w="400" w:type="dxa"/>
            <w:vAlign w:val="bottom"/>
            <w:tcBorders>
              <w:right w:val="single" w:sz="8" w:color="0000EE"/>
            </w:tcBorders>
          </w:tcPr>
          <w:p>
            <w:pPr>
              <w:spacing w:after="0" w:line="20" w:lineRule="exact"/>
              <w:rPr>
                <w:sz w:val="1"/>
                <w:szCs w:val="1"/>
                <w:color w:val="auto"/>
              </w:rPr>
            </w:pPr>
          </w:p>
        </w:tc>
        <w:tc>
          <w:tcPr>
            <w:tcW w:w="1120" w:type="dxa"/>
            <w:vAlign w:val="bottom"/>
            <w:gridSpan w:val="3"/>
            <w:shd w:val="clear" w:color="auto" w:fill="0000FF"/>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1020" w:type="dxa"/>
            <w:vAlign w:val="bottom"/>
            <w:tcBorders>
              <w:left w:val="single" w:sz="8" w:color="0000FF"/>
            </w:tcBorders>
            <w:gridSpan w:val="5"/>
            <w:shd w:val="clear" w:color="auto" w:fill="0000FF"/>
          </w:tcPr>
          <w:p>
            <w:pPr>
              <w:spacing w:after="0" w:line="20" w:lineRule="exact"/>
              <w:rPr>
                <w:sz w:val="1"/>
                <w:szCs w:val="1"/>
                <w:color w:val="auto"/>
              </w:rPr>
            </w:pPr>
          </w:p>
        </w:tc>
        <w:tc>
          <w:tcPr>
            <w:tcW w:w="6720" w:type="dxa"/>
            <w:vAlign w:val="bottom"/>
            <w:gridSpan w:val="9"/>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r>
      <w:tr>
        <w:trPr>
          <w:trHeight w:val="318"/>
        </w:trPr>
        <w:tc>
          <w:tcPr>
            <w:tcW w:w="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58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Item 4. Mine Safety Disclosures</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r>
      <w:tr>
        <w:trPr>
          <w:trHeight w:val="20"/>
        </w:trPr>
        <w:tc>
          <w:tcPr>
            <w:tcW w:w="180" w:type="dxa"/>
            <w:vAlign w:val="bottom"/>
          </w:tcPr>
          <w:p>
            <w:pPr>
              <w:spacing w:after="0" w:line="20" w:lineRule="exact"/>
              <w:rPr>
                <w:sz w:val="1"/>
                <w:szCs w:val="1"/>
                <w:color w:val="auto"/>
              </w:rPr>
            </w:pPr>
          </w:p>
        </w:tc>
        <w:tc>
          <w:tcPr>
            <w:tcW w:w="400" w:type="dxa"/>
            <w:vAlign w:val="bottom"/>
            <w:tcBorders>
              <w:right w:val="single" w:sz="8" w:color="0000EE"/>
            </w:tcBorders>
          </w:tcPr>
          <w:p>
            <w:pPr>
              <w:spacing w:after="0" w:line="20" w:lineRule="exact"/>
              <w:rPr>
                <w:sz w:val="1"/>
                <w:szCs w:val="1"/>
                <w:color w:val="auto"/>
              </w:rPr>
            </w:pPr>
          </w:p>
        </w:tc>
        <w:tc>
          <w:tcPr>
            <w:tcW w:w="1120" w:type="dxa"/>
            <w:vAlign w:val="bottom"/>
            <w:gridSpan w:val="3"/>
            <w:shd w:val="clear" w:color="auto" w:fill="0000FF"/>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460" w:type="dxa"/>
            <w:vAlign w:val="bottom"/>
            <w:tcBorders>
              <w:left w:val="single" w:sz="8" w:color="0000FF"/>
            </w:tcBorders>
            <w:gridSpan w:val="2"/>
            <w:shd w:val="clear" w:color="auto" w:fill="0000FF"/>
          </w:tcPr>
          <w:p>
            <w:pPr>
              <w:spacing w:after="0" w:line="20" w:lineRule="exact"/>
              <w:rPr>
                <w:sz w:val="1"/>
                <w:szCs w:val="1"/>
                <w:color w:val="auto"/>
              </w:rPr>
            </w:pPr>
          </w:p>
        </w:tc>
        <w:tc>
          <w:tcPr>
            <w:tcW w:w="7280" w:type="dxa"/>
            <w:vAlign w:val="bottom"/>
            <w:gridSpan w:val="12"/>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r>
      <w:tr>
        <w:trPr>
          <w:trHeight w:val="318"/>
        </w:trPr>
        <w:tc>
          <w:tcPr>
            <w:tcW w:w="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58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Item 5. Other Information</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r>
      <w:tr>
        <w:trPr>
          <w:trHeight w:val="20"/>
        </w:trPr>
        <w:tc>
          <w:tcPr>
            <w:tcW w:w="180" w:type="dxa"/>
            <w:vAlign w:val="bottom"/>
          </w:tcPr>
          <w:p>
            <w:pPr>
              <w:spacing w:after="0" w:line="20" w:lineRule="exact"/>
              <w:rPr>
                <w:sz w:val="1"/>
                <w:szCs w:val="1"/>
                <w:color w:val="auto"/>
              </w:rPr>
            </w:pPr>
          </w:p>
        </w:tc>
        <w:tc>
          <w:tcPr>
            <w:tcW w:w="400" w:type="dxa"/>
            <w:vAlign w:val="bottom"/>
            <w:tcBorders>
              <w:right w:val="single" w:sz="8" w:color="0000EE"/>
            </w:tcBorders>
          </w:tcPr>
          <w:p>
            <w:pPr>
              <w:spacing w:after="0" w:line="20" w:lineRule="exact"/>
              <w:rPr>
                <w:sz w:val="1"/>
                <w:szCs w:val="1"/>
                <w:color w:val="auto"/>
              </w:rPr>
            </w:pPr>
          </w:p>
        </w:tc>
        <w:tc>
          <w:tcPr>
            <w:tcW w:w="1120" w:type="dxa"/>
            <w:vAlign w:val="bottom"/>
            <w:gridSpan w:val="3"/>
            <w:shd w:val="clear" w:color="auto" w:fill="0000FF"/>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7740" w:type="dxa"/>
            <w:vAlign w:val="bottom"/>
            <w:gridSpan w:val="14"/>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r>
      <w:tr>
        <w:trPr>
          <w:trHeight w:val="318"/>
        </w:trPr>
        <w:tc>
          <w:tcPr>
            <w:tcW w:w="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58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Item 6. Exhibits</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r>
      <w:tr>
        <w:trPr>
          <w:trHeight w:val="649"/>
        </w:trPr>
        <w:tc>
          <w:tcPr>
            <w:tcW w:w="580" w:type="dxa"/>
            <w:vAlign w:val="bottom"/>
            <w:gridSpan w:val="2"/>
          </w:tcPr>
          <w:p>
            <w:pPr>
              <w:spacing w:after="0"/>
              <w:rPr>
                <w:sz w:val="24"/>
                <w:szCs w:val="24"/>
                <w:color w:val="auto"/>
              </w:rPr>
            </w:pPr>
          </w:p>
        </w:tc>
        <w:tc>
          <w:tcPr>
            <w:tcW w:w="1120" w:type="dxa"/>
            <w:vAlign w:val="bottom"/>
            <w:tcBorders>
              <w:top w:val="single" w:sz="8" w:color="0000FF"/>
            </w:tcBorders>
            <w:gridSpan w:val="3"/>
          </w:tcPr>
          <w:p>
            <w:pPr>
              <w:spacing w:after="0"/>
              <w:rPr>
                <w:sz w:val="24"/>
                <w:szCs w:val="24"/>
                <w:color w:val="auto"/>
              </w:rPr>
            </w:pPr>
          </w:p>
        </w:tc>
        <w:tc>
          <w:tcPr>
            <w:tcW w:w="5540" w:type="dxa"/>
            <w:vAlign w:val="bottom"/>
            <w:gridSpan w:val="11"/>
          </w:tcPr>
          <w:p>
            <w:pPr>
              <w:jc w:val="center"/>
              <w:ind w:left="2219"/>
              <w:spacing w:after="0"/>
              <w:rPr>
                <w:sz w:val="20"/>
                <w:szCs w:val="20"/>
                <w:color w:val="auto"/>
              </w:rPr>
            </w:pPr>
            <w:r>
              <w:rPr>
                <w:rFonts w:ascii="Times New Roman" w:cs="Times New Roman" w:eastAsia="Times New Roman" w:hAnsi="Times New Roman"/>
                <w:sz w:val="16"/>
                <w:szCs w:val="16"/>
                <w:color w:val="auto"/>
                <w:w w:val="99"/>
              </w:rPr>
              <w:t>2</w:t>
            </w:r>
          </w:p>
        </w:tc>
        <w:tc>
          <w:tcPr>
            <w:tcW w:w="3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769"/>
        </w:trPr>
        <w:tc>
          <w:tcPr>
            <w:tcW w:w="18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420" w:type="dxa"/>
            <w:vAlign w:val="bottom"/>
            <w:tcBorders>
              <w:bottom w:val="single" w:sz="8" w:color="9A9A9A"/>
            </w:tcBorders>
          </w:tcPr>
          <w:p>
            <w:pPr>
              <w:spacing w:after="0"/>
              <w:rPr>
                <w:sz w:val="24"/>
                <w:szCs w:val="24"/>
                <w:color w:val="auto"/>
              </w:rPr>
            </w:pPr>
          </w:p>
        </w:tc>
        <w:tc>
          <w:tcPr>
            <w:tcW w:w="500" w:type="dxa"/>
            <w:vAlign w:val="bottom"/>
            <w:tcBorders>
              <w:bottom w:val="single" w:sz="8" w:color="9A9A9A"/>
            </w:tcBorders>
          </w:tcPr>
          <w:p>
            <w:pPr>
              <w:spacing w:after="0"/>
              <w:rPr>
                <w:sz w:val="24"/>
                <w:szCs w:val="24"/>
                <w:color w:val="auto"/>
              </w:rPr>
            </w:pPr>
          </w:p>
        </w:tc>
        <w:tc>
          <w:tcPr>
            <w:tcW w:w="178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c>
          <w:tcPr>
            <w:tcW w:w="10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56"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u w:val="single" w:color="auto"/>
          <w:color w:val="0563C1"/>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-5080</wp:posOffset>
            </wp:positionV>
            <wp:extent cx="86931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869315" cy="8255"/>
                    </a:xfrm>
                    <a:prstGeom prst="rect">
                      <a:avLst/>
                    </a:prstGeom>
                    <a:noFill/>
                  </pic:spPr>
                </pic:pic>
              </a:graphicData>
            </a:graphic>
          </wp:anchor>
        </w:drawing>
      </w: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 – FINANCIAL INFORMATION</w:t>
      </w:r>
    </w:p>
    <w:p>
      <w:pPr>
        <w:spacing w:after="0" w:line="171"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1.</w:t>
        <w:tab/>
        <w:t>Financial Statements</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ADDUS HOMECARE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AND SUBSIDIARIES</w:t>
      </w:r>
    </w:p>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of March 31, 2025 and December 31, 2024</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(Amounts and Shares in Thousands, Except Per Share Data)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37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9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tcPr>
          <w:p>
            <w:pPr>
              <w:jc w:val="right"/>
              <w:ind w:right="311"/>
              <w:spacing w:after="0"/>
              <w:rPr>
                <w:sz w:val="20"/>
                <w:szCs w:val="20"/>
                <w:color w:val="auto"/>
              </w:rPr>
            </w:pPr>
            <w:r>
              <w:rPr>
                <w:rFonts w:ascii="Times New Roman" w:cs="Times New Roman" w:eastAsia="Times New Roman" w:hAnsi="Times New Roman"/>
                <w:sz w:val="14"/>
                <w:szCs w:val="14"/>
                <w:b w:val="1"/>
                <w:bCs w:val="1"/>
                <w:color w:val="auto"/>
              </w:rPr>
              <w:t>March 31, 2025</w:t>
            </w:r>
          </w:p>
        </w:tc>
        <w:tc>
          <w:tcPr>
            <w:tcW w:w="18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600" w:type="dxa"/>
            <w:vAlign w:val="bottom"/>
            <w:tcBorders>
              <w:bottom w:val="single" w:sz="8" w:color="auto"/>
            </w:tcBorders>
          </w:tcPr>
          <w:p>
            <w:pPr>
              <w:jc w:val="right"/>
              <w:ind w:right="271"/>
              <w:spacing w:after="0"/>
              <w:rPr>
                <w:sz w:val="20"/>
                <w:szCs w:val="20"/>
                <w:color w:val="auto"/>
              </w:rPr>
            </w:pPr>
            <w:r>
              <w:rPr>
                <w:rFonts w:ascii="Times New Roman" w:cs="Times New Roman" w:eastAsia="Times New Roman" w:hAnsi="Times New Roman"/>
                <w:sz w:val="14"/>
                <w:szCs w:val="14"/>
                <w:b w:val="1"/>
                <w:bCs w:val="1"/>
                <w:color w:val="auto"/>
              </w:rPr>
              <w:t>December 31, 2024</w:t>
            </w:r>
          </w:p>
        </w:tc>
      </w:tr>
      <w:tr>
        <w:trPr>
          <w:trHeight w:val="209"/>
        </w:trPr>
        <w:tc>
          <w:tcPr>
            <w:tcW w:w="69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7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4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600" w:type="dxa"/>
            <w:vAlign w:val="bottom"/>
            <w:shd w:val="clear" w:color="auto" w:fill="CFF0FC"/>
          </w:tcPr>
          <w:p>
            <w:pPr>
              <w:spacing w:after="0"/>
              <w:rPr>
                <w:sz w:val="18"/>
                <w:szCs w:val="18"/>
                <w:color w:val="auto"/>
              </w:rPr>
            </w:pPr>
          </w:p>
        </w:tc>
      </w:tr>
      <w:tr>
        <w:trPr>
          <w:trHeight w:val="216"/>
        </w:trPr>
        <w:tc>
          <w:tcPr>
            <w:tcW w:w="694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0" w:type="dxa"/>
            <w:vAlign w:val="bottom"/>
          </w:tcPr>
          <w:p>
            <w:pPr>
              <w:spacing w:after="0"/>
              <w:rPr>
                <w:sz w:val="18"/>
                <w:szCs w:val="18"/>
                <w:color w:val="auto"/>
              </w:rPr>
            </w:pPr>
          </w:p>
        </w:tc>
      </w:tr>
      <w:tr>
        <w:trPr>
          <w:trHeight w:val="216"/>
        </w:trPr>
        <w:tc>
          <w:tcPr>
            <w:tcW w:w="69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Cash</w:t>
            </w:r>
          </w:p>
        </w:tc>
        <w:tc>
          <w:tcPr>
            <w:tcW w:w="920" w:type="dxa"/>
            <w:vAlign w:val="bottom"/>
            <w:gridSpan w:val="2"/>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96,954</w:t>
            </w:r>
          </w:p>
        </w:tc>
        <w:tc>
          <w:tcPr>
            <w:tcW w:w="3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98,911</w:t>
            </w:r>
          </w:p>
        </w:tc>
      </w:tr>
      <w:tr>
        <w:trPr>
          <w:trHeight w:val="216"/>
        </w:trPr>
        <w:tc>
          <w:tcPr>
            <w:tcW w:w="69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Accounts receivable, net of allowances</w:t>
            </w: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134,607</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122,880</w:t>
            </w:r>
          </w:p>
        </w:tc>
      </w:tr>
      <w:tr>
        <w:trPr>
          <w:trHeight w:val="216"/>
        </w:trPr>
        <w:tc>
          <w:tcPr>
            <w:tcW w:w="6940" w:type="dxa"/>
            <w:vAlign w:val="bottom"/>
            <w:tcBorders>
              <w:bottom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72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144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26,267</w:t>
            </w:r>
          </w:p>
        </w:tc>
        <w:tc>
          <w:tcPr>
            <w:tcW w:w="18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160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38,591</w:t>
            </w:r>
          </w:p>
        </w:tc>
      </w:tr>
      <w:tr>
        <w:trPr>
          <w:trHeight w:val="210"/>
        </w:trPr>
        <w:tc>
          <w:tcPr>
            <w:tcW w:w="6940" w:type="dxa"/>
            <w:vAlign w:val="bottom"/>
          </w:tcPr>
          <w:p>
            <w:pPr>
              <w:spacing w:after="0"/>
              <w:rPr>
                <w:sz w:val="20"/>
                <w:szCs w:val="20"/>
                <w:color w:val="auto"/>
              </w:rPr>
            </w:pPr>
            <w:r>
              <w:rPr>
                <w:rFonts w:ascii="Times New Roman" w:cs="Times New Roman" w:eastAsia="Times New Roman" w:hAnsi="Times New Roman"/>
                <w:sz w:val="18"/>
                <w:szCs w:val="18"/>
                <w:color w:val="auto"/>
              </w:rPr>
              <w:t>Total current assets</w:t>
            </w:r>
          </w:p>
        </w:tc>
        <w:tc>
          <w:tcPr>
            <w:tcW w:w="7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257,828</w:t>
            </w:r>
          </w:p>
        </w:tc>
        <w:tc>
          <w:tcPr>
            <w:tcW w:w="1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260,382</w:t>
            </w:r>
          </w:p>
        </w:tc>
      </w:tr>
      <w:tr>
        <w:trPr>
          <w:trHeight w:val="209"/>
        </w:trPr>
        <w:tc>
          <w:tcPr>
            <w:tcW w:w="69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Property and equipment, net of accumulated depreciation and amortization</w:t>
            </w:r>
          </w:p>
        </w:tc>
        <w:tc>
          <w:tcPr>
            <w:tcW w:w="7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44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24,701</w:t>
            </w:r>
          </w:p>
        </w:tc>
        <w:tc>
          <w:tcPr>
            <w:tcW w:w="1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60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24,703</w:t>
            </w:r>
          </w:p>
        </w:tc>
      </w:tr>
      <w:tr>
        <w:trPr>
          <w:trHeight w:val="216"/>
        </w:trPr>
        <w:tc>
          <w:tcPr>
            <w:tcW w:w="6940" w:type="dxa"/>
            <w:vAlign w:val="bottom"/>
          </w:tcPr>
          <w:p>
            <w:pPr>
              <w:spacing w:after="0"/>
              <w:rPr>
                <w:sz w:val="20"/>
                <w:szCs w:val="20"/>
                <w:color w:val="auto"/>
              </w:rPr>
            </w:pPr>
            <w:r>
              <w:rPr>
                <w:rFonts w:ascii="Times New Roman" w:cs="Times New Roman" w:eastAsia="Times New Roman" w:hAnsi="Times New Roman"/>
                <w:sz w:val="18"/>
                <w:szCs w:val="18"/>
                <w:color w:val="auto"/>
              </w:rPr>
              <w:t>Other assets</w:t>
            </w: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0" w:type="dxa"/>
            <w:vAlign w:val="bottom"/>
          </w:tcPr>
          <w:p>
            <w:pPr>
              <w:spacing w:after="0"/>
              <w:rPr>
                <w:sz w:val="18"/>
                <w:szCs w:val="18"/>
                <w:color w:val="auto"/>
              </w:rPr>
            </w:pPr>
          </w:p>
        </w:tc>
      </w:tr>
      <w:tr>
        <w:trPr>
          <w:trHeight w:val="216"/>
        </w:trPr>
        <w:tc>
          <w:tcPr>
            <w:tcW w:w="69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Goodwill</w:t>
            </w:r>
          </w:p>
        </w:tc>
        <w:tc>
          <w:tcPr>
            <w:tcW w:w="7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44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972,347</w:t>
            </w:r>
          </w:p>
        </w:tc>
        <w:tc>
          <w:tcPr>
            <w:tcW w:w="1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60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970,558</w:t>
            </w:r>
          </w:p>
        </w:tc>
      </w:tr>
      <w:tr>
        <w:trPr>
          <w:trHeight w:val="216"/>
        </w:trPr>
        <w:tc>
          <w:tcPr>
            <w:tcW w:w="69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Intangibles, net of accumulated amortization</w:t>
            </w: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107,644</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109,643</w:t>
            </w:r>
          </w:p>
        </w:tc>
      </w:tr>
      <w:tr>
        <w:trPr>
          <w:trHeight w:val="216"/>
        </w:trPr>
        <w:tc>
          <w:tcPr>
            <w:tcW w:w="6940" w:type="dxa"/>
            <w:vAlign w:val="bottom"/>
            <w:tcBorders>
              <w:bottom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Operating lease assets, net</w:t>
            </w:r>
          </w:p>
        </w:tc>
        <w:tc>
          <w:tcPr>
            <w:tcW w:w="72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144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45,064</w:t>
            </w:r>
          </w:p>
        </w:tc>
        <w:tc>
          <w:tcPr>
            <w:tcW w:w="18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160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47,348</w:t>
            </w:r>
          </w:p>
        </w:tc>
      </w:tr>
      <w:tr>
        <w:trPr>
          <w:trHeight w:val="209"/>
        </w:trPr>
        <w:tc>
          <w:tcPr>
            <w:tcW w:w="6940" w:type="dxa"/>
            <w:vAlign w:val="bottom"/>
          </w:tcPr>
          <w:p>
            <w:pPr>
              <w:spacing w:after="0"/>
              <w:rPr>
                <w:sz w:val="20"/>
                <w:szCs w:val="20"/>
                <w:color w:val="auto"/>
              </w:rPr>
            </w:pPr>
            <w:r>
              <w:rPr>
                <w:rFonts w:ascii="Times New Roman" w:cs="Times New Roman" w:eastAsia="Times New Roman" w:hAnsi="Times New Roman"/>
                <w:sz w:val="18"/>
                <w:szCs w:val="18"/>
                <w:color w:val="auto"/>
              </w:rPr>
              <w:t>Total other assets</w:t>
            </w:r>
          </w:p>
        </w:tc>
        <w:tc>
          <w:tcPr>
            <w:tcW w:w="7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1,125,055</w:t>
            </w:r>
          </w:p>
        </w:tc>
        <w:tc>
          <w:tcPr>
            <w:tcW w:w="1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1,127,549</w:t>
            </w:r>
          </w:p>
        </w:tc>
      </w:tr>
      <w:tr>
        <w:trPr>
          <w:trHeight w:val="250"/>
        </w:trPr>
        <w:tc>
          <w:tcPr>
            <w:tcW w:w="69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920" w:type="dxa"/>
            <w:vAlign w:val="bottom"/>
            <w:gridSpan w:val="2"/>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1,407,584</w:t>
            </w:r>
          </w:p>
        </w:tc>
        <w:tc>
          <w:tcPr>
            <w:tcW w:w="3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1,412,634</w:t>
            </w:r>
          </w:p>
        </w:tc>
      </w:tr>
      <w:tr>
        <w:trPr>
          <w:trHeight w:val="196"/>
        </w:trPr>
        <w:tc>
          <w:tcPr>
            <w:tcW w:w="6940" w:type="dxa"/>
            <w:vAlign w:val="bottom"/>
            <w:tcBorders>
              <w:top w:val="single" w:sz="8" w:color="CFF0FC"/>
            </w:tcBorders>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720" w:type="dxa"/>
            <w:vAlign w:val="bottom"/>
            <w:tcBorders>
              <w:top w:val="single" w:sz="8" w:color="CFF0FC"/>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440" w:type="dxa"/>
            <w:vAlign w:val="bottom"/>
            <w:tcBorders>
              <w:top w:val="single" w:sz="8" w:color="auto"/>
            </w:tcBorders>
          </w:tcPr>
          <w:p>
            <w:pPr>
              <w:spacing w:after="0"/>
              <w:rPr>
                <w:sz w:val="17"/>
                <w:szCs w:val="17"/>
                <w:color w:val="auto"/>
              </w:rPr>
            </w:pPr>
          </w:p>
        </w:tc>
        <w:tc>
          <w:tcPr>
            <w:tcW w:w="180" w:type="dxa"/>
            <w:vAlign w:val="bottom"/>
            <w:tcBorders>
              <w:top w:val="single" w:sz="8" w:color="CFF0FC"/>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600" w:type="dxa"/>
            <w:vAlign w:val="bottom"/>
            <w:tcBorders>
              <w:top w:val="single" w:sz="8" w:color="auto"/>
            </w:tcBorders>
          </w:tcPr>
          <w:p>
            <w:pPr>
              <w:spacing w:after="0"/>
              <w:rPr>
                <w:sz w:val="17"/>
                <w:szCs w:val="17"/>
                <w:color w:val="auto"/>
              </w:rPr>
            </w:pPr>
          </w:p>
        </w:tc>
      </w:tr>
      <w:tr>
        <w:trPr>
          <w:trHeight w:val="216"/>
        </w:trPr>
        <w:tc>
          <w:tcPr>
            <w:tcW w:w="69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7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4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600" w:type="dxa"/>
            <w:vAlign w:val="bottom"/>
            <w:shd w:val="clear" w:color="auto" w:fill="CFF0FC"/>
          </w:tcPr>
          <w:p>
            <w:pPr>
              <w:spacing w:after="0"/>
              <w:rPr>
                <w:sz w:val="18"/>
                <w:szCs w:val="18"/>
                <w:color w:val="auto"/>
              </w:rPr>
            </w:pPr>
          </w:p>
        </w:tc>
      </w:tr>
      <w:tr>
        <w:trPr>
          <w:trHeight w:val="216"/>
        </w:trPr>
        <w:tc>
          <w:tcPr>
            <w:tcW w:w="69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Accounts payable</w:t>
            </w:r>
          </w:p>
        </w:tc>
        <w:tc>
          <w:tcPr>
            <w:tcW w:w="92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27,969</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27,176</w:t>
            </w:r>
          </w:p>
        </w:tc>
      </w:tr>
      <w:tr>
        <w:trPr>
          <w:trHeight w:val="216"/>
        </w:trPr>
        <w:tc>
          <w:tcPr>
            <w:tcW w:w="69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Accrued payroll</w:t>
            </w:r>
          </w:p>
        </w:tc>
        <w:tc>
          <w:tcPr>
            <w:tcW w:w="7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44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54,858</w:t>
            </w:r>
          </w:p>
        </w:tc>
        <w:tc>
          <w:tcPr>
            <w:tcW w:w="1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60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62,053</w:t>
            </w:r>
          </w:p>
        </w:tc>
      </w:tr>
      <w:tr>
        <w:trPr>
          <w:trHeight w:val="216"/>
        </w:trPr>
        <w:tc>
          <w:tcPr>
            <w:tcW w:w="69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Accrued expenses</w:t>
            </w: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29,748</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28,959</w:t>
            </w:r>
          </w:p>
        </w:tc>
      </w:tr>
      <w:tr>
        <w:trPr>
          <w:trHeight w:val="216"/>
        </w:trPr>
        <w:tc>
          <w:tcPr>
            <w:tcW w:w="69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Operating lease liabilities, current portion</w:t>
            </w:r>
          </w:p>
        </w:tc>
        <w:tc>
          <w:tcPr>
            <w:tcW w:w="7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44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12,649</w:t>
            </w:r>
          </w:p>
        </w:tc>
        <w:tc>
          <w:tcPr>
            <w:tcW w:w="1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60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12,800</w:t>
            </w:r>
          </w:p>
        </w:tc>
      </w:tr>
      <w:tr>
        <w:trPr>
          <w:trHeight w:val="216"/>
        </w:trPr>
        <w:tc>
          <w:tcPr>
            <w:tcW w:w="69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Government stimulus advances</w:t>
            </w: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8,702</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11,239</w:t>
            </w:r>
          </w:p>
        </w:tc>
      </w:tr>
      <w:tr>
        <w:trPr>
          <w:trHeight w:val="216"/>
        </w:trPr>
        <w:tc>
          <w:tcPr>
            <w:tcW w:w="6940" w:type="dxa"/>
            <w:vAlign w:val="bottom"/>
            <w:tcBorders>
              <w:bottom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Accrued workers' compensation insurance</w:t>
            </w:r>
          </w:p>
        </w:tc>
        <w:tc>
          <w:tcPr>
            <w:tcW w:w="72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144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14,010</w:t>
            </w:r>
          </w:p>
        </w:tc>
        <w:tc>
          <w:tcPr>
            <w:tcW w:w="18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160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13,644</w:t>
            </w:r>
          </w:p>
        </w:tc>
      </w:tr>
      <w:tr>
        <w:trPr>
          <w:trHeight w:val="210"/>
        </w:trPr>
        <w:tc>
          <w:tcPr>
            <w:tcW w:w="6940" w:type="dxa"/>
            <w:vAlign w:val="bottom"/>
          </w:tcPr>
          <w:p>
            <w:pPr>
              <w:spacing w:after="0"/>
              <w:rPr>
                <w:sz w:val="20"/>
                <w:szCs w:val="20"/>
                <w:color w:val="auto"/>
              </w:rPr>
            </w:pPr>
            <w:r>
              <w:rPr>
                <w:rFonts w:ascii="Times New Roman" w:cs="Times New Roman" w:eastAsia="Times New Roman" w:hAnsi="Times New Roman"/>
                <w:sz w:val="18"/>
                <w:szCs w:val="18"/>
                <w:color w:val="auto"/>
              </w:rPr>
              <w:t>Total current liabilities</w:t>
            </w:r>
          </w:p>
        </w:tc>
        <w:tc>
          <w:tcPr>
            <w:tcW w:w="7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147,936</w:t>
            </w:r>
          </w:p>
        </w:tc>
        <w:tc>
          <w:tcPr>
            <w:tcW w:w="1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155,871</w:t>
            </w:r>
          </w:p>
        </w:tc>
      </w:tr>
      <w:tr>
        <w:trPr>
          <w:trHeight w:val="209"/>
        </w:trPr>
        <w:tc>
          <w:tcPr>
            <w:tcW w:w="69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Long-term liabilities</w:t>
            </w:r>
          </w:p>
        </w:tc>
        <w:tc>
          <w:tcPr>
            <w:tcW w:w="7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4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600" w:type="dxa"/>
            <w:vAlign w:val="bottom"/>
            <w:shd w:val="clear" w:color="auto" w:fill="CFF0FC"/>
          </w:tcPr>
          <w:p>
            <w:pPr>
              <w:spacing w:after="0"/>
              <w:rPr>
                <w:sz w:val="18"/>
                <w:szCs w:val="18"/>
                <w:color w:val="auto"/>
              </w:rPr>
            </w:pPr>
          </w:p>
        </w:tc>
      </w:tr>
      <w:tr>
        <w:trPr>
          <w:trHeight w:val="216"/>
        </w:trPr>
        <w:tc>
          <w:tcPr>
            <w:tcW w:w="69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Long-term debt, less current portion, net of debt issuance costs</w:t>
            </w: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198,740</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218,443</w:t>
            </w:r>
          </w:p>
        </w:tc>
      </w:tr>
      <w:tr>
        <w:trPr>
          <w:trHeight w:val="216"/>
        </w:trPr>
        <w:tc>
          <w:tcPr>
            <w:tcW w:w="69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Long-term operating lease liabilities</w:t>
            </w:r>
          </w:p>
        </w:tc>
        <w:tc>
          <w:tcPr>
            <w:tcW w:w="7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44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39,414</w:t>
            </w:r>
          </w:p>
        </w:tc>
        <w:tc>
          <w:tcPr>
            <w:tcW w:w="1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60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41,883</w:t>
            </w:r>
          </w:p>
        </w:tc>
      </w:tr>
      <w:tr>
        <w:trPr>
          <w:trHeight w:val="216"/>
        </w:trPr>
        <w:tc>
          <w:tcPr>
            <w:tcW w:w="69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Deferred income tax</w:t>
            </w: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25,986</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25,820</w:t>
            </w:r>
          </w:p>
        </w:tc>
      </w:tr>
      <w:tr>
        <w:trPr>
          <w:trHeight w:val="216"/>
        </w:trPr>
        <w:tc>
          <w:tcPr>
            <w:tcW w:w="6940" w:type="dxa"/>
            <w:vAlign w:val="bottom"/>
            <w:tcBorders>
              <w:bottom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72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144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125</w:t>
            </w:r>
          </w:p>
        </w:tc>
        <w:tc>
          <w:tcPr>
            <w:tcW w:w="18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160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125</w:t>
            </w:r>
          </w:p>
        </w:tc>
      </w:tr>
      <w:tr>
        <w:trPr>
          <w:trHeight w:val="210"/>
        </w:trPr>
        <w:tc>
          <w:tcPr>
            <w:tcW w:w="6940" w:type="dxa"/>
            <w:vAlign w:val="bottom"/>
          </w:tcPr>
          <w:p>
            <w:pPr>
              <w:spacing w:after="0"/>
              <w:rPr>
                <w:sz w:val="20"/>
                <w:szCs w:val="20"/>
                <w:color w:val="auto"/>
              </w:rPr>
            </w:pPr>
            <w:r>
              <w:rPr>
                <w:rFonts w:ascii="Times New Roman" w:cs="Times New Roman" w:eastAsia="Times New Roman" w:hAnsi="Times New Roman"/>
                <w:sz w:val="18"/>
                <w:szCs w:val="18"/>
                <w:color w:val="auto"/>
              </w:rPr>
              <w:t>Total long-term liabilities</w:t>
            </w:r>
          </w:p>
        </w:tc>
        <w:tc>
          <w:tcPr>
            <w:tcW w:w="7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264,265</w:t>
            </w:r>
          </w:p>
        </w:tc>
        <w:tc>
          <w:tcPr>
            <w:tcW w:w="1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286,271</w:t>
            </w:r>
          </w:p>
        </w:tc>
      </w:tr>
      <w:tr>
        <w:trPr>
          <w:trHeight w:val="209"/>
        </w:trPr>
        <w:tc>
          <w:tcPr>
            <w:tcW w:w="69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liabilities</w:t>
            </w:r>
          </w:p>
        </w:tc>
        <w:tc>
          <w:tcPr>
            <w:tcW w:w="920" w:type="dxa"/>
            <w:vAlign w:val="bottom"/>
            <w:gridSpan w:val="2"/>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412,201</w:t>
            </w:r>
          </w:p>
        </w:tc>
        <w:tc>
          <w:tcPr>
            <w:tcW w:w="3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442,142</w:t>
            </w:r>
          </w:p>
        </w:tc>
      </w:tr>
      <w:tr>
        <w:trPr>
          <w:trHeight w:val="210"/>
        </w:trPr>
        <w:tc>
          <w:tcPr>
            <w:tcW w:w="694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color w:val="auto"/>
              </w:rPr>
              <w:t>Stockholders' equity</w:t>
            </w:r>
          </w:p>
        </w:tc>
        <w:tc>
          <w:tcPr>
            <w:tcW w:w="720" w:type="dxa"/>
            <w:vAlign w:val="bottom"/>
            <w:tcBorders>
              <w:top w:val="single" w:sz="8" w:color="CFF0FC"/>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440" w:type="dxa"/>
            <w:vAlign w:val="bottom"/>
            <w:tcBorders>
              <w:top w:val="single" w:sz="8" w:color="auto"/>
            </w:tcBorders>
          </w:tcPr>
          <w:p>
            <w:pPr>
              <w:spacing w:after="0"/>
              <w:rPr>
                <w:sz w:val="18"/>
                <w:szCs w:val="18"/>
                <w:color w:val="auto"/>
              </w:rPr>
            </w:pPr>
          </w:p>
        </w:tc>
        <w:tc>
          <w:tcPr>
            <w:tcW w:w="180" w:type="dxa"/>
            <w:vAlign w:val="bottom"/>
            <w:tcBorders>
              <w:top w:val="single" w:sz="8" w:color="CFF0FC"/>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600" w:type="dxa"/>
            <w:vAlign w:val="bottom"/>
            <w:tcBorders>
              <w:top w:val="single" w:sz="8" w:color="auto"/>
            </w:tcBorders>
          </w:tcPr>
          <w:p>
            <w:pPr>
              <w:spacing w:after="0"/>
              <w:rPr>
                <w:sz w:val="18"/>
                <w:szCs w:val="18"/>
                <w:color w:val="auto"/>
              </w:rPr>
            </w:pPr>
          </w:p>
        </w:tc>
      </w:tr>
      <w:tr>
        <w:trPr>
          <w:trHeight w:val="198"/>
        </w:trPr>
        <w:tc>
          <w:tcPr>
            <w:tcW w:w="6940" w:type="dxa"/>
            <w:vAlign w:val="bottom"/>
            <w:shd w:val="clear" w:color="auto" w:fill="CFF0FC"/>
          </w:tcPr>
          <w:p>
            <w:pPr>
              <w:ind w:left="140"/>
              <w:spacing w:after="0" w:line="198" w:lineRule="exact"/>
              <w:rPr>
                <w:sz w:val="20"/>
                <w:szCs w:val="20"/>
                <w:color w:val="auto"/>
              </w:rPr>
            </w:pPr>
            <w:r>
              <w:rPr>
                <w:rFonts w:ascii="Times New Roman" w:cs="Times New Roman" w:eastAsia="Times New Roman" w:hAnsi="Times New Roman"/>
                <w:sz w:val="18"/>
                <w:szCs w:val="18"/>
                <w:color w:val="auto"/>
              </w:rPr>
              <w:t>Common stock—$.001 par value; 40,000 authorized and 18,399 and 18,148 shares</w:t>
            </w:r>
          </w:p>
        </w:tc>
        <w:tc>
          <w:tcPr>
            <w:tcW w:w="7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44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600" w:type="dxa"/>
            <w:vAlign w:val="bottom"/>
            <w:shd w:val="clear" w:color="auto" w:fill="CFF0FC"/>
          </w:tcPr>
          <w:p>
            <w:pPr>
              <w:spacing w:after="0"/>
              <w:rPr>
                <w:sz w:val="17"/>
                <w:szCs w:val="17"/>
                <w:color w:val="auto"/>
              </w:rPr>
            </w:pPr>
          </w:p>
        </w:tc>
      </w:tr>
      <w:tr>
        <w:trPr>
          <w:trHeight w:val="234"/>
        </w:trPr>
        <w:tc>
          <w:tcPr>
            <w:tcW w:w="694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8"/>
                <w:szCs w:val="18"/>
                <w:color w:val="auto"/>
              </w:rPr>
              <w:t>issued and outstanding as of March 31, 2025 and December 31, 2024, respectively</w:t>
            </w:r>
          </w:p>
        </w:tc>
        <w:tc>
          <w:tcPr>
            <w:tcW w:w="920" w:type="dxa"/>
            <w:vAlign w:val="bottom"/>
            <w:gridSpan w:val="2"/>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18</w:t>
            </w:r>
          </w:p>
        </w:tc>
        <w:tc>
          <w:tcPr>
            <w:tcW w:w="3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18</w:t>
            </w:r>
          </w:p>
        </w:tc>
      </w:tr>
      <w:tr>
        <w:trPr>
          <w:trHeight w:val="216"/>
        </w:trPr>
        <w:tc>
          <w:tcPr>
            <w:tcW w:w="69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597,707</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594,044</w:t>
            </w:r>
          </w:p>
        </w:tc>
      </w:tr>
      <w:tr>
        <w:trPr>
          <w:trHeight w:val="216"/>
        </w:trPr>
        <w:tc>
          <w:tcPr>
            <w:tcW w:w="6940" w:type="dxa"/>
            <w:vAlign w:val="bottom"/>
            <w:tcBorders>
              <w:bottom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Retained earnings</w:t>
            </w:r>
          </w:p>
        </w:tc>
        <w:tc>
          <w:tcPr>
            <w:tcW w:w="72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144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397,658</w:t>
            </w:r>
          </w:p>
        </w:tc>
        <w:tc>
          <w:tcPr>
            <w:tcW w:w="18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160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376,430</w:t>
            </w:r>
          </w:p>
        </w:tc>
      </w:tr>
      <w:tr>
        <w:trPr>
          <w:trHeight w:val="209"/>
        </w:trPr>
        <w:tc>
          <w:tcPr>
            <w:tcW w:w="6940" w:type="dxa"/>
            <w:vAlign w:val="bottom"/>
          </w:tcPr>
          <w:p>
            <w:pPr>
              <w:spacing w:after="0"/>
              <w:rPr>
                <w:sz w:val="20"/>
                <w:szCs w:val="20"/>
                <w:color w:val="auto"/>
              </w:rPr>
            </w:pPr>
            <w:r>
              <w:rPr>
                <w:rFonts w:ascii="Times New Roman" w:cs="Times New Roman" w:eastAsia="Times New Roman" w:hAnsi="Times New Roman"/>
                <w:sz w:val="18"/>
                <w:szCs w:val="18"/>
                <w:color w:val="auto"/>
              </w:rPr>
              <w:t>Total stockholders' equity</w:t>
            </w:r>
          </w:p>
        </w:tc>
        <w:tc>
          <w:tcPr>
            <w:tcW w:w="7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995,383</w:t>
            </w:r>
          </w:p>
        </w:tc>
        <w:tc>
          <w:tcPr>
            <w:tcW w:w="1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970,492</w:t>
            </w:r>
          </w:p>
        </w:tc>
      </w:tr>
      <w:tr>
        <w:trPr>
          <w:trHeight w:val="249"/>
        </w:trPr>
        <w:tc>
          <w:tcPr>
            <w:tcW w:w="69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72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1,407,584</w:t>
            </w:r>
          </w:p>
        </w:tc>
        <w:tc>
          <w:tcPr>
            <w:tcW w:w="18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1,412,634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5911215</wp:posOffset>
            </wp:positionH>
            <wp:positionV relativeFrom="paragraph">
              <wp:posOffset>-4396740</wp:posOffset>
            </wp:positionV>
            <wp:extent cx="11112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-3556635</wp:posOffset>
            </wp:positionV>
            <wp:extent cx="11112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-3265170</wp:posOffset>
            </wp:positionV>
            <wp:extent cx="11112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-3248025</wp:posOffset>
            </wp:positionV>
            <wp:extent cx="11112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-2142490</wp:posOffset>
            </wp:positionV>
            <wp:extent cx="111125"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-1302385</wp:posOffset>
            </wp:positionV>
            <wp:extent cx="111125"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-1010920</wp:posOffset>
            </wp:positionV>
            <wp:extent cx="111125"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11125" cy="8890"/>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-316230</wp:posOffset>
            </wp:positionV>
            <wp:extent cx="111125"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-24765</wp:posOffset>
            </wp:positionV>
            <wp:extent cx="111125"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11125" cy="8890"/>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-7620</wp:posOffset>
            </wp:positionV>
            <wp:extent cx="111125"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11125" cy="8255"/>
                    </a:xfrm>
                    <a:prstGeom prst="rect">
                      <a:avLst/>
                    </a:prstGeom>
                    <a:noFill/>
                  </pic:spPr>
                </pic:pic>
              </a:graphicData>
            </a:graphic>
          </wp:anchor>
        </w:drawing>
      </w:r>
    </w:p>
    <w:p>
      <w:pPr>
        <w:spacing w:after="0" w:line="1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Condensed Consolidated Financial Statements (Unaudited)</w:t>
      </w: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487680</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u w:val="single" w:color="auto"/>
          <w:color w:val="0563C1"/>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-5080</wp:posOffset>
            </wp:positionV>
            <wp:extent cx="869315"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869315" cy="8255"/>
                    </a:xfrm>
                    <a:prstGeom prst="rect">
                      <a:avLst/>
                    </a:prstGeom>
                    <a:noFill/>
                  </pic:spPr>
                </pic:pic>
              </a:graphicData>
            </a:graphic>
          </wp:anchor>
        </w:drawing>
      </w: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ADDUS HOMECARE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AND SUBSIDIARIES</w:t>
      </w:r>
    </w:p>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INCOME</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Three Months Ended March 31, 2025 and 2024</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(Amounts and Shares in Thousands, Except Per Share Data)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87" w:lineRule="exact"/>
        <w:rPr>
          <w:sz w:val="20"/>
          <w:szCs w:val="20"/>
          <w:color w:val="auto"/>
        </w:rPr>
      </w:pPr>
    </w:p>
    <w:p>
      <w:pPr>
        <w:jc w:val="center"/>
        <w:ind w:left="7620"/>
        <w:spacing w:after="0"/>
        <w:rPr>
          <w:sz w:val="20"/>
          <w:szCs w:val="20"/>
          <w:color w:val="auto"/>
        </w:rPr>
      </w:pPr>
      <w:r>
        <w:rPr>
          <w:rFonts w:ascii="Times New Roman" w:cs="Times New Roman" w:eastAsia="Times New Roman" w:hAnsi="Times New Roman"/>
          <w:sz w:val="14"/>
          <w:szCs w:val="14"/>
          <w:b w:val="1"/>
          <w:bCs w:val="1"/>
          <w:color w:val="auto"/>
        </w:rPr>
        <w:t>For the Three Months</w:t>
      </w:r>
    </w:p>
    <w:p>
      <w:pPr>
        <w:jc w:val="center"/>
        <w:ind w:left="7620"/>
        <w:spacing w:after="0"/>
        <w:rPr>
          <w:sz w:val="20"/>
          <w:szCs w:val="20"/>
          <w:color w:val="auto"/>
        </w:rPr>
      </w:pPr>
      <w:r>
        <w:rPr>
          <w:rFonts w:ascii="Times New Roman" w:cs="Times New Roman" w:eastAsia="Times New Roman" w:hAnsi="Times New Roman"/>
          <w:sz w:val="14"/>
          <w:szCs w:val="14"/>
          <w:b w:val="1"/>
          <w:bCs w:val="1"/>
          <w:color w:val="auto"/>
        </w:rPr>
        <w:t>Ended March 31,</w:t>
      </w:r>
    </w:p>
    <w:tbl>
      <w:tblPr>
        <w:tblLayout w:type="fixed"/>
        <w:tblInd w:w="0" w:type="dxa"/>
        <w:tblCellMar>
          <w:top w:w="0" w:type="dxa"/>
          <w:left w:w="0" w:type="dxa"/>
          <w:bottom w:w="0" w:type="dxa"/>
          <w:right w:w="0" w:type="dxa"/>
        </w:tblCellMar>
      </w:tblPr>
      <w:tr>
        <w:trPr>
          <w:trHeight w:val="142"/>
        </w:trPr>
        <w:tc>
          <w:tcPr>
            <w:tcW w:w="634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94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620" w:type="dxa"/>
            <w:vAlign w:val="bottom"/>
            <w:tcBorders>
              <w:top w:val="single" w:sz="8" w:color="auto"/>
              <w:bottom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360" w:type="dxa"/>
            <w:vAlign w:val="bottom"/>
            <w:tcBorders>
              <w:top w:val="single" w:sz="8" w:color="auto"/>
              <w:bottom w:val="single" w:sz="8" w:color="auto"/>
            </w:tcBorders>
          </w:tcPr>
          <w:p>
            <w:pPr>
              <w:spacing w:after="0"/>
              <w:rPr>
                <w:sz w:val="12"/>
                <w:szCs w:val="12"/>
                <w:color w:val="auto"/>
              </w:rPr>
            </w:pPr>
          </w:p>
        </w:tc>
        <w:tc>
          <w:tcPr>
            <w:tcW w:w="1200" w:type="dxa"/>
            <w:vAlign w:val="bottom"/>
            <w:tcBorders>
              <w:top w:val="single" w:sz="8" w:color="auto"/>
              <w:bottom w:val="single" w:sz="8" w:color="auto"/>
            </w:tcBorders>
          </w:tcPr>
          <w:p>
            <w:pPr>
              <w:jc w:val="right"/>
              <w:ind w:right="551"/>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2"/>
                <w:szCs w:val="12"/>
                <w:color w:val="auto"/>
              </w:rPr>
            </w:pPr>
          </w:p>
        </w:tc>
      </w:tr>
      <w:tr>
        <w:trPr>
          <w:trHeight w:val="210"/>
        </w:trPr>
        <w:tc>
          <w:tcPr>
            <w:tcW w:w="63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service revenues</w:t>
            </w:r>
          </w:p>
        </w:tc>
        <w:tc>
          <w:tcPr>
            <w:tcW w:w="2340" w:type="dxa"/>
            <w:vAlign w:val="bottom"/>
            <w:gridSpan w:val="2"/>
            <w:shd w:val="clear" w:color="auto" w:fill="CFF0FC"/>
          </w:tcPr>
          <w:p>
            <w:pPr>
              <w:jc w:val="right"/>
              <w:ind w:right="768"/>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337,708</w:t>
            </w:r>
          </w:p>
        </w:tc>
        <w:tc>
          <w:tcPr>
            <w:tcW w:w="48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280,746</w:t>
            </w:r>
          </w:p>
        </w:tc>
      </w:tr>
      <w:tr>
        <w:trPr>
          <w:trHeight w:val="216"/>
        </w:trPr>
        <w:tc>
          <w:tcPr>
            <w:tcW w:w="6340" w:type="dxa"/>
            <w:vAlign w:val="bottom"/>
          </w:tcPr>
          <w:p>
            <w:pPr>
              <w:spacing w:after="0"/>
              <w:rPr>
                <w:sz w:val="20"/>
                <w:szCs w:val="20"/>
                <w:color w:val="auto"/>
              </w:rPr>
            </w:pPr>
            <w:r>
              <w:rPr>
                <w:rFonts w:ascii="Times New Roman" w:cs="Times New Roman" w:eastAsia="Times New Roman" w:hAnsi="Times New Roman"/>
                <w:sz w:val="18"/>
                <w:szCs w:val="18"/>
                <w:color w:val="auto"/>
              </w:rPr>
              <w:t>Cost of service revenues</w:t>
            </w:r>
          </w:p>
        </w:tc>
        <w:tc>
          <w:tcPr>
            <w:tcW w:w="1400" w:type="dxa"/>
            <w:vAlign w:val="bottom"/>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230,031</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192,569</w:t>
            </w:r>
          </w:p>
        </w:tc>
        <w:tc>
          <w:tcPr>
            <w:tcW w:w="100" w:type="dxa"/>
            <w:vAlign w:val="bottom"/>
          </w:tcPr>
          <w:p>
            <w:pPr>
              <w:spacing w:after="0"/>
              <w:rPr>
                <w:sz w:val="18"/>
                <w:szCs w:val="18"/>
                <w:color w:val="auto"/>
              </w:rPr>
            </w:pPr>
          </w:p>
        </w:tc>
      </w:tr>
      <w:tr>
        <w:trPr>
          <w:trHeight w:val="209"/>
        </w:trPr>
        <w:tc>
          <w:tcPr>
            <w:tcW w:w="63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140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7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107,677</w:t>
            </w:r>
          </w:p>
        </w:tc>
        <w:tc>
          <w:tcPr>
            <w:tcW w:w="1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88,177</w:t>
            </w:r>
          </w:p>
        </w:tc>
      </w:tr>
      <w:tr>
        <w:trPr>
          <w:trHeight w:val="216"/>
        </w:trPr>
        <w:tc>
          <w:tcPr>
            <w:tcW w:w="6340" w:type="dxa"/>
            <w:vAlign w:val="bottom"/>
          </w:tcPr>
          <w:p>
            <w:pPr>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14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73,220</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61,063</w:t>
            </w:r>
          </w:p>
        </w:tc>
      </w:tr>
      <w:tr>
        <w:trPr>
          <w:trHeight w:val="216"/>
        </w:trPr>
        <w:tc>
          <w:tcPr>
            <w:tcW w:w="63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400" w:type="dxa"/>
            <w:vAlign w:val="bottom"/>
            <w:tcBorders>
              <w:bottom w:val="single" w:sz="8" w:color="CFF0FC"/>
            </w:tcBorders>
            <w:shd w:val="clear" w:color="auto" w:fill="CFF0FC"/>
          </w:tcPr>
          <w:p>
            <w:pPr>
              <w:spacing w:after="0"/>
              <w:rPr>
                <w:sz w:val="18"/>
                <w:szCs w:val="18"/>
                <w:color w:val="auto"/>
              </w:rPr>
            </w:pPr>
          </w:p>
        </w:tc>
        <w:tc>
          <w:tcPr>
            <w:tcW w:w="940" w:type="dxa"/>
            <w:vAlign w:val="bottom"/>
            <w:tcBorders>
              <w:bottom w:val="single" w:sz="8" w:color="auto"/>
            </w:tcBorders>
            <w:shd w:val="clear" w:color="auto" w:fill="CFF0FC"/>
          </w:tcPr>
          <w:p>
            <w:pPr>
              <w:spacing w:after="0"/>
              <w:rPr>
                <w:sz w:val="18"/>
                <w:szCs w:val="18"/>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3,943</w:t>
            </w:r>
          </w:p>
        </w:tc>
        <w:tc>
          <w:tcPr>
            <w:tcW w:w="16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360" w:type="dxa"/>
            <w:vAlign w:val="bottom"/>
            <w:tcBorders>
              <w:bottom w:val="single" w:sz="8" w:color="auto"/>
            </w:tcBorders>
            <w:shd w:val="clear" w:color="auto" w:fill="CFF0FC"/>
          </w:tcPr>
          <w:p>
            <w:pPr>
              <w:spacing w:after="0"/>
              <w:rPr>
                <w:sz w:val="18"/>
                <w:szCs w:val="18"/>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3,469</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6340" w:type="dxa"/>
            <w:vAlign w:val="bottom"/>
          </w:tcPr>
          <w:p>
            <w:pPr>
              <w:spacing w:after="0"/>
              <w:rPr>
                <w:sz w:val="20"/>
                <w:szCs w:val="20"/>
                <w:color w:val="auto"/>
              </w:rPr>
            </w:pPr>
            <w:r>
              <w:rPr>
                <w:rFonts w:ascii="Times New Roman" w:cs="Times New Roman" w:eastAsia="Times New Roman" w:hAnsi="Times New Roman"/>
                <w:sz w:val="18"/>
                <w:szCs w:val="18"/>
                <w:color w:val="auto"/>
              </w:rPr>
              <w:t>Total operating expenses</w:t>
            </w:r>
          </w:p>
        </w:tc>
        <w:tc>
          <w:tcPr>
            <w:tcW w:w="1400" w:type="dxa"/>
            <w:vAlign w:val="bottom"/>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77,163</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64,532</w:t>
            </w:r>
          </w:p>
        </w:tc>
        <w:tc>
          <w:tcPr>
            <w:tcW w:w="100" w:type="dxa"/>
            <w:vAlign w:val="bottom"/>
          </w:tcPr>
          <w:p>
            <w:pPr>
              <w:spacing w:after="0"/>
              <w:rPr>
                <w:sz w:val="18"/>
                <w:szCs w:val="18"/>
                <w:color w:val="auto"/>
              </w:rPr>
            </w:pPr>
          </w:p>
        </w:tc>
      </w:tr>
      <w:tr>
        <w:trPr>
          <w:trHeight w:val="210"/>
        </w:trPr>
        <w:tc>
          <w:tcPr>
            <w:tcW w:w="63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income</w:t>
            </w:r>
          </w:p>
        </w:tc>
        <w:tc>
          <w:tcPr>
            <w:tcW w:w="1400" w:type="dxa"/>
            <w:vAlign w:val="bottom"/>
            <w:tcBorders>
              <w:bottom w:val="single" w:sz="8" w:color="CFF0FC"/>
            </w:tcBorders>
            <w:shd w:val="clear" w:color="auto" w:fill="CFF0FC"/>
          </w:tcPr>
          <w:p>
            <w:pPr>
              <w:spacing w:after="0"/>
              <w:rPr>
                <w:sz w:val="18"/>
                <w:szCs w:val="18"/>
                <w:color w:val="auto"/>
              </w:rPr>
            </w:pPr>
          </w:p>
        </w:tc>
        <w:tc>
          <w:tcPr>
            <w:tcW w:w="940" w:type="dxa"/>
            <w:vAlign w:val="bottom"/>
            <w:tcBorders>
              <w:bottom w:val="single" w:sz="8" w:color="auto"/>
            </w:tcBorders>
            <w:shd w:val="clear" w:color="auto" w:fill="CFF0FC"/>
          </w:tcPr>
          <w:p>
            <w:pPr>
              <w:spacing w:after="0"/>
              <w:rPr>
                <w:sz w:val="18"/>
                <w:szCs w:val="18"/>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30,514</w:t>
            </w:r>
          </w:p>
        </w:tc>
        <w:tc>
          <w:tcPr>
            <w:tcW w:w="16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360" w:type="dxa"/>
            <w:vAlign w:val="bottom"/>
            <w:tcBorders>
              <w:bottom w:val="single" w:sz="8" w:color="auto"/>
            </w:tcBorders>
            <w:shd w:val="clear" w:color="auto" w:fill="CFF0FC"/>
          </w:tcPr>
          <w:p>
            <w:pPr>
              <w:spacing w:after="0"/>
              <w:rPr>
                <w:sz w:val="18"/>
                <w:szCs w:val="18"/>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23,645</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6340" w:type="dxa"/>
            <w:vAlign w:val="bottom"/>
          </w:tcPr>
          <w:p>
            <w:pPr>
              <w:spacing w:after="0"/>
              <w:rPr>
                <w:sz w:val="20"/>
                <w:szCs w:val="20"/>
                <w:color w:val="auto"/>
              </w:rPr>
            </w:pPr>
            <w:r>
              <w:rPr>
                <w:rFonts w:ascii="Times New Roman" w:cs="Times New Roman" w:eastAsia="Times New Roman" w:hAnsi="Times New Roman"/>
                <w:sz w:val="18"/>
                <w:szCs w:val="18"/>
                <w:color w:val="auto"/>
              </w:rPr>
              <w:t>Interest income</w:t>
            </w:r>
          </w:p>
        </w:tc>
        <w:tc>
          <w:tcPr>
            <w:tcW w:w="14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(502)</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(423)</w:t>
            </w:r>
          </w:p>
        </w:tc>
      </w:tr>
      <w:tr>
        <w:trPr>
          <w:trHeight w:val="216"/>
        </w:trPr>
        <w:tc>
          <w:tcPr>
            <w:tcW w:w="63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1400" w:type="dxa"/>
            <w:vAlign w:val="bottom"/>
            <w:tcBorders>
              <w:bottom w:val="single" w:sz="8" w:color="CFF0FC"/>
            </w:tcBorders>
            <w:shd w:val="clear" w:color="auto" w:fill="CFF0FC"/>
          </w:tcPr>
          <w:p>
            <w:pPr>
              <w:spacing w:after="0"/>
              <w:rPr>
                <w:sz w:val="18"/>
                <w:szCs w:val="18"/>
                <w:color w:val="auto"/>
              </w:rPr>
            </w:pPr>
          </w:p>
        </w:tc>
        <w:tc>
          <w:tcPr>
            <w:tcW w:w="940" w:type="dxa"/>
            <w:vAlign w:val="bottom"/>
            <w:tcBorders>
              <w:bottom w:val="single" w:sz="8" w:color="auto"/>
            </w:tcBorders>
            <w:shd w:val="clear" w:color="auto" w:fill="CFF0FC"/>
          </w:tcPr>
          <w:p>
            <w:pPr>
              <w:spacing w:after="0"/>
              <w:rPr>
                <w:sz w:val="18"/>
                <w:szCs w:val="18"/>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4,018</w:t>
            </w:r>
          </w:p>
        </w:tc>
        <w:tc>
          <w:tcPr>
            <w:tcW w:w="16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360" w:type="dxa"/>
            <w:vAlign w:val="bottom"/>
            <w:tcBorders>
              <w:bottom w:val="single" w:sz="8" w:color="auto"/>
            </w:tcBorders>
            <w:shd w:val="clear" w:color="auto" w:fill="CFF0FC"/>
          </w:tcPr>
          <w:p>
            <w:pPr>
              <w:spacing w:after="0"/>
              <w:rPr>
                <w:sz w:val="18"/>
                <w:szCs w:val="18"/>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2,758</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6340" w:type="dxa"/>
            <w:vAlign w:val="bottom"/>
          </w:tcPr>
          <w:p>
            <w:pPr>
              <w:spacing w:after="0"/>
              <w:rPr>
                <w:sz w:val="20"/>
                <w:szCs w:val="20"/>
                <w:color w:val="auto"/>
              </w:rPr>
            </w:pPr>
            <w:r>
              <w:rPr>
                <w:rFonts w:ascii="Times New Roman" w:cs="Times New Roman" w:eastAsia="Times New Roman" w:hAnsi="Times New Roman"/>
                <w:sz w:val="18"/>
                <w:szCs w:val="18"/>
                <w:color w:val="auto"/>
              </w:rPr>
              <w:t>Total interest expense, net</w:t>
            </w:r>
          </w:p>
        </w:tc>
        <w:tc>
          <w:tcPr>
            <w:tcW w:w="1400" w:type="dxa"/>
            <w:vAlign w:val="bottom"/>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3,516</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2,335</w:t>
            </w:r>
          </w:p>
        </w:tc>
        <w:tc>
          <w:tcPr>
            <w:tcW w:w="100" w:type="dxa"/>
            <w:vAlign w:val="bottom"/>
          </w:tcPr>
          <w:p>
            <w:pPr>
              <w:spacing w:after="0"/>
              <w:rPr>
                <w:sz w:val="18"/>
                <w:szCs w:val="18"/>
                <w:color w:val="auto"/>
              </w:rPr>
            </w:pPr>
          </w:p>
        </w:tc>
      </w:tr>
      <w:tr>
        <w:trPr>
          <w:trHeight w:val="210"/>
        </w:trPr>
        <w:tc>
          <w:tcPr>
            <w:tcW w:w="63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140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7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26,998</w:t>
            </w:r>
          </w:p>
        </w:tc>
        <w:tc>
          <w:tcPr>
            <w:tcW w:w="1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21,310</w:t>
            </w:r>
          </w:p>
        </w:tc>
      </w:tr>
      <w:tr>
        <w:trPr>
          <w:trHeight w:val="216"/>
        </w:trPr>
        <w:tc>
          <w:tcPr>
            <w:tcW w:w="6340" w:type="dxa"/>
            <w:vAlign w:val="bottom"/>
          </w:tcPr>
          <w:p>
            <w:pPr>
              <w:spacing w:after="0"/>
              <w:rPr>
                <w:sz w:val="20"/>
                <w:szCs w:val="20"/>
                <w:color w:val="auto"/>
              </w:rPr>
            </w:pPr>
            <w:r>
              <w:rPr>
                <w:rFonts w:ascii="Times New Roman" w:cs="Times New Roman" w:eastAsia="Times New Roman" w:hAnsi="Times New Roman"/>
                <w:sz w:val="18"/>
                <w:szCs w:val="18"/>
                <w:color w:val="auto"/>
              </w:rPr>
              <w:t>Income tax expense</w:t>
            </w:r>
          </w:p>
        </w:tc>
        <w:tc>
          <w:tcPr>
            <w:tcW w:w="1400" w:type="dxa"/>
            <w:vAlign w:val="bottom"/>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5,770</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5,480</w:t>
            </w:r>
          </w:p>
        </w:tc>
        <w:tc>
          <w:tcPr>
            <w:tcW w:w="100" w:type="dxa"/>
            <w:vAlign w:val="bottom"/>
          </w:tcPr>
          <w:p>
            <w:pPr>
              <w:spacing w:after="0"/>
              <w:rPr>
                <w:sz w:val="18"/>
                <w:szCs w:val="18"/>
                <w:color w:val="auto"/>
              </w:rPr>
            </w:pPr>
          </w:p>
        </w:tc>
      </w:tr>
      <w:tr>
        <w:trPr>
          <w:trHeight w:val="249"/>
        </w:trPr>
        <w:tc>
          <w:tcPr>
            <w:tcW w:w="63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income</w:t>
            </w:r>
          </w:p>
        </w:tc>
        <w:tc>
          <w:tcPr>
            <w:tcW w:w="2340" w:type="dxa"/>
            <w:vAlign w:val="bottom"/>
            <w:gridSpan w:val="2"/>
            <w:shd w:val="clear" w:color="auto" w:fill="CFF0FC"/>
          </w:tcPr>
          <w:p>
            <w:pPr>
              <w:jc w:val="right"/>
              <w:ind w:right="768"/>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21,228</w:t>
            </w:r>
          </w:p>
        </w:tc>
        <w:tc>
          <w:tcPr>
            <w:tcW w:w="48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15,830</w:t>
            </w:r>
          </w:p>
        </w:tc>
      </w:tr>
      <w:tr>
        <w:trPr>
          <w:trHeight w:val="197"/>
        </w:trPr>
        <w:tc>
          <w:tcPr>
            <w:tcW w:w="6340" w:type="dxa"/>
            <w:vAlign w:val="bottom"/>
            <w:tcBorders>
              <w:top w:val="single" w:sz="8" w:color="CFF0FC"/>
            </w:tcBorders>
          </w:tcPr>
          <w:p>
            <w:pPr>
              <w:spacing w:after="0" w:line="196" w:lineRule="exact"/>
              <w:rPr>
                <w:sz w:val="20"/>
                <w:szCs w:val="20"/>
                <w:color w:val="auto"/>
              </w:rPr>
            </w:pPr>
            <w:r>
              <w:rPr>
                <w:rFonts w:ascii="Times New Roman" w:cs="Times New Roman" w:eastAsia="Times New Roman" w:hAnsi="Times New Roman"/>
                <w:sz w:val="18"/>
                <w:szCs w:val="18"/>
                <w:color w:val="auto"/>
              </w:rPr>
              <w:t>Net income per common share</w:t>
            </w:r>
          </w:p>
        </w:tc>
        <w:tc>
          <w:tcPr>
            <w:tcW w:w="1400" w:type="dxa"/>
            <w:vAlign w:val="bottom"/>
            <w:tcBorders>
              <w:top w:val="single" w:sz="8" w:color="CFF0FC"/>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620" w:type="dxa"/>
            <w:vAlign w:val="bottom"/>
            <w:tcBorders>
              <w:top w:val="single" w:sz="8" w:color="auto"/>
            </w:tcBorders>
          </w:tcPr>
          <w:p>
            <w:pPr>
              <w:spacing w:after="0"/>
              <w:rPr>
                <w:sz w:val="17"/>
                <w:szCs w:val="17"/>
                <w:color w:val="auto"/>
              </w:rPr>
            </w:pPr>
          </w:p>
        </w:tc>
        <w:tc>
          <w:tcPr>
            <w:tcW w:w="160" w:type="dxa"/>
            <w:vAlign w:val="bottom"/>
            <w:tcBorders>
              <w:top w:val="single" w:sz="8" w:color="CFF0FC"/>
            </w:tcBorders>
          </w:tcPr>
          <w:p>
            <w:pPr>
              <w:spacing w:after="0"/>
              <w:rPr>
                <w:sz w:val="17"/>
                <w:szCs w:val="17"/>
                <w:color w:val="auto"/>
              </w:rPr>
            </w:pPr>
          </w:p>
        </w:tc>
        <w:tc>
          <w:tcPr>
            <w:tcW w:w="120" w:type="dxa"/>
            <w:vAlign w:val="bottom"/>
            <w:tcBorders>
              <w:top w:val="single" w:sz="8" w:color="CFF0FC"/>
            </w:tcBorders>
          </w:tcPr>
          <w:p>
            <w:pPr>
              <w:spacing w:after="0"/>
              <w:rPr>
                <w:sz w:val="17"/>
                <w:szCs w:val="17"/>
                <w:color w:val="auto"/>
              </w:rPr>
            </w:pPr>
          </w:p>
        </w:tc>
        <w:tc>
          <w:tcPr>
            <w:tcW w:w="36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tcPr>
          <w:p>
            <w:pPr>
              <w:spacing w:after="0"/>
              <w:rPr>
                <w:sz w:val="17"/>
                <w:szCs w:val="17"/>
                <w:color w:val="auto"/>
              </w:rPr>
            </w:pPr>
          </w:p>
        </w:tc>
        <w:tc>
          <w:tcPr>
            <w:tcW w:w="100" w:type="dxa"/>
            <w:vAlign w:val="bottom"/>
            <w:tcBorders>
              <w:top w:val="single" w:sz="8" w:color="CFF0FC"/>
            </w:tcBorders>
          </w:tcPr>
          <w:p>
            <w:pPr>
              <w:spacing w:after="0"/>
              <w:rPr>
                <w:sz w:val="17"/>
                <w:szCs w:val="17"/>
                <w:color w:val="auto"/>
              </w:rPr>
            </w:pPr>
          </w:p>
        </w:tc>
      </w:tr>
      <w:tr>
        <w:trPr>
          <w:trHeight w:val="216"/>
        </w:trPr>
        <w:tc>
          <w:tcPr>
            <w:tcW w:w="63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Basic income per share</w:t>
            </w:r>
          </w:p>
        </w:tc>
        <w:tc>
          <w:tcPr>
            <w:tcW w:w="2340" w:type="dxa"/>
            <w:vAlign w:val="bottom"/>
            <w:gridSpan w:val="2"/>
            <w:shd w:val="clear" w:color="auto" w:fill="CFF0FC"/>
          </w:tcPr>
          <w:p>
            <w:pPr>
              <w:jc w:val="right"/>
              <w:ind w:right="768"/>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1.18</w:t>
            </w:r>
          </w:p>
        </w:tc>
        <w:tc>
          <w:tcPr>
            <w:tcW w:w="48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0.99</w:t>
            </w:r>
          </w:p>
        </w:tc>
      </w:tr>
      <w:tr>
        <w:trPr>
          <w:trHeight w:val="216"/>
        </w:trPr>
        <w:tc>
          <w:tcPr>
            <w:tcW w:w="63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Diluted income per share</w:t>
            </w:r>
          </w:p>
        </w:tc>
        <w:tc>
          <w:tcPr>
            <w:tcW w:w="2340" w:type="dxa"/>
            <w:vAlign w:val="bottom"/>
            <w:gridSpan w:val="2"/>
          </w:tcPr>
          <w:p>
            <w:pPr>
              <w:jc w:val="right"/>
              <w:ind w:right="768"/>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1.16</w:t>
            </w:r>
          </w:p>
        </w:tc>
        <w:tc>
          <w:tcPr>
            <w:tcW w:w="4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0.97</w:t>
            </w:r>
          </w:p>
        </w:tc>
      </w:tr>
      <w:tr>
        <w:trPr>
          <w:trHeight w:val="198"/>
        </w:trPr>
        <w:tc>
          <w:tcPr>
            <w:tcW w:w="6340" w:type="dxa"/>
            <w:vAlign w:val="bottom"/>
            <w:shd w:val="clear" w:color="auto" w:fill="CFF0FC"/>
          </w:tcPr>
          <w:p>
            <w:pPr>
              <w:spacing w:after="0" w:line="198" w:lineRule="exact"/>
              <w:rPr>
                <w:sz w:val="20"/>
                <w:szCs w:val="20"/>
                <w:color w:val="auto"/>
              </w:rPr>
            </w:pPr>
            <w:r>
              <w:rPr>
                <w:rFonts w:ascii="Times New Roman" w:cs="Times New Roman" w:eastAsia="Times New Roman" w:hAnsi="Times New Roman"/>
                <w:sz w:val="18"/>
                <w:szCs w:val="18"/>
                <w:color w:val="auto"/>
              </w:rPr>
              <w:t>Weighted average number of common shares and potential common</w:t>
            </w:r>
          </w:p>
        </w:tc>
        <w:tc>
          <w:tcPr>
            <w:tcW w:w="140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6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2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34"/>
        </w:trPr>
        <w:tc>
          <w:tcPr>
            <w:tcW w:w="63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shares outstanding:</w:t>
            </w:r>
          </w:p>
        </w:tc>
        <w:tc>
          <w:tcPr>
            <w:tcW w:w="1400" w:type="dxa"/>
            <w:vAlign w:val="bottom"/>
            <w:shd w:val="clear" w:color="auto" w:fill="CFF0FC"/>
          </w:tcPr>
          <w:p>
            <w:pPr>
              <w:spacing w:after="0"/>
              <w:rPr>
                <w:sz w:val="20"/>
                <w:szCs w:val="20"/>
                <w:color w:val="auto"/>
              </w:rPr>
            </w:pPr>
          </w:p>
        </w:tc>
        <w:tc>
          <w:tcPr>
            <w:tcW w:w="940" w:type="dxa"/>
            <w:vAlign w:val="bottom"/>
            <w:shd w:val="clear" w:color="auto" w:fill="CFF0FC"/>
          </w:tcPr>
          <w:p>
            <w:pPr>
              <w:spacing w:after="0"/>
              <w:rPr>
                <w:sz w:val="20"/>
                <w:szCs w:val="20"/>
                <w:color w:val="auto"/>
              </w:rPr>
            </w:pPr>
          </w:p>
        </w:tc>
        <w:tc>
          <w:tcPr>
            <w:tcW w:w="62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12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16"/>
        </w:trPr>
        <w:tc>
          <w:tcPr>
            <w:tcW w:w="63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Basic</w:t>
            </w:r>
          </w:p>
        </w:tc>
        <w:tc>
          <w:tcPr>
            <w:tcW w:w="14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17,976</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16,063</w:t>
            </w:r>
          </w:p>
        </w:tc>
      </w:tr>
      <w:tr>
        <w:trPr>
          <w:trHeight w:val="216"/>
        </w:trPr>
        <w:tc>
          <w:tcPr>
            <w:tcW w:w="63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Diluted</w:t>
            </w:r>
          </w:p>
        </w:tc>
        <w:tc>
          <w:tcPr>
            <w:tcW w:w="140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7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18,311</w:t>
            </w:r>
          </w:p>
        </w:tc>
        <w:tc>
          <w:tcPr>
            <w:tcW w:w="1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16,373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-2133600</wp:posOffset>
            </wp:positionV>
            <wp:extent cx="6858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-2133600</wp:posOffset>
            </wp:positionV>
            <wp:extent cx="6858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-1842135</wp:posOffset>
            </wp:positionV>
            <wp:extent cx="6858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-1842135</wp:posOffset>
            </wp:positionV>
            <wp:extent cx="6858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-1559560</wp:posOffset>
            </wp:positionV>
            <wp:extent cx="6858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-1559560</wp:posOffset>
            </wp:positionV>
            <wp:extent cx="6858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-985520</wp:posOffset>
            </wp:positionV>
            <wp:extent cx="6858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-967740</wp:posOffset>
            </wp:positionV>
            <wp:extent cx="6858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-985520</wp:posOffset>
            </wp:positionV>
            <wp:extent cx="6858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-967740</wp:posOffset>
            </wp:positionV>
            <wp:extent cx="6858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Condensed Consolidated Financial Statements (Unaudited)</w:t>
      </w: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487680</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u w:val="single" w:color="auto"/>
          <w:color w:val="0563C1"/>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-5080</wp:posOffset>
            </wp:positionV>
            <wp:extent cx="869315"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869315" cy="8255"/>
                    </a:xfrm>
                    <a:prstGeom prst="rect">
                      <a:avLst/>
                    </a:prstGeom>
                    <a:noFill/>
                  </pic:spPr>
                </pic:pic>
              </a:graphicData>
            </a:graphic>
          </wp:anchor>
        </w:drawing>
      </w: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ADDUS HOMECARE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AND SUBSIDIARIES</w:t>
      </w:r>
    </w:p>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CONDENSED CONSOLIDATED STATEMENTS OF STOCKHOLDERS' EQUITY</w:t>
      </w:r>
    </w:p>
    <w:p>
      <w:pPr>
        <w:spacing w:after="0" w:line="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Three Months Ended March 31, 2025 and 2024</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(Amounts and Shares in Thousands)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ectPr>
          <w:pgSz w:w="11900" w:h="16838" w:orient="portrait"/>
          <w:cols w:equalWidth="0" w:num="1">
            <w:col w:w="11240"/>
          </w:cols>
          <w:pgMar w:left="320" w:top="76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Balance at January 1, 2025</w:t>
      </w:r>
    </w:p>
    <w:p>
      <w:pPr>
        <w:spacing w:after="0" w:line="27" w:lineRule="exact"/>
        <w:rPr>
          <w:sz w:val="20"/>
          <w:szCs w:val="20"/>
          <w:color w:val="auto"/>
        </w:rPr>
      </w:pPr>
    </w:p>
    <w:p>
      <w:pPr>
        <w:ind w:left="140" w:right="1340" w:hanging="134"/>
        <w:spacing w:after="0" w:line="250" w:lineRule="auto"/>
        <w:rPr>
          <w:sz w:val="20"/>
          <w:szCs w:val="20"/>
          <w:color w:val="auto"/>
        </w:rPr>
      </w:pPr>
      <w:r>
        <w:rPr>
          <w:rFonts w:ascii="Times New Roman" w:cs="Times New Roman" w:eastAsia="Times New Roman" w:hAnsi="Times New Roman"/>
          <w:sz w:val="18"/>
          <w:szCs w:val="18"/>
          <w:color w:val="auto"/>
        </w:rPr>
        <w:t>Issuance of shares of common stock under restricted stock award agreements</w:t>
      </w:r>
    </w:p>
    <w:p>
      <w:pPr>
        <w:spacing w:after="0" w:line="1" w:lineRule="exact"/>
        <w:rPr>
          <w:sz w:val="20"/>
          <w:szCs w:val="20"/>
          <w:color w:val="auto"/>
        </w:rPr>
      </w:pPr>
    </w:p>
    <w:p>
      <w:pPr>
        <w:ind w:left="140" w:right="1240" w:hanging="134"/>
        <w:spacing w:after="0" w:line="250" w:lineRule="auto"/>
        <w:rPr>
          <w:sz w:val="20"/>
          <w:szCs w:val="20"/>
          <w:color w:val="auto"/>
        </w:rPr>
      </w:pPr>
      <w:r>
        <w:rPr>
          <w:rFonts w:ascii="Times New Roman" w:cs="Times New Roman" w:eastAsia="Times New Roman" w:hAnsi="Times New Roman"/>
          <w:sz w:val="18"/>
          <w:szCs w:val="18"/>
          <w:color w:val="auto"/>
        </w:rPr>
        <w:t>Forfeiture of shares of common stock under restricted stock award agreements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Stock-based compensation</w:t>
      </w:r>
    </w:p>
    <w:p>
      <w:pPr>
        <w:spacing w:after="0" w:line="9" w:lineRule="exact"/>
        <w:rPr>
          <w:sz w:val="20"/>
          <w:szCs w:val="20"/>
          <w:color w:val="auto"/>
        </w:rPr>
      </w:pPr>
    </w:p>
    <w:p>
      <w:pPr>
        <w:ind w:right="1340"/>
        <w:spacing w:after="0" w:line="276" w:lineRule="auto"/>
        <w:rPr>
          <w:sz w:val="20"/>
          <w:szCs w:val="20"/>
          <w:color w:val="auto"/>
        </w:rPr>
      </w:pPr>
      <w:r>
        <w:rPr>
          <w:rFonts w:ascii="Times New Roman" w:cs="Times New Roman" w:eastAsia="Times New Roman" w:hAnsi="Times New Roman"/>
          <w:sz w:val="18"/>
          <w:szCs w:val="18"/>
          <w:color w:val="auto"/>
        </w:rPr>
        <w:t>Shares issued for exercise of stock options Net income</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Balance at March 31, 2025</w:t>
      </w:r>
    </w:p>
    <w:p>
      <w:pPr>
        <w:spacing w:after="0" w:line="20" w:lineRule="exact"/>
        <w:rPr>
          <w:sz w:val="20"/>
          <w:szCs w:val="20"/>
          <w:color w:val="auto"/>
        </w:rPr>
      </w:pPr>
      <w:r>
        <w:rPr>
          <w:sz w:val="20"/>
          <w:szCs w:val="20"/>
          <w:color w:val="auto"/>
        </w:rPr>
        <w:br w:type="column"/>
      </w:r>
    </w:p>
    <w:p>
      <w:pPr>
        <w:spacing w:after="0" w:line="126" w:lineRule="exact"/>
        <w:rPr>
          <w:sz w:val="20"/>
          <w:szCs w:val="20"/>
          <w:color w:val="auto"/>
        </w:rPr>
      </w:pPr>
    </w:p>
    <w:p>
      <w:pPr>
        <w:ind w:left="1600"/>
        <w:spacing w:after="0"/>
        <w:rPr>
          <w:sz w:val="20"/>
          <w:szCs w:val="20"/>
          <w:color w:val="auto"/>
        </w:rPr>
      </w:pPr>
      <w:r>
        <w:rPr>
          <w:rFonts w:ascii="Times New Roman" w:cs="Times New Roman" w:eastAsia="Times New Roman" w:hAnsi="Times New Roman"/>
          <w:sz w:val="14"/>
          <w:szCs w:val="14"/>
          <w:b w:val="1"/>
          <w:bCs w:val="1"/>
          <w:color w:val="auto"/>
        </w:rPr>
        <w:t>For the Three Months Ended March 31, 2025</w:t>
      </w:r>
    </w:p>
    <w:p>
      <w:pPr>
        <w:spacing w:after="0" w:line="12" w:lineRule="exact"/>
        <w:rPr>
          <w:sz w:val="20"/>
          <w:szCs w:val="20"/>
          <w:color w:val="auto"/>
        </w:rPr>
      </w:pPr>
    </w:p>
    <w:tbl>
      <w:tblPr>
        <w:tblLayout w:type="fixed"/>
        <w:tblInd w:w="0" w:type="dxa"/>
        <w:tblCellMar>
          <w:top w:w="0" w:type="dxa"/>
          <w:left w:w="0" w:type="dxa"/>
          <w:bottom w:w="0" w:type="dxa"/>
          <w:right w:w="0" w:type="dxa"/>
        </w:tblCellMar>
      </w:tblPr>
      <w:tr>
        <w:trPr>
          <w:trHeight w:val="117"/>
        </w:trPr>
        <w:tc>
          <w:tcPr>
            <w:tcW w:w="2120" w:type="dxa"/>
            <w:vAlign w:val="bottom"/>
            <w:tcBorders>
              <w:top w:val="single" w:sz="8" w:color="auto"/>
            </w:tcBorders>
            <w:gridSpan w:val="4"/>
            <w:vMerge w:val="restart"/>
          </w:tcPr>
          <w:p>
            <w:pPr>
              <w:jc w:val="right"/>
              <w:ind w:right="401"/>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240" w:type="dxa"/>
            <w:vAlign w:val="bottom"/>
            <w:tcBorders>
              <w:top w:val="single" w:sz="8" w:color="auto"/>
            </w:tcBorders>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860" w:type="dxa"/>
            <w:vAlign w:val="bottom"/>
            <w:tcBorders>
              <w:top w:val="single" w:sz="8" w:color="auto"/>
            </w:tcBorders>
          </w:tcPr>
          <w:p>
            <w:pPr>
              <w:jc w:val="center"/>
              <w:ind w:right="79"/>
              <w:spacing w:after="0" w:line="118" w:lineRule="exact"/>
              <w:rPr>
                <w:sz w:val="20"/>
                <w:szCs w:val="20"/>
                <w:color w:val="auto"/>
              </w:rPr>
            </w:pPr>
            <w:r>
              <w:rPr>
                <w:rFonts w:ascii="Times New Roman" w:cs="Times New Roman" w:eastAsia="Times New Roman" w:hAnsi="Times New Roman"/>
                <w:sz w:val="13"/>
                <w:szCs w:val="13"/>
                <w:b w:val="1"/>
                <w:bCs w:val="1"/>
                <w:color w:val="auto"/>
              </w:rPr>
              <w:t>Additional</w:t>
            </w:r>
          </w:p>
        </w:tc>
        <w:tc>
          <w:tcPr>
            <w:tcW w:w="220" w:type="dxa"/>
            <w:vAlign w:val="bottom"/>
            <w:tcBorders>
              <w:top w:val="single" w:sz="8" w:color="auto"/>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860" w:type="dxa"/>
            <w:vAlign w:val="bottom"/>
            <w:tcBorders>
              <w:top w:val="single" w:sz="8" w:color="auto"/>
            </w:tcBorders>
            <w:vMerge w:val="restart"/>
          </w:tcPr>
          <w:p>
            <w:pPr>
              <w:jc w:val="right"/>
              <w:ind w:right="157"/>
              <w:spacing w:after="0"/>
              <w:rPr>
                <w:sz w:val="20"/>
                <w:szCs w:val="20"/>
                <w:color w:val="auto"/>
              </w:rPr>
            </w:pPr>
            <w:r>
              <w:rPr>
                <w:rFonts w:ascii="Times New Roman" w:cs="Times New Roman" w:eastAsia="Times New Roman" w:hAnsi="Times New Roman"/>
                <w:sz w:val="14"/>
                <w:szCs w:val="14"/>
                <w:b w:val="1"/>
                <w:bCs w:val="1"/>
                <w:color w:val="auto"/>
              </w:rPr>
              <w:t>Retained</w:t>
            </w:r>
          </w:p>
        </w:tc>
        <w:tc>
          <w:tcPr>
            <w:tcW w:w="220" w:type="dxa"/>
            <w:vAlign w:val="bottom"/>
            <w:tcBorders>
              <w:top w:val="single" w:sz="8" w:color="auto"/>
            </w:tcBorders>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820" w:type="dxa"/>
            <w:vAlign w:val="bottom"/>
            <w:tcBorders>
              <w:top w:val="single" w:sz="8" w:color="auto"/>
            </w:tcBorders>
          </w:tcPr>
          <w:p>
            <w:pPr>
              <w:jc w:val="center"/>
              <w:ind w:right="118"/>
              <w:spacing w:after="0" w:line="118" w:lineRule="exact"/>
              <w:rPr>
                <w:sz w:val="20"/>
                <w:szCs w:val="20"/>
                <w:color w:val="auto"/>
              </w:rPr>
            </w:pPr>
            <w:r>
              <w:rPr>
                <w:rFonts w:ascii="Times New Roman" w:cs="Times New Roman" w:eastAsia="Times New Roman" w:hAnsi="Times New Roman"/>
                <w:sz w:val="13"/>
                <w:szCs w:val="13"/>
                <w:b w:val="1"/>
                <w:bCs w:val="1"/>
                <w:color w:val="auto"/>
              </w:rPr>
              <w:t>Total</w:t>
            </w:r>
          </w:p>
        </w:tc>
        <w:tc>
          <w:tcPr>
            <w:tcW w:w="0" w:type="dxa"/>
            <w:vAlign w:val="bottom"/>
          </w:tcPr>
          <w:p>
            <w:pPr>
              <w:spacing w:after="0"/>
              <w:rPr>
                <w:sz w:val="1"/>
                <w:szCs w:val="1"/>
                <w:color w:val="auto"/>
              </w:rPr>
            </w:pPr>
          </w:p>
        </w:tc>
      </w:tr>
      <w:tr>
        <w:trPr>
          <w:trHeight w:val="160"/>
        </w:trPr>
        <w:tc>
          <w:tcPr>
            <w:tcW w:w="2120" w:type="dxa"/>
            <w:vAlign w:val="bottom"/>
            <w:tcBorders>
              <w:bottom w:val="single" w:sz="8" w:color="auto"/>
            </w:tcBorders>
            <w:gridSpan w:val="4"/>
            <w:vMerge w:val="continue"/>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tcPr>
          <w:p>
            <w:pPr>
              <w:jc w:val="center"/>
              <w:ind w:right="59"/>
              <w:spacing w:after="0" w:line="160" w:lineRule="exact"/>
              <w:rPr>
                <w:sz w:val="20"/>
                <w:szCs w:val="20"/>
                <w:color w:val="auto"/>
              </w:rPr>
            </w:pPr>
            <w:r>
              <w:rPr>
                <w:rFonts w:ascii="Times New Roman" w:cs="Times New Roman" w:eastAsia="Times New Roman" w:hAnsi="Times New Roman"/>
                <w:sz w:val="14"/>
                <w:szCs w:val="14"/>
                <w:b w:val="1"/>
                <w:bCs w:val="1"/>
                <w:color w:val="auto"/>
              </w:rPr>
              <w:t>Paid-in</w:t>
            </w: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vMerge w:val="continue"/>
          </w:tcPr>
          <w:p>
            <w:pPr>
              <w:spacing w:after="0"/>
              <w:rPr>
                <w:sz w:val="13"/>
                <w:szCs w:val="13"/>
                <w:color w:val="auto"/>
              </w:rPr>
            </w:pPr>
          </w:p>
        </w:tc>
        <w:tc>
          <w:tcPr>
            <w:tcW w:w="220" w:type="dxa"/>
            <w:vAlign w:val="bottom"/>
          </w:tcPr>
          <w:p>
            <w:pPr>
              <w:spacing w:after="0"/>
              <w:rPr>
                <w:sz w:val="13"/>
                <w:szCs w:val="13"/>
                <w:color w:val="auto"/>
              </w:rPr>
            </w:pPr>
          </w:p>
        </w:tc>
        <w:tc>
          <w:tcPr>
            <w:tcW w:w="1000" w:type="dxa"/>
            <w:vAlign w:val="bottom"/>
            <w:gridSpan w:val="2"/>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142"/>
        </w:trPr>
        <w:tc>
          <w:tcPr>
            <w:tcW w:w="1240" w:type="dxa"/>
            <w:vAlign w:val="bottom"/>
            <w:gridSpan w:val="2"/>
          </w:tcPr>
          <w:p>
            <w:pPr>
              <w:jc w:val="right"/>
              <w:ind w:right="500"/>
              <w:spacing w:after="0" w:line="142" w:lineRule="exact"/>
              <w:rPr>
                <w:sz w:val="20"/>
                <w:szCs w:val="20"/>
                <w:color w:val="auto"/>
              </w:rPr>
            </w:pPr>
            <w:r>
              <w:rPr>
                <w:rFonts w:ascii="Times New Roman" w:cs="Times New Roman" w:eastAsia="Times New Roman" w:hAnsi="Times New Roman"/>
                <w:sz w:val="14"/>
                <w:szCs w:val="14"/>
                <w:b w:val="1"/>
                <w:bCs w:val="1"/>
                <w:color w:val="auto"/>
              </w:rPr>
              <w:t>Shares</w:t>
            </w:r>
          </w:p>
        </w:tc>
        <w:tc>
          <w:tcPr>
            <w:tcW w:w="80" w:type="dxa"/>
            <w:vAlign w:val="bottom"/>
          </w:tcPr>
          <w:p>
            <w:pPr>
              <w:spacing w:after="0"/>
              <w:rPr>
                <w:sz w:val="12"/>
                <w:szCs w:val="12"/>
                <w:color w:val="auto"/>
              </w:rPr>
            </w:pPr>
          </w:p>
        </w:tc>
        <w:tc>
          <w:tcPr>
            <w:tcW w:w="80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Amount</w:t>
            </w: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Pr>
          <w:p>
            <w:pPr>
              <w:jc w:val="center"/>
              <w:ind w:right="79"/>
              <w:spacing w:after="0" w:line="142" w:lineRule="exact"/>
              <w:rPr>
                <w:sz w:val="20"/>
                <w:szCs w:val="20"/>
                <w:color w:val="auto"/>
              </w:rPr>
            </w:pPr>
            <w:r>
              <w:rPr>
                <w:rFonts w:ascii="Times New Roman" w:cs="Times New Roman" w:eastAsia="Times New Roman" w:hAnsi="Times New Roman"/>
                <w:sz w:val="14"/>
                <w:szCs w:val="14"/>
                <w:b w:val="1"/>
                <w:bCs w:val="1"/>
                <w:color w:val="auto"/>
              </w:rPr>
              <w:t>Capital</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Pr>
          <w:p>
            <w:pPr>
              <w:jc w:val="right"/>
              <w:ind w:right="137"/>
              <w:spacing w:after="0" w:line="142" w:lineRule="exact"/>
              <w:rPr>
                <w:sz w:val="20"/>
                <w:szCs w:val="20"/>
                <w:color w:val="auto"/>
              </w:rPr>
            </w:pPr>
            <w:r>
              <w:rPr>
                <w:rFonts w:ascii="Times New Roman" w:cs="Times New Roman" w:eastAsia="Times New Roman" w:hAnsi="Times New Roman"/>
                <w:sz w:val="14"/>
                <w:szCs w:val="14"/>
                <w:b w:val="1"/>
                <w:bCs w:val="1"/>
                <w:color w:val="auto"/>
              </w:rPr>
              <w:t>Earnings</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tcPr>
          <w:p>
            <w:pPr>
              <w:jc w:val="center"/>
              <w:ind w:right="118"/>
              <w:spacing w:after="0" w:line="142" w:lineRule="exact"/>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209"/>
        </w:trPr>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18,148</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Borders>
              <w:top w:val="single" w:sz="8" w:color="auto"/>
              <w:bottom w:val="single" w:sz="8" w:color="auto"/>
            </w:tcBorders>
          </w:tcPr>
          <w:p>
            <w:pPr>
              <w:jc w:val="right"/>
              <w:ind w:right="621"/>
              <w:spacing w:after="0"/>
              <w:rPr>
                <w:sz w:val="20"/>
                <w:szCs w:val="20"/>
                <w:color w:val="auto"/>
              </w:rPr>
            </w:pPr>
            <w:r>
              <w:rPr>
                <w:rFonts w:ascii="Times New Roman" w:cs="Times New Roman" w:eastAsia="Times New Roman" w:hAnsi="Times New Roman"/>
                <w:sz w:val="18"/>
                <w:szCs w:val="18"/>
                <w:color w:val="auto"/>
                <w:w w:val="88"/>
              </w:rPr>
              <w:t>$</w:t>
            </w:r>
          </w:p>
        </w:tc>
        <w:tc>
          <w:tcPr>
            <w:tcW w:w="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22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594,044</w:t>
            </w:r>
          </w:p>
        </w:tc>
        <w:tc>
          <w:tcPr>
            <w:tcW w:w="22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376,430</w:t>
            </w:r>
          </w:p>
        </w:tc>
        <w:tc>
          <w:tcPr>
            <w:tcW w:w="22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ind w:right="22"/>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970,492</w:t>
            </w:r>
          </w:p>
        </w:tc>
        <w:tc>
          <w:tcPr>
            <w:tcW w:w="0" w:type="dxa"/>
            <w:vAlign w:val="bottom"/>
          </w:tcPr>
          <w:p>
            <w:pPr>
              <w:spacing w:after="0"/>
              <w:rPr>
                <w:sz w:val="1"/>
                <w:szCs w:val="1"/>
                <w:color w:val="auto"/>
              </w:rPr>
            </w:pPr>
          </w:p>
        </w:tc>
      </w:tr>
      <w:tr>
        <w:trPr>
          <w:trHeight w:val="426"/>
        </w:trPr>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227</w:t>
            </w: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414"/>
        </w:trPr>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3,170</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3,170</w:t>
            </w:r>
          </w:p>
        </w:tc>
        <w:tc>
          <w:tcPr>
            <w:tcW w:w="0" w:type="dxa"/>
            <w:vAlign w:val="bottom"/>
          </w:tcPr>
          <w:p>
            <w:pPr>
              <w:spacing w:after="0"/>
              <w:rPr>
                <w:sz w:val="1"/>
                <w:szCs w:val="1"/>
                <w:color w:val="auto"/>
              </w:rPr>
            </w:pPr>
          </w:p>
        </w:tc>
      </w:tr>
      <w:tr>
        <w:trPr>
          <w:trHeight w:val="216"/>
        </w:trPr>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493</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493</w:t>
            </w:r>
          </w:p>
        </w:tc>
        <w:tc>
          <w:tcPr>
            <w:tcW w:w="0" w:type="dxa"/>
            <w:vAlign w:val="bottom"/>
          </w:tcPr>
          <w:p>
            <w:pPr>
              <w:spacing w:after="0"/>
              <w:rPr>
                <w:sz w:val="1"/>
                <w:szCs w:val="1"/>
                <w:color w:val="auto"/>
              </w:rPr>
            </w:pPr>
          </w:p>
        </w:tc>
      </w:tr>
      <w:tr>
        <w:trPr>
          <w:trHeight w:val="234"/>
        </w:trPr>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21,228</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21,228</w:t>
            </w:r>
          </w:p>
        </w:tc>
        <w:tc>
          <w:tcPr>
            <w:tcW w:w="0" w:type="dxa"/>
            <w:vAlign w:val="bottom"/>
          </w:tcPr>
          <w:p>
            <w:pPr>
              <w:spacing w:after="0"/>
              <w:rPr>
                <w:sz w:val="1"/>
                <w:szCs w:val="1"/>
                <w:color w:val="auto"/>
              </w:rPr>
            </w:pPr>
          </w:p>
        </w:tc>
      </w:tr>
      <w:tr>
        <w:trPr>
          <w:trHeight w:val="209"/>
        </w:trPr>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18,399</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Borders>
              <w:top w:val="single" w:sz="8" w:color="auto"/>
              <w:bottom w:val="single" w:sz="8" w:color="auto"/>
            </w:tcBorders>
          </w:tcPr>
          <w:p>
            <w:pPr>
              <w:jc w:val="right"/>
              <w:ind w:right="621"/>
              <w:spacing w:after="0"/>
              <w:rPr>
                <w:sz w:val="20"/>
                <w:szCs w:val="20"/>
                <w:color w:val="auto"/>
              </w:rPr>
            </w:pPr>
            <w:r>
              <w:rPr>
                <w:rFonts w:ascii="Times New Roman" w:cs="Times New Roman" w:eastAsia="Times New Roman" w:hAnsi="Times New Roman"/>
                <w:sz w:val="18"/>
                <w:szCs w:val="18"/>
                <w:color w:val="auto"/>
                <w:w w:val="88"/>
              </w:rPr>
              <w:t>$</w:t>
            </w:r>
          </w:p>
        </w:tc>
        <w:tc>
          <w:tcPr>
            <w:tcW w:w="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22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597,707</w:t>
            </w:r>
          </w:p>
        </w:tc>
        <w:tc>
          <w:tcPr>
            <w:tcW w:w="22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397,658</w:t>
            </w:r>
          </w:p>
        </w:tc>
        <w:tc>
          <w:tcPr>
            <w:tcW w:w="22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ind w:right="22"/>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995,383</w:t>
            </w:r>
          </w:p>
        </w:tc>
        <w:tc>
          <w:tcPr>
            <w:tcW w:w="0" w:type="dxa"/>
            <w:vAlign w:val="bottom"/>
          </w:tcPr>
          <w:p>
            <w:pPr>
              <w:spacing w:after="0"/>
              <w:rPr>
                <w:sz w:val="1"/>
                <w:szCs w:val="1"/>
                <w:color w:val="auto"/>
              </w:rPr>
            </w:pPr>
          </w:p>
        </w:tc>
      </w:tr>
      <w:tr>
        <w:trPr>
          <w:trHeight w:val="20"/>
        </w:trPr>
        <w:tc>
          <w:tcPr>
            <w:tcW w:w="10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40" w:type="dxa"/>
            <w:vAlign w:val="bottom"/>
            <w:tcBorders>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tcBorders>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tcBorders>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10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480" w:type="dxa"/>
            <w:vAlign w:val="bottom"/>
            <w:tcBorders>
              <w:bottom w:val="single" w:sz="8" w:color="auto"/>
            </w:tcBorders>
            <w:gridSpan w:val="8"/>
          </w:tcPr>
          <w:p>
            <w:pPr>
              <w:jc w:val="right"/>
              <w:ind w:right="317"/>
              <w:spacing w:after="0"/>
              <w:rPr>
                <w:sz w:val="20"/>
                <w:szCs w:val="20"/>
                <w:color w:val="auto"/>
              </w:rPr>
            </w:pPr>
            <w:r>
              <w:rPr>
                <w:rFonts w:ascii="Times New Roman" w:cs="Times New Roman" w:eastAsia="Times New Roman" w:hAnsi="Times New Roman"/>
                <w:sz w:val="14"/>
                <w:szCs w:val="14"/>
                <w:b w:val="1"/>
                <w:bCs w:val="1"/>
                <w:color w:val="auto"/>
              </w:rPr>
              <w:t>For the Three Months Ended March 31, 2024</w:t>
            </w:r>
          </w:p>
        </w:tc>
        <w:tc>
          <w:tcPr>
            <w:tcW w:w="2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17"/>
        </w:trPr>
        <w:tc>
          <w:tcPr>
            <w:tcW w:w="2120" w:type="dxa"/>
            <w:vAlign w:val="bottom"/>
            <w:gridSpan w:val="4"/>
            <w:vMerge w:val="restart"/>
          </w:tcPr>
          <w:p>
            <w:pPr>
              <w:jc w:val="right"/>
              <w:ind w:right="401"/>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2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60" w:type="dxa"/>
            <w:vAlign w:val="bottom"/>
          </w:tcPr>
          <w:p>
            <w:pPr>
              <w:jc w:val="center"/>
              <w:ind w:right="79"/>
              <w:spacing w:after="0" w:line="118" w:lineRule="exact"/>
              <w:rPr>
                <w:sz w:val="20"/>
                <w:szCs w:val="20"/>
                <w:color w:val="auto"/>
              </w:rPr>
            </w:pPr>
            <w:r>
              <w:rPr>
                <w:rFonts w:ascii="Times New Roman" w:cs="Times New Roman" w:eastAsia="Times New Roman" w:hAnsi="Times New Roman"/>
                <w:sz w:val="13"/>
                <w:szCs w:val="13"/>
                <w:b w:val="1"/>
                <w:bCs w:val="1"/>
                <w:color w:val="auto"/>
              </w:rPr>
              <w:t>Additional</w:t>
            </w: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60" w:type="dxa"/>
            <w:vAlign w:val="bottom"/>
            <w:vMerge w:val="restart"/>
          </w:tcPr>
          <w:p>
            <w:pPr>
              <w:jc w:val="right"/>
              <w:ind w:right="157"/>
              <w:spacing w:after="0"/>
              <w:rPr>
                <w:sz w:val="20"/>
                <w:szCs w:val="20"/>
                <w:color w:val="auto"/>
              </w:rPr>
            </w:pPr>
            <w:r>
              <w:rPr>
                <w:rFonts w:ascii="Times New Roman" w:cs="Times New Roman" w:eastAsia="Times New Roman" w:hAnsi="Times New Roman"/>
                <w:sz w:val="14"/>
                <w:szCs w:val="14"/>
                <w:b w:val="1"/>
                <w:bCs w:val="1"/>
                <w:color w:val="auto"/>
              </w:rPr>
              <w:t>Retained</w:t>
            </w:r>
          </w:p>
        </w:tc>
        <w:tc>
          <w:tcPr>
            <w:tcW w:w="2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20" w:type="dxa"/>
            <w:vAlign w:val="bottom"/>
          </w:tcPr>
          <w:p>
            <w:pPr>
              <w:jc w:val="center"/>
              <w:ind w:right="118"/>
              <w:spacing w:after="0" w:line="118" w:lineRule="exact"/>
              <w:rPr>
                <w:sz w:val="20"/>
                <w:szCs w:val="20"/>
                <w:color w:val="auto"/>
              </w:rPr>
            </w:pPr>
            <w:r>
              <w:rPr>
                <w:rFonts w:ascii="Times New Roman" w:cs="Times New Roman" w:eastAsia="Times New Roman" w:hAnsi="Times New Roman"/>
                <w:sz w:val="13"/>
                <w:szCs w:val="13"/>
                <w:b w:val="1"/>
                <w:bCs w:val="1"/>
                <w:color w:val="auto"/>
              </w:rPr>
              <w:t>Total</w:t>
            </w:r>
          </w:p>
        </w:tc>
        <w:tc>
          <w:tcPr>
            <w:tcW w:w="0" w:type="dxa"/>
            <w:vAlign w:val="bottom"/>
          </w:tcPr>
          <w:p>
            <w:pPr>
              <w:spacing w:after="0"/>
              <w:rPr>
                <w:sz w:val="1"/>
                <w:szCs w:val="1"/>
                <w:color w:val="auto"/>
              </w:rPr>
            </w:pPr>
          </w:p>
        </w:tc>
      </w:tr>
      <w:tr>
        <w:trPr>
          <w:trHeight w:val="160"/>
        </w:trPr>
        <w:tc>
          <w:tcPr>
            <w:tcW w:w="2120" w:type="dxa"/>
            <w:vAlign w:val="bottom"/>
            <w:tcBorders>
              <w:bottom w:val="single" w:sz="8" w:color="auto"/>
            </w:tcBorders>
            <w:gridSpan w:val="4"/>
            <w:vMerge w:val="continue"/>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tcPr>
          <w:p>
            <w:pPr>
              <w:jc w:val="center"/>
              <w:ind w:right="59"/>
              <w:spacing w:after="0" w:line="160" w:lineRule="exact"/>
              <w:rPr>
                <w:sz w:val="20"/>
                <w:szCs w:val="20"/>
                <w:color w:val="auto"/>
              </w:rPr>
            </w:pPr>
            <w:r>
              <w:rPr>
                <w:rFonts w:ascii="Times New Roman" w:cs="Times New Roman" w:eastAsia="Times New Roman" w:hAnsi="Times New Roman"/>
                <w:sz w:val="14"/>
                <w:szCs w:val="14"/>
                <w:b w:val="1"/>
                <w:bCs w:val="1"/>
                <w:color w:val="auto"/>
              </w:rPr>
              <w:t>Paid-in</w:t>
            </w: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vMerge w:val="continue"/>
          </w:tcPr>
          <w:p>
            <w:pPr>
              <w:spacing w:after="0"/>
              <w:rPr>
                <w:sz w:val="13"/>
                <w:szCs w:val="13"/>
                <w:color w:val="auto"/>
              </w:rPr>
            </w:pPr>
          </w:p>
        </w:tc>
        <w:tc>
          <w:tcPr>
            <w:tcW w:w="220" w:type="dxa"/>
            <w:vAlign w:val="bottom"/>
          </w:tcPr>
          <w:p>
            <w:pPr>
              <w:spacing w:after="0"/>
              <w:rPr>
                <w:sz w:val="13"/>
                <w:szCs w:val="13"/>
                <w:color w:val="auto"/>
              </w:rPr>
            </w:pPr>
          </w:p>
        </w:tc>
        <w:tc>
          <w:tcPr>
            <w:tcW w:w="1000" w:type="dxa"/>
            <w:vAlign w:val="bottom"/>
            <w:gridSpan w:val="2"/>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142"/>
        </w:trPr>
        <w:tc>
          <w:tcPr>
            <w:tcW w:w="1240" w:type="dxa"/>
            <w:vAlign w:val="bottom"/>
            <w:gridSpan w:val="2"/>
          </w:tcPr>
          <w:p>
            <w:pPr>
              <w:jc w:val="right"/>
              <w:ind w:right="500"/>
              <w:spacing w:after="0" w:line="142" w:lineRule="exact"/>
              <w:rPr>
                <w:sz w:val="20"/>
                <w:szCs w:val="20"/>
                <w:color w:val="auto"/>
              </w:rPr>
            </w:pPr>
            <w:r>
              <w:rPr>
                <w:rFonts w:ascii="Times New Roman" w:cs="Times New Roman" w:eastAsia="Times New Roman" w:hAnsi="Times New Roman"/>
                <w:sz w:val="14"/>
                <w:szCs w:val="14"/>
                <w:b w:val="1"/>
                <w:bCs w:val="1"/>
                <w:color w:val="auto"/>
              </w:rPr>
              <w:t>Shares</w:t>
            </w:r>
          </w:p>
        </w:tc>
        <w:tc>
          <w:tcPr>
            <w:tcW w:w="80" w:type="dxa"/>
            <w:vAlign w:val="bottom"/>
          </w:tcPr>
          <w:p>
            <w:pPr>
              <w:spacing w:after="0"/>
              <w:rPr>
                <w:sz w:val="12"/>
                <w:szCs w:val="12"/>
                <w:color w:val="auto"/>
              </w:rPr>
            </w:pPr>
          </w:p>
        </w:tc>
        <w:tc>
          <w:tcPr>
            <w:tcW w:w="80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Amount</w:t>
            </w: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Pr>
          <w:p>
            <w:pPr>
              <w:jc w:val="center"/>
              <w:ind w:right="79"/>
              <w:spacing w:after="0" w:line="142" w:lineRule="exact"/>
              <w:rPr>
                <w:sz w:val="20"/>
                <w:szCs w:val="20"/>
                <w:color w:val="auto"/>
              </w:rPr>
            </w:pPr>
            <w:r>
              <w:rPr>
                <w:rFonts w:ascii="Times New Roman" w:cs="Times New Roman" w:eastAsia="Times New Roman" w:hAnsi="Times New Roman"/>
                <w:sz w:val="14"/>
                <w:szCs w:val="14"/>
                <w:b w:val="1"/>
                <w:bCs w:val="1"/>
                <w:color w:val="auto"/>
              </w:rPr>
              <w:t>Capital</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Pr>
          <w:p>
            <w:pPr>
              <w:jc w:val="right"/>
              <w:ind w:right="137"/>
              <w:spacing w:after="0" w:line="142" w:lineRule="exact"/>
              <w:rPr>
                <w:sz w:val="20"/>
                <w:szCs w:val="20"/>
                <w:color w:val="auto"/>
              </w:rPr>
            </w:pPr>
            <w:r>
              <w:rPr>
                <w:rFonts w:ascii="Times New Roman" w:cs="Times New Roman" w:eastAsia="Times New Roman" w:hAnsi="Times New Roman"/>
                <w:sz w:val="14"/>
                <w:szCs w:val="14"/>
                <w:b w:val="1"/>
                <w:bCs w:val="1"/>
                <w:color w:val="auto"/>
              </w:rPr>
              <w:t>Earnings</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tcPr>
          <w:p>
            <w:pPr>
              <w:jc w:val="center"/>
              <w:ind w:right="118"/>
              <w:spacing w:after="0" w:line="142" w:lineRule="exact"/>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-3245485</wp:posOffset>
            </wp:positionH>
            <wp:positionV relativeFrom="paragraph">
              <wp:posOffset>-1414145</wp:posOffset>
            </wp:positionV>
            <wp:extent cx="7132320" cy="27432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274320"/>
                    </a:xfrm>
                    <a:prstGeom prst="rect">
                      <a:avLst/>
                    </a:prstGeom>
                    <a:noFill/>
                  </pic:spPr>
                </pic:pic>
              </a:graphicData>
            </a:graphic>
          </wp:anchor>
        </w:drawing>
        <w:drawing>
          <wp:anchor simplePos="0" relativeHeight="251657728" behindDoc="1" locked="0" layoutInCell="0" allowOverlap="1">
            <wp:simplePos x="0" y="0"/>
            <wp:positionH relativeFrom="column">
              <wp:posOffset>-3245485</wp:posOffset>
            </wp:positionH>
            <wp:positionV relativeFrom="paragraph">
              <wp:posOffset>-1002030</wp:posOffset>
            </wp:positionV>
            <wp:extent cx="7132320" cy="13716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-3245485</wp:posOffset>
            </wp:positionH>
            <wp:positionV relativeFrom="paragraph">
              <wp:posOffset>-1833880</wp:posOffset>
            </wp:positionV>
            <wp:extent cx="7132320" cy="14605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-3245485</wp:posOffset>
            </wp:positionH>
            <wp:positionV relativeFrom="paragraph">
              <wp:posOffset>-719455</wp:posOffset>
            </wp:positionV>
            <wp:extent cx="7132320" cy="16319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20" w:lineRule="exact"/>
        <w:rPr>
          <w:sz w:val="20"/>
          <w:szCs w:val="20"/>
          <w:color w:val="auto"/>
        </w:rPr>
      </w:pPr>
    </w:p>
    <w:p>
      <w:pPr>
        <w:sectPr>
          <w:pgSz w:w="11900" w:h="16838" w:orient="portrait"/>
          <w:cols w:equalWidth="0" w:num="2">
            <w:col w:w="4400" w:space="720"/>
            <w:col w:w="6120"/>
          </w:cols>
          <w:pgMar w:left="320" w:top="765" w:right="339" w:bottom="1440" w:gutter="0" w:footer="0" w:header="0"/>
          <w:type w:val="continuous"/>
        </w:sectPr>
      </w:pPr>
    </w:p>
    <w:tbl>
      <w:tblPr>
        <w:tblLayout w:type="fixed"/>
        <w:tblInd w:w="0" w:type="dxa"/>
        <w:tblCellMar>
          <w:top w:w="0" w:type="dxa"/>
          <w:left w:w="0" w:type="dxa"/>
          <w:bottom w:w="0" w:type="dxa"/>
          <w:right w:w="0" w:type="dxa"/>
        </w:tblCellMar>
      </w:tblPr>
      <w:tr>
        <w:trPr>
          <w:trHeight w:val="20"/>
        </w:trPr>
        <w:tc>
          <w:tcPr>
            <w:tcW w:w="512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89"/>
        </w:trPr>
        <w:tc>
          <w:tcPr>
            <w:tcW w:w="512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Balance at January 1, 2024</w:t>
            </w:r>
          </w:p>
        </w:tc>
        <w:tc>
          <w:tcPr>
            <w:tcW w:w="108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16,227</w:t>
            </w:r>
          </w:p>
        </w:tc>
        <w:tc>
          <w:tcPr>
            <w:tcW w:w="240" w:type="dxa"/>
            <w:vAlign w:val="bottom"/>
          </w:tcPr>
          <w:p>
            <w:pPr>
              <w:spacing w:after="0"/>
              <w:rPr>
                <w:sz w:val="16"/>
                <w:szCs w:val="16"/>
                <w:color w:val="auto"/>
              </w:rPr>
            </w:pPr>
          </w:p>
        </w:tc>
        <w:tc>
          <w:tcPr>
            <w:tcW w:w="460" w:type="dxa"/>
            <w:vAlign w:val="bottom"/>
          </w:tcPr>
          <w:p>
            <w:pPr>
              <w:jc w:val="right"/>
              <w:ind w:right="270"/>
              <w:spacing w:after="0" w:line="189" w:lineRule="exact"/>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16</w:t>
            </w:r>
          </w:p>
        </w:tc>
        <w:tc>
          <w:tcPr>
            <w:tcW w:w="220" w:type="dxa"/>
            <w:vAlign w:val="bottom"/>
          </w:tcPr>
          <w:p>
            <w:pPr>
              <w:spacing w:after="0"/>
              <w:rPr>
                <w:sz w:val="16"/>
                <w:szCs w:val="16"/>
                <w:color w:val="auto"/>
              </w:rPr>
            </w:pPr>
          </w:p>
        </w:tc>
        <w:tc>
          <w:tcPr>
            <w:tcW w:w="240" w:type="dxa"/>
            <w:vAlign w:val="bottom"/>
          </w:tcPr>
          <w:p>
            <w:pPr>
              <w:jc w:val="right"/>
              <w:ind w:right="50"/>
              <w:spacing w:after="0" w:line="189" w:lineRule="exact"/>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403,846</w:t>
            </w:r>
          </w:p>
        </w:tc>
        <w:tc>
          <w:tcPr>
            <w:tcW w:w="460" w:type="dxa"/>
            <w:vAlign w:val="bottom"/>
            <w:gridSpan w:val="2"/>
          </w:tcPr>
          <w:p>
            <w:pPr>
              <w:jc w:val="right"/>
              <w:ind w:right="160"/>
              <w:spacing w:after="0" w:line="189" w:lineRule="exact"/>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302,832</w:t>
            </w:r>
          </w:p>
        </w:tc>
        <w:tc>
          <w:tcPr>
            <w:tcW w:w="460" w:type="dxa"/>
            <w:vAlign w:val="bottom"/>
            <w:gridSpan w:val="2"/>
          </w:tcPr>
          <w:p>
            <w:pPr>
              <w:jc w:val="right"/>
              <w:ind w:right="160"/>
              <w:spacing w:after="0" w:line="189" w:lineRule="exact"/>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706,694</w:t>
            </w:r>
          </w:p>
        </w:tc>
        <w:tc>
          <w:tcPr>
            <w:tcW w:w="100" w:type="dxa"/>
            <w:vAlign w:val="bottom"/>
          </w:tcPr>
          <w:p>
            <w:pPr>
              <w:spacing w:after="0"/>
              <w:rPr>
                <w:sz w:val="16"/>
                <w:szCs w:val="16"/>
                <w:color w:val="auto"/>
              </w:rPr>
            </w:pPr>
          </w:p>
        </w:tc>
      </w:tr>
      <w:tr>
        <w:trPr>
          <w:trHeight w:val="191"/>
        </w:trPr>
        <w:tc>
          <w:tcPr>
            <w:tcW w:w="5120" w:type="dxa"/>
            <w:vAlign w:val="bottom"/>
            <w:shd w:val="clear" w:color="auto" w:fill="CFF0FC"/>
          </w:tcPr>
          <w:p>
            <w:pPr>
              <w:spacing w:after="0" w:line="191" w:lineRule="exact"/>
              <w:rPr>
                <w:sz w:val="20"/>
                <w:szCs w:val="20"/>
                <w:color w:val="auto"/>
              </w:rPr>
            </w:pPr>
            <w:r>
              <w:rPr>
                <w:rFonts w:ascii="Times New Roman" w:cs="Times New Roman" w:eastAsia="Times New Roman" w:hAnsi="Times New Roman"/>
                <w:sz w:val="18"/>
                <w:szCs w:val="18"/>
                <w:color w:val="auto"/>
              </w:rPr>
              <w:t>Issuance of shares of common stock under</w:t>
            </w:r>
          </w:p>
        </w:tc>
        <w:tc>
          <w:tcPr>
            <w:tcW w:w="1080" w:type="dxa"/>
            <w:vAlign w:val="bottom"/>
            <w:tcBorders>
              <w:top w:val="single" w:sz="8" w:color="auto"/>
            </w:tcBorders>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460" w:type="dxa"/>
            <w:vAlign w:val="bottom"/>
            <w:tcBorders>
              <w:top w:val="single" w:sz="8" w:color="auto"/>
            </w:tcBorders>
            <w:shd w:val="clear" w:color="auto" w:fill="CFF0FC"/>
          </w:tcPr>
          <w:p>
            <w:pPr>
              <w:spacing w:after="0"/>
              <w:rPr>
                <w:sz w:val="16"/>
                <w:szCs w:val="16"/>
                <w:color w:val="auto"/>
              </w:rPr>
            </w:pPr>
          </w:p>
        </w:tc>
        <w:tc>
          <w:tcPr>
            <w:tcW w:w="580" w:type="dxa"/>
            <w:vAlign w:val="bottom"/>
            <w:tcBorders>
              <w:top w:val="single" w:sz="8" w:color="auto"/>
            </w:tcBorders>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240" w:type="dxa"/>
            <w:vAlign w:val="bottom"/>
            <w:tcBorders>
              <w:top w:val="single" w:sz="8" w:color="auto"/>
            </w:tcBorders>
            <w:shd w:val="clear" w:color="auto" w:fill="CFF0FC"/>
          </w:tcPr>
          <w:p>
            <w:pPr>
              <w:spacing w:after="0"/>
              <w:rPr>
                <w:sz w:val="16"/>
                <w:szCs w:val="16"/>
                <w:color w:val="auto"/>
              </w:rPr>
            </w:pPr>
          </w:p>
        </w:tc>
        <w:tc>
          <w:tcPr>
            <w:tcW w:w="760" w:type="dxa"/>
            <w:vAlign w:val="bottom"/>
            <w:tcBorders>
              <w:top w:val="single" w:sz="8" w:color="auto"/>
            </w:tcBorders>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240" w:type="dxa"/>
            <w:vAlign w:val="bottom"/>
            <w:tcBorders>
              <w:top w:val="single" w:sz="8" w:color="auto"/>
            </w:tcBorders>
            <w:shd w:val="clear" w:color="auto" w:fill="CFF0FC"/>
          </w:tcPr>
          <w:p>
            <w:pPr>
              <w:spacing w:after="0"/>
              <w:rPr>
                <w:sz w:val="16"/>
                <w:szCs w:val="16"/>
                <w:color w:val="auto"/>
              </w:rPr>
            </w:pPr>
          </w:p>
        </w:tc>
        <w:tc>
          <w:tcPr>
            <w:tcW w:w="760" w:type="dxa"/>
            <w:vAlign w:val="bottom"/>
            <w:tcBorders>
              <w:top w:val="single" w:sz="8" w:color="auto"/>
            </w:tcBorders>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240" w:type="dxa"/>
            <w:vAlign w:val="bottom"/>
            <w:tcBorders>
              <w:top w:val="single" w:sz="8" w:color="auto"/>
            </w:tcBorders>
            <w:shd w:val="clear" w:color="auto" w:fill="CFF0FC"/>
          </w:tcPr>
          <w:p>
            <w:pPr>
              <w:spacing w:after="0"/>
              <w:rPr>
                <w:sz w:val="16"/>
                <w:szCs w:val="16"/>
                <w:color w:val="auto"/>
              </w:rPr>
            </w:pPr>
          </w:p>
        </w:tc>
        <w:tc>
          <w:tcPr>
            <w:tcW w:w="760" w:type="dxa"/>
            <w:vAlign w:val="bottom"/>
            <w:tcBorders>
              <w:top w:val="single" w:sz="8" w:color="auto"/>
            </w:tcBorders>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r>
      <w:tr>
        <w:trPr>
          <w:trHeight w:val="234"/>
        </w:trPr>
        <w:tc>
          <w:tcPr>
            <w:tcW w:w="51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restricted stock award agreements</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143</w:t>
            </w:r>
          </w:p>
        </w:tc>
        <w:tc>
          <w:tcPr>
            <w:tcW w:w="240" w:type="dxa"/>
            <w:vAlign w:val="bottom"/>
            <w:shd w:val="clear" w:color="auto" w:fill="CFF0FC"/>
          </w:tcPr>
          <w:p>
            <w:pPr>
              <w:spacing w:after="0"/>
              <w:rPr>
                <w:sz w:val="20"/>
                <w:szCs w:val="20"/>
                <w:color w:val="auto"/>
              </w:rPr>
            </w:pPr>
          </w:p>
        </w:tc>
        <w:tc>
          <w:tcPr>
            <w:tcW w:w="460" w:type="dxa"/>
            <w:vAlign w:val="bottom"/>
            <w:shd w:val="clear" w:color="auto" w:fill="CFF0FC"/>
          </w:tcPr>
          <w:p>
            <w:pPr>
              <w:spacing w:after="0"/>
              <w:rPr>
                <w:sz w:val="20"/>
                <w:szCs w:val="20"/>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8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198"/>
        </w:trPr>
        <w:tc>
          <w:tcPr>
            <w:tcW w:w="51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Forfeiture of shares of common stock under</w:t>
            </w:r>
          </w:p>
        </w:tc>
        <w:tc>
          <w:tcPr>
            <w:tcW w:w="10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51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restricted stock award agreements</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1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Stock-based compensation</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2,619</w:t>
            </w:r>
          </w:p>
        </w:tc>
        <w:tc>
          <w:tcPr>
            <w:tcW w:w="2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2,619</w:t>
            </w:r>
          </w:p>
        </w:tc>
        <w:tc>
          <w:tcPr>
            <w:tcW w:w="100" w:type="dxa"/>
            <w:vAlign w:val="bottom"/>
            <w:shd w:val="clear" w:color="auto" w:fill="CFF0FC"/>
          </w:tcPr>
          <w:p>
            <w:pPr>
              <w:spacing w:after="0"/>
              <w:rPr>
                <w:sz w:val="18"/>
                <w:szCs w:val="18"/>
                <w:color w:val="auto"/>
              </w:rPr>
            </w:pPr>
          </w:p>
        </w:tc>
      </w:tr>
      <w:tr>
        <w:trPr>
          <w:trHeight w:val="216"/>
        </w:trPr>
        <w:tc>
          <w:tcPr>
            <w:tcW w:w="5120" w:type="dxa"/>
            <w:vAlign w:val="bottom"/>
          </w:tcPr>
          <w:p>
            <w:pPr>
              <w:spacing w:after="0"/>
              <w:rPr>
                <w:sz w:val="20"/>
                <w:szCs w:val="20"/>
                <w:color w:val="auto"/>
              </w:rPr>
            </w:pPr>
            <w:r>
              <w:rPr>
                <w:rFonts w:ascii="Times New Roman" w:cs="Times New Roman" w:eastAsia="Times New Roman" w:hAnsi="Times New Roman"/>
                <w:sz w:val="18"/>
                <w:szCs w:val="18"/>
                <w:color w:val="auto"/>
              </w:rPr>
              <w:t>Shares issued for exercise of stock options</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1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income</w:t>
            </w: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FF0FC"/>
            </w:tcBorders>
            <w:shd w:val="clear" w:color="auto" w:fill="CFF0FC"/>
          </w:tcPr>
          <w:p>
            <w:pPr>
              <w:spacing w:after="0"/>
              <w:rPr>
                <w:sz w:val="18"/>
                <w:szCs w:val="18"/>
                <w:color w:val="auto"/>
              </w:rPr>
            </w:pPr>
          </w:p>
        </w:tc>
        <w:tc>
          <w:tcPr>
            <w:tcW w:w="460" w:type="dxa"/>
            <w:vAlign w:val="bottom"/>
            <w:tcBorders>
              <w:bottom w:val="single" w:sz="8" w:color="auto"/>
            </w:tcBorders>
            <w:shd w:val="clear" w:color="auto" w:fill="CFF0FC"/>
          </w:tcPr>
          <w:p>
            <w:pPr>
              <w:spacing w:after="0"/>
              <w:rPr>
                <w:sz w:val="18"/>
                <w:szCs w:val="18"/>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15,830</w:t>
            </w:r>
          </w:p>
        </w:tc>
        <w:tc>
          <w:tcPr>
            <w:tcW w:w="22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15,830</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5120" w:type="dxa"/>
            <w:vAlign w:val="bottom"/>
          </w:tcPr>
          <w:p>
            <w:pPr>
              <w:spacing w:after="0"/>
              <w:rPr>
                <w:sz w:val="20"/>
                <w:szCs w:val="20"/>
                <w:color w:val="auto"/>
              </w:rPr>
            </w:pPr>
            <w:r>
              <w:rPr>
                <w:rFonts w:ascii="Times New Roman" w:cs="Times New Roman" w:eastAsia="Times New Roman" w:hAnsi="Times New Roman"/>
                <w:sz w:val="17"/>
                <w:szCs w:val="17"/>
                <w:color w:val="auto"/>
              </w:rPr>
              <w:t>Balance at March 31, 2024</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16,370</w:t>
            </w:r>
          </w:p>
        </w:tc>
        <w:tc>
          <w:tcPr>
            <w:tcW w:w="700" w:type="dxa"/>
            <w:vAlign w:val="bottom"/>
            <w:gridSpan w:val="2"/>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46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406,465</w:t>
            </w:r>
          </w:p>
        </w:tc>
        <w:tc>
          <w:tcPr>
            <w:tcW w:w="4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318,662</w:t>
            </w:r>
          </w:p>
        </w:tc>
        <w:tc>
          <w:tcPr>
            <w:tcW w:w="4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725,143</w:t>
            </w:r>
          </w:p>
        </w:tc>
        <w:tc>
          <w:tcPr>
            <w:tcW w:w="100" w:type="dxa"/>
            <w:vAlign w:val="bottom"/>
          </w:tcPr>
          <w:p>
            <w:pPr>
              <w:spacing w:after="0"/>
              <w:rPr>
                <w:sz w:val="18"/>
                <w:szCs w:val="18"/>
                <w:color w:val="auto"/>
              </w:rPr>
            </w:pPr>
          </w:p>
        </w:tc>
      </w:tr>
      <w:tr>
        <w:trPr>
          <w:trHeight w:val="20"/>
        </w:trPr>
        <w:tc>
          <w:tcPr>
            <w:tcW w:w="512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3939540</wp:posOffset>
            </wp:positionH>
            <wp:positionV relativeFrom="paragraph">
              <wp:posOffset>-170815</wp:posOffset>
            </wp:positionV>
            <wp:extent cx="76835"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4745355</wp:posOffset>
            </wp:positionH>
            <wp:positionV relativeFrom="paragraph">
              <wp:posOffset>-170815</wp:posOffset>
            </wp:positionV>
            <wp:extent cx="7747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5525770</wp:posOffset>
            </wp:positionH>
            <wp:positionV relativeFrom="paragraph">
              <wp:posOffset>-170815</wp:posOffset>
            </wp:positionV>
            <wp:extent cx="6858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6297295</wp:posOffset>
            </wp:positionH>
            <wp:positionV relativeFrom="paragraph">
              <wp:posOffset>-170815</wp:posOffset>
            </wp:positionV>
            <wp:extent cx="6858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Condensed Consolidated Financial Statements (Unaudited)</w:t>
      </w: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487680</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type w:val="continuous"/>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u w:val="single" w:color="auto"/>
          <w:color w:val="0563C1"/>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-5080</wp:posOffset>
            </wp:positionV>
            <wp:extent cx="869315"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869315" cy="8255"/>
                    </a:xfrm>
                    <a:prstGeom prst="rect">
                      <a:avLst/>
                    </a:prstGeom>
                    <a:noFill/>
                  </pic:spPr>
                </pic:pic>
              </a:graphicData>
            </a:graphic>
          </wp:anchor>
        </w:drawing>
      </w: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ADDUS HOMECARE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AND SUBSIDIARIES</w:t>
      </w:r>
    </w:p>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Three Months Ended March 31, 2025 and 2024</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(Amounts in Thousands)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6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48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For the Three Months</w:t>
            </w:r>
          </w:p>
        </w:tc>
        <w:tc>
          <w:tcPr>
            <w:tcW w:w="100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173"/>
        </w:trPr>
        <w:tc>
          <w:tcPr>
            <w:tcW w:w="7640" w:type="dxa"/>
            <w:vAlign w:val="bottom"/>
          </w:tcPr>
          <w:p>
            <w:pPr>
              <w:spacing w:after="0"/>
              <w:rPr>
                <w:sz w:val="15"/>
                <w:szCs w:val="15"/>
                <w:color w:val="auto"/>
              </w:rPr>
            </w:pPr>
          </w:p>
        </w:tc>
        <w:tc>
          <w:tcPr>
            <w:tcW w:w="1000" w:type="dxa"/>
            <w:vAlign w:val="bottom"/>
            <w:tcBorders>
              <w:bottom w:val="single" w:sz="8" w:color="auto"/>
            </w:tcBorders>
          </w:tcPr>
          <w:p>
            <w:pPr>
              <w:spacing w:after="0"/>
              <w:rPr>
                <w:sz w:val="15"/>
                <w:szCs w:val="15"/>
                <w:color w:val="auto"/>
              </w:rPr>
            </w:pPr>
          </w:p>
        </w:tc>
        <w:tc>
          <w:tcPr>
            <w:tcW w:w="1480" w:type="dxa"/>
            <w:vAlign w:val="bottom"/>
            <w:tcBorders>
              <w:bottom w:val="single" w:sz="8" w:color="auto"/>
            </w:tcBorders>
            <w:gridSpan w:val="3"/>
          </w:tcPr>
          <w:p>
            <w:pPr>
              <w:jc w:val="right"/>
              <w:ind w:right="110"/>
              <w:spacing w:after="0"/>
              <w:rPr>
                <w:sz w:val="20"/>
                <w:szCs w:val="20"/>
                <w:color w:val="auto"/>
              </w:rPr>
            </w:pPr>
            <w:r>
              <w:rPr>
                <w:rFonts w:ascii="Times New Roman" w:cs="Times New Roman" w:eastAsia="Times New Roman" w:hAnsi="Times New Roman"/>
                <w:sz w:val="14"/>
                <w:szCs w:val="14"/>
                <w:b w:val="1"/>
                <w:bCs w:val="1"/>
                <w:color w:val="auto"/>
              </w:rPr>
              <w:t>Ended March 31,</w:t>
            </w:r>
          </w:p>
        </w:tc>
        <w:tc>
          <w:tcPr>
            <w:tcW w:w="100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r>
      <w:tr>
        <w:trPr>
          <w:trHeight w:val="142"/>
        </w:trPr>
        <w:tc>
          <w:tcPr>
            <w:tcW w:w="7640" w:type="dxa"/>
            <w:vAlign w:val="bottom"/>
          </w:tcPr>
          <w:p>
            <w:pPr>
              <w:spacing w:after="0"/>
              <w:rPr>
                <w:sz w:val="12"/>
                <w:szCs w:val="12"/>
                <w:color w:val="auto"/>
              </w:rPr>
            </w:pPr>
          </w:p>
        </w:tc>
        <w:tc>
          <w:tcPr>
            <w:tcW w:w="100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640" w:type="dxa"/>
            <w:vAlign w:val="bottom"/>
            <w:tcBorders>
              <w:bottom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56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jc w:val="right"/>
              <w:ind w:right="551"/>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2"/>
                <w:szCs w:val="12"/>
                <w:color w:val="auto"/>
              </w:rPr>
            </w:pPr>
          </w:p>
        </w:tc>
      </w:tr>
      <w:tr>
        <w:trPr>
          <w:trHeight w:val="209"/>
        </w:trPr>
        <w:tc>
          <w:tcPr>
            <w:tcW w:w="76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 flows from operating activities:</w:t>
            </w:r>
          </w:p>
        </w:tc>
        <w:tc>
          <w:tcPr>
            <w:tcW w:w="100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16"/>
        </w:trPr>
        <w:tc>
          <w:tcPr>
            <w:tcW w:w="76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Net income</w:t>
            </w:r>
          </w:p>
        </w:tc>
        <w:tc>
          <w:tcPr>
            <w:tcW w:w="1000" w:type="dxa"/>
            <w:vAlign w:val="bottom"/>
          </w:tcPr>
          <w:p>
            <w:pPr>
              <w:jc w:val="right"/>
              <w:ind w:right="815"/>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21,228</w:t>
            </w:r>
          </w:p>
        </w:tc>
        <w:tc>
          <w:tcPr>
            <w:tcW w:w="280" w:type="dxa"/>
            <w:vAlign w:val="bottom"/>
          </w:tcPr>
          <w:p>
            <w:pPr>
              <w:spacing w:after="0"/>
              <w:rPr>
                <w:sz w:val="18"/>
                <w:szCs w:val="18"/>
                <w:color w:val="auto"/>
              </w:rPr>
            </w:pPr>
          </w:p>
        </w:tc>
        <w:tc>
          <w:tcPr>
            <w:tcW w:w="56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15,830</w:t>
            </w:r>
          </w:p>
        </w:tc>
        <w:tc>
          <w:tcPr>
            <w:tcW w:w="120" w:type="dxa"/>
            <w:vAlign w:val="bottom"/>
          </w:tcPr>
          <w:p>
            <w:pPr>
              <w:spacing w:after="0"/>
              <w:rPr>
                <w:sz w:val="18"/>
                <w:szCs w:val="18"/>
                <w:color w:val="auto"/>
              </w:rPr>
            </w:pPr>
          </w:p>
        </w:tc>
      </w:tr>
      <w:tr>
        <w:trPr>
          <w:trHeight w:val="198"/>
        </w:trPr>
        <w:tc>
          <w:tcPr>
            <w:tcW w:w="7640" w:type="dxa"/>
            <w:vAlign w:val="bottom"/>
            <w:shd w:val="clear" w:color="auto" w:fill="CFF0FC"/>
          </w:tcPr>
          <w:p>
            <w:pPr>
              <w:ind w:left="140"/>
              <w:spacing w:after="0" w:line="198" w:lineRule="exact"/>
              <w:rPr>
                <w:sz w:val="20"/>
                <w:szCs w:val="20"/>
                <w:color w:val="auto"/>
              </w:rPr>
            </w:pPr>
            <w:r>
              <w:rPr>
                <w:rFonts w:ascii="Times New Roman" w:cs="Times New Roman" w:eastAsia="Times New Roman" w:hAnsi="Times New Roman"/>
                <w:sz w:val="18"/>
                <w:szCs w:val="18"/>
                <w:color w:val="auto"/>
              </w:rPr>
              <w:t>Adjustments to reconcile net income to net cash provided by (used in) operating</w:t>
            </w:r>
          </w:p>
        </w:tc>
        <w:tc>
          <w:tcPr>
            <w:tcW w:w="1000" w:type="dxa"/>
            <w:vAlign w:val="bottom"/>
            <w:shd w:val="clear" w:color="auto" w:fill="CFF0FC"/>
          </w:tcPr>
          <w:p>
            <w:pPr>
              <w:spacing w:after="0"/>
              <w:rPr>
                <w:sz w:val="17"/>
                <w:szCs w:val="17"/>
                <w:color w:val="auto"/>
              </w:rPr>
            </w:pPr>
          </w:p>
        </w:tc>
        <w:tc>
          <w:tcPr>
            <w:tcW w:w="64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56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r>
      <w:tr>
        <w:trPr>
          <w:trHeight w:val="234"/>
        </w:trPr>
        <w:tc>
          <w:tcPr>
            <w:tcW w:w="764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8"/>
                <w:szCs w:val="18"/>
                <w:color w:val="auto"/>
              </w:rPr>
              <w:t>activities, net of acquisitions:</w:t>
            </w:r>
          </w:p>
        </w:tc>
        <w:tc>
          <w:tcPr>
            <w:tcW w:w="1000" w:type="dxa"/>
            <w:vAlign w:val="bottom"/>
            <w:shd w:val="clear" w:color="auto" w:fill="CFF0FC"/>
          </w:tcPr>
          <w:p>
            <w:pPr>
              <w:spacing w:after="0"/>
              <w:rPr>
                <w:sz w:val="20"/>
                <w:szCs w:val="20"/>
                <w:color w:val="auto"/>
              </w:rPr>
            </w:pPr>
          </w:p>
        </w:tc>
        <w:tc>
          <w:tcPr>
            <w:tcW w:w="64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560" w:type="dxa"/>
            <w:vAlign w:val="bottom"/>
            <w:shd w:val="clear" w:color="auto" w:fill="CFF0FC"/>
          </w:tcPr>
          <w:p>
            <w:pPr>
              <w:spacing w:after="0"/>
              <w:rPr>
                <w:sz w:val="20"/>
                <w:szCs w:val="20"/>
                <w:color w:val="auto"/>
              </w:rPr>
            </w:pPr>
          </w:p>
        </w:tc>
        <w:tc>
          <w:tcPr>
            <w:tcW w:w="100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r>
      <w:tr>
        <w:trPr>
          <w:trHeight w:val="216"/>
        </w:trPr>
        <w:tc>
          <w:tcPr>
            <w:tcW w:w="76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0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3,943</w:t>
            </w:r>
          </w:p>
        </w:tc>
        <w:tc>
          <w:tcPr>
            <w:tcW w:w="2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3,469</w:t>
            </w:r>
          </w:p>
        </w:tc>
        <w:tc>
          <w:tcPr>
            <w:tcW w:w="120" w:type="dxa"/>
            <w:vAlign w:val="bottom"/>
          </w:tcPr>
          <w:p>
            <w:pPr>
              <w:spacing w:after="0"/>
              <w:rPr>
                <w:sz w:val="18"/>
                <w:szCs w:val="18"/>
                <w:color w:val="auto"/>
              </w:rPr>
            </w:pPr>
          </w:p>
        </w:tc>
      </w:tr>
      <w:tr>
        <w:trPr>
          <w:trHeight w:val="216"/>
        </w:trPr>
        <w:tc>
          <w:tcPr>
            <w:tcW w:w="764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8"/>
                <w:szCs w:val="18"/>
                <w:color w:val="auto"/>
              </w:rPr>
              <w:t>Deferred income taxes</w:t>
            </w:r>
          </w:p>
        </w:tc>
        <w:tc>
          <w:tcPr>
            <w:tcW w:w="1000" w:type="dxa"/>
            <w:vAlign w:val="bottom"/>
            <w:shd w:val="clear" w:color="auto" w:fill="CFF0FC"/>
          </w:tcPr>
          <w:p>
            <w:pPr>
              <w:spacing w:after="0"/>
              <w:rPr>
                <w:sz w:val="18"/>
                <w:szCs w:val="18"/>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166</w:t>
            </w:r>
          </w:p>
        </w:tc>
        <w:tc>
          <w:tcPr>
            <w:tcW w:w="28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131</w:t>
            </w:r>
          </w:p>
        </w:tc>
        <w:tc>
          <w:tcPr>
            <w:tcW w:w="120" w:type="dxa"/>
            <w:vAlign w:val="bottom"/>
            <w:shd w:val="clear" w:color="auto" w:fill="CFF0FC"/>
          </w:tcPr>
          <w:p>
            <w:pPr>
              <w:spacing w:after="0"/>
              <w:rPr>
                <w:sz w:val="18"/>
                <w:szCs w:val="18"/>
                <w:color w:val="auto"/>
              </w:rPr>
            </w:pPr>
          </w:p>
        </w:tc>
      </w:tr>
      <w:tr>
        <w:trPr>
          <w:trHeight w:val="216"/>
        </w:trPr>
        <w:tc>
          <w:tcPr>
            <w:tcW w:w="76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Stock-based compensation</w:t>
            </w:r>
          </w:p>
        </w:tc>
        <w:tc>
          <w:tcPr>
            <w:tcW w:w="10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3,170</w:t>
            </w:r>
          </w:p>
        </w:tc>
        <w:tc>
          <w:tcPr>
            <w:tcW w:w="2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2,619</w:t>
            </w:r>
          </w:p>
        </w:tc>
        <w:tc>
          <w:tcPr>
            <w:tcW w:w="120" w:type="dxa"/>
            <w:vAlign w:val="bottom"/>
          </w:tcPr>
          <w:p>
            <w:pPr>
              <w:spacing w:after="0"/>
              <w:rPr>
                <w:sz w:val="18"/>
                <w:szCs w:val="18"/>
                <w:color w:val="auto"/>
              </w:rPr>
            </w:pPr>
          </w:p>
        </w:tc>
      </w:tr>
      <w:tr>
        <w:trPr>
          <w:trHeight w:val="216"/>
        </w:trPr>
        <w:tc>
          <w:tcPr>
            <w:tcW w:w="764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8"/>
                <w:szCs w:val="18"/>
                <w:color w:val="auto"/>
              </w:rPr>
              <w:t>Amortization of debt issuance costs under the credit facility</w:t>
            </w:r>
          </w:p>
        </w:tc>
        <w:tc>
          <w:tcPr>
            <w:tcW w:w="1000" w:type="dxa"/>
            <w:vAlign w:val="bottom"/>
            <w:shd w:val="clear" w:color="auto" w:fill="CFF0FC"/>
          </w:tcPr>
          <w:p>
            <w:pPr>
              <w:spacing w:after="0"/>
              <w:rPr>
                <w:sz w:val="18"/>
                <w:szCs w:val="18"/>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318</w:t>
            </w:r>
          </w:p>
        </w:tc>
        <w:tc>
          <w:tcPr>
            <w:tcW w:w="28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215</w:t>
            </w:r>
          </w:p>
        </w:tc>
        <w:tc>
          <w:tcPr>
            <w:tcW w:w="120" w:type="dxa"/>
            <w:vAlign w:val="bottom"/>
            <w:shd w:val="clear" w:color="auto" w:fill="CFF0FC"/>
          </w:tcPr>
          <w:p>
            <w:pPr>
              <w:spacing w:after="0"/>
              <w:rPr>
                <w:sz w:val="18"/>
                <w:szCs w:val="18"/>
                <w:color w:val="auto"/>
              </w:rPr>
            </w:pPr>
          </w:p>
        </w:tc>
      </w:tr>
      <w:tr>
        <w:trPr>
          <w:trHeight w:val="216"/>
        </w:trPr>
        <w:tc>
          <w:tcPr>
            <w:tcW w:w="76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Provision for credit losses</w:t>
            </w:r>
          </w:p>
        </w:tc>
        <w:tc>
          <w:tcPr>
            <w:tcW w:w="10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335</w:t>
            </w:r>
          </w:p>
        </w:tc>
        <w:tc>
          <w:tcPr>
            <w:tcW w:w="2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224</w:t>
            </w:r>
          </w:p>
        </w:tc>
        <w:tc>
          <w:tcPr>
            <w:tcW w:w="120" w:type="dxa"/>
            <w:vAlign w:val="bottom"/>
          </w:tcPr>
          <w:p>
            <w:pPr>
              <w:spacing w:after="0"/>
              <w:rPr>
                <w:sz w:val="18"/>
                <w:szCs w:val="18"/>
                <w:color w:val="auto"/>
              </w:rPr>
            </w:pPr>
          </w:p>
        </w:tc>
      </w:tr>
      <w:tr>
        <w:trPr>
          <w:trHeight w:val="216"/>
        </w:trPr>
        <w:tc>
          <w:tcPr>
            <w:tcW w:w="764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8"/>
                <w:szCs w:val="18"/>
                <w:color w:val="auto"/>
              </w:rPr>
              <w:t>Gain on disposal of assets</w:t>
            </w:r>
          </w:p>
        </w:tc>
        <w:tc>
          <w:tcPr>
            <w:tcW w:w="1000" w:type="dxa"/>
            <w:vAlign w:val="bottom"/>
            <w:shd w:val="clear" w:color="auto" w:fill="CFF0FC"/>
          </w:tcPr>
          <w:p>
            <w:pPr>
              <w:spacing w:after="0"/>
              <w:rPr>
                <w:sz w:val="18"/>
                <w:szCs w:val="18"/>
                <w:color w:val="auto"/>
              </w:rPr>
            </w:pPr>
          </w:p>
        </w:tc>
        <w:tc>
          <w:tcPr>
            <w:tcW w:w="9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(7)</w:t>
            </w:r>
          </w:p>
        </w:tc>
        <w:tc>
          <w:tcPr>
            <w:tcW w:w="56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6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Loss on termination of operating leases</w:t>
            </w:r>
          </w:p>
        </w:tc>
        <w:tc>
          <w:tcPr>
            <w:tcW w:w="10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2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64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8"/>
                <w:szCs w:val="18"/>
                <w:color w:val="auto"/>
              </w:rPr>
              <w:t>Changes in operating assets and liabilities, net of acquisitions:</w:t>
            </w:r>
          </w:p>
        </w:tc>
        <w:tc>
          <w:tcPr>
            <w:tcW w:w="100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16"/>
        </w:trPr>
        <w:tc>
          <w:tcPr>
            <w:tcW w:w="764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Accounts receivable</w:t>
            </w:r>
          </w:p>
        </w:tc>
        <w:tc>
          <w:tcPr>
            <w:tcW w:w="1000" w:type="dxa"/>
            <w:vAlign w:val="bottom"/>
          </w:tcPr>
          <w:p>
            <w:pPr>
              <w:spacing w:after="0"/>
              <w:rPr>
                <w:sz w:val="18"/>
                <w:szCs w:val="18"/>
                <w:color w:val="auto"/>
              </w:rPr>
            </w:pP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(9,459)</w:t>
            </w:r>
          </w:p>
        </w:tc>
        <w:tc>
          <w:tcPr>
            <w:tcW w:w="5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10,552</w:t>
            </w:r>
          </w:p>
        </w:tc>
        <w:tc>
          <w:tcPr>
            <w:tcW w:w="120" w:type="dxa"/>
            <w:vAlign w:val="bottom"/>
          </w:tcPr>
          <w:p>
            <w:pPr>
              <w:spacing w:after="0"/>
              <w:rPr>
                <w:sz w:val="18"/>
                <w:szCs w:val="18"/>
                <w:color w:val="auto"/>
              </w:rPr>
            </w:pPr>
          </w:p>
        </w:tc>
      </w:tr>
      <w:tr>
        <w:trPr>
          <w:trHeight w:val="216"/>
        </w:trPr>
        <w:tc>
          <w:tcPr>
            <w:tcW w:w="7640" w:type="dxa"/>
            <w:vAlign w:val="bottom"/>
            <w:shd w:val="clear" w:color="auto" w:fill="CFF0FC"/>
          </w:tcPr>
          <w:p>
            <w:pPr>
              <w:ind w:left="42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1000" w:type="dxa"/>
            <w:vAlign w:val="bottom"/>
            <w:shd w:val="clear" w:color="auto" w:fill="CFF0FC"/>
          </w:tcPr>
          <w:p>
            <w:pPr>
              <w:spacing w:after="0"/>
              <w:rPr>
                <w:sz w:val="18"/>
                <w:szCs w:val="18"/>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8,323</w:t>
            </w:r>
          </w:p>
        </w:tc>
        <w:tc>
          <w:tcPr>
            <w:tcW w:w="28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9,331</w:t>
            </w:r>
          </w:p>
        </w:tc>
        <w:tc>
          <w:tcPr>
            <w:tcW w:w="120" w:type="dxa"/>
            <w:vAlign w:val="bottom"/>
            <w:shd w:val="clear" w:color="auto" w:fill="CFF0FC"/>
          </w:tcPr>
          <w:p>
            <w:pPr>
              <w:spacing w:after="0"/>
              <w:rPr>
                <w:sz w:val="18"/>
                <w:szCs w:val="18"/>
                <w:color w:val="auto"/>
              </w:rPr>
            </w:pPr>
          </w:p>
        </w:tc>
      </w:tr>
      <w:tr>
        <w:trPr>
          <w:trHeight w:val="216"/>
        </w:trPr>
        <w:tc>
          <w:tcPr>
            <w:tcW w:w="764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Government stimulus advances</w:t>
            </w:r>
          </w:p>
        </w:tc>
        <w:tc>
          <w:tcPr>
            <w:tcW w:w="1000" w:type="dxa"/>
            <w:vAlign w:val="bottom"/>
          </w:tcPr>
          <w:p>
            <w:pPr>
              <w:spacing w:after="0"/>
              <w:rPr>
                <w:sz w:val="18"/>
                <w:szCs w:val="18"/>
                <w:color w:val="auto"/>
              </w:rPr>
            </w:pP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(2,537)</w:t>
            </w:r>
          </w:p>
        </w:tc>
        <w:tc>
          <w:tcPr>
            <w:tcW w:w="5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7,783</w:t>
            </w:r>
          </w:p>
        </w:tc>
        <w:tc>
          <w:tcPr>
            <w:tcW w:w="120" w:type="dxa"/>
            <w:vAlign w:val="bottom"/>
          </w:tcPr>
          <w:p>
            <w:pPr>
              <w:spacing w:after="0"/>
              <w:rPr>
                <w:sz w:val="18"/>
                <w:szCs w:val="18"/>
                <w:color w:val="auto"/>
              </w:rPr>
            </w:pPr>
          </w:p>
        </w:tc>
      </w:tr>
      <w:tr>
        <w:trPr>
          <w:trHeight w:val="216"/>
        </w:trPr>
        <w:tc>
          <w:tcPr>
            <w:tcW w:w="7640" w:type="dxa"/>
            <w:vAlign w:val="bottom"/>
            <w:shd w:val="clear" w:color="auto" w:fill="CFF0FC"/>
          </w:tcPr>
          <w:p>
            <w:pPr>
              <w:ind w:left="420"/>
              <w:spacing w:after="0"/>
              <w:rPr>
                <w:sz w:val="20"/>
                <w:szCs w:val="20"/>
                <w:color w:val="auto"/>
              </w:rPr>
            </w:pPr>
            <w:r>
              <w:rPr>
                <w:rFonts w:ascii="Times New Roman" w:cs="Times New Roman" w:eastAsia="Times New Roman" w:hAnsi="Times New Roman"/>
                <w:sz w:val="18"/>
                <w:szCs w:val="18"/>
                <w:color w:val="auto"/>
              </w:rPr>
              <w:t>Accounts payable</w:t>
            </w:r>
          </w:p>
        </w:tc>
        <w:tc>
          <w:tcPr>
            <w:tcW w:w="1000" w:type="dxa"/>
            <w:vAlign w:val="bottom"/>
            <w:shd w:val="clear" w:color="auto" w:fill="CFF0FC"/>
          </w:tcPr>
          <w:p>
            <w:pPr>
              <w:spacing w:after="0"/>
              <w:rPr>
                <w:sz w:val="18"/>
                <w:szCs w:val="18"/>
                <w:color w:val="auto"/>
              </w:rPr>
            </w:pPr>
          </w:p>
        </w:tc>
        <w:tc>
          <w:tcPr>
            <w:tcW w:w="9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(588)</w:t>
            </w:r>
          </w:p>
        </w:tc>
        <w:tc>
          <w:tcPr>
            <w:tcW w:w="56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(4,332)</w:t>
            </w:r>
          </w:p>
        </w:tc>
      </w:tr>
      <w:tr>
        <w:trPr>
          <w:trHeight w:val="216"/>
        </w:trPr>
        <w:tc>
          <w:tcPr>
            <w:tcW w:w="764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Accrued payroll</w:t>
            </w:r>
          </w:p>
        </w:tc>
        <w:tc>
          <w:tcPr>
            <w:tcW w:w="1000" w:type="dxa"/>
            <w:vAlign w:val="bottom"/>
          </w:tcPr>
          <w:p>
            <w:pPr>
              <w:spacing w:after="0"/>
              <w:rPr>
                <w:sz w:val="18"/>
                <w:szCs w:val="18"/>
                <w:color w:val="auto"/>
              </w:rPr>
            </w:pP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(7,124)</w:t>
            </w:r>
          </w:p>
        </w:tc>
        <w:tc>
          <w:tcPr>
            <w:tcW w:w="560" w:type="dxa"/>
            <w:vAlign w:val="bottom"/>
          </w:tcPr>
          <w:p>
            <w:pPr>
              <w:spacing w:after="0"/>
              <w:rPr>
                <w:sz w:val="18"/>
                <w:szCs w:val="18"/>
                <w:color w:val="auto"/>
              </w:rPr>
            </w:pPr>
          </w:p>
        </w:tc>
        <w:tc>
          <w:tcPr>
            <w:tcW w:w="11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(12,529)</w:t>
            </w:r>
          </w:p>
        </w:tc>
      </w:tr>
      <w:tr>
        <w:trPr>
          <w:trHeight w:val="216"/>
        </w:trPr>
        <w:tc>
          <w:tcPr>
            <w:tcW w:w="7640" w:type="dxa"/>
            <w:vAlign w:val="bottom"/>
            <w:tcBorders>
              <w:bottom w:val="single" w:sz="8" w:color="CFF0FC"/>
            </w:tcBorders>
            <w:shd w:val="clear" w:color="auto" w:fill="CFF0FC"/>
          </w:tcPr>
          <w:p>
            <w:pPr>
              <w:ind w:left="420"/>
              <w:spacing w:after="0"/>
              <w:rPr>
                <w:sz w:val="20"/>
                <w:szCs w:val="20"/>
                <w:color w:val="auto"/>
              </w:rPr>
            </w:pPr>
            <w:r>
              <w:rPr>
                <w:rFonts w:ascii="Times New Roman" w:cs="Times New Roman" w:eastAsia="Times New Roman" w:hAnsi="Times New Roman"/>
                <w:sz w:val="18"/>
                <w:szCs w:val="18"/>
                <w:color w:val="auto"/>
              </w:rPr>
              <w:t>Accrued expenses and other long-term liabilities</w:t>
            </w:r>
          </w:p>
        </w:tc>
        <w:tc>
          <w:tcPr>
            <w:tcW w:w="1000" w:type="dxa"/>
            <w:vAlign w:val="bottom"/>
            <w:tcBorders>
              <w:bottom w:val="single" w:sz="8" w:color="auto"/>
            </w:tcBorders>
            <w:shd w:val="clear" w:color="auto" w:fill="CFF0FC"/>
          </w:tcPr>
          <w:p>
            <w:pPr>
              <w:spacing w:after="0"/>
              <w:rPr>
                <w:sz w:val="18"/>
                <w:szCs w:val="18"/>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1,158</w:t>
            </w:r>
          </w:p>
        </w:tc>
        <w:tc>
          <w:tcPr>
            <w:tcW w:w="280" w:type="dxa"/>
            <w:vAlign w:val="bottom"/>
            <w:tcBorders>
              <w:bottom w:val="single" w:sz="8" w:color="CFF0FC"/>
            </w:tcBorders>
            <w:shd w:val="clear" w:color="auto" w:fill="CFF0FC"/>
          </w:tcPr>
          <w:p>
            <w:pPr>
              <w:spacing w:after="0"/>
              <w:rPr>
                <w:sz w:val="18"/>
                <w:szCs w:val="18"/>
                <w:color w:val="auto"/>
              </w:rPr>
            </w:pPr>
          </w:p>
        </w:tc>
        <w:tc>
          <w:tcPr>
            <w:tcW w:w="560" w:type="dxa"/>
            <w:vAlign w:val="bottom"/>
            <w:tcBorders>
              <w:bottom w:val="single" w:sz="8" w:color="auto"/>
            </w:tcBorders>
            <w:shd w:val="clear" w:color="auto" w:fill="CFF0FC"/>
          </w:tcPr>
          <w:p>
            <w:pPr>
              <w:spacing w:after="0"/>
              <w:rPr>
                <w:sz w:val="18"/>
                <w:szCs w:val="18"/>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5,385</w:t>
            </w:r>
          </w:p>
        </w:tc>
        <w:tc>
          <w:tcPr>
            <w:tcW w:w="120" w:type="dxa"/>
            <w:vAlign w:val="bottom"/>
            <w:tcBorders>
              <w:bottom w:val="single" w:sz="8" w:color="CFF0FC"/>
            </w:tcBorders>
            <w:shd w:val="clear" w:color="auto" w:fill="CFF0FC"/>
          </w:tcPr>
          <w:p>
            <w:pPr>
              <w:spacing w:after="0"/>
              <w:rPr>
                <w:sz w:val="18"/>
                <w:szCs w:val="18"/>
                <w:color w:val="auto"/>
              </w:rPr>
            </w:pPr>
          </w:p>
        </w:tc>
      </w:tr>
      <w:tr>
        <w:trPr>
          <w:trHeight w:val="210"/>
        </w:trPr>
        <w:tc>
          <w:tcPr>
            <w:tcW w:w="7640" w:type="dxa"/>
            <w:vAlign w:val="bottom"/>
          </w:tcPr>
          <w:p>
            <w:pPr>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100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18,949</w:t>
            </w:r>
          </w:p>
        </w:tc>
        <w:tc>
          <w:tcPr>
            <w:tcW w:w="280" w:type="dxa"/>
            <w:vAlign w:val="bottom"/>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38,678</w:t>
            </w:r>
          </w:p>
        </w:tc>
        <w:tc>
          <w:tcPr>
            <w:tcW w:w="120" w:type="dxa"/>
            <w:vAlign w:val="bottom"/>
          </w:tcPr>
          <w:p>
            <w:pPr>
              <w:spacing w:after="0"/>
              <w:rPr>
                <w:sz w:val="18"/>
                <w:szCs w:val="18"/>
                <w:color w:val="auto"/>
              </w:rPr>
            </w:pPr>
          </w:p>
        </w:tc>
      </w:tr>
      <w:tr>
        <w:trPr>
          <w:trHeight w:val="210"/>
        </w:trPr>
        <w:tc>
          <w:tcPr>
            <w:tcW w:w="76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 flows from investing activities:</w:t>
            </w:r>
          </w:p>
        </w:tc>
        <w:tc>
          <w:tcPr>
            <w:tcW w:w="100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16"/>
        </w:trPr>
        <w:tc>
          <w:tcPr>
            <w:tcW w:w="76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Acquisitions of businesses, net of cash acquired</w:t>
            </w:r>
          </w:p>
        </w:tc>
        <w:tc>
          <w:tcPr>
            <w:tcW w:w="1000" w:type="dxa"/>
            <w:vAlign w:val="bottom"/>
          </w:tcPr>
          <w:p>
            <w:pPr>
              <w:spacing w:after="0"/>
              <w:rPr>
                <w:sz w:val="18"/>
                <w:szCs w:val="18"/>
                <w:color w:val="auto"/>
              </w:rPr>
            </w:pP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(3,350)</w:t>
            </w:r>
          </w:p>
        </w:tc>
        <w:tc>
          <w:tcPr>
            <w:tcW w:w="560" w:type="dxa"/>
            <w:vAlign w:val="bottom"/>
          </w:tcPr>
          <w:p>
            <w:pPr>
              <w:spacing w:after="0"/>
              <w:rPr>
                <w:sz w:val="18"/>
                <w:szCs w:val="18"/>
                <w:color w:val="auto"/>
              </w:rPr>
            </w:pPr>
          </w:p>
        </w:tc>
        <w:tc>
          <w:tcPr>
            <w:tcW w:w="11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(400)</w:t>
            </w:r>
          </w:p>
        </w:tc>
      </w:tr>
      <w:tr>
        <w:trPr>
          <w:trHeight w:val="216"/>
        </w:trPr>
        <w:tc>
          <w:tcPr>
            <w:tcW w:w="76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Purchases of property and equipment</w:t>
            </w:r>
          </w:p>
        </w:tc>
        <w:tc>
          <w:tcPr>
            <w:tcW w:w="1000" w:type="dxa"/>
            <w:vAlign w:val="bottom"/>
            <w:shd w:val="clear" w:color="auto" w:fill="CFF0FC"/>
          </w:tcPr>
          <w:p>
            <w:pPr>
              <w:spacing w:after="0"/>
              <w:rPr>
                <w:sz w:val="18"/>
                <w:szCs w:val="18"/>
                <w:color w:val="auto"/>
              </w:rPr>
            </w:pPr>
          </w:p>
        </w:tc>
        <w:tc>
          <w:tcPr>
            <w:tcW w:w="9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(1,883)</w:t>
            </w:r>
          </w:p>
        </w:tc>
        <w:tc>
          <w:tcPr>
            <w:tcW w:w="56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(1,350)</w:t>
            </w:r>
          </w:p>
        </w:tc>
      </w:tr>
      <w:tr>
        <w:trPr>
          <w:trHeight w:val="216"/>
        </w:trPr>
        <w:tc>
          <w:tcPr>
            <w:tcW w:w="76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Proceeds received from disposal of assets</w:t>
            </w:r>
          </w:p>
        </w:tc>
        <w:tc>
          <w:tcPr>
            <w:tcW w:w="10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2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640" w:type="dxa"/>
            <w:vAlign w:val="bottom"/>
            <w:tcBorders>
              <w:bottom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Proceeds received from divestiture of business</w:t>
            </w:r>
          </w:p>
        </w:tc>
        <w:tc>
          <w:tcPr>
            <w:tcW w:w="1000" w:type="dxa"/>
            <w:vAlign w:val="bottom"/>
            <w:tcBorders>
              <w:bottom w:val="single" w:sz="8" w:color="auto"/>
            </w:tcBorders>
            <w:shd w:val="clear" w:color="auto" w:fill="CFF0FC"/>
          </w:tcPr>
          <w:p>
            <w:pPr>
              <w:spacing w:after="0"/>
              <w:rPr>
                <w:sz w:val="18"/>
                <w:szCs w:val="18"/>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3,848</w:t>
            </w:r>
          </w:p>
        </w:tc>
        <w:tc>
          <w:tcPr>
            <w:tcW w:w="280" w:type="dxa"/>
            <w:vAlign w:val="bottom"/>
            <w:tcBorders>
              <w:bottom w:val="single" w:sz="8" w:color="CFF0FC"/>
            </w:tcBorders>
            <w:shd w:val="clear" w:color="auto" w:fill="CFF0FC"/>
          </w:tcPr>
          <w:p>
            <w:pPr>
              <w:spacing w:after="0"/>
              <w:rPr>
                <w:sz w:val="18"/>
                <w:szCs w:val="18"/>
                <w:color w:val="auto"/>
              </w:rPr>
            </w:pPr>
          </w:p>
        </w:tc>
        <w:tc>
          <w:tcPr>
            <w:tcW w:w="560" w:type="dxa"/>
            <w:vAlign w:val="bottom"/>
            <w:tcBorders>
              <w:bottom w:val="single" w:sz="8" w:color="auto"/>
            </w:tcBorders>
            <w:shd w:val="clear" w:color="auto" w:fill="CFF0FC"/>
          </w:tcPr>
          <w:p>
            <w:pPr>
              <w:spacing w:after="0"/>
              <w:rPr>
                <w:sz w:val="18"/>
                <w:szCs w:val="18"/>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FF0FC"/>
            </w:tcBorders>
            <w:shd w:val="clear" w:color="auto" w:fill="CFF0FC"/>
          </w:tcPr>
          <w:p>
            <w:pPr>
              <w:spacing w:after="0"/>
              <w:rPr>
                <w:sz w:val="18"/>
                <w:szCs w:val="18"/>
                <w:color w:val="auto"/>
              </w:rPr>
            </w:pPr>
          </w:p>
        </w:tc>
      </w:tr>
      <w:tr>
        <w:trPr>
          <w:trHeight w:val="210"/>
        </w:trPr>
        <w:tc>
          <w:tcPr>
            <w:tcW w:w="7640" w:type="dxa"/>
            <w:vAlign w:val="bottom"/>
          </w:tcPr>
          <w:p>
            <w:pPr>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1000" w:type="dxa"/>
            <w:vAlign w:val="bottom"/>
          </w:tcPr>
          <w:p>
            <w:pPr>
              <w:spacing w:after="0"/>
              <w:rPr>
                <w:sz w:val="18"/>
                <w:szCs w:val="18"/>
                <w:color w:val="auto"/>
              </w:rPr>
            </w:pP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(1,378)</w:t>
            </w:r>
          </w:p>
        </w:tc>
        <w:tc>
          <w:tcPr>
            <w:tcW w:w="560" w:type="dxa"/>
            <w:vAlign w:val="bottom"/>
          </w:tcPr>
          <w:p>
            <w:pPr>
              <w:spacing w:after="0"/>
              <w:rPr>
                <w:sz w:val="18"/>
                <w:szCs w:val="18"/>
                <w:color w:val="auto"/>
              </w:rPr>
            </w:pPr>
          </w:p>
        </w:tc>
        <w:tc>
          <w:tcPr>
            <w:tcW w:w="11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(1,750)</w:t>
            </w:r>
          </w:p>
        </w:tc>
      </w:tr>
      <w:tr>
        <w:trPr>
          <w:trHeight w:val="209"/>
        </w:trPr>
        <w:tc>
          <w:tcPr>
            <w:tcW w:w="76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 flows from financing activities:</w:t>
            </w:r>
          </w:p>
        </w:tc>
        <w:tc>
          <w:tcPr>
            <w:tcW w:w="1000" w:type="dxa"/>
            <w:vAlign w:val="bottom"/>
            <w:tcBorders>
              <w:top w:val="single" w:sz="8" w:color="auto"/>
            </w:tcBorders>
            <w:shd w:val="clear" w:color="auto" w:fill="CFF0FC"/>
          </w:tcPr>
          <w:p>
            <w:pPr>
              <w:spacing w:after="0"/>
              <w:rPr>
                <w:sz w:val="18"/>
                <w:szCs w:val="18"/>
                <w:color w:val="auto"/>
              </w:rPr>
            </w:pPr>
          </w:p>
        </w:tc>
        <w:tc>
          <w:tcPr>
            <w:tcW w:w="640" w:type="dxa"/>
            <w:vAlign w:val="bottom"/>
            <w:tcBorders>
              <w:top w:val="single" w:sz="8" w:color="auto"/>
            </w:tcBorders>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560" w:type="dxa"/>
            <w:vAlign w:val="bottom"/>
            <w:tcBorders>
              <w:top w:val="single" w:sz="8" w:color="auto"/>
            </w:tcBorders>
            <w:shd w:val="clear" w:color="auto" w:fill="CFF0FC"/>
          </w:tcPr>
          <w:p>
            <w:pPr>
              <w:spacing w:after="0"/>
              <w:rPr>
                <w:sz w:val="18"/>
                <w:szCs w:val="18"/>
                <w:color w:val="auto"/>
              </w:rPr>
            </w:pPr>
          </w:p>
        </w:tc>
        <w:tc>
          <w:tcPr>
            <w:tcW w:w="1000" w:type="dxa"/>
            <w:vAlign w:val="bottom"/>
            <w:tcBorders>
              <w:top w:val="single" w:sz="8" w:color="auto"/>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16"/>
        </w:trPr>
        <w:tc>
          <w:tcPr>
            <w:tcW w:w="76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Payments on revolver — credit facility</w:t>
            </w:r>
          </w:p>
        </w:tc>
        <w:tc>
          <w:tcPr>
            <w:tcW w:w="1000" w:type="dxa"/>
            <w:vAlign w:val="bottom"/>
          </w:tcPr>
          <w:p>
            <w:pPr>
              <w:spacing w:after="0"/>
              <w:rPr>
                <w:sz w:val="18"/>
                <w:szCs w:val="18"/>
                <w:color w:val="auto"/>
              </w:rPr>
            </w:pP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(20,000)</w:t>
            </w:r>
          </w:p>
        </w:tc>
        <w:tc>
          <w:tcPr>
            <w:tcW w:w="560" w:type="dxa"/>
            <w:vAlign w:val="bottom"/>
          </w:tcPr>
          <w:p>
            <w:pPr>
              <w:spacing w:after="0"/>
              <w:rPr>
                <w:sz w:val="18"/>
                <w:szCs w:val="18"/>
                <w:color w:val="auto"/>
              </w:rPr>
            </w:pPr>
          </w:p>
        </w:tc>
        <w:tc>
          <w:tcPr>
            <w:tcW w:w="11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(25,000)</w:t>
            </w:r>
          </w:p>
        </w:tc>
      </w:tr>
      <w:tr>
        <w:trPr>
          <w:trHeight w:val="216"/>
        </w:trPr>
        <w:tc>
          <w:tcPr>
            <w:tcW w:w="76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Payments for debt issuance costs under the credit facility</w:t>
            </w:r>
          </w:p>
        </w:tc>
        <w:tc>
          <w:tcPr>
            <w:tcW w:w="1000" w:type="dxa"/>
            <w:vAlign w:val="bottom"/>
            <w:shd w:val="clear" w:color="auto" w:fill="CFF0FC"/>
          </w:tcPr>
          <w:p>
            <w:pPr>
              <w:spacing w:after="0"/>
              <w:rPr>
                <w:sz w:val="18"/>
                <w:szCs w:val="18"/>
                <w:color w:val="auto"/>
              </w:rPr>
            </w:pPr>
          </w:p>
        </w:tc>
        <w:tc>
          <w:tcPr>
            <w:tcW w:w="9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(21)</w:t>
            </w:r>
          </w:p>
        </w:tc>
        <w:tc>
          <w:tcPr>
            <w:tcW w:w="56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6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Cash received from exercise of stock options</w:t>
            </w:r>
          </w:p>
        </w:tc>
        <w:tc>
          <w:tcPr>
            <w:tcW w:w="100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493</w:t>
            </w:r>
          </w:p>
        </w:tc>
        <w:tc>
          <w:tcPr>
            <w:tcW w:w="280" w:type="dxa"/>
            <w:vAlign w:val="bottom"/>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r>
      <w:tr>
        <w:trPr>
          <w:trHeight w:val="209"/>
        </w:trPr>
        <w:tc>
          <w:tcPr>
            <w:tcW w:w="76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1000" w:type="dxa"/>
            <w:vAlign w:val="bottom"/>
            <w:shd w:val="clear" w:color="auto" w:fill="CFF0FC"/>
          </w:tcPr>
          <w:p>
            <w:pPr>
              <w:spacing w:after="0"/>
              <w:rPr>
                <w:sz w:val="18"/>
                <w:szCs w:val="18"/>
                <w:color w:val="auto"/>
              </w:rPr>
            </w:pPr>
          </w:p>
        </w:tc>
        <w:tc>
          <w:tcPr>
            <w:tcW w:w="9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(19,528)</w:t>
            </w:r>
          </w:p>
        </w:tc>
        <w:tc>
          <w:tcPr>
            <w:tcW w:w="56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(25,000)</w:t>
            </w:r>
          </w:p>
        </w:tc>
      </w:tr>
      <w:tr>
        <w:trPr>
          <w:trHeight w:val="20"/>
        </w:trPr>
        <w:tc>
          <w:tcPr>
            <w:tcW w:w="7640" w:type="dxa"/>
            <w:vAlign w:val="bottom"/>
            <w:shd w:val="clear" w:color="auto" w:fill="CFF0FC"/>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r>
      <w:tr>
        <w:trPr>
          <w:trHeight w:val="210"/>
        </w:trPr>
        <w:tc>
          <w:tcPr>
            <w:tcW w:w="7640" w:type="dxa"/>
            <w:vAlign w:val="bottom"/>
          </w:tcPr>
          <w:p>
            <w:pPr>
              <w:spacing w:after="0"/>
              <w:rPr>
                <w:sz w:val="20"/>
                <w:szCs w:val="20"/>
                <w:color w:val="auto"/>
              </w:rPr>
            </w:pPr>
            <w:r>
              <w:rPr>
                <w:rFonts w:ascii="Times New Roman" w:cs="Times New Roman" w:eastAsia="Times New Roman" w:hAnsi="Times New Roman"/>
                <w:sz w:val="18"/>
                <w:szCs w:val="18"/>
                <w:color w:val="auto"/>
              </w:rPr>
              <w:t>Net change in cash</w:t>
            </w:r>
          </w:p>
        </w:tc>
        <w:tc>
          <w:tcPr>
            <w:tcW w:w="1000" w:type="dxa"/>
            <w:vAlign w:val="bottom"/>
          </w:tcPr>
          <w:p>
            <w:pPr>
              <w:spacing w:after="0"/>
              <w:rPr>
                <w:sz w:val="18"/>
                <w:szCs w:val="18"/>
                <w:color w:val="auto"/>
              </w:rPr>
            </w:pP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(1,957)</w:t>
            </w:r>
          </w:p>
        </w:tc>
        <w:tc>
          <w:tcPr>
            <w:tcW w:w="5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11,928</w:t>
            </w:r>
          </w:p>
        </w:tc>
        <w:tc>
          <w:tcPr>
            <w:tcW w:w="120" w:type="dxa"/>
            <w:vAlign w:val="bottom"/>
          </w:tcPr>
          <w:p>
            <w:pPr>
              <w:spacing w:after="0"/>
              <w:rPr>
                <w:sz w:val="18"/>
                <w:szCs w:val="18"/>
                <w:color w:val="auto"/>
              </w:rPr>
            </w:pPr>
          </w:p>
        </w:tc>
      </w:tr>
      <w:tr>
        <w:trPr>
          <w:trHeight w:val="216"/>
        </w:trPr>
        <w:tc>
          <w:tcPr>
            <w:tcW w:w="76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 at beginning of period</w:t>
            </w:r>
          </w:p>
        </w:tc>
        <w:tc>
          <w:tcPr>
            <w:tcW w:w="1000" w:type="dxa"/>
            <w:vAlign w:val="bottom"/>
            <w:tcBorders>
              <w:bottom w:val="single" w:sz="8" w:color="auto"/>
            </w:tcBorders>
            <w:shd w:val="clear" w:color="auto" w:fill="CFF0FC"/>
          </w:tcPr>
          <w:p>
            <w:pPr>
              <w:spacing w:after="0"/>
              <w:rPr>
                <w:sz w:val="18"/>
                <w:szCs w:val="18"/>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98,911</w:t>
            </w:r>
          </w:p>
        </w:tc>
        <w:tc>
          <w:tcPr>
            <w:tcW w:w="280" w:type="dxa"/>
            <w:vAlign w:val="bottom"/>
            <w:tcBorders>
              <w:bottom w:val="single" w:sz="8" w:color="CFF0FC"/>
            </w:tcBorders>
            <w:shd w:val="clear" w:color="auto" w:fill="CFF0FC"/>
          </w:tcPr>
          <w:p>
            <w:pPr>
              <w:spacing w:after="0"/>
              <w:rPr>
                <w:sz w:val="18"/>
                <w:szCs w:val="18"/>
                <w:color w:val="auto"/>
              </w:rPr>
            </w:pPr>
          </w:p>
        </w:tc>
        <w:tc>
          <w:tcPr>
            <w:tcW w:w="560" w:type="dxa"/>
            <w:vAlign w:val="bottom"/>
            <w:tcBorders>
              <w:bottom w:val="single" w:sz="8" w:color="auto"/>
            </w:tcBorders>
            <w:shd w:val="clear" w:color="auto" w:fill="CFF0FC"/>
          </w:tcPr>
          <w:p>
            <w:pPr>
              <w:spacing w:after="0"/>
              <w:rPr>
                <w:sz w:val="18"/>
                <w:szCs w:val="18"/>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64,791</w:t>
            </w:r>
          </w:p>
        </w:tc>
        <w:tc>
          <w:tcPr>
            <w:tcW w:w="120" w:type="dxa"/>
            <w:vAlign w:val="bottom"/>
            <w:tcBorders>
              <w:bottom w:val="single" w:sz="8" w:color="CFF0FC"/>
            </w:tcBorders>
            <w:shd w:val="clear" w:color="auto" w:fill="CFF0FC"/>
          </w:tcPr>
          <w:p>
            <w:pPr>
              <w:spacing w:after="0"/>
              <w:rPr>
                <w:sz w:val="18"/>
                <w:szCs w:val="18"/>
                <w:color w:val="auto"/>
              </w:rPr>
            </w:pPr>
          </w:p>
        </w:tc>
      </w:tr>
      <w:tr>
        <w:trPr>
          <w:trHeight w:val="210"/>
        </w:trPr>
        <w:tc>
          <w:tcPr>
            <w:tcW w:w="7640" w:type="dxa"/>
            <w:vAlign w:val="bottom"/>
          </w:tcPr>
          <w:p>
            <w:pPr>
              <w:spacing w:after="0"/>
              <w:rPr>
                <w:sz w:val="20"/>
                <w:szCs w:val="20"/>
                <w:color w:val="auto"/>
              </w:rPr>
            </w:pPr>
            <w:r>
              <w:rPr>
                <w:rFonts w:ascii="Times New Roman" w:cs="Times New Roman" w:eastAsia="Times New Roman" w:hAnsi="Times New Roman"/>
                <w:sz w:val="18"/>
                <w:szCs w:val="18"/>
                <w:color w:val="auto"/>
              </w:rPr>
              <w:t>Cash, at end of period</w:t>
            </w:r>
          </w:p>
        </w:tc>
        <w:tc>
          <w:tcPr>
            <w:tcW w:w="1000" w:type="dxa"/>
            <w:vAlign w:val="bottom"/>
            <w:tcBorders>
              <w:bottom w:val="single" w:sz="8" w:color="auto"/>
            </w:tcBorders>
          </w:tcPr>
          <w:p>
            <w:pPr>
              <w:jc w:val="right"/>
              <w:ind w:right="815"/>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96,954</w:t>
            </w:r>
          </w:p>
        </w:tc>
        <w:tc>
          <w:tcPr>
            <w:tcW w:w="280" w:type="dxa"/>
            <w:vAlign w:val="bottom"/>
          </w:tcPr>
          <w:p>
            <w:pPr>
              <w:spacing w:after="0"/>
              <w:rPr>
                <w:sz w:val="18"/>
                <w:szCs w:val="18"/>
                <w:color w:val="auto"/>
              </w:rPr>
            </w:pPr>
          </w:p>
        </w:tc>
        <w:tc>
          <w:tcPr>
            <w:tcW w:w="56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76,719</w:t>
            </w:r>
          </w:p>
        </w:tc>
        <w:tc>
          <w:tcPr>
            <w:tcW w:w="120" w:type="dxa"/>
            <w:vAlign w:val="bottom"/>
          </w:tcPr>
          <w:p>
            <w:pPr>
              <w:spacing w:after="0"/>
              <w:rPr>
                <w:sz w:val="18"/>
                <w:szCs w:val="18"/>
                <w:color w:val="auto"/>
              </w:rPr>
            </w:pPr>
          </w:p>
        </w:tc>
      </w:tr>
      <w:tr>
        <w:trPr>
          <w:trHeight w:val="20"/>
        </w:trPr>
        <w:tc>
          <w:tcPr>
            <w:tcW w:w="764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97"/>
        </w:trPr>
        <w:tc>
          <w:tcPr>
            <w:tcW w:w="7640" w:type="dxa"/>
            <w:vAlign w:val="bottom"/>
            <w:shd w:val="clear" w:color="auto" w:fill="CFF0FC"/>
          </w:tcPr>
          <w:p>
            <w:pPr>
              <w:spacing w:after="0" w:line="196" w:lineRule="exact"/>
              <w:rPr>
                <w:sz w:val="20"/>
                <w:szCs w:val="20"/>
                <w:color w:val="auto"/>
              </w:rPr>
            </w:pPr>
            <w:r>
              <w:rPr>
                <w:rFonts w:ascii="Times New Roman" w:cs="Times New Roman" w:eastAsia="Times New Roman" w:hAnsi="Times New Roman"/>
                <w:sz w:val="18"/>
                <w:szCs w:val="18"/>
                <w:color w:val="auto"/>
              </w:rPr>
              <w:t>Supplemental disclosures of cash flow information:</w:t>
            </w:r>
          </w:p>
        </w:tc>
        <w:tc>
          <w:tcPr>
            <w:tcW w:w="1000" w:type="dxa"/>
            <w:vAlign w:val="bottom"/>
            <w:shd w:val="clear" w:color="auto" w:fill="CFF0FC"/>
          </w:tcPr>
          <w:p>
            <w:pPr>
              <w:spacing w:after="0"/>
              <w:rPr>
                <w:sz w:val="17"/>
                <w:szCs w:val="17"/>
                <w:color w:val="auto"/>
              </w:rPr>
            </w:pPr>
          </w:p>
        </w:tc>
        <w:tc>
          <w:tcPr>
            <w:tcW w:w="64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56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r>
      <w:tr>
        <w:trPr>
          <w:trHeight w:val="216"/>
        </w:trPr>
        <w:tc>
          <w:tcPr>
            <w:tcW w:w="76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Cash paid for interest</w:t>
            </w:r>
          </w:p>
        </w:tc>
        <w:tc>
          <w:tcPr>
            <w:tcW w:w="1000" w:type="dxa"/>
            <w:vAlign w:val="bottom"/>
          </w:tcPr>
          <w:p>
            <w:pPr>
              <w:jc w:val="right"/>
              <w:ind w:right="815"/>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3,743</w:t>
            </w:r>
          </w:p>
        </w:tc>
        <w:tc>
          <w:tcPr>
            <w:tcW w:w="280" w:type="dxa"/>
            <w:vAlign w:val="bottom"/>
          </w:tcPr>
          <w:p>
            <w:pPr>
              <w:spacing w:after="0"/>
              <w:rPr>
                <w:sz w:val="18"/>
                <w:szCs w:val="18"/>
                <w:color w:val="auto"/>
              </w:rPr>
            </w:pPr>
          </w:p>
        </w:tc>
        <w:tc>
          <w:tcPr>
            <w:tcW w:w="56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2,527</w:t>
            </w:r>
          </w:p>
        </w:tc>
        <w:tc>
          <w:tcPr>
            <w:tcW w:w="120" w:type="dxa"/>
            <w:vAlign w:val="bottom"/>
          </w:tcPr>
          <w:p>
            <w:pPr>
              <w:spacing w:after="0"/>
              <w:rPr>
                <w:sz w:val="18"/>
                <w:szCs w:val="18"/>
                <w:color w:val="auto"/>
              </w:rPr>
            </w:pPr>
          </w:p>
        </w:tc>
      </w:tr>
      <w:tr>
        <w:trPr>
          <w:trHeight w:val="216"/>
        </w:trPr>
        <w:tc>
          <w:tcPr>
            <w:tcW w:w="76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Cash paid (refunded) for income taxes</w:t>
            </w:r>
          </w:p>
        </w:tc>
        <w:tc>
          <w:tcPr>
            <w:tcW w:w="1000" w:type="dxa"/>
            <w:vAlign w:val="bottom"/>
            <w:shd w:val="clear" w:color="auto" w:fill="CFF0FC"/>
          </w:tcPr>
          <w:p>
            <w:pPr>
              <w:spacing w:after="0"/>
              <w:rPr>
                <w:sz w:val="18"/>
                <w:szCs w:val="18"/>
                <w:color w:val="auto"/>
              </w:rPr>
            </w:pPr>
          </w:p>
        </w:tc>
        <w:tc>
          <w:tcPr>
            <w:tcW w:w="9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(11)</w:t>
            </w:r>
          </w:p>
        </w:tc>
        <w:tc>
          <w:tcPr>
            <w:tcW w:w="56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20" w:type="dxa"/>
            <w:vAlign w:val="bottom"/>
            <w:shd w:val="clear" w:color="auto" w:fill="CFF0FC"/>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5894070</wp:posOffset>
            </wp:positionH>
            <wp:positionV relativeFrom="paragraph">
              <wp:posOffset>-2553970</wp:posOffset>
            </wp:positionV>
            <wp:extent cx="6858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-2553970</wp:posOffset>
            </wp:positionV>
            <wp:extent cx="7747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-1713865</wp:posOffset>
            </wp:positionV>
            <wp:extent cx="6858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-1713865</wp:posOffset>
            </wp:positionV>
            <wp:extent cx="7747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-864870</wp:posOffset>
            </wp:positionV>
            <wp:extent cx="6858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-864870</wp:posOffset>
            </wp:positionV>
            <wp:extent cx="7747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-582295</wp:posOffset>
            </wp:positionV>
            <wp:extent cx="6858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-582295</wp:posOffset>
            </wp:positionV>
            <wp:extent cx="7747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7470" cy="8890"/>
                    </a:xfrm>
                    <a:prstGeom prst="rect">
                      <a:avLst/>
                    </a:prstGeom>
                    <a:noFill/>
                  </pic:spPr>
                </pic:pic>
              </a:graphicData>
            </a:graphic>
          </wp:anchor>
        </w:drawing>
      </w:r>
    </w:p>
    <w:p>
      <w:pPr>
        <w:spacing w:after="0" w:line="1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Condensed Consolidated Financial Statements (Unaudited)</w:t>
      </w: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487680</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u w:val="single" w:color="auto"/>
          <w:color w:val="0563C1"/>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-5080</wp:posOffset>
            </wp:positionV>
            <wp:extent cx="869315"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869315" cy="8255"/>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ADDUS HOMECARE CORPORATION</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AND SUBSIDIARIES</w:t>
      </w:r>
    </w:p>
    <w:p>
      <w:pPr>
        <w:spacing w:after="0" w:line="14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Nature of Operations, Consolidation, and Presentation of Financial Statements</w:t>
      </w:r>
    </w:p>
    <w:p>
      <w:pPr>
        <w:spacing w:after="0" w:line="121"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Addus HomeCare Corporation (“Holdings”) and its subsidiaries (together with Holdings, the “Company”, “we”, “us”, or “our”) operate as a multi-state provider of three distinct but related business segments providing in-home services. In its personal care segment, the Company provides non-medical assistance with activities of daily living, primarily to persons who are at increased risk of hospitalization or institutionalization, such as the elderly, chronically ill, or disabled. In its hospice segment, the Company provides physical, emotional, and spiritual care for people who are terminally ill as well as related services for their families. In its home health segment, the Company provides services that are primarily medical in nature to individuals who may require assistance during an illness or after hospitalization and include skilled nursing and physical, occupational, and speech therapy. The Company’s payors include federal, state, and local governmental agencies, managed care organizations, commercial insurers, and private individuals.</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w:t>
      </w:r>
    </w:p>
    <w:p>
      <w:pPr>
        <w:spacing w:after="0" w:line="121" w:lineRule="exact"/>
        <w:rPr>
          <w:sz w:val="20"/>
          <w:szCs w:val="20"/>
          <w:color w:val="auto"/>
        </w:rPr>
      </w:pPr>
    </w:p>
    <w:p>
      <w:pPr>
        <w:ind w:right="80" w:firstLine="509"/>
        <w:spacing w:after="0" w:line="255" w:lineRule="auto"/>
        <w:rPr>
          <w:sz w:val="20"/>
          <w:szCs w:val="20"/>
          <w:color w:val="auto"/>
        </w:rPr>
      </w:pPr>
      <w:r>
        <w:rPr>
          <w:rFonts w:ascii="Times New Roman" w:cs="Times New Roman" w:eastAsia="Times New Roman" w:hAnsi="Times New Roman"/>
          <w:sz w:val="18"/>
          <w:szCs w:val="18"/>
          <w:color w:val="auto"/>
        </w:rPr>
        <w:t>The accompanying Unaudited Condensed Consolidated Financial Statements and related notes have been prepared in accordance with the rules and regulations of the U.S. Securities and Exchange Commission (“SEC”) for Quarterly Reports on Form 10-Q. The accompanying balance sheet as of December 31, 2024 has been derived from the Company’s audited financial statements for the year ended December 31, 2024 previously filed with the SEC. Accordingly, these financial statements do not include all of the information and note disclosures required by accounting principles generally accepted in the United States of America (“GAAP”) for annual financial statements and should be read in conjunction with our consolidated financial statements and notes thereto for the year ended December 31, 2024 included in our Annual Report on Form 10-K, which includes information and disclosures not included herein.</w:t>
      </w:r>
    </w:p>
    <w:p>
      <w:pPr>
        <w:spacing w:after="0" w:line="189" w:lineRule="exact"/>
        <w:rPr>
          <w:sz w:val="20"/>
          <w:szCs w:val="20"/>
          <w:color w:val="auto"/>
        </w:rPr>
      </w:pPr>
    </w:p>
    <w:p>
      <w:pPr>
        <w:jc w:val="both"/>
        <w:ind w:right="80" w:firstLine="509"/>
        <w:spacing w:after="0" w:line="266" w:lineRule="auto"/>
        <w:rPr>
          <w:sz w:val="20"/>
          <w:szCs w:val="20"/>
          <w:color w:val="auto"/>
        </w:rPr>
      </w:pPr>
      <w:r>
        <w:rPr>
          <w:rFonts w:ascii="Times New Roman" w:cs="Times New Roman" w:eastAsia="Times New Roman" w:hAnsi="Times New Roman"/>
          <w:sz w:val="18"/>
          <w:szCs w:val="18"/>
          <w:color w:val="auto"/>
        </w:rPr>
        <w:t>In the opinion of management, these financial statements reflect all adjustments of a normal, recurring nature necessary for the fair statement of our financial position, results of operations, and cash flows for the interim periods presented in conformity with GAAP. Our results for any interim period are not necessarily indicative of results for a full year or any other interim period.</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Principles of Consolidation</w:t>
      </w:r>
    </w:p>
    <w:p>
      <w:pPr>
        <w:spacing w:after="0" w:line="121" w:lineRule="exact"/>
        <w:rPr>
          <w:sz w:val="20"/>
          <w:szCs w:val="20"/>
          <w:color w:val="auto"/>
        </w:rPr>
      </w:pPr>
    </w:p>
    <w:p>
      <w:pPr>
        <w:ind w:right="400" w:firstLine="509"/>
        <w:spacing w:after="0" w:line="282" w:lineRule="auto"/>
        <w:rPr>
          <w:sz w:val="20"/>
          <w:szCs w:val="20"/>
          <w:color w:val="auto"/>
        </w:rPr>
      </w:pPr>
      <w:r>
        <w:rPr>
          <w:rFonts w:ascii="Times New Roman" w:cs="Times New Roman" w:eastAsia="Times New Roman" w:hAnsi="Times New Roman"/>
          <w:sz w:val="18"/>
          <w:szCs w:val="18"/>
          <w:color w:val="auto"/>
        </w:rPr>
        <w:t>These Unaudited Condensed Consolidated Financial Statements include the accounts of Addus HomeCare Corporation and its subsidiaries. All intercompany balances and transactions have been eliminated in consolidation.</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Summary of Significant Accounting Policies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Estimates</w:t>
      </w:r>
    </w:p>
    <w:p>
      <w:pPr>
        <w:spacing w:after="0" w:line="121" w:lineRule="exact"/>
        <w:rPr>
          <w:sz w:val="20"/>
          <w:szCs w:val="20"/>
          <w:color w:val="auto"/>
        </w:rPr>
      </w:pPr>
    </w:p>
    <w:p>
      <w:pPr>
        <w:jc w:val="both"/>
        <w:ind w:right="160" w:firstLine="509"/>
        <w:spacing w:after="0" w:line="266" w:lineRule="auto"/>
        <w:rPr>
          <w:sz w:val="20"/>
          <w:szCs w:val="20"/>
          <w:color w:val="auto"/>
        </w:rPr>
      </w:pPr>
      <w:r>
        <w:rPr>
          <w:rFonts w:ascii="Times New Roman" w:cs="Times New Roman" w:eastAsia="Times New Roman" w:hAnsi="Times New Roman"/>
          <w:sz w:val="18"/>
          <w:szCs w:val="18"/>
          <w:color w:val="auto"/>
        </w:rPr>
        <w:t>The financial statements are prepared by management in conformity with GAAP and include estimated amounts and certain disclosures based on assumptions about future events. The Company’s critical accounting estimates include the following areas: revenue recognition, goodwill and intangibles and business combinations, and when required, the quantitative assessment of goodwill. Actual results could differ from those estimates.</w:t>
      </w:r>
    </w:p>
    <w:p>
      <w:pPr>
        <w:spacing w:after="0" w:line="18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487680</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65" w:right="35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u w:val="single" w:color="auto"/>
          <w:color w:val="0563C1"/>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-5080</wp:posOffset>
            </wp:positionV>
            <wp:extent cx="869315"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869315" cy="8255"/>
                    </a:xfrm>
                    <a:prstGeom prst="rect">
                      <a:avLst/>
                    </a:prstGeom>
                    <a:noFill/>
                  </pic:spPr>
                </pic:pic>
              </a:graphicData>
            </a:graphic>
          </wp:anchor>
        </w:drawing>
      </w: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Computation of Weighted Average Shares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sets forth the computation of basic and diluted common shares:</w:t>
      </w:r>
    </w:p>
    <w:p>
      <w:pPr>
        <w:spacing w:after="0" w:line="178" w:lineRule="exact"/>
        <w:rPr>
          <w:sz w:val="20"/>
          <w:szCs w:val="20"/>
          <w:color w:val="auto"/>
        </w:rPr>
      </w:pPr>
    </w:p>
    <w:p>
      <w:pPr>
        <w:jc w:val="center"/>
        <w:ind w:left="7380"/>
        <w:spacing w:after="0"/>
        <w:rPr>
          <w:sz w:val="20"/>
          <w:szCs w:val="20"/>
          <w:color w:val="auto"/>
        </w:rPr>
      </w:pPr>
      <w:r>
        <w:rPr>
          <w:rFonts w:ascii="Times New Roman" w:cs="Times New Roman" w:eastAsia="Times New Roman" w:hAnsi="Times New Roman"/>
          <w:sz w:val="14"/>
          <w:szCs w:val="14"/>
          <w:b w:val="1"/>
          <w:bCs w:val="1"/>
          <w:color w:val="auto"/>
        </w:rPr>
        <w:t>For the Three Months Ended March 31,</w:t>
      </w:r>
    </w:p>
    <w:p>
      <w:pPr>
        <w:jc w:val="center"/>
        <w:ind w:left="7380"/>
        <w:spacing w:after="0"/>
        <w:rPr>
          <w:sz w:val="20"/>
          <w:szCs w:val="20"/>
          <w:color w:val="auto"/>
        </w:rPr>
      </w:pPr>
      <w:r>
        <w:rPr>
          <w:rFonts w:ascii="Times New Roman" w:cs="Times New Roman" w:eastAsia="Times New Roman" w:hAnsi="Times New Roman"/>
          <w:sz w:val="14"/>
          <w:szCs w:val="14"/>
          <w:b w:val="1"/>
          <w:bCs w:val="1"/>
          <w:color w:val="auto"/>
        </w:rPr>
        <w:t>(Amounts in thousands)</w:t>
      </w:r>
    </w:p>
    <w:tbl>
      <w:tblPr>
        <w:tblLayout w:type="fixed"/>
        <w:tblInd w:w="0" w:type="dxa"/>
        <w:tblCellMar>
          <w:top w:w="0" w:type="dxa"/>
          <w:left w:w="0" w:type="dxa"/>
          <w:bottom w:w="0" w:type="dxa"/>
          <w:right w:w="0" w:type="dxa"/>
        </w:tblCellMar>
      </w:tblPr>
      <w:tr>
        <w:trPr>
          <w:trHeight w:val="142"/>
        </w:trPr>
        <w:tc>
          <w:tcPr>
            <w:tcW w:w="7520" w:type="dxa"/>
            <w:vAlign w:val="bottom"/>
          </w:tcPr>
          <w:p>
            <w:pPr>
              <w:spacing w:after="0"/>
              <w:rPr>
                <w:sz w:val="12"/>
                <w:szCs w:val="12"/>
                <w:color w:val="auto"/>
              </w:rPr>
            </w:pPr>
          </w:p>
        </w:tc>
        <w:tc>
          <w:tcPr>
            <w:tcW w:w="1100" w:type="dxa"/>
            <w:vAlign w:val="bottom"/>
            <w:tcBorders>
              <w:top w:val="single" w:sz="8" w:color="auto"/>
              <w:bottom w:val="single" w:sz="8" w:color="auto"/>
            </w:tcBorders>
          </w:tcPr>
          <w:p>
            <w:pPr>
              <w:jc w:val="right"/>
              <w:ind w:right="48"/>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600" w:type="dxa"/>
            <w:vAlign w:val="bottom"/>
            <w:tcBorders>
              <w:top w:val="single" w:sz="8" w:color="auto"/>
              <w:bottom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1700" w:type="dxa"/>
            <w:vAlign w:val="bottom"/>
            <w:tcBorders>
              <w:top w:val="single" w:sz="8" w:color="auto"/>
              <w:bottom w:val="single" w:sz="8" w:color="auto"/>
            </w:tcBorders>
          </w:tcPr>
          <w:p>
            <w:pPr>
              <w:jc w:val="right"/>
              <w:ind w:right="613"/>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2"/>
                <w:szCs w:val="12"/>
                <w:color w:val="auto"/>
              </w:rPr>
            </w:pPr>
          </w:p>
        </w:tc>
      </w:tr>
      <w:tr>
        <w:trPr>
          <w:trHeight w:val="210"/>
        </w:trPr>
        <w:tc>
          <w:tcPr>
            <w:tcW w:w="86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Weighted average number of shares outstanding for basic per share calculation</w:t>
            </w:r>
          </w:p>
        </w:tc>
        <w:tc>
          <w:tcPr>
            <w:tcW w:w="8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17,976</w:t>
            </w:r>
          </w:p>
        </w:tc>
        <w:tc>
          <w:tcPr>
            <w:tcW w:w="18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16,063</w:t>
            </w:r>
          </w:p>
        </w:tc>
      </w:tr>
      <w:tr>
        <w:trPr>
          <w:trHeight w:val="216"/>
        </w:trPr>
        <w:tc>
          <w:tcPr>
            <w:tcW w:w="8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Effect of dilutive potential shares:</w:t>
            </w: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20" w:type="dxa"/>
            <w:vAlign w:val="bottom"/>
            <w:gridSpan w:val="2"/>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Stock options</w:t>
            </w:r>
          </w:p>
        </w:tc>
        <w:tc>
          <w:tcPr>
            <w:tcW w:w="8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223</w:t>
            </w:r>
          </w:p>
        </w:tc>
        <w:tc>
          <w:tcPr>
            <w:tcW w:w="18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227</w:t>
            </w:r>
          </w:p>
        </w:tc>
      </w:tr>
      <w:tr>
        <w:trPr>
          <w:trHeight w:val="216"/>
        </w:trPr>
        <w:tc>
          <w:tcPr>
            <w:tcW w:w="75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Restricted stock awards</w:t>
            </w:r>
          </w:p>
        </w:tc>
        <w:tc>
          <w:tcPr>
            <w:tcW w:w="110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112</w:t>
            </w:r>
          </w:p>
        </w:tc>
        <w:tc>
          <w:tcPr>
            <w:tcW w:w="220" w:type="dxa"/>
            <w:vAlign w:val="bottom"/>
          </w:tcPr>
          <w:p>
            <w:pPr>
              <w:spacing w:after="0"/>
              <w:rPr>
                <w:sz w:val="18"/>
                <w:szCs w:val="18"/>
                <w:color w:val="auto"/>
              </w:rPr>
            </w:pP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100" w:type="dxa"/>
            <w:vAlign w:val="bottom"/>
          </w:tcPr>
          <w:p>
            <w:pPr>
              <w:spacing w:after="0"/>
              <w:rPr>
                <w:sz w:val="18"/>
                <w:szCs w:val="18"/>
                <w:color w:val="auto"/>
              </w:rPr>
            </w:pPr>
          </w:p>
        </w:tc>
      </w:tr>
      <w:tr>
        <w:trPr>
          <w:trHeight w:val="250"/>
        </w:trPr>
        <w:tc>
          <w:tcPr>
            <w:tcW w:w="75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Adjusted weighted average shares for diluted per share calculation</w:t>
            </w:r>
          </w:p>
        </w:tc>
        <w:tc>
          <w:tcPr>
            <w:tcW w:w="1100" w:type="dxa"/>
            <w:vAlign w:val="bottom"/>
            <w:tcBorders>
              <w:bottom w:val="single" w:sz="8" w:color="auto"/>
            </w:tcBorders>
            <w:shd w:val="clear" w:color="auto" w:fill="CFF0FC"/>
          </w:tcPr>
          <w:p>
            <w:pPr>
              <w:spacing w:after="0"/>
              <w:rPr>
                <w:sz w:val="21"/>
                <w:szCs w:val="21"/>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18,311</w:t>
            </w:r>
          </w:p>
        </w:tc>
        <w:tc>
          <w:tcPr>
            <w:tcW w:w="220" w:type="dxa"/>
            <w:vAlign w:val="bottom"/>
            <w:tcBorders>
              <w:bottom w:val="single" w:sz="8" w:color="CFF0FC"/>
            </w:tcBorders>
            <w:shd w:val="clear" w:color="auto" w:fill="CFF0FC"/>
          </w:tcPr>
          <w:p>
            <w:pPr>
              <w:spacing w:after="0"/>
              <w:rPr>
                <w:sz w:val="21"/>
                <w:szCs w:val="21"/>
                <w:color w:val="auto"/>
              </w:rPr>
            </w:pPr>
          </w:p>
        </w:tc>
        <w:tc>
          <w:tcPr>
            <w:tcW w:w="17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16,373</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197"/>
        </w:trPr>
        <w:tc>
          <w:tcPr>
            <w:tcW w:w="862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Anti-dilutive shares:</w:t>
            </w:r>
          </w:p>
        </w:tc>
        <w:tc>
          <w:tcPr>
            <w:tcW w:w="6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8620" w:type="dxa"/>
            <w:vAlign w:val="bottom"/>
            <w:gridSpan w:val="2"/>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Stock options</w:t>
            </w:r>
          </w:p>
        </w:tc>
        <w:tc>
          <w:tcPr>
            <w:tcW w:w="8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61</w:t>
            </w:r>
          </w:p>
        </w:tc>
      </w:tr>
      <w:tr>
        <w:trPr>
          <w:trHeight w:val="234"/>
        </w:trPr>
        <w:tc>
          <w:tcPr>
            <w:tcW w:w="86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Restricted stock awards</w:t>
            </w:r>
          </w:p>
        </w:tc>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5851525</wp:posOffset>
            </wp:positionH>
            <wp:positionV relativeFrom="paragraph">
              <wp:posOffset>-448310</wp:posOffset>
            </wp:positionV>
            <wp:extent cx="6858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5851525</wp:posOffset>
            </wp:positionH>
            <wp:positionV relativeFrom="paragraph">
              <wp:posOffset>-431165</wp:posOffset>
            </wp:positionV>
            <wp:extent cx="6858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-448310</wp:posOffset>
            </wp:positionV>
            <wp:extent cx="6858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-431165</wp:posOffset>
            </wp:positionV>
            <wp:extent cx="6858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Recently Adopted Accounting Pronouncements</w:t>
      </w:r>
    </w:p>
    <w:p>
      <w:pPr>
        <w:spacing w:after="0" w:line="227" w:lineRule="exact"/>
        <w:rPr>
          <w:sz w:val="20"/>
          <w:szCs w:val="20"/>
          <w:color w:val="auto"/>
        </w:rPr>
      </w:pPr>
    </w:p>
    <w:p>
      <w:pPr>
        <w:ind w:right="20" w:firstLine="509"/>
        <w:spacing w:after="0" w:line="255" w:lineRule="auto"/>
        <w:rPr>
          <w:sz w:val="20"/>
          <w:szCs w:val="20"/>
          <w:color w:val="auto"/>
        </w:rPr>
      </w:pPr>
      <w:r>
        <w:rPr>
          <w:rFonts w:ascii="Times New Roman" w:cs="Times New Roman" w:eastAsia="Times New Roman" w:hAnsi="Times New Roman"/>
          <w:sz w:val="18"/>
          <w:szCs w:val="18"/>
          <w:color w:val="auto"/>
        </w:rPr>
        <w:t xml:space="preserve">In November 2023, the Financial Accounting Standards Board (“FASB”) issued ASU 2023-07, </w:t>
      </w:r>
      <w:r>
        <w:rPr>
          <w:rFonts w:ascii="Times New Roman" w:cs="Times New Roman" w:eastAsia="Times New Roman" w:hAnsi="Times New Roman"/>
          <w:sz w:val="18"/>
          <w:szCs w:val="18"/>
          <w:i w:val="1"/>
          <w:iCs w:val="1"/>
          <w:color w:val="auto"/>
        </w:rPr>
        <w:t>Improvements to Reportable Segment Disclosures</w:t>
      </w:r>
      <w:r>
        <w:rPr>
          <w:rFonts w:ascii="Times New Roman" w:cs="Times New Roman" w:eastAsia="Times New Roman" w:hAnsi="Times New Roman"/>
          <w:sz w:val="18"/>
          <w:szCs w:val="18"/>
          <w:color w:val="auto"/>
        </w:rPr>
        <w:t>, which expands reportable segment disclosure requirements, primarily through enhanced disclosures about significant segment expenses. The amendments in the ASU require, among other things, disclosure of significant segment expenses that are regularly provided to an entity’s chief operating decision maker (“CODM”) and a description of other segment items (the difference between segment revenue less the segment expenses disclosed under the significant expense principle and each reported measure of segment profit or loss) by reportable segment, as well as disclosure of the title and position of the CODM, and an explanation of how the CODM uses the reported measure(s) of segment profit or loss in assessing segment performance and deciding how to allocate resources. The ASU was adopted in connection with the Company's most recent Annual Report on Form 10-K, which included significant segment expenses reviewed by the Company’s CODM, but did not have a material impact on the Company’s results of operations, financial position, or cash flows.</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Recently Issued Accounting Pronouncements</w:t>
      </w:r>
    </w:p>
    <w:p>
      <w:pPr>
        <w:spacing w:after="0" w:line="227" w:lineRule="exact"/>
        <w:rPr>
          <w:sz w:val="20"/>
          <w:szCs w:val="20"/>
          <w:color w:val="auto"/>
        </w:rPr>
      </w:pPr>
    </w:p>
    <w:p>
      <w:pPr>
        <w:ind w:right="180" w:firstLine="509"/>
        <w:spacing w:after="0" w:line="258" w:lineRule="auto"/>
        <w:rPr>
          <w:sz w:val="20"/>
          <w:szCs w:val="20"/>
          <w:color w:val="auto"/>
        </w:rPr>
      </w:pPr>
      <w:r>
        <w:rPr>
          <w:rFonts w:ascii="Times New Roman" w:cs="Times New Roman" w:eastAsia="Times New Roman" w:hAnsi="Times New Roman"/>
          <w:sz w:val="18"/>
          <w:szCs w:val="18"/>
          <w:color w:val="auto"/>
        </w:rPr>
        <w:t xml:space="preserve">In December 2023, the FASB issued ASU 2023-09, </w:t>
      </w:r>
      <w:r>
        <w:rPr>
          <w:rFonts w:ascii="Times New Roman" w:cs="Times New Roman" w:eastAsia="Times New Roman" w:hAnsi="Times New Roman"/>
          <w:sz w:val="18"/>
          <w:szCs w:val="18"/>
          <w:i w:val="1"/>
          <w:iCs w:val="1"/>
          <w:color w:val="auto"/>
        </w:rPr>
        <w:t>Improvement to Income Tax Disclosures</w:t>
      </w:r>
      <w:r>
        <w:rPr>
          <w:rFonts w:ascii="Times New Roman" w:cs="Times New Roman" w:eastAsia="Times New Roman" w:hAnsi="Times New Roman"/>
          <w:sz w:val="18"/>
          <w:szCs w:val="18"/>
          <w:color w:val="auto"/>
        </w:rPr>
        <w:t xml:space="preserve">, which requires disclosure of disaggregated income taxes paid, prescribes standard categories for the components of the effective tax rate reconciliation, and modifies other income tax-related disclosures. ASU 2023-09 is effective for fiscal years beginning after December 15, 2024, may be applied on a prospective basis with the option to apply the standard retrospectively, and allows for early adoption. </w:t>
      </w:r>
      <w:r>
        <w:rPr>
          <w:rFonts w:ascii="Times New Roman" w:cs="Times New Roman" w:eastAsia="Times New Roman" w:hAnsi="Times New Roman"/>
          <w:sz w:val="18"/>
          <w:szCs w:val="18"/>
          <w:color w:val="333333"/>
        </w:rPr>
        <w:t>These requirements are not expected to have a material impact on the Company’s financial statements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333333"/>
        </w:rPr>
        <w:t>will expand income tax disclosures.</w:t>
      </w:r>
    </w:p>
    <w:p>
      <w:pPr>
        <w:spacing w:after="0" w:line="183" w:lineRule="exact"/>
        <w:rPr>
          <w:sz w:val="20"/>
          <w:szCs w:val="20"/>
          <w:color w:val="auto"/>
        </w:rPr>
      </w:pPr>
    </w:p>
    <w:p>
      <w:pPr>
        <w:ind w:firstLine="509"/>
        <w:spacing w:after="0" w:line="257" w:lineRule="auto"/>
        <w:rPr>
          <w:sz w:val="20"/>
          <w:szCs w:val="20"/>
          <w:color w:val="auto"/>
        </w:rPr>
      </w:pPr>
      <w:r>
        <w:rPr>
          <w:rFonts w:ascii="Times New Roman" w:cs="Times New Roman" w:eastAsia="Times New Roman" w:hAnsi="Times New Roman"/>
          <w:sz w:val="18"/>
          <w:szCs w:val="18"/>
          <w:color w:val="auto"/>
        </w:rPr>
        <w:t xml:space="preserve">In November 2024, the FASB issued ASU 2024-03, </w:t>
      </w:r>
      <w:r>
        <w:rPr>
          <w:rFonts w:ascii="Times New Roman" w:cs="Times New Roman" w:eastAsia="Times New Roman" w:hAnsi="Times New Roman"/>
          <w:sz w:val="18"/>
          <w:szCs w:val="18"/>
          <w:i w:val="1"/>
          <w:iCs w:val="1"/>
          <w:color w:val="auto"/>
        </w:rPr>
        <w:t>Disaggregation of Income Statement Expenses</w:t>
      </w:r>
      <w:r>
        <w:rPr>
          <w:rFonts w:ascii="Times New Roman" w:cs="Times New Roman" w:eastAsia="Times New Roman" w:hAnsi="Times New Roman"/>
          <w:sz w:val="18"/>
          <w:szCs w:val="18"/>
          <w:color w:val="auto"/>
        </w:rPr>
        <w:t>, which intends to provide investors more detailed disclosures around specific types of expenses. The new disclosures require certain details for expenses presented on the face of the Consolidated Statements of Operations as well as selling expenses to be presented in the notes to the financial statements. ASU 2024-03 is effective for fiscal years beginning after December 15, 2026, and interim periods within fiscal years beginning after December 15, 2027, with early adoption permitted. The disclosure updates are required to be applied prospectively with the option for retrospective application. The Company is currently assessing the impact and timing of adopting the updated provisions.</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Divestiture</w:t>
      </w:r>
    </w:p>
    <w:p>
      <w:pPr>
        <w:spacing w:after="0" w:line="121" w:lineRule="exact"/>
        <w:rPr>
          <w:sz w:val="20"/>
          <w:szCs w:val="20"/>
          <w:color w:val="auto"/>
        </w:rPr>
      </w:pPr>
    </w:p>
    <w:p>
      <w:pPr>
        <w:ind w:right="40" w:firstLine="509"/>
        <w:spacing w:after="0" w:line="253" w:lineRule="auto"/>
        <w:rPr>
          <w:sz w:val="20"/>
          <w:szCs w:val="20"/>
          <w:color w:val="auto"/>
        </w:rPr>
      </w:pPr>
      <w:r>
        <w:rPr>
          <w:rFonts w:ascii="Times New Roman" w:cs="Times New Roman" w:eastAsia="Times New Roman" w:hAnsi="Times New Roman"/>
          <w:sz w:val="18"/>
          <w:szCs w:val="18"/>
          <w:color w:val="auto"/>
        </w:rPr>
        <w:t>Effective May 20, 2024, the Company entered into a definitive asset purchase agreement to sell all of the Company’s New York operations for a purchase price of up to $23.0 million in cash, subject to certain adjustments, including adjustments for future operating requirements (the “New York Asset Sale”). The purchase price included 50% cash consideration, paid out as an initial payment of $4.6 million and $6.9 million paid pro rata as a deferred payment as caregivers are transferred, and 50% in the form of contingent consideration for the Company’s CDPAP business. The Company entered into a consulting agreement with the purchaser effective May 20, 2024, as the transfer of clients and caregivers and payment for assets pursuant to the New York Asset Sale is occurring over time as regulatory approvals are received, coordination of the transfer of clients and caregivers occurs, and the change of control takes place. The Company determined that the consulting agreement gave it the ability to control the business until October 2024, when the Company determined that it no longer controlled the business as it transferred more than 50% of the clients and caregivers and therefore qualified for sale consideration of the New York Asset Sale. As a result, the Company deconsolidated the results of its New York operations and recorded a gain on divestiture of $3.7 million during the year ended December 31, 2024. The gain was reflected within general and administrative expenses on the consolidated statement of operations.</w:t>
      </w:r>
    </w:p>
    <w:p>
      <w:pPr>
        <w:sectPr>
          <w:pgSz w:w="11900" w:h="16838" w:orient="portrait"/>
          <w:cols w:equalWidth="0" w:num="1">
            <w:col w:w="11240"/>
          </w:cols>
          <w:pgMar w:left="320" w:top="765" w:right="339" w:bottom="1440" w:gutter="0" w:footer="0" w:header="0"/>
        </w:sectPr>
      </w:pPr>
    </w:p>
    <w:p>
      <w:pPr>
        <w:spacing w:after="0" w:line="1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487680</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type w:val="continuous"/>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u w:val="single" w:color="auto"/>
          <w:color w:val="0563C1"/>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-5080</wp:posOffset>
            </wp:positionV>
            <wp:extent cx="869315"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869315" cy="8255"/>
                    </a:xfrm>
                    <a:prstGeom prst="rect">
                      <a:avLst/>
                    </a:prstGeom>
                    <a:noFill/>
                  </pic:spPr>
                </pic:pic>
              </a:graphicData>
            </a:graphic>
          </wp:anchor>
        </w:drawing>
      </w:r>
    </w:p>
    <w:p>
      <w:pPr>
        <w:spacing w:after="0" w:line="317" w:lineRule="exact"/>
        <w:rPr>
          <w:sz w:val="20"/>
          <w:szCs w:val="20"/>
          <w:color w:val="auto"/>
        </w:rPr>
      </w:pPr>
    </w:p>
    <w:p>
      <w:pPr>
        <w:ind w:right="320" w:firstLine="509"/>
        <w:spacing w:after="0" w:line="261" w:lineRule="auto"/>
        <w:rPr>
          <w:sz w:val="20"/>
          <w:szCs w:val="20"/>
          <w:color w:val="auto"/>
        </w:rPr>
      </w:pPr>
      <w:r>
        <w:rPr>
          <w:rFonts w:ascii="Times New Roman" w:cs="Times New Roman" w:eastAsia="Times New Roman" w:hAnsi="Times New Roman"/>
          <w:sz w:val="18"/>
          <w:szCs w:val="18"/>
          <w:color w:val="auto"/>
        </w:rPr>
        <w:t>In connection with this transaction, the Company ceased operations in New York. During the three months ended March 31, 2025, the Company recorded deferred payments of $3.8 million with the remaining $2.3 million due from the purchaser reflected within prepaid expenses and other current assets on the condensed consolidated balance sheets as of March 31, 2025. No amount was recorded related to the CDPAP business contingent consideration.</w:t>
      </w:r>
    </w:p>
    <w:p>
      <w:pPr>
        <w:spacing w:after="0" w:line="72" w:lineRule="exact"/>
        <w:rPr>
          <w:sz w:val="20"/>
          <w:szCs w:val="20"/>
          <w:color w:val="auto"/>
        </w:rPr>
      </w:pPr>
    </w:p>
    <w:p>
      <w:pPr>
        <w:ind w:right="20" w:firstLine="509"/>
        <w:spacing w:after="0" w:line="282" w:lineRule="auto"/>
        <w:rPr>
          <w:sz w:val="20"/>
          <w:szCs w:val="20"/>
          <w:color w:val="auto"/>
        </w:rPr>
      </w:pPr>
      <w:r>
        <w:rPr>
          <w:rFonts w:ascii="Times New Roman" w:cs="Times New Roman" w:eastAsia="Times New Roman" w:hAnsi="Times New Roman"/>
          <w:sz w:val="18"/>
          <w:szCs w:val="18"/>
          <w:color w:val="auto"/>
        </w:rPr>
        <w:t>The New York Asset Sale did not qualify as a discontinued operation because it did not represent a strategic shift that has or will have a major effect on the Company’s operation or financial results.</w:t>
      </w:r>
    </w:p>
    <w:p>
      <w:pPr>
        <w:spacing w:after="0" w:line="94" w:lineRule="exact"/>
        <w:rPr>
          <w:sz w:val="20"/>
          <w:szCs w:val="20"/>
          <w:color w:val="auto"/>
        </w:rPr>
      </w:pPr>
    </w:p>
    <w:p>
      <w:pPr>
        <w:jc w:val="both"/>
        <w:ind w:right="220" w:firstLine="509"/>
        <w:spacing w:after="0" w:line="266" w:lineRule="auto"/>
        <w:rPr>
          <w:sz w:val="20"/>
          <w:szCs w:val="20"/>
          <w:color w:val="auto"/>
        </w:rPr>
      </w:pPr>
      <w:r>
        <w:rPr>
          <w:rFonts w:ascii="Times New Roman" w:cs="Times New Roman" w:eastAsia="Times New Roman" w:hAnsi="Times New Roman"/>
          <w:sz w:val="18"/>
          <w:szCs w:val="18"/>
          <w:color w:val="auto"/>
        </w:rPr>
        <w:t>Goodwill and intangible assets of $2.9 million and $4.2 million, respectively, were derecognized in connection with the divestiture. The carrying amounts of the assets and liabilities associated with the New York personal care operations included in our Consolidated Balance Sheets as of March 31, 2025 were as follows (amounts in thousands):</w:t>
      </w: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480" w:type="dxa"/>
            <w:vAlign w:val="bottom"/>
          </w:tcPr>
          <w:p>
            <w:pPr>
              <w:spacing w:after="0"/>
              <w:rPr>
                <w:sz w:val="15"/>
                <w:szCs w:val="15"/>
                <w:color w:val="auto"/>
              </w:rPr>
            </w:pPr>
          </w:p>
        </w:tc>
        <w:tc>
          <w:tcPr>
            <w:tcW w:w="17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March 31, 2025</w:t>
            </w:r>
          </w:p>
        </w:tc>
        <w:tc>
          <w:tcPr>
            <w:tcW w:w="50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210"/>
        </w:trPr>
        <w:tc>
          <w:tcPr>
            <w:tcW w:w="54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7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56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548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1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48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Accounts receivable, net of allowances</w:t>
            </w:r>
          </w:p>
        </w:tc>
        <w:tc>
          <w:tcPr>
            <w:tcW w:w="17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56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220" w:type="dxa"/>
            <w:vAlign w:val="bottom"/>
            <w:gridSpan w:val="3"/>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FF0FC"/>
          </w:tcPr>
          <w:p>
            <w:pPr>
              <w:spacing w:after="0"/>
              <w:rPr>
                <w:sz w:val="18"/>
                <w:szCs w:val="18"/>
                <w:color w:val="auto"/>
              </w:rPr>
            </w:pPr>
          </w:p>
        </w:tc>
        <w:tc>
          <w:tcPr>
            <w:tcW w:w="5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461</w:t>
            </w:r>
          </w:p>
        </w:tc>
        <w:tc>
          <w:tcPr>
            <w:tcW w:w="100" w:type="dxa"/>
            <w:vAlign w:val="bottom"/>
            <w:shd w:val="clear" w:color="auto" w:fill="CFF0FC"/>
          </w:tcPr>
          <w:p>
            <w:pPr>
              <w:spacing w:after="0"/>
              <w:rPr>
                <w:sz w:val="18"/>
                <w:szCs w:val="18"/>
                <w:color w:val="auto"/>
              </w:rPr>
            </w:pPr>
          </w:p>
        </w:tc>
      </w:tr>
      <w:tr>
        <w:trPr>
          <w:trHeight w:val="216"/>
        </w:trPr>
        <w:tc>
          <w:tcPr>
            <w:tcW w:w="54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1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tcPr>
          <w:p>
            <w:pPr>
              <w:spacing w:after="0"/>
              <w:rPr>
                <w:sz w:val="18"/>
                <w:szCs w:val="18"/>
                <w:color w:val="auto"/>
              </w:rPr>
            </w:pPr>
          </w:p>
        </w:tc>
      </w:tr>
      <w:tr>
        <w:trPr>
          <w:trHeight w:val="210"/>
        </w:trPr>
        <w:tc>
          <w:tcPr>
            <w:tcW w:w="54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current assets</w:t>
            </w:r>
          </w:p>
        </w:tc>
        <w:tc>
          <w:tcPr>
            <w:tcW w:w="176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CFF0FC"/>
            </w:tcBorders>
            <w:shd w:val="clear" w:color="auto" w:fill="CFF0FC"/>
          </w:tcPr>
          <w:p>
            <w:pPr>
              <w:spacing w:after="0"/>
              <w:rPr>
                <w:sz w:val="18"/>
                <w:szCs w:val="18"/>
                <w:color w:val="auto"/>
              </w:rPr>
            </w:pPr>
          </w:p>
        </w:tc>
        <w:tc>
          <w:tcPr>
            <w:tcW w:w="1560" w:type="dxa"/>
            <w:vAlign w:val="bottom"/>
            <w:tcBorders>
              <w:bottom w:val="single" w:sz="8" w:color="CFF0FC"/>
            </w:tcBorders>
            <w:shd w:val="clear" w:color="auto" w:fill="CFF0FC"/>
          </w:tcPr>
          <w:p>
            <w:pPr>
              <w:spacing w:after="0"/>
              <w:rPr>
                <w:sz w:val="18"/>
                <w:szCs w:val="18"/>
                <w:color w:val="auto"/>
              </w:rPr>
            </w:pPr>
          </w:p>
        </w:tc>
        <w:tc>
          <w:tcPr>
            <w:tcW w:w="40" w:type="dxa"/>
            <w:vAlign w:val="bottom"/>
            <w:tcBorders>
              <w:bottom w:val="single" w:sz="8" w:color="CFF0FC"/>
            </w:tcBorders>
            <w:shd w:val="clear" w:color="auto" w:fill="CFF0FC"/>
          </w:tcPr>
          <w:p>
            <w:pPr>
              <w:spacing w:after="0"/>
              <w:rPr>
                <w:sz w:val="18"/>
                <w:szCs w:val="18"/>
                <w:color w:val="auto"/>
              </w:rPr>
            </w:pPr>
          </w:p>
        </w:tc>
        <w:tc>
          <w:tcPr>
            <w:tcW w:w="40" w:type="dxa"/>
            <w:vAlign w:val="bottom"/>
            <w:tcBorders>
              <w:bottom w:val="single" w:sz="8" w:color="CFF0FC"/>
            </w:tcBorders>
            <w:shd w:val="clear" w:color="auto" w:fill="CFF0FC"/>
          </w:tcPr>
          <w:p>
            <w:pPr>
              <w:spacing w:after="0"/>
              <w:rPr>
                <w:sz w:val="18"/>
                <w:szCs w:val="18"/>
                <w:color w:val="auto"/>
              </w:rPr>
            </w:pPr>
          </w:p>
        </w:tc>
        <w:tc>
          <w:tcPr>
            <w:tcW w:w="20" w:type="dxa"/>
            <w:vAlign w:val="bottom"/>
            <w:tcBorders>
              <w:bottom w:val="single" w:sz="8" w:color="auto"/>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1320" w:type="dxa"/>
            <w:vAlign w:val="bottom"/>
            <w:tcBorders>
              <w:bottom w:val="single" w:sz="8" w:color="auto"/>
            </w:tcBorders>
            <w:shd w:val="clear" w:color="auto" w:fill="CFF0FC"/>
          </w:tcPr>
          <w:p>
            <w:pPr>
              <w:spacing w:after="0"/>
              <w:rPr>
                <w:sz w:val="18"/>
                <w:szCs w:val="18"/>
                <w:color w:val="auto"/>
              </w:rPr>
            </w:pPr>
          </w:p>
        </w:tc>
        <w:tc>
          <w:tcPr>
            <w:tcW w:w="520" w:type="dxa"/>
            <w:vAlign w:val="bottom"/>
            <w:tcBorders>
              <w:bottom w:val="single" w:sz="8" w:color="auto"/>
            </w:tcBorders>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468</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5480" w:type="dxa"/>
            <w:vAlign w:val="bottom"/>
          </w:tcPr>
          <w:p>
            <w:pPr>
              <w:spacing w:after="0"/>
              <w:rPr>
                <w:sz w:val="20"/>
                <w:szCs w:val="20"/>
                <w:color w:val="auto"/>
              </w:rPr>
            </w:pPr>
            <w:r>
              <w:rPr>
                <w:rFonts w:ascii="Times New Roman" w:cs="Times New Roman" w:eastAsia="Times New Roman" w:hAnsi="Times New Roman"/>
                <w:sz w:val="18"/>
                <w:szCs w:val="18"/>
                <w:color w:val="auto"/>
              </w:rPr>
              <w:t>Property and equipment, net of accumulated depreciation and amortization</w:t>
            </w:r>
          </w:p>
        </w:tc>
        <w:tc>
          <w:tcPr>
            <w:tcW w:w="1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62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4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assets</w:t>
            </w:r>
          </w:p>
        </w:tc>
        <w:tc>
          <w:tcPr>
            <w:tcW w:w="17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56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54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Goodwill</w:t>
            </w:r>
          </w:p>
        </w:tc>
        <w:tc>
          <w:tcPr>
            <w:tcW w:w="1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62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48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Intangibles, net of accumulated amortization</w:t>
            </w:r>
          </w:p>
        </w:tc>
        <w:tc>
          <w:tcPr>
            <w:tcW w:w="17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56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620" w:type="dxa"/>
            <w:vAlign w:val="bottom"/>
            <w:gridSpan w:val="3"/>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4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Operating lease assets, net</w:t>
            </w:r>
          </w:p>
        </w:tc>
        <w:tc>
          <w:tcPr>
            <w:tcW w:w="1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3,105</w:t>
            </w:r>
          </w:p>
        </w:tc>
        <w:tc>
          <w:tcPr>
            <w:tcW w:w="100" w:type="dxa"/>
            <w:vAlign w:val="bottom"/>
          </w:tcPr>
          <w:p>
            <w:pPr>
              <w:spacing w:after="0"/>
              <w:rPr>
                <w:sz w:val="18"/>
                <w:szCs w:val="18"/>
                <w:color w:val="auto"/>
              </w:rPr>
            </w:pPr>
          </w:p>
        </w:tc>
      </w:tr>
      <w:tr>
        <w:trPr>
          <w:trHeight w:val="209"/>
        </w:trPr>
        <w:tc>
          <w:tcPr>
            <w:tcW w:w="54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other assets</w:t>
            </w:r>
          </w:p>
        </w:tc>
        <w:tc>
          <w:tcPr>
            <w:tcW w:w="176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CFF0FC"/>
            </w:tcBorders>
            <w:shd w:val="clear" w:color="auto" w:fill="CFF0FC"/>
          </w:tcPr>
          <w:p>
            <w:pPr>
              <w:spacing w:after="0"/>
              <w:rPr>
                <w:sz w:val="18"/>
                <w:szCs w:val="18"/>
                <w:color w:val="auto"/>
              </w:rPr>
            </w:pPr>
          </w:p>
        </w:tc>
        <w:tc>
          <w:tcPr>
            <w:tcW w:w="1560" w:type="dxa"/>
            <w:vAlign w:val="bottom"/>
            <w:tcBorders>
              <w:bottom w:val="single" w:sz="8" w:color="CFF0FC"/>
            </w:tcBorders>
            <w:shd w:val="clear" w:color="auto" w:fill="CFF0FC"/>
          </w:tcPr>
          <w:p>
            <w:pPr>
              <w:spacing w:after="0"/>
              <w:rPr>
                <w:sz w:val="18"/>
                <w:szCs w:val="18"/>
                <w:color w:val="auto"/>
              </w:rPr>
            </w:pPr>
          </w:p>
        </w:tc>
        <w:tc>
          <w:tcPr>
            <w:tcW w:w="40" w:type="dxa"/>
            <w:vAlign w:val="bottom"/>
            <w:tcBorders>
              <w:bottom w:val="single" w:sz="8" w:color="CFF0FC"/>
            </w:tcBorders>
            <w:shd w:val="clear" w:color="auto" w:fill="CFF0FC"/>
          </w:tcPr>
          <w:p>
            <w:pPr>
              <w:spacing w:after="0"/>
              <w:rPr>
                <w:sz w:val="18"/>
                <w:szCs w:val="18"/>
                <w:color w:val="auto"/>
              </w:rPr>
            </w:pPr>
          </w:p>
        </w:tc>
        <w:tc>
          <w:tcPr>
            <w:tcW w:w="40" w:type="dxa"/>
            <w:vAlign w:val="bottom"/>
            <w:tcBorders>
              <w:bottom w:val="single" w:sz="8" w:color="CFF0FC"/>
            </w:tcBorders>
            <w:shd w:val="clear" w:color="auto" w:fill="CFF0FC"/>
          </w:tcPr>
          <w:p>
            <w:pPr>
              <w:spacing w:after="0"/>
              <w:rPr>
                <w:sz w:val="18"/>
                <w:szCs w:val="18"/>
                <w:color w:val="auto"/>
              </w:rPr>
            </w:pPr>
          </w:p>
        </w:tc>
        <w:tc>
          <w:tcPr>
            <w:tcW w:w="20" w:type="dxa"/>
            <w:vAlign w:val="bottom"/>
            <w:tcBorders>
              <w:bottom w:val="single" w:sz="8" w:color="auto"/>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1320" w:type="dxa"/>
            <w:vAlign w:val="bottom"/>
            <w:tcBorders>
              <w:bottom w:val="single" w:sz="8" w:color="auto"/>
            </w:tcBorders>
            <w:shd w:val="clear" w:color="auto" w:fill="CFF0FC"/>
          </w:tcPr>
          <w:p>
            <w:pPr>
              <w:spacing w:after="0"/>
              <w:rPr>
                <w:sz w:val="18"/>
                <w:szCs w:val="18"/>
                <w:color w:val="auto"/>
              </w:rPr>
            </w:pPr>
          </w:p>
        </w:tc>
        <w:tc>
          <w:tcPr>
            <w:tcW w:w="520" w:type="dxa"/>
            <w:vAlign w:val="bottom"/>
            <w:tcBorders>
              <w:bottom w:val="single" w:sz="8" w:color="auto"/>
            </w:tcBorders>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3,105</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5480" w:type="dxa"/>
            <w:vAlign w:val="bottom"/>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1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spacing w:after="0"/>
              <w:rPr>
                <w:sz w:val="18"/>
                <w:szCs w:val="18"/>
                <w:color w:val="auto"/>
              </w:rPr>
            </w:pPr>
          </w:p>
        </w:tc>
        <w:tc>
          <w:tcPr>
            <w:tcW w:w="5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3,573</w:t>
            </w:r>
          </w:p>
        </w:tc>
        <w:tc>
          <w:tcPr>
            <w:tcW w:w="100" w:type="dxa"/>
            <w:vAlign w:val="bottom"/>
          </w:tcPr>
          <w:p>
            <w:pPr>
              <w:spacing w:after="0"/>
              <w:rPr>
                <w:sz w:val="18"/>
                <w:szCs w:val="18"/>
                <w:color w:val="auto"/>
              </w:rPr>
            </w:pPr>
          </w:p>
        </w:tc>
      </w:tr>
      <w:tr>
        <w:trPr>
          <w:trHeight w:val="210"/>
        </w:trPr>
        <w:tc>
          <w:tcPr>
            <w:tcW w:w="54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17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56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20" w:type="dxa"/>
            <w:vAlign w:val="bottom"/>
            <w:tcBorders>
              <w:top w:val="single" w:sz="8" w:color="auto"/>
            </w:tcBorders>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spacing w:after="0"/>
              <w:rPr>
                <w:sz w:val="18"/>
                <w:szCs w:val="18"/>
                <w:color w:val="auto"/>
              </w:rPr>
            </w:pPr>
          </w:p>
        </w:tc>
        <w:tc>
          <w:tcPr>
            <w:tcW w:w="1320" w:type="dxa"/>
            <w:vAlign w:val="bottom"/>
            <w:tcBorders>
              <w:top w:val="single" w:sz="8" w:color="auto"/>
            </w:tcBorders>
            <w:shd w:val="clear" w:color="auto" w:fill="CFF0FC"/>
          </w:tcPr>
          <w:p>
            <w:pPr>
              <w:spacing w:after="0"/>
              <w:rPr>
                <w:sz w:val="18"/>
                <w:szCs w:val="18"/>
                <w:color w:val="auto"/>
              </w:rPr>
            </w:pPr>
          </w:p>
        </w:tc>
        <w:tc>
          <w:tcPr>
            <w:tcW w:w="500" w:type="dxa"/>
            <w:vAlign w:val="bottom"/>
            <w:tcBorders>
              <w:top w:val="single" w:sz="8" w:color="auto"/>
            </w:tcBorders>
            <w:shd w:val="clear" w:color="auto" w:fill="CFF0FC"/>
          </w:tcPr>
          <w:p>
            <w:pPr>
              <w:spacing w:after="0"/>
              <w:rPr>
                <w:sz w:val="18"/>
                <w:szCs w:val="18"/>
                <w:color w:val="auto"/>
              </w:rPr>
            </w:pPr>
          </w:p>
        </w:tc>
        <w:tc>
          <w:tcPr>
            <w:tcW w:w="2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5480" w:type="dxa"/>
            <w:vAlign w:val="bottom"/>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1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48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Accounts payable</w:t>
            </w:r>
          </w:p>
        </w:tc>
        <w:tc>
          <w:tcPr>
            <w:tcW w:w="17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56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220" w:type="dxa"/>
            <w:vAlign w:val="bottom"/>
            <w:gridSpan w:val="3"/>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FF0FC"/>
          </w:tcPr>
          <w:p>
            <w:pPr>
              <w:spacing w:after="0"/>
              <w:rPr>
                <w:sz w:val="18"/>
                <w:szCs w:val="18"/>
                <w:color w:val="auto"/>
              </w:rPr>
            </w:pPr>
          </w:p>
        </w:tc>
        <w:tc>
          <w:tcPr>
            <w:tcW w:w="5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1,856</w:t>
            </w:r>
          </w:p>
        </w:tc>
        <w:tc>
          <w:tcPr>
            <w:tcW w:w="100" w:type="dxa"/>
            <w:vAlign w:val="bottom"/>
            <w:shd w:val="clear" w:color="auto" w:fill="CFF0FC"/>
          </w:tcPr>
          <w:p>
            <w:pPr>
              <w:spacing w:after="0"/>
              <w:rPr>
                <w:sz w:val="18"/>
                <w:szCs w:val="18"/>
                <w:color w:val="auto"/>
              </w:rPr>
            </w:pPr>
          </w:p>
        </w:tc>
      </w:tr>
      <w:tr>
        <w:trPr>
          <w:trHeight w:val="216"/>
        </w:trPr>
        <w:tc>
          <w:tcPr>
            <w:tcW w:w="54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Accrued payroll</w:t>
            </w:r>
          </w:p>
        </w:tc>
        <w:tc>
          <w:tcPr>
            <w:tcW w:w="1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5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31</w:t>
            </w:r>
          </w:p>
        </w:tc>
        <w:tc>
          <w:tcPr>
            <w:tcW w:w="100" w:type="dxa"/>
            <w:vAlign w:val="bottom"/>
          </w:tcPr>
          <w:p>
            <w:pPr>
              <w:spacing w:after="0"/>
              <w:rPr>
                <w:sz w:val="18"/>
                <w:szCs w:val="18"/>
                <w:color w:val="auto"/>
              </w:rPr>
            </w:pPr>
          </w:p>
        </w:tc>
      </w:tr>
      <w:tr>
        <w:trPr>
          <w:trHeight w:val="216"/>
        </w:trPr>
        <w:tc>
          <w:tcPr>
            <w:tcW w:w="548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Accrued expenses</w:t>
            </w:r>
          </w:p>
        </w:tc>
        <w:tc>
          <w:tcPr>
            <w:tcW w:w="17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56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5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shd w:val="clear" w:color="auto" w:fill="CFF0FC"/>
          </w:tcPr>
          <w:p>
            <w:pPr>
              <w:spacing w:after="0"/>
              <w:rPr>
                <w:sz w:val="18"/>
                <w:szCs w:val="18"/>
                <w:color w:val="auto"/>
              </w:rPr>
            </w:pPr>
          </w:p>
        </w:tc>
      </w:tr>
      <w:tr>
        <w:trPr>
          <w:trHeight w:val="216"/>
        </w:trPr>
        <w:tc>
          <w:tcPr>
            <w:tcW w:w="54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Operating lease liabilities, current portion</w:t>
            </w:r>
          </w:p>
        </w:tc>
        <w:tc>
          <w:tcPr>
            <w:tcW w:w="1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682</w:t>
            </w:r>
          </w:p>
        </w:tc>
        <w:tc>
          <w:tcPr>
            <w:tcW w:w="100" w:type="dxa"/>
            <w:vAlign w:val="bottom"/>
          </w:tcPr>
          <w:p>
            <w:pPr>
              <w:spacing w:after="0"/>
              <w:rPr>
                <w:sz w:val="18"/>
                <w:szCs w:val="18"/>
                <w:color w:val="auto"/>
              </w:rPr>
            </w:pPr>
          </w:p>
        </w:tc>
      </w:tr>
      <w:tr>
        <w:trPr>
          <w:trHeight w:val="209"/>
        </w:trPr>
        <w:tc>
          <w:tcPr>
            <w:tcW w:w="54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current liabilities</w:t>
            </w:r>
          </w:p>
        </w:tc>
        <w:tc>
          <w:tcPr>
            <w:tcW w:w="176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CFF0FC"/>
            </w:tcBorders>
            <w:shd w:val="clear" w:color="auto" w:fill="CFF0FC"/>
          </w:tcPr>
          <w:p>
            <w:pPr>
              <w:spacing w:after="0"/>
              <w:rPr>
                <w:sz w:val="18"/>
                <w:szCs w:val="18"/>
                <w:color w:val="auto"/>
              </w:rPr>
            </w:pPr>
          </w:p>
        </w:tc>
        <w:tc>
          <w:tcPr>
            <w:tcW w:w="1560" w:type="dxa"/>
            <w:vAlign w:val="bottom"/>
            <w:tcBorders>
              <w:bottom w:val="single" w:sz="8" w:color="CFF0FC"/>
            </w:tcBorders>
            <w:shd w:val="clear" w:color="auto" w:fill="CFF0FC"/>
          </w:tcPr>
          <w:p>
            <w:pPr>
              <w:spacing w:after="0"/>
              <w:rPr>
                <w:sz w:val="18"/>
                <w:szCs w:val="18"/>
                <w:color w:val="auto"/>
              </w:rPr>
            </w:pPr>
          </w:p>
        </w:tc>
        <w:tc>
          <w:tcPr>
            <w:tcW w:w="40" w:type="dxa"/>
            <w:vAlign w:val="bottom"/>
            <w:tcBorders>
              <w:bottom w:val="single" w:sz="8" w:color="CFF0FC"/>
            </w:tcBorders>
            <w:shd w:val="clear" w:color="auto" w:fill="CFF0FC"/>
          </w:tcPr>
          <w:p>
            <w:pPr>
              <w:spacing w:after="0"/>
              <w:rPr>
                <w:sz w:val="18"/>
                <w:szCs w:val="18"/>
                <w:color w:val="auto"/>
              </w:rPr>
            </w:pPr>
          </w:p>
        </w:tc>
        <w:tc>
          <w:tcPr>
            <w:tcW w:w="40" w:type="dxa"/>
            <w:vAlign w:val="bottom"/>
            <w:tcBorders>
              <w:bottom w:val="single" w:sz="8" w:color="CFF0FC"/>
            </w:tcBorders>
            <w:shd w:val="clear" w:color="auto" w:fill="CFF0FC"/>
          </w:tcPr>
          <w:p>
            <w:pPr>
              <w:spacing w:after="0"/>
              <w:rPr>
                <w:sz w:val="18"/>
                <w:szCs w:val="18"/>
                <w:color w:val="auto"/>
              </w:rPr>
            </w:pPr>
          </w:p>
        </w:tc>
        <w:tc>
          <w:tcPr>
            <w:tcW w:w="20" w:type="dxa"/>
            <w:vAlign w:val="bottom"/>
            <w:tcBorders>
              <w:bottom w:val="single" w:sz="8" w:color="auto"/>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1320" w:type="dxa"/>
            <w:vAlign w:val="bottom"/>
            <w:tcBorders>
              <w:bottom w:val="single" w:sz="8" w:color="auto"/>
            </w:tcBorders>
            <w:shd w:val="clear" w:color="auto" w:fill="CFF0FC"/>
          </w:tcPr>
          <w:p>
            <w:pPr>
              <w:spacing w:after="0"/>
              <w:rPr>
                <w:sz w:val="18"/>
                <w:szCs w:val="18"/>
                <w:color w:val="auto"/>
              </w:rPr>
            </w:pPr>
          </w:p>
        </w:tc>
        <w:tc>
          <w:tcPr>
            <w:tcW w:w="520" w:type="dxa"/>
            <w:vAlign w:val="bottom"/>
            <w:tcBorders>
              <w:bottom w:val="single" w:sz="8" w:color="auto"/>
            </w:tcBorders>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2,575</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5480" w:type="dxa"/>
            <w:vAlign w:val="bottom"/>
          </w:tcPr>
          <w:p>
            <w:pPr>
              <w:spacing w:after="0"/>
              <w:rPr>
                <w:sz w:val="20"/>
                <w:szCs w:val="20"/>
                <w:color w:val="auto"/>
              </w:rPr>
            </w:pPr>
            <w:r>
              <w:rPr>
                <w:rFonts w:ascii="Times New Roman" w:cs="Times New Roman" w:eastAsia="Times New Roman" w:hAnsi="Times New Roman"/>
                <w:sz w:val="18"/>
                <w:szCs w:val="18"/>
                <w:color w:val="auto"/>
              </w:rPr>
              <w:t>Long-term liabilities</w:t>
            </w:r>
          </w:p>
        </w:tc>
        <w:tc>
          <w:tcPr>
            <w:tcW w:w="1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480" w:type="dxa"/>
            <w:vAlign w:val="bottom"/>
            <w:tcBorders>
              <w:bottom w:val="single" w:sz="8" w:color="CFF0FC"/>
            </w:tcBorders>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Operating lease liabilities, long-term portion</w:t>
            </w:r>
          </w:p>
        </w:tc>
        <w:tc>
          <w:tcPr>
            <w:tcW w:w="176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CFF0FC"/>
            </w:tcBorders>
            <w:shd w:val="clear" w:color="auto" w:fill="CFF0FC"/>
          </w:tcPr>
          <w:p>
            <w:pPr>
              <w:spacing w:after="0"/>
              <w:rPr>
                <w:sz w:val="18"/>
                <w:szCs w:val="18"/>
                <w:color w:val="auto"/>
              </w:rPr>
            </w:pPr>
          </w:p>
        </w:tc>
        <w:tc>
          <w:tcPr>
            <w:tcW w:w="1560" w:type="dxa"/>
            <w:vAlign w:val="bottom"/>
            <w:tcBorders>
              <w:bottom w:val="single" w:sz="8" w:color="CFF0FC"/>
            </w:tcBorders>
            <w:shd w:val="clear" w:color="auto" w:fill="CFF0FC"/>
          </w:tcPr>
          <w:p>
            <w:pPr>
              <w:spacing w:after="0"/>
              <w:rPr>
                <w:sz w:val="18"/>
                <w:szCs w:val="18"/>
                <w:color w:val="auto"/>
              </w:rPr>
            </w:pPr>
          </w:p>
        </w:tc>
        <w:tc>
          <w:tcPr>
            <w:tcW w:w="40" w:type="dxa"/>
            <w:vAlign w:val="bottom"/>
            <w:tcBorders>
              <w:bottom w:val="single" w:sz="8" w:color="CFF0FC"/>
            </w:tcBorders>
            <w:shd w:val="clear" w:color="auto" w:fill="CFF0FC"/>
          </w:tcPr>
          <w:p>
            <w:pPr>
              <w:spacing w:after="0"/>
              <w:rPr>
                <w:sz w:val="18"/>
                <w:szCs w:val="18"/>
                <w:color w:val="auto"/>
              </w:rPr>
            </w:pPr>
          </w:p>
        </w:tc>
        <w:tc>
          <w:tcPr>
            <w:tcW w:w="40" w:type="dxa"/>
            <w:vAlign w:val="bottom"/>
            <w:tcBorders>
              <w:bottom w:val="single" w:sz="8" w:color="CFF0FC"/>
            </w:tcBorders>
            <w:shd w:val="clear" w:color="auto" w:fill="CFF0FC"/>
          </w:tcPr>
          <w:p>
            <w:pPr>
              <w:spacing w:after="0"/>
              <w:rPr>
                <w:sz w:val="18"/>
                <w:szCs w:val="18"/>
                <w:color w:val="auto"/>
              </w:rPr>
            </w:pPr>
          </w:p>
        </w:tc>
        <w:tc>
          <w:tcPr>
            <w:tcW w:w="20" w:type="dxa"/>
            <w:vAlign w:val="bottom"/>
            <w:tcBorders>
              <w:bottom w:val="single" w:sz="8" w:color="auto"/>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1320" w:type="dxa"/>
            <w:vAlign w:val="bottom"/>
            <w:tcBorders>
              <w:bottom w:val="single" w:sz="8" w:color="auto"/>
            </w:tcBorders>
            <w:shd w:val="clear" w:color="auto" w:fill="CFF0FC"/>
          </w:tcPr>
          <w:p>
            <w:pPr>
              <w:spacing w:after="0"/>
              <w:rPr>
                <w:sz w:val="18"/>
                <w:szCs w:val="18"/>
                <w:color w:val="auto"/>
              </w:rPr>
            </w:pPr>
          </w:p>
        </w:tc>
        <w:tc>
          <w:tcPr>
            <w:tcW w:w="520" w:type="dxa"/>
            <w:vAlign w:val="bottom"/>
            <w:tcBorders>
              <w:bottom w:val="single" w:sz="8" w:color="auto"/>
            </w:tcBorders>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2,336</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5480" w:type="dxa"/>
            <w:vAlign w:val="bottom"/>
          </w:tcPr>
          <w:p>
            <w:pPr>
              <w:spacing w:after="0"/>
              <w:rPr>
                <w:sz w:val="20"/>
                <w:szCs w:val="20"/>
                <w:color w:val="auto"/>
              </w:rPr>
            </w:pPr>
            <w:r>
              <w:rPr>
                <w:rFonts w:ascii="Times New Roman" w:cs="Times New Roman" w:eastAsia="Times New Roman" w:hAnsi="Times New Roman"/>
                <w:sz w:val="18"/>
                <w:szCs w:val="18"/>
                <w:color w:val="auto"/>
              </w:rPr>
              <w:t>Total liabilities</w:t>
            </w:r>
          </w:p>
        </w:tc>
        <w:tc>
          <w:tcPr>
            <w:tcW w:w="1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spacing w:after="0"/>
              <w:rPr>
                <w:sz w:val="18"/>
                <w:szCs w:val="18"/>
                <w:color w:val="auto"/>
              </w:rPr>
            </w:pPr>
          </w:p>
        </w:tc>
        <w:tc>
          <w:tcPr>
            <w:tcW w:w="5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4,911</w:t>
            </w:r>
          </w:p>
        </w:tc>
        <w:tc>
          <w:tcPr>
            <w:tcW w:w="100" w:type="dxa"/>
            <w:vAlign w:val="bottom"/>
          </w:tcPr>
          <w:p>
            <w:pPr>
              <w:spacing w:after="0"/>
              <w:rPr>
                <w:sz w:val="18"/>
                <w:szCs w:val="18"/>
                <w:color w:val="auto"/>
              </w:rPr>
            </w:pPr>
          </w:p>
        </w:tc>
      </w:tr>
      <w:tr>
        <w:trPr>
          <w:trHeight w:val="858"/>
        </w:trPr>
        <w:tc>
          <w:tcPr>
            <w:tcW w:w="54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4. Leases</w:t>
            </w:r>
          </w:p>
        </w:tc>
        <w:tc>
          <w:tcPr>
            <w:tcW w:w="17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320" w:type="dxa"/>
            <w:vAlign w:val="bottom"/>
            <w:tcBorders>
              <w:top w:val="single" w:sz="8" w:color="auto"/>
            </w:tcBorders>
          </w:tcPr>
          <w:p>
            <w:pPr>
              <w:spacing w:after="0"/>
              <w:rPr>
                <w:sz w:val="24"/>
                <w:szCs w:val="24"/>
                <w:color w:val="auto"/>
              </w:rPr>
            </w:pPr>
          </w:p>
        </w:tc>
        <w:tc>
          <w:tcPr>
            <w:tcW w:w="50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324"/>
        </w:trPr>
        <w:tc>
          <w:tcPr>
            <w:tcW w:w="10620" w:type="dxa"/>
            <w:vAlign w:val="bottom"/>
            <w:gridSpan w:val="9"/>
          </w:tcPr>
          <w:p>
            <w:pPr>
              <w:ind w:left="520"/>
              <w:spacing w:after="0"/>
              <w:rPr>
                <w:sz w:val="20"/>
                <w:szCs w:val="20"/>
                <w:color w:val="auto"/>
              </w:rPr>
            </w:pPr>
            <w:r>
              <w:rPr>
                <w:rFonts w:ascii="Times New Roman" w:cs="Times New Roman" w:eastAsia="Times New Roman" w:hAnsi="Times New Roman"/>
                <w:sz w:val="18"/>
                <w:szCs w:val="18"/>
                <w:color w:val="auto"/>
              </w:rPr>
              <w:t>Amounts reported on the Company’s Unaudited Condensed Consolidated Balance Sheets for operating leases were as follows:</w:t>
            </w: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51"/>
        </w:trPr>
        <w:tc>
          <w:tcPr>
            <w:tcW w:w="548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tcPr>
          <w:p>
            <w:pPr>
              <w:jc w:val="right"/>
              <w:ind w:right="336"/>
              <w:spacing w:after="0"/>
              <w:rPr>
                <w:sz w:val="20"/>
                <w:szCs w:val="20"/>
                <w:color w:val="auto"/>
              </w:rPr>
            </w:pPr>
            <w:r>
              <w:rPr>
                <w:rFonts w:ascii="Times New Roman" w:cs="Times New Roman" w:eastAsia="Times New Roman" w:hAnsi="Times New Roman"/>
                <w:sz w:val="14"/>
                <w:szCs w:val="14"/>
                <w:b w:val="1"/>
                <w:bCs w:val="1"/>
                <w:color w:val="auto"/>
              </w:rPr>
              <w:t>March 31, 2025</w:t>
            </w: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820" w:type="dxa"/>
            <w:vAlign w:val="bottom"/>
            <w:tcBorders>
              <w:bottom w:val="single" w:sz="8" w:color="auto"/>
            </w:tcBorders>
            <w:gridSpan w:val="2"/>
          </w:tcPr>
          <w:p>
            <w:pPr>
              <w:jc w:val="right"/>
              <w:ind w:right="250"/>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120" w:type="dxa"/>
            <w:vAlign w:val="bottom"/>
            <w:gridSpan w:val="2"/>
          </w:tcPr>
          <w:p>
            <w:pPr>
              <w:spacing w:after="0"/>
              <w:rPr>
                <w:sz w:val="24"/>
                <w:szCs w:val="24"/>
                <w:color w:val="auto"/>
              </w:rPr>
            </w:pPr>
          </w:p>
        </w:tc>
      </w:tr>
      <w:tr>
        <w:trPr>
          <w:trHeight w:val="142"/>
        </w:trPr>
        <w:tc>
          <w:tcPr>
            <w:tcW w:w="548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156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(Amounts</w:t>
            </w:r>
          </w:p>
        </w:tc>
        <w:tc>
          <w:tcPr>
            <w:tcW w:w="1580" w:type="dxa"/>
            <w:vAlign w:val="bottom"/>
            <w:tcBorders>
              <w:bottom w:val="single" w:sz="8" w:color="auto"/>
            </w:tcBorders>
            <w:gridSpan w:val="5"/>
          </w:tcPr>
          <w:p>
            <w:pPr>
              <w:jc w:val="right"/>
              <w:ind w:right="608"/>
              <w:spacing w:after="0" w:line="142"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500" w:type="dxa"/>
            <w:vAlign w:val="bottom"/>
            <w:tcBorders>
              <w:bottom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10"/>
        </w:trPr>
        <w:tc>
          <w:tcPr>
            <w:tcW w:w="54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lease assets, net</w:t>
            </w:r>
          </w:p>
        </w:tc>
        <w:tc>
          <w:tcPr>
            <w:tcW w:w="20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45,064</w:t>
            </w:r>
          </w:p>
        </w:tc>
        <w:tc>
          <w:tcPr>
            <w:tcW w:w="1540" w:type="dxa"/>
            <w:vAlign w:val="bottom"/>
            <w:gridSpan w:val="4"/>
            <w:shd w:val="clear" w:color="auto" w:fill="CFF0FC"/>
          </w:tcPr>
          <w:p>
            <w:pPr>
              <w:jc w:val="right"/>
              <w:ind w:right="1168"/>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w w:val="96"/>
              </w:rPr>
              <w:t>47,348</w:t>
            </w:r>
          </w:p>
        </w:tc>
        <w:tc>
          <w:tcPr>
            <w:tcW w:w="100" w:type="dxa"/>
            <w:vAlign w:val="bottom"/>
            <w:shd w:val="clear" w:color="auto" w:fill="CFF0FC"/>
          </w:tcPr>
          <w:p>
            <w:pPr>
              <w:spacing w:after="0"/>
              <w:rPr>
                <w:sz w:val="18"/>
                <w:szCs w:val="18"/>
                <w:color w:val="auto"/>
              </w:rPr>
            </w:pPr>
          </w:p>
        </w:tc>
      </w:tr>
      <w:tr>
        <w:trPr>
          <w:trHeight w:val="216"/>
        </w:trPr>
        <w:tc>
          <w:tcPr>
            <w:tcW w:w="548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4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Short-term operating lease liabilities</w:t>
            </w:r>
          </w:p>
        </w:tc>
        <w:tc>
          <w:tcPr>
            <w:tcW w:w="17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6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12,649</w:t>
            </w:r>
          </w:p>
        </w:tc>
        <w:tc>
          <w:tcPr>
            <w:tcW w:w="4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5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w w:val="96"/>
              </w:rPr>
              <w:t>12,800</w:t>
            </w:r>
          </w:p>
        </w:tc>
        <w:tc>
          <w:tcPr>
            <w:tcW w:w="100" w:type="dxa"/>
            <w:vAlign w:val="bottom"/>
            <w:shd w:val="clear" w:color="auto" w:fill="CFF0FC"/>
          </w:tcPr>
          <w:p>
            <w:pPr>
              <w:spacing w:after="0"/>
              <w:rPr>
                <w:sz w:val="18"/>
                <w:szCs w:val="18"/>
                <w:color w:val="auto"/>
              </w:rPr>
            </w:pPr>
          </w:p>
        </w:tc>
      </w:tr>
      <w:tr>
        <w:trPr>
          <w:trHeight w:val="216"/>
        </w:trPr>
        <w:tc>
          <w:tcPr>
            <w:tcW w:w="5480" w:type="dxa"/>
            <w:vAlign w:val="bottom"/>
          </w:tcPr>
          <w:p>
            <w:pPr>
              <w:spacing w:after="0"/>
              <w:rPr>
                <w:sz w:val="20"/>
                <w:szCs w:val="20"/>
                <w:color w:val="auto"/>
              </w:rPr>
            </w:pPr>
            <w:r>
              <w:rPr>
                <w:rFonts w:ascii="Times New Roman" w:cs="Times New Roman" w:eastAsia="Times New Roman" w:hAnsi="Times New Roman"/>
                <w:sz w:val="18"/>
                <w:szCs w:val="18"/>
                <w:color w:val="auto"/>
              </w:rPr>
              <w:t>Long-term operating lease liabilities</w:t>
            </w:r>
          </w:p>
        </w:tc>
        <w:tc>
          <w:tcPr>
            <w:tcW w:w="176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39,414</w:t>
            </w: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41,883</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9"/>
        </w:trPr>
        <w:tc>
          <w:tcPr>
            <w:tcW w:w="54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operating lease liabilities</w:t>
            </w:r>
          </w:p>
        </w:tc>
        <w:tc>
          <w:tcPr>
            <w:tcW w:w="20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52,063</w:t>
            </w:r>
          </w:p>
        </w:tc>
        <w:tc>
          <w:tcPr>
            <w:tcW w:w="1540" w:type="dxa"/>
            <w:vAlign w:val="bottom"/>
            <w:gridSpan w:val="4"/>
            <w:shd w:val="clear" w:color="auto" w:fill="CFF0FC"/>
          </w:tcPr>
          <w:p>
            <w:pPr>
              <w:jc w:val="right"/>
              <w:ind w:right="1168"/>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w w:val="96"/>
              </w:rPr>
              <w:t>54,683</w:t>
            </w:r>
          </w:p>
        </w:tc>
        <w:tc>
          <w:tcPr>
            <w:tcW w:w="100" w:type="dxa"/>
            <w:vAlign w:val="bottom"/>
            <w:shd w:val="clear" w:color="auto" w:fill="CFF0FC"/>
          </w:tcPr>
          <w:p>
            <w:pPr>
              <w:spacing w:after="0"/>
              <w:rPr>
                <w:sz w:val="21"/>
                <w:szCs w:val="21"/>
                <w:color w:val="auto"/>
              </w:rPr>
            </w:pPr>
          </w:p>
        </w:tc>
      </w:tr>
      <w:tr>
        <w:trPr>
          <w:trHeight w:val="609"/>
        </w:trPr>
        <w:tc>
          <w:tcPr>
            <w:tcW w:w="5480" w:type="dxa"/>
            <w:vAlign w:val="bottom"/>
            <w:tcBorders>
              <w:top w:val="single" w:sz="8" w:color="CFF0FC"/>
            </w:tcBorders>
          </w:tcPr>
          <w:p>
            <w:pPr>
              <w:spacing w:after="0"/>
              <w:rPr>
                <w:sz w:val="24"/>
                <w:szCs w:val="24"/>
                <w:color w:val="auto"/>
              </w:rPr>
            </w:pPr>
          </w:p>
        </w:tc>
        <w:tc>
          <w:tcPr>
            <w:tcW w:w="1760" w:type="dxa"/>
            <w:vAlign w:val="bottom"/>
            <w:tcBorders>
              <w:top w:val="single" w:sz="8" w:color="CFF0FC"/>
            </w:tcBorders>
          </w:tcPr>
          <w:p>
            <w:pPr>
              <w:jc w:val="right"/>
              <w:ind w:right="1493"/>
              <w:spacing w:after="0"/>
              <w:rPr>
                <w:sz w:val="20"/>
                <w:szCs w:val="20"/>
                <w:color w:val="auto"/>
              </w:rPr>
            </w:pPr>
            <w:r>
              <w:rPr>
                <w:rFonts w:ascii="Times New Roman" w:cs="Times New Roman" w:eastAsia="Times New Roman" w:hAnsi="Times New Roman"/>
                <w:sz w:val="16"/>
                <w:szCs w:val="16"/>
                <w:color w:val="auto"/>
              </w:rPr>
              <w:t>9</w:t>
            </w:r>
          </w:p>
        </w:tc>
        <w:tc>
          <w:tcPr>
            <w:tcW w:w="240" w:type="dxa"/>
            <w:vAlign w:val="bottom"/>
            <w:tcBorders>
              <w:top w:val="single" w:sz="8" w:color="auto"/>
            </w:tcBorders>
          </w:tcPr>
          <w:p>
            <w:pPr>
              <w:spacing w:after="0"/>
              <w:rPr>
                <w:sz w:val="24"/>
                <w:szCs w:val="24"/>
                <w:color w:val="auto"/>
              </w:rPr>
            </w:pPr>
          </w:p>
        </w:tc>
        <w:tc>
          <w:tcPr>
            <w:tcW w:w="1560" w:type="dxa"/>
            <w:vAlign w:val="bottom"/>
            <w:tcBorders>
              <w:top w:val="single" w:sz="8" w:color="auto"/>
            </w:tcBorders>
          </w:tcPr>
          <w:p>
            <w:pPr>
              <w:spacing w:after="0"/>
              <w:rPr>
                <w:sz w:val="24"/>
                <w:szCs w:val="24"/>
                <w:color w:val="auto"/>
              </w:rPr>
            </w:pPr>
          </w:p>
        </w:tc>
        <w:tc>
          <w:tcPr>
            <w:tcW w:w="40" w:type="dxa"/>
            <w:vAlign w:val="bottom"/>
            <w:tcBorders>
              <w:top w:val="single" w:sz="8" w:color="CFF0FC"/>
            </w:tcBorders>
          </w:tcPr>
          <w:p>
            <w:pPr>
              <w:spacing w:after="0"/>
              <w:rPr>
                <w:sz w:val="24"/>
                <w:szCs w:val="24"/>
                <w:color w:val="auto"/>
              </w:rPr>
            </w:pPr>
          </w:p>
        </w:tc>
        <w:tc>
          <w:tcPr>
            <w:tcW w:w="40" w:type="dxa"/>
            <w:vAlign w:val="bottom"/>
            <w:tcBorders>
              <w:top w:val="single" w:sz="8" w:color="CFF0FC"/>
            </w:tcBorders>
          </w:tcPr>
          <w:p>
            <w:pPr>
              <w:spacing w:after="0"/>
              <w:rPr>
                <w:sz w:val="24"/>
                <w:szCs w:val="24"/>
                <w:color w:val="auto"/>
              </w:rPr>
            </w:pPr>
          </w:p>
        </w:tc>
        <w:tc>
          <w:tcPr>
            <w:tcW w:w="20" w:type="dxa"/>
            <w:vAlign w:val="bottom"/>
            <w:tcBorders>
              <w:top w:val="single" w:sz="8" w:color="CFF0FC"/>
            </w:tcBorders>
          </w:tcPr>
          <w:p>
            <w:pPr>
              <w:spacing w:after="0"/>
              <w:rPr>
                <w:sz w:val="24"/>
                <w:szCs w:val="24"/>
                <w:color w:val="auto"/>
              </w:rPr>
            </w:pPr>
          </w:p>
        </w:tc>
        <w:tc>
          <w:tcPr>
            <w:tcW w:w="160" w:type="dxa"/>
            <w:vAlign w:val="bottom"/>
            <w:tcBorders>
              <w:top w:val="single" w:sz="8" w:color="CFF0FC"/>
            </w:tcBorders>
          </w:tcPr>
          <w:p>
            <w:pPr>
              <w:spacing w:after="0"/>
              <w:rPr>
                <w:sz w:val="24"/>
                <w:szCs w:val="24"/>
                <w:color w:val="auto"/>
              </w:rPr>
            </w:pPr>
          </w:p>
        </w:tc>
        <w:tc>
          <w:tcPr>
            <w:tcW w:w="1320" w:type="dxa"/>
            <w:vAlign w:val="bottom"/>
            <w:tcBorders>
              <w:top w:val="single" w:sz="8" w:color="auto"/>
            </w:tcBorders>
          </w:tcPr>
          <w:p>
            <w:pPr>
              <w:spacing w:after="0"/>
              <w:rPr>
                <w:sz w:val="24"/>
                <w:szCs w:val="24"/>
                <w:color w:val="auto"/>
              </w:rPr>
            </w:pPr>
          </w:p>
        </w:tc>
        <w:tc>
          <w:tcPr>
            <w:tcW w:w="500" w:type="dxa"/>
            <w:vAlign w:val="bottom"/>
            <w:tcBorders>
              <w:top w:val="single" w:sz="8" w:color="auto"/>
            </w:tcBorders>
          </w:tcPr>
          <w:p>
            <w:pPr>
              <w:spacing w:after="0"/>
              <w:rPr>
                <w:sz w:val="24"/>
                <w:szCs w:val="24"/>
                <w:color w:val="auto"/>
              </w:rPr>
            </w:pPr>
          </w:p>
        </w:tc>
        <w:tc>
          <w:tcPr>
            <w:tcW w:w="20" w:type="dxa"/>
            <w:vAlign w:val="bottom"/>
            <w:tcBorders>
              <w:top w:val="single" w:sz="8" w:color="CFF0FC"/>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r>
      <w:tr>
        <w:trPr>
          <w:trHeight w:val="769"/>
        </w:trPr>
        <w:tc>
          <w:tcPr>
            <w:tcW w:w="5480" w:type="dxa"/>
            <w:vAlign w:val="bottom"/>
            <w:tcBorders>
              <w:bottom w:val="single" w:sz="8" w:color="9A9A9A"/>
            </w:tcBorders>
          </w:tcPr>
          <w:p>
            <w:pPr>
              <w:spacing w:after="0"/>
              <w:rPr>
                <w:sz w:val="24"/>
                <w:szCs w:val="24"/>
                <w:color w:val="auto"/>
              </w:rPr>
            </w:pPr>
          </w:p>
        </w:tc>
        <w:tc>
          <w:tcPr>
            <w:tcW w:w="176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56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320" w:type="dxa"/>
            <w:vAlign w:val="bottom"/>
            <w:tcBorders>
              <w:bottom w:val="single" w:sz="8" w:color="9A9A9A"/>
            </w:tcBorders>
          </w:tcPr>
          <w:p>
            <w:pPr>
              <w:spacing w:after="0"/>
              <w:rPr>
                <w:sz w:val="24"/>
                <w:szCs w:val="24"/>
                <w:color w:val="auto"/>
              </w:rPr>
            </w:pPr>
          </w:p>
        </w:tc>
        <w:tc>
          <w:tcPr>
            <w:tcW w:w="5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-5108575</wp:posOffset>
            </wp:positionV>
            <wp:extent cx="6858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-4268470</wp:posOffset>
            </wp:positionV>
            <wp:extent cx="6858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-3145155</wp:posOffset>
            </wp:positionV>
            <wp:extent cx="6858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-2862580</wp:posOffset>
            </wp:positionV>
            <wp:extent cx="6858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5739765</wp:posOffset>
            </wp:positionH>
            <wp:positionV relativeFrom="paragraph">
              <wp:posOffset>-925195</wp:posOffset>
            </wp:positionV>
            <wp:extent cx="6858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5739765</wp:posOffset>
            </wp:positionH>
            <wp:positionV relativeFrom="paragraph">
              <wp:posOffset>-908050</wp:posOffset>
            </wp:positionV>
            <wp:extent cx="6858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-925195</wp:posOffset>
            </wp:positionV>
            <wp:extent cx="7747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-908050</wp:posOffset>
            </wp:positionV>
            <wp:extent cx="7747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7470" cy="8890"/>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u w:val="single" w:color="auto"/>
          <w:color w:val="0563C1"/>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-5080</wp:posOffset>
            </wp:positionV>
            <wp:extent cx="869315"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869315" cy="8255"/>
                    </a:xfrm>
                    <a:prstGeom prst="rect">
                      <a:avLst/>
                    </a:prstGeom>
                    <a:noFill/>
                  </pic:spPr>
                </pic:pic>
              </a:graphicData>
            </a:graphic>
          </wp:anchor>
        </w:drawing>
      </w:r>
    </w:p>
    <w:p>
      <w:pPr>
        <w:spacing w:after="0" w:line="200" w:lineRule="exact"/>
        <w:rPr>
          <w:sz w:val="20"/>
          <w:szCs w:val="20"/>
          <w:color w:val="auto"/>
        </w:rPr>
      </w:pPr>
    </w:p>
    <w:p>
      <w:pPr>
        <w:spacing w:after="0" w:line="3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Lease Costs</w:t>
      </w:r>
    </w:p>
    <w:p>
      <w:pPr>
        <w:spacing w:after="0" w:line="121" w:lineRule="exact"/>
        <w:rPr>
          <w:sz w:val="20"/>
          <w:szCs w:val="20"/>
          <w:color w:val="auto"/>
        </w:rPr>
      </w:pPr>
    </w:p>
    <w:p>
      <w:pPr>
        <w:ind w:right="140" w:firstLine="509"/>
        <w:spacing w:after="0" w:line="282" w:lineRule="auto"/>
        <w:rPr>
          <w:sz w:val="20"/>
          <w:szCs w:val="20"/>
          <w:color w:val="auto"/>
        </w:rPr>
      </w:pPr>
      <w:r>
        <w:rPr>
          <w:rFonts w:ascii="Times New Roman" w:cs="Times New Roman" w:eastAsia="Times New Roman" w:hAnsi="Times New Roman"/>
          <w:sz w:val="18"/>
          <w:szCs w:val="18"/>
          <w:color w:val="auto"/>
        </w:rPr>
        <w:t>Components of lease costs were reported in general and administrative expenses in the Company’s Unaudited Condensed Consolidated Statements of Income as follows:</w:t>
      </w:r>
    </w:p>
    <w:p>
      <w:pPr>
        <w:spacing w:after="0" w:line="142" w:lineRule="exact"/>
        <w:rPr>
          <w:sz w:val="20"/>
          <w:szCs w:val="20"/>
          <w:color w:val="auto"/>
        </w:rPr>
      </w:pPr>
    </w:p>
    <w:p>
      <w:pPr>
        <w:jc w:val="center"/>
        <w:ind w:left="7180"/>
        <w:spacing w:after="0"/>
        <w:rPr>
          <w:sz w:val="20"/>
          <w:szCs w:val="20"/>
          <w:color w:val="auto"/>
        </w:rPr>
      </w:pPr>
      <w:r>
        <w:rPr>
          <w:rFonts w:ascii="Times New Roman" w:cs="Times New Roman" w:eastAsia="Times New Roman" w:hAnsi="Times New Roman"/>
          <w:sz w:val="14"/>
          <w:szCs w:val="14"/>
          <w:b w:val="1"/>
          <w:bCs w:val="1"/>
          <w:color w:val="auto"/>
        </w:rPr>
        <w:t>For the Three Months Ended March 31,</w:t>
      </w:r>
    </w:p>
    <w:p>
      <w:pPr>
        <w:jc w:val="center"/>
        <w:ind w:left="7220"/>
        <w:spacing w:after="0"/>
        <w:rPr>
          <w:sz w:val="20"/>
          <w:szCs w:val="20"/>
          <w:color w:val="auto"/>
        </w:rPr>
      </w:pPr>
      <w:r>
        <w:rPr>
          <w:rFonts w:ascii="Times New Roman" w:cs="Times New Roman" w:eastAsia="Times New Roman" w:hAnsi="Times New Roman"/>
          <w:sz w:val="14"/>
          <w:szCs w:val="14"/>
          <w:b w:val="1"/>
          <w:bCs w:val="1"/>
          <w:color w:val="auto"/>
        </w:rPr>
        <w:t>(Amounts in Thousands)</w:t>
      </w:r>
    </w:p>
    <w:tbl>
      <w:tblPr>
        <w:tblLayout w:type="fixed"/>
        <w:tblInd w:w="0" w:type="dxa"/>
        <w:tblCellMar>
          <w:top w:w="0" w:type="dxa"/>
          <w:left w:w="0" w:type="dxa"/>
          <w:bottom w:w="0" w:type="dxa"/>
          <w:right w:w="0" w:type="dxa"/>
        </w:tblCellMar>
      </w:tblPr>
      <w:tr>
        <w:trPr>
          <w:trHeight w:val="142"/>
        </w:trPr>
        <w:tc>
          <w:tcPr>
            <w:tcW w:w="7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40" w:type="dxa"/>
            <w:vAlign w:val="bottom"/>
            <w:tcBorders>
              <w:top w:val="single" w:sz="8" w:color="auto"/>
              <w:bottom w:val="single" w:sz="8" w:color="auto"/>
            </w:tcBorders>
          </w:tcPr>
          <w:p>
            <w:pPr>
              <w:jc w:val="right"/>
              <w:ind w:right="148"/>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300" w:type="dxa"/>
            <w:vAlign w:val="bottom"/>
            <w:tcBorders>
              <w:top w:val="single" w:sz="8" w:color="auto"/>
              <w:bottom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360" w:type="dxa"/>
            <w:vAlign w:val="bottom"/>
            <w:tcBorders>
              <w:top w:val="single" w:sz="8" w:color="auto"/>
              <w:bottom w:val="single" w:sz="8" w:color="auto"/>
            </w:tcBorders>
            <w:gridSpan w:val="3"/>
          </w:tcPr>
          <w:p>
            <w:pPr>
              <w:jc w:val="right"/>
              <w:ind w:right="108"/>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500" w:type="dxa"/>
            <w:vAlign w:val="bottom"/>
            <w:tcBorders>
              <w:top w:val="single" w:sz="8" w:color="auto"/>
              <w:bottom w:val="single" w:sz="8" w:color="auto"/>
            </w:tcBorders>
          </w:tcPr>
          <w:p>
            <w:pPr>
              <w:spacing w:after="0"/>
              <w:rPr>
                <w:sz w:val="12"/>
                <w:szCs w:val="12"/>
                <w:color w:val="auto"/>
              </w:rPr>
            </w:pPr>
          </w:p>
        </w:tc>
        <w:tc>
          <w:tcPr>
            <w:tcW w:w="60" w:type="dxa"/>
            <w:vAlign w:val="bottom"/>
            <w:tcBorders>
              <w:top w:val="single" w:sz="8" w:color="auto"/>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71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lease costs</w:t>
            </w:r>
          </w:p>
        </w:tc>
        <w:tc>
          <w:tcPr>
            <w:tcW w:w="1460" w:type="dxa"/>
            <w:vAlign w:val="bottom"/>
            <w:gridSpan w:val="3"/>
            <w:shd w:val="clear" w:color="auto" w:fill="CFF0FC"/>
          </w:tcPr>
          <w:p>
            <w:pPr>
              <w:jc w:val="right"/>
              <w:ind w:right="1088"/>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4"/>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3,657</w:t>
            </w:r>
          </w:p>
        </w:tc>
        <w:tc>
          <w:tcPr>
            <w:tcW w:w="1360" w:type="dxa"/>
            <w:vAlign w:val="bottom"/>
            <w:gridSpan w:val="3"/>
            <w:shd w:val="clear" w:color="auto" w:fill="CFF0FC"/>
          </w:tcPr>
          <w:p>
            <w:pPr>
              <w:jc w:val="right"/>
              <w:ind w:right="1048"/>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3"/>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3,296</w:t>
            </w:r>
          </w:p>
        </w:tc>
        <w:tc>
          <w:tcPr>
            <w:tcW w:w="0" w:type="dxa"/>
            <w:vAlign w:val="bottom"/>
          </w:tcPr>
          <w:p>
            <w:pPr>
              <w:spacing w:after="0"/>
              <w:rPr>
                <w:sz w:val="1"/>
                <w:szCs w:val="1"/>
                <w:color w:val="auto"/>
              </w:rPr>
            </w:pPr>
          </w:p>
        </w:tc>
      </w:tr>
      <w:tr>
        <w:trPr>
          <w:trHeight w:val="216"/>
        </w:trPr>
        <w:tc>
          <w:tcPr>
            <w:tcW w:w="7100" w:type="dxa"/>
            <w:vAlign w:val="bottom"/>
          </w:tcPr>
          <w:p>
            <w:pPr>
              <w:spacing w:after="0"/>
              <w:rPr>
                <w:sz w:val="20"/>
                <w:szCs w:val="20"/>
                <w:color w:val="auto"/>
              </w:rPr>
            </w:pPr>
            <w:r>
              <w:rPr>
                <w:rFonts w:ascii="Times New Roman" w:cs="Times New Roman" w:eastAsia="Times New Roman" w:hAnsi="Times New Roman"/>
                <w:sz w:val="18"/>
                <w:szCs w:val="18"/>
                <w:color w:val="auto"/>
              </w:rPr>
              <w:t>Short-term lease costs</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4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284</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201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1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lease costs</w:t>
            </w: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40" w:type="dxa"/>
            <w:vAlign w:val="bottom"/>
            <w:shd w:val="clear" w:color="auto" w:fill="CFF0FC"/>
          </w:tcPr>
          <w:p>
            <w:pPr>
              <w:spacing w:after="0"/>
              <w:rPr>
                <w:sz w:val="18"/>
                <w:szCs w:val="18"/>
                <w:color w:val="auto"/>
              </w:rPr>
            </w:pPr>
          </w:p>
        </w:tc>
        <w:tc>
          <w:tcPr>
            <w:tcW w:w="660" w:type="dxa"/>
            <w:vAlign w:val="bottom"/>
            <w:gridSpan w:val="4"/>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3,941</w:t>
            </w:r>
          </w:p>
        </w:tc>
        <w:tc>
          <w:tcPr>
            <w:tcW w:w="10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660" w:type="dxa"/>
            <w:vAlign w:val="bottom"/>
            <w:gridSpan w:val="3"/>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3,497</w:t>
            </w:r>
          </w:p>
        </w:tc>
        <w:tc>
          <w:tcPr>
            <w:tcW w:w="0" w:type="dxa"/>
            <w:vAlign w:val="bottom"/>
          </w:tcPr>
          <w:p>
            <w:pPr>
              <w:spacing w:after="0"/>
              <w:rPr>
                <w:sz w:val="1"/>
                <w:szCs w:val="1"/>
                <w:color w:val="auto"/>
              </w:rPr>
            </w:pPr>
          </w:p>
        </w:tc>
      </w:tr>
      <w:tr>
        <w:trPr>
          <w:trHeight w:val="216"/>
        </w:trPr>
        <w:tc>
          <w:tcPr>
            <w:tcW w:w="71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Less: sublease income</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660" w:type="dxa"/>
            <w:vAlign w:val="bottom"/>
            <w:gridSpan w:val="4"/>
          </w:tcPr>
          <w:p>
            <w:pPr>
              <w:jc w:val="right"/>
              <w:ind w:right="60"/>
              <w:spacing w:after="0"/>
              <w:rPr>
                <w:sz w:val="20"/>
                <w:szCs w:val="20"/>
                <w:color w:val="auto"/>
              </w:rPr>
            </w:pPr>
            <w:r>
              <w:rPr>
                <w:rFonts w:ascii="Times New Roman" w:cs="Times New Roman" w:eastAsia="Times New Roman" w:hAnsi="Times New Roman"/>
                <w:sz w:val="18"/>
                <w:szCs w:val="18"/>
                <w:color w:val="auto"/>
              </w:rPr>
              <w:t>(226)</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66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(598)</w:t>
            </w:r>
          </w:p>
        </w:tc>
        <w:tc>
          <w:tcPr>
            <w:tcW w:w="0" w:type="dxa"/>
            <w:vAlign w:val="bottom"/>
          </w:tcPr>
          <w:p>
            <w:pPr>
              <w:spacing w:after="0"/>
              <w:rPr>
                <w:sz w:val="1"/>
                <w:szCs w:val="1"/>
                <w:color w:val="auto"/>
              </w:rPr>
            </w:pPr>
          </w:p>
        </w:tc>
      </w:tr>
      <w:tr>
        <w:trPr>
          <w:trHeight w:val="20"/>
        </w:trPr>
        <w:tc>
          <w:tcPr>
            <w:tcW w:w="7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60" w:type="dxa"/>
            <w:vAlign w:val="bottom"/>
            <w:tcBorders>
              <w:right w:val="single" w:sz="8" w:color="auto"/>
            </w:tcBorders>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6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9"/>
        </w:trPr>
        <w:tc>
          <w:tcPr>
            <w:tcW w:w="71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lease costs, net</w:t>
            </w:r>
          </w:p>
        </w:tc>
        <w:tc>
          <w:tcPr>
            <w:tcW w:w="1460" w:type="dxa"/>
            <w:vAlign w:val="bottom"/>
            <w:gridSpan w:val="3"/>
            <w:shd w:val="clear" w:color="auto" w:fill="CFF0FC"/>
          </w:tcPr>
          <w:p>
            <w:pPr>
              <w:jc w:val="right"/>
              <w:ind w:right="1088"/>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4"/>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3,715</w:t>
            </w:r>
          </w:p>
        </w:tc>
        <w:tc>
          <w:tcPr>
            <w:tcW w:w="1360" w:type="dxa"/>
            <w:vAlign w:val="bottom"/>
            <w:gridSpan w:val="3"/>
            <w:shd w:val="clear" w:color="auto" w:fill="CFF0FC"/>
          </w:tcPr>
          <w:p>
            <w:pPr>
              <w:jc w:val="right"/>
              <w:ind w:right="1048"/>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3"/>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2,899</w:t>
            </w:r>
          </w:p>
        </w:tc>
        <w:tc>
          <w:tcPr>
            <w:tcW w:w="0" w:type="dxa"/>
            <w:vAlign w:val="bottom"/>
          </w:tcPr>
          <w:p>
            <w:pPr>
              <w:spacing w:after="0"/>
              <w:rPr>
                <w:sz w:val="1"/>
                <w:szCs w:val="1"/>
                <w:color w:val="auto"/>
              </w:rPr>
            </w:pPr>
          </w:p>
        </w:tc>
      </w:tr>
      <w:tr>
        <w:trPr>
          <w:trHeight w:val="561"/>
        </w:trPr>
        <w:tc>
          <w:tcPr>
            <w:tcW w:w="710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b w:val="1"/>
                <w:bCs w:val="1"/>
                <w:i w:val="1"/>
                <w:iCs w:val="1"/>
                <w:color w:val="auto"/>
              </w:rPr>
              <w:t>Lease Term and Discount Rate</w:t>
            </w:r>
          </w:p>
        </w:tc>
        <w:tc>
          <w:tcPr>
            <w:tcW w:w="140" w:type="dxa"/>
            <w:vAlign w:val="bottom"/>
            <w:tcBorders>
              <w:top w:val="single" w:sz="8" w:color="CFF0FC"/>
            </w:tcBorders>
          </w:tcPr>
          <w:p>
            <w:pPr>
              <w:spacing w:after="0"/>
              <w:rPr>
                <w:sz w:val="24"/>
                <w:szCs w:val="24"/>
                <w:color w:val="auto"/>
              </w:rPr>
            </w:pPr>
          </w:p>
        </w:tc>
        <w:tc>
          <w:tcPr>
            <w:tcW w:w="80" w:type="dxa"/>
            <w:vAlign w:val="bottom"/>
            <w:tcBorders>
              <w:top w:val="single" w:sz="8" w:color="CFF0FC"/>
            </w:tcBorders>
          </w:tcPr>
          <w:p>
            <w:pPr>
              <w:spacing w:after="0"/>
              <w:rPr>
                <w:sz w:val="24"/>
                <w:szCs w:val="24"/>
                <w:color w:val="auto"/>
              </w:rPr>
            </w:pPr>
          </w:p>
        </w:tc>
        <w:tc>
          <w:tcPr>
            <w:tcW w:w="1240" w:type="dxa"/>
            <w:vAlign w:val="bottom"/>
            <w:tcBorders>
              <w:top w:val="single" w:sz="8" w:color="auto"/>
            </w:tcBorders>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20" w:type="dxa"/>
            <w:vAlign w:val="bottom"/>
            <w:tcBorders>
              <w:top w:val="single" w:sz="8" w:color="CFF0FC"/>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c>
          <w:tcPr>
            <w:tcW w:w="60" w:type="dxa"/>
            <w:vAlign w:val="bottom"/>
            <w:tcBorders>
              <w:top w:val="single" w:sz="8" w:color="CFF0FC"/>
            </w:tcBorders>
          </w:tcPr>
          <w:p>
            <w:pPr>
              <w:spacing w:after="0"/>
              <w:rPr>
                <w:sz w:val="24"/>
                <w:szCs w:val="24"/>
                <w:color w:val="auto"/>
              </w:rPr>
            </w:pPr>
          </w:p>
        </w:tc>
        <w:tc>
          <w:tcPr>
            <w:tcW w:w="1200" w:type="dxa"/>
            <w:vAlign w:val="bottom"/>
            <w:tcBorders>
              <w:top w:val="single" w:sz="8" w:color="auto"/>
            </w:tcBorders>
          </w:tcPr>
          <w:p>
            <w:pPr>
              <w:spacing w:after="0"/>
              <w:rPr>
                <w:sz w:val="24"/>
                <w:szCs w:val="24"/>
                <w:color w:val="auto"/>
              </w:rPr>
            </w:pPr>
          </w:p>
        </w:tc>
        <w:tc>
          <w:tcPr>
            <w:tcW w:w="500" w:type="dxa"/>
            <w:vAlign w:val="bottom"/>
            <w:tcBorders>
              <w:top w:val="single" w:sz="8" w:color="auto"/>
            </w:tcBorders>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710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Weighted average remaining lease terms and discount rates were as follows:</w:t>
            </w: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1"/>
        </w:trPr>
        <w:tc>
          <w:tcPr>
            <w:tcW w:w="7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March 31, 2025</w:t>
            </w: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60" w:type="dxa"/>
            <w:vAlign w:val="bottom"/>
            <w:gridSpan w:val="4"/>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0" w:type="dxa"/>
            <w:vAlign w:val="bottom"/>
          </w:tcPr>
          <w:p>
            <w:pPr>
              <w:spacing w:after="0"/>
              <w:rPr>
                <w:sz w:val="1"/>
                <w:szCs w:val="1"/>
                <w:color w:val="auto"/>
              </w:rPr>
            </w:pPr>
          </w:p>
        </w:tc>
      </w:tr>
      <w:tr>
        <w:trPr>
          <w:trHeight w:val="210"/>
        </w:trPr>
        <w:tc>
          <w:tcPr>
            <w:tcW w:w="71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leases:</w:t>
            </w:r>
          </w:p>
        </w:tc>
        <w:tc>
          <w:tcPr>
            <w:tcW w:w="140" w:type="dxa"/>
            <w:vAlign w:val="bottom"/>
            <w:tcBorders>
              <w:top w:val="single" w:sz="8" w:color="auto"/>
            </w:tcBorders>
            <w:shd w:val="clear" w:color="auto" w:fill="CFF0FC"/>
          </w:tcPr>
          <w:p>
            <w:pPr>
              <w:spacing w:after="0"/>
              <w:rPr>
                <w:sz w:val="18"/>
                <w:szCs w:val="18"/>
                <w:color w:val="auto"/>
              </w:rPr>
            </w:pPr>
          </w:p>
        </w:tc>
        <w:tc>
          <w:tcPr>
            <w:tcW w:w="80" w:type="dxa"/>
            <w:vAlign w:val="bottom"/>
            <w:tcBorders>
              <w:top w:val="single" w:sz="8" w:color="auto"/>
            </w:tcBorders>
            <w:shd w:val="clear" w:color="auto" w:fill="CFF0FC"/>
          </w:tcPr>
          <w:p>
            <w:pPr>
              <w:spacing w:after="0"/>
              <w:rPr>
                <w:sz w:val="18"/>
                <w:szCs w:val="18"/>
                <w:color w:val="auto"/>
              </w:rPr>
            </w:pPr>
          </w:p>
        </w:tc>
        <w:tc>
          <w:tcPr>
            <w:tcW w:w="1240" w:type="dxa"/>
            <w:vAlign w:val="bottom"/>
            <w:tcBorders>
              <w:top w:val="single" w:sz="8" w:color="auto"/>
            </w:tcBorders>
            <w:shd w:val="clear" w:color="auto" w:fill="CFF0FC"/>
          </w:tcPr>
          <w:p>
            <w:pPr>
              <w:spacing w:after="0"/>
              <w:rPr>
                <w:sz w:val="18"/>
                <w:szCs w:val="18"/>
                <w:color w:val="auto"/>
              </w:rPr>
            </w:pPr>
          </w:p>
        </w:tc>
        <w:tc>
          <w:tcPr>
            <w:tcW w:w="300" w:type="dxa"/>
            <w:vAlign w:val="bottom"/>
            <w:tcBorders>
              <w:top w:val="single" w:sz="8" w:color="auto"/>
            </w:tcBorders>
            <w:shd w:val="clear" w:color="auto" w:fill="CFF0FC"/>
          </w:tcPr>
          <w:p>
            <w:pPr>
              <w:spacing w:after="0"/>
              <w:rPr>
                <w:sz w:val="18"/>
                <w:szCs w:val="18"/>
                <w:color w:val="auto"/>
              </w:rPr>
            </w:pPr>
          </w:p>
        </w:tc>
        <w:tc>
          <w:tcPr>
            <w:tcW w:w="80" w:type="dxa"/>
            <w:vAlign w:val="bottom"/>
            <w:tcBorders>
              <w:top w:val="single" w:sz="8" w:color="auto"/>
            </w:tcBorders>
            <w:shd w:val="clear" w:color="auto" w:fill="CFF0FC"/>
          </w:tcPr>
          <w:p>
            <w:pPr>
              <w:spacing w:after="0"/>
              <w:rPr>
                <w:sz w:val="18"/>
                <w:szCs w:val="18"/>
                <w:color w:val="auto"/>
              </w:rPr>
            </w:pPr>
          </w:p>
        </w:tc>
        <w:tc>
          <w:tcPr>
            <w:tcW w:w="160" w:type="dxa"/>
            <w:vAlign w:val="bottom"/>
            <w:tcBorders>
              <w:right w:val="single" w:sz="8" w:color="CFF0FC"/>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60" w:type="dxa"/>
            <w:vAlign w:val="bottom"/>
            <w:tcBorders>
              <w:top w:val="single" w:sz="8" w:color="auto"/>
            </w:tcBorders>
            <w:shd w:val="clear" w:color="auto" w:fill="CFF0FC"/>
          </w:tcPr>
          <w:p>
            <w:pPr>
              <w:spacing w:after="0"/>
              <w:rPr>
                <w:sz w:val="18"/>
                <w:szCs w:val="18"/>
                <w:color w:val="auto"/>
              </w:rPr>
            </w:pPr>
          </w:p>
        </w:tc>
        <w:tc>
          <w:tcPr>
            <w:tcW w:w="1200" w:type="dxa"/>
            <w:vAlign w:val="bottom"/>
            <w:tcBorders>
              <w:top w:val="single" w:sz="8" w:color="auto"/>
            </w:tcBorders>
            <w:shd w:val="clear" w:color="auto" w:fill="CFF0FC"/>
          </w:tcPr>
          <w:p>
            <w:pPr>
              <w:spacing w:after="0"/>
              <w:rPr>
                <w:sz w:val="18"/>
                <w:szCs w:val="18"/>
                <w:color w:val="auto"/>
              </w:rPr>
            </w:pPr>
          </w:p>
        </w:tc>
        <w:tc>
          <w:tcPr>
            <w:tcW w:w="500" w:type="dxa"/>
            <w:vAlign w:val="bottom"/>
            <w:tcBorders>
              <w:top w:val="single" w:sz="8" w:color="auto"/>
            </w:tcBorders>
            <w:shd w:val="clear" w:color="auto" w:fill="CFF0FC"/>
          </w:tcPr>
          <w:p>
            <w:pPr>
              <w:spacing w:after="0"/>
              <w:rPr>
                <w:sz w:val="18"/>
                <w:szCs w:val="18"/>
                <w:color w:val="auto"/>
              </w:rPr>
            </w:pPr>
          </w:p>
        </w:tc>
        <w:tc>
          <w:tcPr>
            <w:tcW w:w="60" w:type="dxa"/>
            <w:vAlign w:val="bottom"/>
            <w:tcBorders>
              <w:right w:val="single" w:sz="8" w:color="CFF0FC"/>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00" w:type="dxa"/>
            <w:vAlign w:val="bottom"/>
          </w:tcPr>
          <w:p>
            <w:pPr>
              <w:spacing w:after="0"/>
              <w:rPr>
                <w:sz w:val="20"/>
                <w:szCs w:val="20"/>
                <w:color w:val="auto"/>
              </w:rPr>
            </w:pPr>
            <w:r>
              <w:rPr>
                <w:rFonts w:ascii="Times New Roman" w:cs="Times New Roman" w:eastAsia="Times New Roman" w:hAnsi="Times New Roman"/>
                <w:sz w:val="18"/>
                <w:szCs w:val="18"/>
                <w:color w:val="auto"/>
              </w:rPr>
              <w:t>Weighted average remaining lease term</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54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5.35</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5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5.48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Weighted average discount rate</w:t>
            </w: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40" w:type="dxa"/>
            <w:vAlign w:val="bottom"/>
            <w:shd w:val="clear" w:color="auto" w:fill="CFF0FC"/>
          </w:tcPr>
          <w:p>
            <w:pPr>
              <w:spacing w:after="0"/>
              <w:rPr>
                <w:sz w:val="18"/>
                <w:szCs w:val="18"/>
                <w:color w:val="auto"/>
              </w:rPr>
            </w:pPr>
          </w:p>
        </w:tc>
        <w:tc>
          <w:tcPr>
            <w:tcW w:w="660" w:type="dxa"/>
            <w:vAlign w:val="bottom"/>
            <w:gridSpan w:val="4"/>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6.22%</w:t>
            </w:r>
          </w:p>
        </w:tc>
        <w:tc>
          <w:tcPr>
            <w:tcW w:w="10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660" w:type="dxa"/>
            <w:vAlign w:val="bottom"/>
            <w:gridSpan w:val="3"/>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w w:val="98"/>
              </w:rPr>
              <w:t>6.20%</w:t>
            </w:r>
          </w:p>
        </w:tc>
        <w:tc>
          <w:tcPr>
            <w:tcW w:w="0" w:type="dxa"/>
            <w:vAlign w:val="bottom"/>
          </w:tcPr>
          <w:p>
            <w:pPr>
              <w:spacing w:after="0"/>
              <w:rPr>
                <w:sz w:val="1"/>
                <w:szCs w:val="1"/>
                <w:color w:val="auto"/>
              </w:rPr>
            </w:pPr>
          </w:p>
        </w:tc>
      </w:tr>
      <w:tr>
        <w:trPr>
          <w:trHeight w:val="581"/>
        </w:trPr>
        <w:tc>
          <w:tcPr>
            <w:tcW w:w="710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Maturity of Lease Liabilities</w:t>
            </w: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710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Remaining operating lease payments as of March 31, 2025 were as follows:</w:t>
            </w: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1"/>
        </w:trPr>
        <w:tc>
          <w:tcPr>
            <w:tcW w:w="7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Operating Leases</w:t>
            </w:r>
          </w:p>
        </w:tc>
        <w:tc>
          <w:tcPr>
            <w:tcW w:w="5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7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920" w:type="dxa"/>
            <w:vAlign w:val="bottom"/>
            <w:tcBorders>
              <w:bottom w:val="single" w:sz="8" w:color="auto"/>
            </w:tcBorders>
            <w:gridSpan w:val="5"/>
          </w:tcPr>
          <w:p>
            <w:pPr>
              <w:jc w:val="right"/>
              <w:ind w:right="380"/>
              <w:spacing w:after="0" w:line="142" w:lineRule="exact"/>
              <w:rPr>
                <w:sz w:val="20"/>
                <w:szCs w:val="20"/>
                <w:color w:val="auto"/>
              </w:rPr>
            </w:pPr>
            <w:r>
              <w:rPr>
                <w:rFonts w:ascii="Times New Roman" w:cs="Times New Roman" w:eastAsia="Times New Roman" w:hAnsi="Times New Roman"/>
                <w:sz w:val="14"/>
                <w:szCs w:val="14"/>
                <w:b w:val="1"/>
                <w:bCs w:val="1"/>
                <w:color w:val="auto"/>
              </w:rPr>
              <w:t>(Amounts in Thousands)</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71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Due in the 12-month period ended March 31,</w:t>
            </w: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60" w:type="dxa"/>
            <w:vAlign w:val="bottom"/>
            <w:tcBorders>
              <w:right w:val="single" w:sz="8" w:color="CFF0FC"/>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60" w:type="dxa"/>
            <w:vAlign w:val="bottom"/>
            <w:tcBorders>
              <w:right w:val="single" w:sz="8" w:color="CFF0FC"/>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2026</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54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5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15,349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0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2027</w:t>
            </w: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60" w:type="dxa"/>
            <w:vAlign w:val="bottom"/>
            <w:tcBorders>
              <w:right w:val="single" w:sz="8" w:color="CFF0FC"/>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560" w:type="dxa"/>
            <w:vAlign w:val="bottom"/>
            <w:tcBorders>
              <w:right w:val="single" w:sz="8" w:color="CFF0FC"/>
            </w:tcBorders>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12,435</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2028</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5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9,150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0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2029</w:t>
            </w: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60" w:type="dxa"/>
            <w:vAlign w:val="bottom"/>
            <w:tcBorders>
              <w:right w:val="single" w:sz="8" w:color="CFF0FC"/>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560" w:type="dxa"/>
            <w:vAlign w:val="bottom"/>
            <w:tcBorders>
              <w:right w:val="single" w:sz="8" w:color="CFF0FC"/>
            </w:tcBorders>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6,801</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2030</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5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6,129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00" w:type="dxa"/>
            <w:vAlign w:val="bottom"/>
            <w:tcBorders>
              <w:bottom w:val="single" w:sz="8" w:color="CFF0FC"/>
            </w:tcBorders>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Thereafter</w:t>
            </w:r>
          </w:p>
        </w:tc>
        <w:tc>
          <w:tcPr>
            <w:tcW w:w="14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124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auto"/>
            </w:tcBorders>
            <w:shd w:val="clear" w:color="auto" w:fill="CFF0FC"/>
          </w:tcPr>
          <w:p>
            <w:pPr>
              <w:spacing w:after="0"/>
              <w:rPr>
                <w:sz w:val="18"/>
                <w:szCs w:val="18"/>
                <w:color w:val="auto"/>
              </w:rPr>
            </w:pPr>
          </w:p>
        </w:tc>
        <w:tc>
          <w:tcPr>
            <w:tcW w:w="160" w:type="dxa"/>
            <w:vAlign w:val="bottom"/>
            <w:tcBorders>
              <w:bottom w:val="single" w:sz="8" w:color="auto"/>
              <w:right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60" w:type="dxa"/>
            <w:vAlign w:val="bottom"/>
            <w:tcBorders>
              <w:bottom w:val="single" w:sz="8" w:color="auto"/>
            </w:tcBorders>
            <w:shd w:val="clear" w:color="auto" w:fill="CFF0FC"/>
          </w:tcPr>
          <w:p>
            <w:pPr>
              <w:spacing w:after="0"/>
              <w:rPr>
                <w:sz w:val="18"/>
                <w:szCs w:val="18"/>
                <w:color w:val="auto"/>
              </w:rPr>
            </w:pPr>
          </w:p>
        </w:tc>
        <w:tc>
          <w:tcPr>
            <w:tcW w:w="1200" w:type="dxa"/>
            <w:vAlign w:val="bottom"/>
            <w:tcBorders>
              <w:bottom w:val="single" w:sz="8" w:color="auto"/>
            </w:tcBorders>
            <w:shd w:val="clear" w:color="auto" w:fill="CFF0FC"/>
          </w:tcPr>
          <w:p>
            <w:pPr>
              <w:spacing w:after="0"/>
              <w:rPr>
                <w:sz w:val="18"/>
                <w:szCs w:val="18"/>
                <w:color w:val="auto"/>
              </w:rPr>
            </w:pPr>
          </w:p>
        </w:tc>
        <w:tc>
          <w:tcPr>
            <w:tcW w:w="560" w:type="dxa"/>
            <w:vAlign w:val="bottom"/>
            <w:tcBorders>
              <w:bottom w:val="single" w:sz="8" w:color="auto"/>
              <w:right w:val="single" w:sz="8" w:color="CFF0FC"/>
            </w:tcBorders>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11,786</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100" w:type="dxa"/>
            <w:vAlign w:val="bottom"/>
          </w:tcPr>
          <w:p>
            <w:pPr>
              <w:spacing w:after="0"/>
              <w:rPr>
                <w:sz w:val="20"/>
                <w:szCs w:val="20"/>
                <w:color w:val="auto"/>
              </w:rPr>
            </w:pPr>
            <w:r>
              <w:rPr>
                <w:rFonts w:ascii="Times New Roman" w:cs="Times New Roman" w:eastAsia="Times New Roman" w:hAnsi="Times New Roman"/>
                <w:sz w:val="18"/>
                <w:szCs w:val="18"/>
                <w:color w:val="auto"/>
              </w:rPr>
              <w:t>Total future minimum rental commitments</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5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61,650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0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Less: Imputed interest</w:t>
            </w: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60" w:type="dxa"/>
            <w:vAlign w:val="bottom"/>
            <w:tcBorders>
              <w:right w:val="single" w:sz="8" w:color="CFF0FC"/>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660" w:type="dxa"/>
            <w:vAlign w:val="bottom"/>
            <w:gridSpan w:val="3"/>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(9,587)</w:t>
            </w:r>
          </w:p>
        </w:tc>
        <w:tc>
          <w:tcPr>
            <w:tcW w:w="0" w:type="dxa"/>
            <w:vAlign w:val="bottom"/>
          </w:tcPr>
          <w:p>
            <w:pPr>
              <w:spacing w:after="0"/>
              <w:rPr>
                <w:sz w:val="1"/>
                <w:szCs w:val="1"/>
                <w:color w:val="auto"/>
              </w:rPr>
            </w:pPr>
          </w:p>
        </w:tc>
      </w:tr>
      <w:tr>
        <w:trPr>
          <w:trHeight w:val="210"/>
        </w:trPr>
        <w:tc>
          <w:tcPr>
            <w:tcW w:w="710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color w:val="auto"/>
              </w:rPr>
              <w:t>Total lease liabilities</w:t>
            </w:r>
          </w:p>
        </w:tc>
        <w:tc>
          <w:tcPr>
            <w:tcW w:w="140" w:type="dxa"/>
            <w:vAlign w:val="bottom"/>
            <w:tcBorders>
              <w:top w:val="single" w:sz="8" w:color="CFF0FC"/>
            </w:tcBorders>
          </w:tcPr>
          <w:p>
            <w:pPr>
              <w:spacing w:after="0"/>
              <w:rPr>
                <w:sz w:val="18"/>
                <w:szCs w:val="18"/>
                <w:color w:val="auto"/>
              </w:rPr>
            </w:pPr>
          </w:p>
        </w:tc>
        <w:tc>
          <w:tcPr>
            <w:tcW w:w="80" w:type="dxa"/>
            <w:vAlign w:val="bottom"/>
            <w:tcBorders>
              <w:top w:val="single" w:sz="8" w:color="CFF0FC"/>
            </w:tcBorders>
          </w:tcPr>
          <w:p>
            <w:pPr>
              <w:spacing w:after="0"/>
              <w:rPr>
                <w:sz w:val="18"/>
                <w:szCs w:val="18"/>
                <w:color w:val="auto"/>
              </w:rPr>
            </w:pPr>
          </w:p>
        </w:tc>
        <w:tc>
          <w:tcPr>
            <w:tcW w:w="1240" w:type="dxa"/>
            <w:vAlign w:val="bottom"/>
            <w:tcBorders>
              <w:top w:val="single" w:sz="8" w:color="CFF0FC"/>
            </w:tcBorders>
          </w:tcPr>
          <w:p>
            <w:pPr>
              <w:spacing w:after="0"/>
              <w:rPr>
                <w:sz w:val="18"/>
                <w:szCs w:val="18"/>
                <w:color w:val="auto"/>
              </w:rPr>
            </w:pPr>
          </w:p>
        </w:tc>
        <w:tc>
          <w:tcPr>
            <w:tcW w:w="300" w:type="dxa"/>
            <w:vAlign w:val="bottom"/>
            <w:tcBorders>
              <w:top w:val="single" w:sz="8" w:color="CFF0FC"/>
            </w:tcBorders>
          </w:tcPr>
          <w:p>
            <w:pPr>
              <w:spacing w:after="0"/>
              <w:rPr>
                <w:sz w:val="18"/>
                <w:szCs w:val="18"/>
                <w:color w:val="auto"/>
              </w:rPr>
            </w:pPr>
          </w:p>
        </w:tc>
        <w:tc>
          <w:tcPr>
            <w:tcW w:w="240" w:type="dxa"/>
            <w:vAlign w:val="bottom"/>
            <w:tcBorders>
              <w:top w:val="single" w:sz="8" w:color="auto"/>
              <w:bottom w:val="single" w:sz="8" w:color="auto"/>
            </w:tcBorders>
            <w:gridSpan w:val="2"/>
          </w:tcPr>
          <w:p>
            <w:pPr>
              <w:jc w:val="right"/>
              <w:ind w:right="140"/>
              <w:spacing w:after="0"/>
              <w:rPr>
                <w:sz w:val="20"/>
                <w:szCs w:val="20"/>
                <w:color w:val="auto"/>
              </w:rPr>
            </w:pPr>
            <w:r>
              <w:rPr>
                <w:rFonts w:ascii="Times New Roman" w:cs="Times New Roman" w:eastAsia="Times New Roman" w:hAnsi="Times New Roman"/>
                <w:sz w:val="18"/>
                <w:szCs w:val="18"/>
                <w:color w:val="auto"/>
                <w:w w:val="88"/>
              </w:rPr>
              <w:t>$</w:t>
            </w:r>
          </w:p>
        </w:tc>
        <w:tc>
          <w:tcPr>
            <w:tcW w:w="12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60" w:type="dxa"/>
            <w:vAlign w:val="bottom"/>
            <w:tcBorders>
              <w:top w:val="single" w:sz="8" w:color="auto"/>
              <w:bottom w:val="single" w:sz="8" w:color="auto"/>
            </w:tcBorders>
          </w:tcPr>
          <w:p>
            <w:pPr>
              <w:spacing w:after="0"/>
              <w:rPr>
                <w:sz w:val="18"/>
                <w:szCs w:val="18"/>
                <w:color w:val="auto"/>
              </w:rPr>
            </w:pPr>
          </w:p>
        </w:tc>
        <w:tc>
          <w:tcPr>
            <w:tcW w:w="1200" w:type="dxa"/>
            <w:vAlign w:val="bottom"/>
            <w:tcBorders>
              <w:top w:val="single" w:sz="8" w:color="auto"/>
              <w:bottom w:val="single" w:sz="8" w:color="auto"/>
            </w:tcBorders>
          </w:tcPr>
          <w:p>
            <w:pPr>
              <w:spacing w:after="0"/>
              <w:rPr>
                <w:sz w:val="18"/>
                <w:szCs w:val="18"/>
                <w:color w:val="auto"/>
              </w:rPr>
            </w:pPr>
          </w:p>
        </w:tc>
        <w:tc>
          <w:tcPr>
            <w:tcW w:w="560" w:type="dxa"/>
            <w:vAlign w:val="bottom"/>
            <w:tcBorders>
              <w:top w:val="single" w:sz="8" w:color="auto"/>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52,063</w:t>
            </w:r>
          </w:p>
        </w:tc>
        <w:tc>
          <w:tcPr>
            <w:tcW w:w="100" w:type="dxa"/>
            <w:vAlign w:val="bottom"/>
            <w:tcBorders>
              <w:top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10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i w:val="1"/>
                <w:iCs w:val="1"/>
                <w:color w:val="auto"/>
              </w:rPr>
              <w:t>Supplemental Cash Flows Information</w:t>
            </w: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61"/>
        </w:trPr>
        <w:tc>
          <w:tcPr>
            <w:tcW w:w="710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0"/>
        </w:trPr>
        <w:tc>
          <w:tcPr>
            <w:tcW w:w="7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60" w:type="dxa"/>
            <w:vAlign w:val="bottom"/>
            <w:gridSpan w:val="8"/>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For the Three Months Ended March 31,</w:t>
            </w:r>
          </w:p>
        </w:tc>
        <w:tc>
          <w:tcPr>
            <w:tcW w:w="5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3"/>
        </w:trPr>
        <w:tc>
          <w:tcPr>
            <w:tcW w:w="7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3260" w:type="dxa"/>
            <w:vAlign w:val="bottom"/>
            <w:tcBorders>
              <w:bottom w:val="single" w:sz="8" w:color="auto"/>
            </w:tcBorders>
            <w:gridSpan w:val="8"/>
          </w:tcPr>
          <w:p>
            <w:pPr>
              <w:jc w:val="right"/>
              <w:ind w:right="568"/>
              <w:spacing w:after="0"/>
              <w:rPr>
                <w:sz w:val="20"/>
                <w:szCs w:val="20"/>
                <w:color w:val="auto"/>
              </w:rPr>
            </w:pPr>
            <w:r>
              <w:rPr>
                <w:rFonts w:ascii="Times New Roman" w:cs="Times New Roman" w:eastAsia="Times New Roman" w:hAnsi="Times New Roman"/>
                <w:sz w:val="14"/>
                <w:szCs w:val="14"/>
                <w:b w:val="1"/>
                <w:bCs w:val="1"/>
                <w:color w:val="auto"/>
              </w:rPr>
              <w:t>(Amounts in Thousands)</w:t>
            </w:r>
          </w:p>
        </w:tc>
        <w:tc>
          <w:tcPr>
            <w:tcW w:w="50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7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20" w:type="dxa"/>
            <w:vAlign w:val="bottom"/>
            <w:gridSpan w:val="2"/>
          </w:tcPr>
          <w:p>
            <w:pPr>
              <w:jc w:val="right"/>
              <w:ind w:right="188"/>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60" w:type="dxa"/>
            <w:vAlign w:val="bottom"/>
            <w:gridSpan w:val="3"/>
          </w:tcPr>
          <w:p>
            <w:pPr>
              <w:jc w:val="right"/>
              <w:ind w:right="128"/>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71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 paid for amounts included in the measurement of lease liabilities:</w:t>
            </w:r>
          </w:p>
        </w:tc>
        <w:tc>
          <w:tcPr>
            <w:tcW w:w="140" w:type="dxa"/>
            <w:vAlign w:val="bottom"/>
            <w:shd w:val="clear" w:color="auto" w:fill="CFF0FC"/>
          </w:tcPr>
          <w:p>
            <w:pPr>
              <w:spacing w:after="0"/>
              <w:rPr>
                <w:sz w:val="18"/>
                <w:szCs w:val="18"/>
                <w:color w:val="auto"/>
              </w:rPr>
            </w:pPr>
          </w:p>
        </w:tc>
        <w:tc>
          <w:tcPr>
            <w:tcW w:w="80" w:type="dxa"/>
            <w:vAlign w:val="bottom"/>
            <w:tcBorders>
              <w:top w:val="single" w:sz="8" w:color="auto"/>
            </w:tcBorders>
            <w:shd w:val="clear" w:color="auto" w:fill="CFF0FC"/>
          </w:tcPr>
          <w:p>
            <w:pPr>
              <w:spacing w:after="0"/>
              <w:rPr>
                <w:sz w:val="18"/>
                <w:szCs w:val="18"/>
                <w:color w:val="auto"/>
              </w:rPr>
            </w:pPr>
          </w:p>
        </w:tc>
        <w:tc>
          <w:tcPr>
            <w:tcW w:w="1240" w:type="dxa"/>
            <w:vAlign w:val="bottom"/>
            <w:tcBorders>
              <w:top w:val="single" w:sz="8" w:color="auto"/>
            </w:tcBorders>
            <w:shd w:val="clear" w:color="auto" w:fill="CFF0FC"/>
          </w:tcPr>
          <w:p>
            <w:pPr>
              <w:spacing w:after="0"/>
              <w:rPr>
                <w:sz w:val="18"/>
                <w:szCs w:val="18"/>
                <w:color w:val="auto"/>
              </w:rPr>
            </w:pPr>
          </w:p>
        </w:tc>
        <w:tc>
          <w:tcPr>
            <w:tcW w:w="300" w:type="dxa"/>
            <w:vAlign w:val="bottom"/>
            <w:tcBorders>
              <w:top w:val="single" w:sz="8" w:color="auto"/>
            </w:tcBorders>
            <w:shd w:val="clear" w:color="auto" w:fill="CFF0FC"/>
          </w:tcPr>
          <w:p>
            <w:pPr>
              <w:spacing w:after="0"/>
              <w:rPr>
                <w:sz w:val="18"/>
                <w:szCs w:val="18"/>
                <w:color w:val="auto"/>
              </w:rPr>
            </w:pPr>
          </w:p>
        </w:tc>
        <w:tc>
          <w:tcPr>
            <w:tcW w:w="80" w:type="dxa"/>
            <w:vAlign w:val="bottom"/>
            <w:tcBorders>
              <w:top w:val="single" w:sz="8" w:color="auto"/>
            </w:tcBorders>
            <w:shd w:val="clear" w:color="auto" w:fill="CFF0FC"/>
          </w:tcPr>
          <w:p>
            <w:pPr>
              <w:spacing w:after="0"/>
              <w:rPr>
                <w:sz w:val="18"/>
                <w:szCs w:val="18"/>
                <w:color w:val="auto"/>
              </w:rPr>
            </w:pPr>
          </w:p>
        </w:tc>
        <w:tc>
          <w:tcPr>
            <w:tcW w:w="160" w:type="dxa"/>
            <w:vAlign w:val="bottom"/>
            <w:tcBorders>
              <w:top w:val="single" w:sz="8" w:color="auto"/>
              <w:right w:val="single" w:sz="8" w:color="CFF0FC"/>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0" w:type="dxa"/>
            <w:vAlign w:val="bottom"/>
            <w:tcBorders>
              <w:top w:val="single" w:sz="8" w:color="auto"/>
            </w:tcBorders>
            <w:shd w:val="clear" w:color="auto" w:fill="CFF0FC"/>
          </w:tcPr>
          <w:p>
            <w:pPr>
              <w:spacing w:after="0"/>
              <w:rPr>
                <w:sz w:val="18"/>
                <w:szCs w:val="18"/>
                <w:color w:val="auto"/>
              </w:rPr>
            </w:pPr>
          </w:p>
        </w:tc>
        <w:tc>
          <w:tcPr>
            <w:tcW w:w="1200" w:type="dxa"/>
            <w:vAlign w:val="bottom"/>
            <w:tcBorders>
              <w:top w:val="single" w:sz="8" w:color="auto"/>
            </w:tcBorders>
            <w:shd w:val="clear" w:color="auto" w:fill="CFF0FC"/>
          </w:tcPr>
          <w:p>
            <w:pPr>
              <w:spacing w:after="0"/>
              <w:rPr>
                <w:sz w:val="18"/>
                <w:szCs w:val="18"/>
                <w:color w:val="auto"/>
              </w:rPr>
            </w:pPr>
          </w:p>
        </w:tc>
        <w:tc>
          <w:tcPr>
            <w:tcW w:w="500" w:type="dxa"/>
            <w:vAlign w:val="bottom"/>
            <w:tcBorders>
              <w:top w:val="single" w:sz="8" w:color="auto"/>
            </w:tcBorders>
            <w:shd w:val="clear" w:color="auto" w:fill="CFF0FC"/>
          </w:tcPr>
          <w:p>
            <w:pPr>
              <w:spacing w:after="0"/>
              <w:rPr>
                <w:sz w:val="18"/>
                <w:szCs w:val="18"/>
                <w:color w:val="auto"/>
              </w:rPr>
            </w:pPr>
          </w:p>
        </w:tc>
        <w:tc>
          <w:tcPr>
            <w:tcW w:w="60" w:type="dxa"/>
            <w:vAlign w:val="bottom"/>
            <w:tcBorders>
              <w:top w:val="single" w:sz="8" w:color="auto"/>
              <w:right w:val="single" w:sz="8" w:color="CFF0FC"/>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Operating cash flows from operating leases</w:t>
            </w:r>
          </w:p>
        </w:tc>
        <w:tc>
          <w:tcPr>
            <w:tcW w:w="1460" w:type="dxa"/>
            <w:vAlign w:val="bottom"/>
            <w:gridSpan w:val="3"/>
          </w:tcPr>
          <w:p>
            <w:pPr>
              <w:jc w:val="right"/>
              <w:ind w:right="1168"/>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4,182</w:t>
            </w:r>
          </w:p>
        </w:tc>
        <w:tc>
          <w:tcPr>
            <w:tcW w:w="120" w:type="dxa"/>
            <w:vAlign w:val="bottom"/>
          </w:tcPr>
          <w:p>
            <w:pPr>
              <w:spacing w:after="0"/>
              <w:rPr>
                <w:sz w:val="18"/>
                <w:szCs w:val="18"/>
                <w:color w:val="auto"/>
              </w:rPr>
            </w:pPr>
          </w:p>
        </w:tc>
        <w:tc>
          <w:tcPr>
            <w:tcW w:w="1360" w:type="dxa"/>
            <w:vAlign w:val="bottom"/>
            <w:gridSpan w:val="3"/>
          </w:tcPr>
          <w:p>
            <w:pPr>
              <w:jc w:val="right"/>
              <w:ind w:right="1088"/>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3,589</w:t>
            </w:r>
          </w:p>
        </w:tc>
        <w:tc>
          <w:tcPr>
            <w:tcW w:w="0" w:type="dxa"/>
            <w:vAlign w:val="bottom"/>
          </w:tcPr>
          <w:p>
            <w:pPr>
              <w:spacing w:after="0"/>
              <w:rPr>
                <w:sz w:val="1"/>
                <w:szCs w:val="1"/>
                <w:color w:val="auto"/>
              </w:rPr>
            </w:pPr>
          </w:p>
        </w:tc>
      </w:tr>
      <w:tr>
        <w:trPr>
          <w:trHeight w:val="216"/>
        </w:trPr>
        <w:tc>
          <w:tcPr>
            <w:tcW w:w="7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60" w:type="dxa"/>
            <w:vAlign w:val="bottom"/>
            <w:tcBorders>
              <w:right w:val="single" w:sz="8" w:color="CFF0FC"/>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60" w:type="dxa"/>
            <w:vAlign w:val="bottom"/>
            <w:tcBorders>
              <w:right w:val="single" w:sz="8" w:color="CFF0FC"/>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00" w:type="dxa"/>
            <w:vAlign w:val="bottom"/>
          </w:tcPr>
          <w:p>
            <w:pPr>
              <w:spacing w:after="0"/>
              <w:rPr>
                <w:sz w:val="20"/>
                <w:szCs w:val="20"/>
                <w:color w:val="auto"/>
              </w:rPr>
            </w:pPr>
            <w:r>
              <w:rPr>
                <w:rFonts w:ascii="Times New Roman" w:cs="Times New Roman" w:eastAsia="Times New Roman" w:hAnsi="Times New Roman"/>
                <w:sz w:val="18"/>
                <w:szCs w:val="18"/>
                <w:color w:val="auto"/>
              </w:rPr>
              <w:t>Right-of-use assets obtained in exchange for lease obligations:</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Operating leases</w:t>
            </w:r>
          </w:p>
        </w:tc>
        <w:tc>
          <w:tcPr>
            <w:tcW w:w="1460" w:type="dxa"/>
            <w:vAlign w:val="bottom"/>
            <w:gridSpan w:val="3"/>
            <w:shd w:val="clear" w:color="auto" w:fill="CFF0FC"/>
          </w:tcPr>
          <w:p>
            <w:pPr>
              <w:jc w:val="right"/>
              <w:ind w:right="1168"/>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right w:val="single" w:sz="8" w:color="CFF0FC"/>
            </w:tcBorders>
            <w:gridSpan w:val="3"/>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979</w:t>
            </w:r>
          </w:p>
        </w:tc>
        <w:tc>
          <w:tcPr>
            <w:tcW w:w="120" w:type="dxa"/>
            <w:vAlign w:val="bottom"/>
            <w:shd w:val="clear" w:color="auto" w:fill="CFF0FC"/>
          </w:tcPr>
          <w:p>
            <w:pPr>
              <w:spacing w:after="0"/>
              <w:rPr>
                <w:sz w:val="18"/>
                <w:szCs w:val="18"/>
                <w:color w:val="auto"/>
              </w:rPr>
            </w:pPr>
          </w:p>
        </w:tc>
        <w:tc>
          <w:tcPr>
            <w:tcW w:w="1360" w:type="dxa"/>
            <w:vAlign w:val="bottom"/>
            <w:gridSpan w:val="3"/>
            <w:shd w:val="clear" w:color="auto" w:fill="CFF0FC"/>
          </w:tcPr>
          <w:p>
            <w:pPr>
              <w:jc w:val="right"/>
              <w:ind w:right="1088"/>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3"/>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2,137</w:t>
            </w:r>
          </w:p>
        </w:tc>
        <w:tc>
          <w:tcPr>
            <w:tcW w:w="0" w:type="dxa"/>
            <w:vAlign w:val="bottom"/>
          </w:tcPr>
          <w:p>
            <w:pPr>
              <w:spacing w:after="0"/>
              <w:rPr>
                <w:sz w:val="1"/>
                <w:szCs w:val="1"/>
                <w:color w:val="auto"/>
              </w:rPr>
            </w:pPr>
          </w:p>
        </w:tc>
      </w:tr>
      <w:tr>
        <w:trPr>
          <w:trHeight w:val="628"/>
        </w:trPr>
        <w:tc>
          <w:tcPr>
            <w:tcW w:w="7100" w:type="dxa"/>
            <w:vAlign w:val="bottom"/>
          </w:tcPr>
          <w:p>
            <w:pPr>
              <w:ind w:left="5540"/>
              <w:spacing w:after="0"/>
              <w:rPr>
                <w:sz w:val="20"/>
                <w:szCs w:val="20"/>
                <w:color w:val="auto"/>
              </w:rPr>
            </w:pPr>
            <w:r>
              <w:rPr>
                <w:rFonts w:ascii="Times New Roman" w:cs="Times New Roman" w:eastAsia="Times New Roman" w:hAnsi="Times New Roman"/>
                <w:sz w:val="16"/>
                <w:szCs w:val="16"/>
                <w:color w:val="auto"/>
              </w:rPr>
              <w:t>10</w:t>
            </w: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9"/>
        </w:trPr>
        <w:tc>
          <w:tcPr>
            <w:tcW w:w="710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24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1200" w:type="dxa"/>
            <w:vAlign w:val="bottom"/>
            <w:tcBorders>
              <w:bottom w:val="single" w:sz="8" w:color="9A9A9A"/>
            </w:tcBorders>
          </w:tcPr>
          <w:p>
            <w:pPr>
              <w:spacing w:after="0"/>
              <w:rPr>
                <w:sz w:val="24"/>
                <w:szCs w:val="24"/>
                <w:color w:val="auto"/>
              </w:rPr>
            </w:pPr>
          </w:p>
        </w:tc>
        <w:tc>
          <w:tcPr>
            <w:tcW w:w="50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5774055</wp:posOffset>
            </wp:positionH>
            <wp:positionV relativeFrom="paragraph">
              <wp:posOffset>-5956935</wp:posOffset>
            </wp:positionV>
            <wp:extent cx="76835"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5774055</wp:posOffset>
            </wp:positionH>
            <wp:positionV relativeFrom="paragraph">
              <wp:posOffset>-5939790</wp:posOffset>
            </wp:positionV>
            <wp:extent cx="76835"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-5956935</wp:posOffset>
            </wp:positionV>
            <wp:extent cx="68580"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-5939790</wp:posOffset>
            </wp:positionV>
            <wp:extent cx="68580"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-2845435</wp:posOffset>
            </wp:positionV>
            <wp:extent cx="77470"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-2562225</wp:posOffset>
            </wp:positionV>
            <wp:extent cx="77470"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u w:val="single" w:color="auto"/>
          <w:color w:val="0563C1"/>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-5080</wp:posOffset>
            </wp:positionV>
            <wp:extent cx="869315"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869315" cy="8890"/>
                    </a:xfrm>
                    <a:prstGeom prst="rect">
                      <a:avLst/>
                    </a:prstGeom>
                    <a:noFill/>
                  </pic:spPr>
                </pic:pic>
              </a:graphicData>
            </a:graphic>
          </wp:anchor>
        </w:drawing>
      </w: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Goodwill and Intangible Assets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 summary of the goodwill by segment and related adjustments is provided below:</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40" w:type="dxa"/>
            <w:vAlign w:val="bottom"/>
            <w:vMerge w:val="restart"/>
          </w:tcPr>
          <w:p>
            <w:pPr>
              <w:jc w:val="right"/>
              <w:ind w:right="235"/>
              <w:spacing w:after="0"/>
              <w:rPr>
                <w:sz w:val="20"/>
                <w:szCs w:val="20"/>
                <w:color w:val="auto"/>
              </w:rPr>
            </w:pPr>
            <w:r>
              <w:rPr>
                <w:rFonts w:ascii="Times New Roman" w:cs="Times New Roman" w:eastAsia="Times New Roman" w:hAnsi="Times New Roman"/>
                <w:sz w:val="14"/>
                <w:szCs w:val="14"/>
                <w:b w:val="1"/>
                <w:bCs w:val="1"/>
                <w:color w:val="auto"/>
              </w:rPr>
              <w:t>Hospice</w:t>
            </w: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60" w:type="dxa"/>
            <w:vAlign w:val="bottom"/>
            <w:gridSpan w:val="2"/>
            <w:vMerge w:val="restart"/>
          </w:tcPr>
          <w:p>
            <w:pPr>
              <w:jc w:val="right"/>
              <w:ind w:right="208"/>
              <w:spacing w:after="0"/>
              <w:rPr>
                <w:sz w:val="20"/>
                <w:szCs w:val="20"/>
                <w:color w:val="auto"/>
              </w:rPr>
            </w:pPr>
            <w:r>
              <w:rPr>
                <w:rFonts w:ascii="Times New Roman" w:cs="Times New Roman" w:eastAsia="Times New Roman" w:hAnsi="Times New Roman"/>
                <w:sz w:val="14"/>
                <w:szCs w:val="14"/>
                <w:b w:val="1"/>
                <w:bCs w:val="1"/>
                <w:color w:val="auto"/>
              </w:rPr>
              <w:t>Personal Care</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80" w:type="dxa"/>
            <w:vAlign w:val="bottom"/>
            <w:gridSpan w:val="2"/>
          </w:tcPr>
          <w:p>
            <w:pPr>
              <w:jc w:val="right"/>
              <w:ind w:right="640"/>
              <w:spacing w:after="0"/>
              <w:rPr>
                <w:sz w:val="20"/>
                <w:szCs w:val="20"/>
                <w:color w:val="auto"/>
              </w:rPr>
            </w:pPr>
            <w:r>
              <w:rPr>
                <w:rFonts w:ascii="Times New Roman" w:cs="Times New Roman" w:eastAsia="Times New Roman" w:hAnsi="Times New Roman"/>
                <w:sz w:val="14"/>
                <w:szCs w:val="14"/>
                <w:b w:val="1"/>
                <w:bCs w:val="1"/>
                <w:color w:val="auto"/>
              </w:rPr>
              <w:t>Home</w:t>
            </w:r>
          </w:p>
        </w:tc>
        <w:tc>
          <w:tcPr>
            <w:tcW w:w="240" w:type="dxa"/>
            <w:vAlign w:val="bottom"/>
          </w:tcPr>
          <w:p>
            <w:pPr>
              <w:spacing w:after="0"/>
              <w:rPr>
                <w:sz w:val="13"/>
                <w:szCs w:val="13"/>
                <w:color w:val="auto"/>
              </w:rPr>
            </w:pPr>
          </w:p>
        </w:tc>
        <w:tc>
          <w:tcPr>
            <w:tcW w:w="1020" w:type="dxa"/>
            <w:vAlign w:val="bottom"/>
            <w:gridSpan w:val="2"/>
            <w:vMerge w:val="restart"/>
          </w:tcPr>
          <w:p>
            <w:pPr>
              <w:jc w:val="right"/>
              <w:ind w:right="54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3"/>
        </w:trPr>
        <w:tc>
          <w:tcPr>
            <w:tcW w:w="58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40" w:type="dxa"/>
            <w:vAlign w:val="bottom"/>
            <w:vMerge w:val="continue"/>
          </w:tcPr>
          <w:p>
            <w:pPr>
              <w:spacing w:after="0"/>
              <w:rPr>
                <w:sz w:val="15"/>
                <w:szCs w:val="15"/>
                <w:color w:val="auto"/>
              </w:rPr>
            </w:pP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6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80" w:type="dxa"/>
            <w:vAlign w:val="bottom"/>
            <w:gridSpan w:val="2"/>
          </w:tcPr>
          <w:p>
            <w:pPr>
              <w:jc w:val="right"/>
              <w:ind w:right="620"/>
              <w:spacing w:after="0"/>
              <w:rPr>
                <w:sz w:val="20"/>
                <w:szCs w:val="20"/>
                <w:color w:val="auto"/>
              </w:rPr>
            </w:pPr>
            <w:r>
              <w:rPr>
                <w:rFonts w:ascii="Times New Roman" w:cs="Times New Roman" w:eastAsia="Times New Roman" w:hAnsi="Times New Roman"/>
                <w:sz w:val="14"/>
                <w:szCs w:val="14"/>
                <w:b w:val="1"/>
                <w:bCs w:val="1"/>
                <w:color w:val="auto"/>
              </w:rPr>
              <w:t>Health</w:t>
            </w:r>
          </w:p>
        </w:tc>
        <w:tc>
          <w:tcPr>
            <w:tcW w:w="240" w:type="dxa"/>
            <w:vAlign w:val="bottom"/>
          </w:tcPr>
          <w:p>
            <w:pPr>
              <w:spacing w:after="0"/>
              <w:rPr>
                <w:sz w:val="15"/>
                <w:szCs w:val="15"/>
                <w:color w:val="auto"/>
              </w:rPr>
            </w:pPr>
          </w:p>
        </w:tc>
        <w:tc>
          <w:tcPr>
            <w:tcW w:w="102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5820" w:type="dxa"/>
            <w:vAlign w:val="bottom"/>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940" w:type="dxa"/>
            <w:vAlign w:val="bottom"/>
            <w:tcBorders>
              <w:top w:val="single" w:sz="8" w:color="auto"/>
              <w:bottom w:val="single" w:sz="8" w:color="auto"/>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102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(Amounts</w:t>
            </w:r>
          </w:p>
        </w:tc>
        <w:tc>
          <w:tcPr>
            <w:tcW w:w="240" w:type="dxa"/>
            <w:vAlign w:val="bottom"/>
            <w:tcBorders>
              <w:bottom w:val="single" w:sz="8" w:color="auto"/>
            </w:tcBorders>
            <w:gridSpan w:val="2"/>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in</w:t>
            </w:r>
          </w:p>
        </w:tc>
        <w:tc>
          <w:tcPr>
            <w:tcW w:w="1140" w:type="dxa"/>
            <w:vAlign w:val="bottom"/>
            <w:tcBorders>
              <w:top w:val="single" w:sz="8" w:color="auto"/>
              <w:bottom w:val="single" w:sz="8" w:color="auto"/>
            </w:tcBorders>
            <w:gridSpan w:val="2"/>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Thousands)</w:t>
            </w:r>
          </w:p>
        </w:tc>
        <w:tc>
          <w:tcPr>
            <w:tcW w:w="260" w:type="dxa"/>
            <w:vAlign w:val="bottom"/>
            <w:tcBorders>
              <w:bottom w:val="single" w:sz="8" w:color="auto"/>
            </w:tcBorders>
          </w:tcPr>
          <w:p>
            <w:pPr>
              <w:spacing w:after="0"/>
              <w:rPr>
                <w:sz w:val="12"/>
                <w:szCs w:val="12"/>
                <w:color w:val="auto"/>
              </w:rPr>
            </w:pPr>
          </w:p>
        </w:tc>
        <w:tc>
          <w:tcPr>
            <w:tcW w:w="240" w:type="dxa"/>
            <w:vAlign w:val="bottom"/>
            <w:tcBorders>
              <w:top w:val="single" w:sz="8" w:color="auto"/>
              <w:bottom w:val="single" w:sz="8" w:color="auto"/>
            </w:tcBorders>
          </w:tcPr>
          <w:p>
            <w:pPr>
              <w:spacing w:after="0"/>
              <w:rPr>
                <w:sz w:val="12"/>
                <w:szCs w:val="12"/>
                <w:color w:val="auto"/>
              </w:rPr>
            </w:pPr>
          </w:p>
        </w:tc>
        <w:tc>
          <w:tcPr>
            <w:tcW w:w="900" w:type="dxa"/>
            <w:vAlign w:val="bottom"/>
            <w:tcBorders>
              <w:top w:val="single" w:sz="8" w:color="auto"/>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58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Goodwill as of December 31, 2024</w:t>
            </w:r>
          </w:p>
        </w:tc>
        <w:tc>
          <w:tcPr>
            <w:tcW w:w="2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432,840</w:t>
            </w:r>
          </w:p>
        </w:tc>
        <w:tc>
          <w:tcPr>
            <w:tcW w:w="3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442,526</w:t>
            </w:r>
          </w:p>
        </w:tc>
        <w:tc>
          <w:tcPr>
            <w:tcW w:w="140" w:type="dxa"/>
            <w:vAlign w:val="bottom"/>
            <w:shd w:val="clear" w:color="auto" w:fill="CFF0FC"/>
          </w:tcPr>
          <w:p>
            <w:pPr>
              <w:spacing w:after="0"/>
              <w:rPr>
                <w:sz w:val="18"/>
                <w:szCs w:val="18"/>
                <w:color w:val="auto"/>
              </w:rPr>
            </w:pPr>
          </w:p>
        </w:tc>
        <w:tc>
          <w:tcPr>
            <w:tcW w:w="320" w:type="dxa"/>
            <w:vAlign w:val="bottom"/>
            <w:gridSpan w:val="2"/>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95,192</w:t>
            </w:r>
          </w:p>
        </w:tc>
        <w:tc>
          <w:tcPr>
            <w:tcW w:w="260" w:type="dxa"/>
            <w:vAlign w:val="bottom"/>
            <w:shd w:val="clear" w:color="auto" w:fill="CFF0FC"/>
          </w:tcPr>
          <w:p>
            <w:pPr>
              <w:spacing w:after="0"/>
              <w:rPr>
                <w:sz w:val="18"/>
                <w:szCs w:val="18"/>
                <w:color w:val="auto"/>
              </w:rPr>
            </w:pPr>
          </w:p>
        </w:tc>
        <w:tc>
          <w:tcPr>
            <w:tcW w:w="240" w:type="dxa"/>
            <w:vAlign w:val="bottom"/>
            <w:shd w:val="clear" w:color="auto" w:fill="CFF0FC"/>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970,558</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20" w:type="dxa"/>
            <w:vAlign w:val="bottom"/>
          </w:tcPr>
          <w:p>
            <w:pPr>
              <w:spacing w:after="0"/>
              <w:rPr>
                <w:sz w:val="20"/>
                <w:szCs w:val="20"/>
                <w:color w:val="auto"/>
              </w:rPr>
            </w:pPr>
            <w:r>
              <w:rPr>
                <w:rFonts w:ascii="Times New Roman" w:cs="Times New Roman" w:eastAsia="Times New Roman" w:hAnsi="Times New Roman"/>
                <w:sz w:val="18"/>
                <w:szCs w:val="18"/>
                <w:color w:val="auto"/>
              </w:rPr>
              <w:t>Additions for acquisitions</w:t>
            </w: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3,350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3,350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Adjustments to previously recorded goodwill</w:t>
            </w:r>
          </w:p>
        </w:tc>
        <w:tc>
          <w:tcPr>
            <w:tcW w:w="20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ind w:right="8"/>
              <w:spacing w:after="0"/>
              <w:rPr>
                <w:sz w:val="20"/>
                <w:szCs w:val="20"/>
                <w:color w:val="auto"/>
              </w:rPr>
            </w:pPr>
            <w:r>
              <w:rPr>
                <w:rFonts w:ascii="Times New Roman" w:cs="Times New Roman" w:eastAsia="Times New Roman" w:hAnsi="Times New Roman"/>
                <w:sz w:val="18"/>
                <w:szCs w:val="18"/>
                <w:color w:val="auto"/>
              </w:rPr>
              <w:t>(1,414)</w:t>
            </w:r>
          </w:p>
        </w:tc>
        <w:tc>
          <w:tcPr>
            <w:tcW w:w="1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1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(147)</w:t>
            </w:r>
          </w:p>
        </w:tc>
        <w:tc>
          <w:tcPr>
            <w:tcW w:w="240" w:type="dxa"/>
            <w:vAlign w:val="bottom"/>
            <w:shd w:val="clear" w:color="auto" w:fill="CFF0FC"/>
          </w:tcPr>
          <w:p>
            <w:pPr>
              <w:spacing w:after="0"/>
              <w:rPr>
                <w:sz w:val="18"/>
                <w:szCs w:val="18"/>
                <w:color w:val="auto"/>
              </w:rPr>
            </w:pPr>
          </w:p>
        </w:tc>
        <w:tc>
          <w:tcPr>
            <w:tcW w:w="10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(1,561)</w:t>
            </w:r>
          </w:p>
        </w:tc>
        <w:tc>
          <w:tcPr>
            <w:tcW w:w="0" w:type="dxa"/>
            <w:vAlign w:val="bottom"/>
          </w:tcPr>
          <w:p>
            <w:pPr>
              <w:spacing w:after="0"/>
              <w:rPr>
                <w:sz w:val="1"/>
                <w:szCs w:val="1"/>
                <w:color w:val="auto"/>
              </w:rPr>
            </w:pPr>
          </w:p>
        </w:tc>
      </w:tr>
      <w:tr>
        <w:trPr>
          <w:trHeight w:val="210"/>
        </w:trPr>
        <w:tc>
          <w:tcPr>
            <w:tcW w:w="582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color w:val="auto"/>
              </w:rPr>
              <w:t>Goodwill as of March 31, 2025</w:t>
            </w: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432,840</w:t>
            </w:r>
          </w:p>
        </w:tc>
        <w:tc>
          <w:tcPr>
            <w:tcW w:w="240" w:type="dxa"/>
            <w:vAlign w:val="bottom"/>
            <w:tcBorders>
              <w:top w:val="single" w:sz="8" w:color="CFF0FC"/>
            </w:tcBorders>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444,462</w:t>
            </w:r>
          </w:p>
        </w:tc>
        <w:tc>
          <w:tcPr>
            <w:tcW w:w="140" w:type="dxa"/>
            <w:vAlign w:val="bottom"/>
            <w:tcBorders>
              <w:top w:val="single" w:sz="8" w:color="CFF0FC"/>
            </w:tcBorders>
          </w:tcPr>
          <w:p>
            <w:pPr>
              <w:spacing w:after="0"/>
              <w:rPr>
                <w:sz w:val="18"/>
                <w:szCs w:val="18"/>
                <w:color w:val="auto"/>
              </w:rPr>
            </w:pPr>
          </w:p>
        </w:tc>
        <w:tc>
          <w:tcPr>
            <w:tcW w:w="100" w:type="dxa"/>
            <w:vAlign w:val="bottom"/>
            <w:tcBorders>
              <w:top w:val="single" w:sz="8" w:color="CFF0FC"/>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95,045</w:t>
            </w:r>
          </w:p>
        </w:tc>
        <w:tc>
          <w:tcPr>
            <w:tcW w:w="260" w:type="dxa"/>
            <w:vAlign w:val="bottom"/>
            <w:tcBorders>
              <w:top w:val="single" w:sz="8" w:color="CFF0FC"/>
            </w:tcBorders>
          </w:tcPr>
          <w:p>
            <w:pPr>
              <w:spacing w:after="0"/>
              <w:rPr>
                <w:sz w:val="18"/>
                <w:szCs w:val="18"/>
                <w:color w:val="auto"/>
              </w:rPr>
            </w:pPr>
          </w:p>
        </w:tc>
        <w:tc>
          <w:tcPr>
            <w:tcW w:w="240" w:type="dxa"/>
            <w:vAlign w:val="bottom"/>
            <w:tcBorders>
              <w:top w:val="single" w:sz="8" w:color="auto"/>
              <w:bottom w:val="single" w:sz="8" w:color="auto"/>
            </w:tcBorders>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972,347</w:t>
            </w:r>
          </w:p>
        </w:tc>
        <w:tc>
          <w:tcPr>
            <w:tcW w:w="120" w:type="dxa"/>
            <w:vAlign w:val="bottom"/>
            <w:tcBorders>
              <w:top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8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4419600</wp:posOffset>
            </wp:positionH>
            <wp:positionV relativeFrom="paragraph">
              <wp:posOffset>-170815</wp:posOffset>
            </wp:positionV>
            <wp:extent cx="68580"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5293995</wp:posOffset>
            </wp:positionH>
            <wp:positionV relativeFrom="paragraph">
              <wp:posOffset>-170815</wp:posOffset>
            </wp:positionV>
            <wp:extent cx="68580"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-170815</wp:posOffset>
            </wp:positionV>
            <wp:extent cx="68580"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-170815</wp:posOffset>
            </wp:positionV>
            <wp:extent cx="77470"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7470" cy="8890"/>
                    </a:xfrm>
                    <a:prstGeom prst="rect">
                      <a:avLst/>
                    </a:prstGeom>
                    <a:noFill/>
                  </pic:spPr>
                </pic:pic>
              </a:graphicData>
            </a:graphic>
          </wp:anchor>
        </w:drawing>
      </w:r>
    </w:p>
    <w:p>
      <w:pPr>
        <w:spacing w:after="0" w:line="178" w:lineRule="exact"/>
        <w:rPr>
          <w:sz w:val="20"/>
          <w:szCs w:val="20"/>
          <w:color w:val="auto"/>
        </w:rPr>
      </w:pPr>
    </w:p>
    <w:p>
      <w:pPr>
        <w:ind w:right="40" w:firstLine="509"/>
        <w:spacing w:after="0" w:line="266" w:lineRule="auto"/>
        <w:rPr>
          <w:sz w:val="20"/>
          <w:szCs w:val="20"/>
          <w:color w:val="auto"/>
        </w:rPr>
      </w:pPr>
      <w:r>
        <w:rPr>
          <w:rFonts w:ascii="Times New Roman" w:cs="Times New Roman" w:eastAsia="Times New Roman" w:hAnsi="Times New Roman"/>
          <w:sz w:val="18"/>
          <w:szCs w:val="18"/>
          <w:color w:val="auto"/>
        </w:rPr>
        <w:t>On January 1, 2025, the Company completed its acquisition of its Jacksonville affiliate for approximately $0.8 million (the “Jacksonville Acquisition”), with funding provided by available cash. With the Jacksonville Acquisition, the Company expanded its personal care segment in Florida and recorded goodwill of $0.8 million.</w:t>
      </w:r>
    </w:p>
    <w:p>
      <w:pPr>
        <w:spacing w:after="0" w:line="176" w:lineRule="exact"/>
        <w:rPr>
          <w:sz w:val="20"/>
          <w:szCs w:val="20"/>
          <w:color w:val="auto"/>
        </w:rPr>
      </w:pPr>
    </w:p>
    <w:p>
      <w:pPr>
        <w:ind w:right="360" w:firstLine="509"/>
        <w:spacing w:after="0" w:line="266" w:lineRule="auto"/>
        <w:rPr>
          <w:sz w:val="20"/>
          <w:szCs w:val="20"/>
          <w:color w:val="auto"/>
        </w:rPr>
      </w:pPr>
      <w:r>
        <w:rPr>
          <w:rFonts w:ascii="Times New Roman" w:cs="Times New Roman" w:eastAsia="Times New Roman" w:hAnsi="Times New Roman"/>
          <w:sz w:val="18"/>
          <w:szCs w:val="18"/>
          <w:color w:val="auto"/>
        </w:rPr>
        <w:t xml:space="preserve">On March 1, 2025, the Company completed its acquisition of the assets of </w:t>
      </w:r>
      <w:r>
        <w:rPr>
          <w:rFonts w:ascii="Times New Roman" w:cs="Times New Roman" w:eastAsia="Times New Roman" w:hAnsi="Times New Roman"/>
          <w:sz w:val="18"/>
          <w:szCs w:val="18"/>
          <w:color w:val="212529"/>
        </w:rPr>
        <w:t>Great Lakes Home Care Unlimited, LLC</w:t>
      </w:r>
      <w:r>
        <w:rPr>
          <w:rFonts w:ascii="Times New Roman" w:cs="Times New Roman" w:eastAsia="Times New Roman" w:hAnsi="Times New Roman"/>
          <w:sz w:val="18"/>
          <w:szCs w:val="18"/>
          <w:color w:val="auto"/>
        </w:rPr>
        <w:t xml:space="preserve"> for $2.6 million (the “Great Lakes Acquisition”) with funding provided by available cash. With the Great Lakes Acquisition, the Company expanded its personal care segment in Michigan and recognized goodwill in its personal care segment of $2.6 million during the three months ended March 31, 2025.</w:t>
      </w:r>
    </w:p>
    <w:p>
      <w:pPr>
        <w:spacing w:after="0" w:line="176" w:lineRule="exact"/>
        <w:rPr>
          <w:sz w:val="20"/>
          <w:szCs w:val="20"/>
          <w:color w:val="auto"/>
        </w:rPr>
      </w:pPr>
    </w:p>
    <w:p>
      <w:pPr>
        <w:ind w:right="420" w:firstLine="509"/>
        <w:spacing w:after="0" w:line="261" w:lineRule="auto"/>
        <w:rPr>
          <w:sz w:val="20"/>
          <w:szCs w:val="20"/>
          <w:color w:val="auto"/>
        </w:rPr>
      </w:pPr>
      <w:r>
        <w:rPr>
          <w:rFonts w:ascii="Times New Roman" w:cs="Times New Roman" w:eastAsia="Times New Roman" w:hAnsi="Times New Roman"/>
          <w:sz w:val="18"/>
          <w:szCs w:val="18"/>
          <w:color w:val="auto"/>
        </w:rPr>
        <w:t>The Company’s identifiable intangible assets consist of customer and referral relationships, trade names and trademarks, non-competition agreements, and state licenses. Amortization is computed using straight-line and accelerated methods based upon the estimated useful lives of the respective assets, which range from one to fifteen years. Customer and referral relationships are amortized systematically over the periods of expected economic benefit, which range from five to ten years.</w:t>
      </w:r>
    </w:p>
    <w:p>
      <w:pPr>
        <w:spacing w:after="0" w:line="18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carrying amount and accumulated amortization of each identifiable intangible asset category consisted of the following:</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38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80" w:type="dxa"/>
            <w:vAlign w:val="bottom"/>
            <w:gridSpan w:val="3"/>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March 31, 2025</w:t>
            </w:r>
          </w:p>
        </w:tc>
        <w:tc>
          <w:tcPr>
            <w:tcW w:w="1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420" w:type="dxa"/>
            <w:vAlign w:val="bottom"/>
            <w:gridSpan w:val="4"/>
          </w:tcPr>
          <w:p>
            <w:pPr>
              <w:jc w:val="center"/>
              <w:ind w:left="19"/>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2380" w:type="dxa"/>
            <w:vAlign w:val="bottom"/>
          </w:tcPr>
          <w:p>
            <w:pPr>
              <w:spacing w:after="0"/>
              <w:rPr>
                <w:sz w:val="15"/>
                <w:szCs w:val="15"/>
                <w:color w:val="auto"/>
              </w:rPr>
            </w:pPr>
          </w:p>
        </w:tc>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Estimated Useful</w:t>
            </w:r>
          </w:p>
        </w:tc>
        <w:tc>
          <w:tcPr>
            <w:tcW w:w="12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1620" w:type="dxa"/>
            <w:vAlign w:val="bottom"/>
            <w:tcBorders>
              <w:bottom w:val="single" w:sz="8" w:color="auto"/>
            </w:tcBorders>
            <w:gridSpan w:val="5"/>
          </w:tcPr>
          <w:p>
            <w:pPr>
              <w:jc w:val="center"/>
              <w:ind w:right="16"/>
              <w:spacing w:after="0"/>
              <w:rPr>
                <w:sz w:val="20"/>
                <w:szCs w:val="20"/>
                <w:color w:val="auto"/>
              </w:rPr>
            </w:pPr>
            <w:r>
              <w:rPr>
                <w:rFonts w:ascii="Times New Roman" w:cs="Times New Roman" w:eastAsia="Times New Roman" w:hAnsi="Times New Roman"/>
                <w:sz w:val="14"/>
                <w:szCs w:val="14"/>
                <w:b w:val="1"/>
                <w:bCs w:val="1"/>
                <w:color w:val="auto"/>
              </w:rPr>
              <w:t>(Amounts in Thousands)</w:t>
            </w:r>
          </w:p>
        </w:tc>
        <w:tc>
          <w:tcPr>
            <w:tcW w:w="96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1620" w:type="dxa"/>
            <w:vAlign w:val="bottom"/>
            <w:tcBorders>
              <w:bottom w:val="single" w:sz="8" w:color="auto"/>
            </w:tcBorders>
            <w:gridSpan w:val="6"/>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(Amounts in Thousands)</w:t>
            </w:r>
          </w:p>
        </w:tc>
        <w:tc>
          <w:tcPr>
            <w:tcW w:w="96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2380" w:type="dxa"/>
            <w:vAlign w:val="bottom"/>
          </w:tcPr>
          <w:p>
            <w:pPr>
              <w:spacing w:after="0"/>
              <w:rPr>
                <w:sz w:val="10"/>
                <w:szCs w:val="10"/>
                <w:color w:val="auto"/>
              </w:rPr>
            </w:pPr>
          </w:p>
        </w:tc>
        <w:tc>
          <w:tcPr>
            <w:tcW w:w="1160" w:type="dxa"/>
            <w:vAlign w:val="bottom"/>
            <w:vMerge w:val="continue"/>
          </w:tcPr>
          <w:p>
            <w:pPr>
              <w:spacing w:after="0"/>
              <w:rPr>
                <w:sz w:val="10"/>
                <w:szCs w:val="10"/>
                <w:color w:val="auto"/>
              </w:rPr>
            </w:pPr>
          </w:p>
        </w:tc>
        <w:tc>
          <w:tcPr>
            <w:tcW w:w="120" w:type="dxa"/>
            <w:vAlign w:val="bottom"/>
          </w:tcPr>
          <w:p>
            <w:pPr>
              <w:spacing w:after="0"/>
              <w:rPr>
                <w:sz w:val="10"/>
                <w:szCs w:val="10"/>
                <w:color w:val="auto"/>
              </w:rPr>
            </w:pPr>
          </w:p>
        </w:tc>
        <w:tc>
          <w:tcPr>
            <w:tcW w:w="1040" w:type="dxa"/>
            <w:vAlign w:val="bottom"/>
            <w:gridSpan w:val="2"/>
          </w:tcPr>
          <w:p>
            <w:pPr>
              <w:jc w:val="right"/>
              <w:spacing w:after="0" w:line="118" w:lineRule="exact"/>
              <w:rPr>
                <w:sz w:val="20"/>
                <w:szCs w:val="20"/>
                <w:color w:val="auto"/>
              </w:rPr>
            </w:pPr>
            <w:r>
              <w:rPr>
                <w:rFonts w:ascii="Times New Roman" w:cs="Times New Roman" w:eastAsia="Times New Roman" w:hAnsi="Times New Roman"/>
                <w:sz w:val="13"/>
                <w:szCs w:val="13"/>
                <w:b w:val="1"/>
                <w:bCs w:val="1"/>
                <w:color w:val="auto"/>
              </w:rPr>
              <w:t>Gross carrying</w:t>
            </w: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2"/>
          </w:tcPr>
          <w:p>
            <w:pPr>
              <w:jc w:val="right"/>
              <w:ind w:right="360"/>
              <w:spacing w:after="0" w:line="118" w:lineRule="exact"/>
              <w:rPr>
                <w:sz w:val="20"/>
                <w:szCs w:val="20"/>
                <w:color w:val="auto"/>
              </w:rPr>
            </w:pPr>
            <w:r>
              <w:rPr>
                <w:rFonts w:ascii="Times New Roman" w:cs="Times New Roman" w:eastAsia="Times New Roman" w:hAnsi="Times New Roman"/>
                <w:sz w:val="13"/>
                <w:szCs w:val="13"/>
                <w:b w:val="1"/>
                <w:bCs w:val="1"/>
                <w:color w:val="auto"/>
              </w:rPr>
              <w:t>Accumulated</w:t>
            </w:r>
          </w:p>
        </w:tc>
        <w:tc>
          <w:tcPr>
            <w:tcW w:w="100" w:type="dxa"/>
            <w:vAlign w:val="bottom"/>
          </w:tcPr>
          <w:p>
            <w:pPr>
              <w:spacing w:after="0"/>
              <w:rPr>
                <w:sz w:val="10"/>
                <w:szCs w:val="10"/>
                <w:color w:val="auto"/>
              </w:rPr>
            </w:pPr>
          </w:p>
        </w:tc>
        <w:tc>
          <w:tcPr>
            <w:tcW w:w="960" w:type="dxa"/>
            <w:vAlign w:val="bottom"/>
          </w:tcPr>
          <w:p>
            <w:pPr>
              <w:jc w:val="center"/>
              <w:ind w:right="55"/>
              <w:spacing w:after="0" w:line="118" w:lineRule="exact"/>
              <w:rPr>
                <w:sz w:val="20"/>
                <w:szCs w:val="20"/>
                <w:color w:val="auto"/>
              </w:rPr>
            </w:pPr>
            <w:r>
              <w:rPr>
                <w:rFonts w:ascii="Times New Roman" w:cs="Times New Roman" w:eastAsia="Times New Roman" w:hAnsi="Times New Roman"/>
                <w:sz w:val="13"/>
                <w:szCs w:val="13"/>
                <w:b w:val="1"/>
                <w:bCs w:val="1"/>
                <w:color w:val="auto"/>
              </w:rPr>
              <w:t>Net carrying</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60" w:type="dxa"/>
            <w:vAlign w:val="bottom"/>
            <w:gridSpan w:val="2"/>
          </w:tcPr>
          <w:p>
            <w:pPr>
              <w:jc w:val="right"/>
              <w:spacing w:after="0" w:line="118" w:lineRule="exact"/>
              <w:rPr>
                <w:sz w:val="20"/>
                <w:szCs w:val="20"/>
                <w:color w:val="auto"/>
              </w:rPr>
            </w:pPr>
            <w:r>
              <w:rPr>
                <w:rFonts w:ascii="Times New Roman" w:cs="Times New Roman" w:eastAsia="Times New Roman" w:hAnsi="Times New Roman"/>
                <w:sz w:val="13"/>
                <w:szCs w:val="13"/>
                <w:b w:val="1"/>
                <w:bCs w:val="1"/>
                <w:color w:val="auto"/>
              </w:rPr>
              <w:t>Gross carrying</w:t>
            </w: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00" w:type="dxa"/>
            <w:vAlign w:val="bottom"/>
            <w:gridSpan w:val="2"/>
          </w:tcPr>
          <w:p>
            <w:pPr>
              <w:jc w:val="right"/>
              <w:ind w:right="280"/>
              <w:spacing w:after="0" w:line="118" w:lineRule="exact"/>
              <w:rPr>
                <w:sz w:val="20"/>
                <w:szCs w:val="20"/>
                <w:color w:val="auto"/>
              </w:rPr>
            </w:pPr>
            <w:r>
              <w:rPr>
                <w:rFonts w:ascii="Times New Roman" w:cs="Times New Roman" w:eastAsia="Times New Roman" w:hAnsi="Times New Roman"/>
                <w:sz w:val="13"/>
                <w:szCs w:val="13"/>
                <w:b w:val="1"/>
                <w:bCs w:val="1"/>
                <w:color w:val="auto"/>
              </w:rPr>
              <w:t>Accumulated</w:t>
            </w: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60" w:type="dxa"/>
            <w:vAlign w:val="bottom"/>
          </w:tcPr>
          <w:p>
            <w:pPr>
              <w:jc w:val="center"/>
              <w:ind w:right="55"/>
              <w:spacing w:after="0" w:line="118" w:lineRule="exact"/>
              <w:rPr>
                <w:sz w:val="20"/>
                <w:szCs w:val="20"/>
                <w:color w:val="auto"/>
              </w:rPr>
            </w:pPr>
            <w:r>
              <w:rPr>
                <w:rFonts w:ascii="Times New Roman" w:cs="Times New Roman" w:eastAsia="Times New Roman" w:hAnsi="Times New Roman"/>
                <w:sz w:val="13"/>
                <w:szCs w:val="13"/>
                <w:b w:val="1"/>
                <w:bCs w:val="1"/>
                <w:color w:val="auto"/>
              </w:rPr>
              <w:t>Net carrying</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2380" w:type="dxa"/>
            <w:vAlign w:val="bottom"/>
          </w:tcPr>
          <w:p>
            <w:pPr>
              <w:spacing w:after="0"/>
              <w:rPr>
                <w:sz w:val="15"/>
                <w:szCs w:val="15"/>
                <w:color w:val="auto"/>
              </w:rPr>
            </w:pPr>
          </w:p>
        </w:tc>
        <w:tc>
          <w:tcPr>
            <w:tcW w:w="11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Life</w:t>
            </w: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20" w:type="dxa"/>
            <w:vAlign w:val="bottom"/>
          </w:tcPr>
          <w:p>
            <w:pPr>
              <w:jc w:val="right"/>
              <w:ind w:right="253"/>
              <w:spacing w:after="0"/>
              <w:rPr>
                <w:sz w:val="20"/>
                <w:szCs w:val="20"/>
                <w:color w:val="auto"/>
              </w:rPr>
            </w:pPr>
            <w:r>
              <w:rPr>
                <w:rFonts w:ascii="Times New Roman" w:cs="Times New Roman" w:eastAsia="Times New Roman" w:hAnsi="Times New Roman"/>
                <w:sz w:val="14"/>
                <w:szCs w:val="14"/>
                <w:b w:val="1"/>
                <w:bCs w:val="1"/>
                <w:color w:val="auto"/>
              </w:rPr>
              <w:t>value</w:t>
            </w: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8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100" w:type="dxa"/>
            <w:vAlign w:val="bottom"/>
          </w:tcPr>
          <w:p>
            <w:pPr>
              <w:spacing w:after="0"/>
              <w:rPr>
                <w:sz w:val="15"/>
                <w:szCs w:val="15"/>
                <w:color w:val="auto"/>
              </w:rPr>
            </w:pPr>
          </w:p>
        </w:tc>
        <w:tc>
          <w:tcPr>
            <w:tcW w:w="106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value</w:t>
            </w: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40" w:type="dxa"/>
            <w:vAlign w:val="bottom"/>
          </w:tcPr>
          <w:p>
            <w:pPr>
              <w:jc w:val="right"/>
              <w:ind w:right="273"/>
              <w:spacing w:after="0"/>
              <w:rPr>
                <w:sz w:val="20"/>
                <w:szCs w:val="20"/>
                <w:color w:val="auto"/>
              </w:rPr>
            </w:pPr>
            <w:r>
              <w:rPr>
                <w:rFonts w:ascii="Times New Roman" w:cs="Times New Roman" w:eastAsia="Times New Roman" w:hAnsi="Times New Roman"/>
                <w:sz w:val="14"/>
                <w:szCs w:val="14"/>
                <w:b w:val="1"/>
                <w:bCs w:val="1"/>
                <w:color w:val="auto"/>
              </w:rPr>
              <w:t>value</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value</w:t>
            </w:r>
          </w:p>
        </w:tc>
        <w:tc>
          <w:tcPr>
            <w:tcW w:w="0" w:type="dxa"/>
            <w:vAlign w:val="bottom"/>
          </w:tcPr>
          <w:p>
            <w:pPr>
              <w:spacing w:after="0"/>
              <w:rPr>
                <w:sz w:val="1"/>
                <w:szCs w:val="1"/>
                <w:color w:val="auto"/>
              </w:rPr>
            </w:pPr>
          </w:p>
        </w:tc>
      </w:tr>
      <w:tr>
        <w:trPr>
          <w:trHeight w:val="191"/>
        </w:trPr>
        <w:tc>
          <w:tcPr>
            <w:tcW w:w="2380" w:type="dxa"/>
            <w:vAlign w:val="bottom"/>
            <w:shd w:val="clear" w:color="auto" w:fill="CFF0FC"/>
          </w:tcPr>
          <w:p>
            <w:pPr>
              <w:spacing w:after="0" w:line="191" w:lineRule="exact"/>
              <w:rPr>
                <w:sz w:val="20"/>
                <w:szCs w:val="20"/>
                <w:color w:val="auto"/>
              </w:rPr>
            </w:pPr>
            <w:r>
              <w:rPr>
                <w:rFonts w:ascii="Times New Roman" w:cs="Times New Roman" w:eastAsia="Times New Roman" w:hAnsi="Times New Roman"/>
                <w:sz w:val="18"/>
                <w:szCs w:val="18"/>
                <w:color w:val="auto"/>
              </w:rPr>
              <w:t>Customer and referral</w:t>
            </w:r>
          </w:p>
        </w:tc>
        <w:tc>
          <w:tcPr>
            <w:tcW w:w="1160" w:type="dxa"/>
            <w:vAlign w:val="bottom"/>
            <w:tcBorders>
              <w:top w:val="single" w:sz="8" w:color="auto"/>
            </w:tcBorders>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220" w:type="dxa"/>
            <w:vAlign w:val="bottom"/>
            <w:tcBorders>
              <w:top w:val="single" w:sz="8" w:color="auto"/>
            </w:tcBorders>
            <w:shd w:val="clear" w:color="auto" w:fill="CFF0FC"/>
          </w:tcPr>
          <w:p>
            <w:pPr>
              <w:spacing w:after="0"/>
              <w:rPr>
                <w:sz w:val="16"/>
                <w:szCs w:val="16"/>
                <w:color w:val="auto"/>
              </w:rPr>
            </w:pPr>
          </w:p>
        </w:tc>
        <w:tc>
          <w:tcPr>
            <w:tcW w:w="820" w:type="dxa"/>
            <w:vAlign w:val="bottom"/>
            <w:tcBorders>
              <w:top w:val="single" w:sz="8" w:color="auto"/>
            </w:tcBorders>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00" w:type="dxa"/>
            <w:vAlign w:val="bottom"/>
            <w:tcBorders>
              <w:top w:val="single" w:sz="8" w:color="auto"/>
            </w:tcBorders>
            <w:shd w:val="clear" w:color="auto" w:fill="CFF0FC"/>
          </w:tcPr>
          <w:p>
            <w:pPr>
              <w:spacing w:after="0"/>
              <w:rPr>
                <w:sz w:val="16"/>
                <w:szCs w:val="16"/>
                <w:color w:val="auto"/>
              </w:rPr>
            </w:pPr>
          </w:p>
        </w:tc>
        <w:tc>
          <w:tcPr>
            <w:tcW w:w="940" w:type="dxa"/>
            <w:vAlign w:val="bottom"/>
            <w:tcBorders>
              <w:top w:val="single" w:sz="8" w:color="auto"/>
            </w:tcBorders>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00" w:type="dxa"/>
            <w:vAlign w:val="bottom"/>
            <w:tcBorders>
              <w:top w:val="single" w:sz="8" w:color="auto"/>
            </w:tcBorders>
            <w:shd w:val="clear" w:color="auto" w:fill="CFF0FC"/>
          </w:tcPr>
          <w:p>
            <w:pPr>
              <w:spacing w:after="0"/>
              <w:rPr>
                <w:sz w:val="16"/>
                <w:szCs w:val="16"/>
                <w:color w:val="auto"/>
              </w:rPr>
            </w:pPr>
          </w:p>
        </w:tc>
        <w:tc>
          <w:tcPr>
            <w:tcW w:w="960" w:type="dxa"/>
            <w:vAlign w:val="bottom"/>
            <w:tcBorders>
              <w:top w:val="single" w:sz="8" w:color="auto"/>
            </w:tcBorders>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Borders>
              <w:top w:val="single" w:sz="8" w:color="auto"/>
            </w:tcBorders>
            <w:shd w:val="clear" w:color="auto" w:fill="CFF0FC"/>
          </w:tcPr>
          <w:p>
            <w:pPr>
              <w:spacing w:after="0"/>
              <w:rPr>
                <w:sz w:val="16"/>
                <w:szCs w:val="16"/>
                <w:color w:val="auto"/>
              </w:rPr>
            </w:pPr>
          </w:p>
        </w:tc>
        <w:tc>
          <w:tcPr>
            <w:tcW w:w="840" w:type="dxa"/>
            <w:vAlign w:val="bottom"/>
            <w:tcBorders>
              <w:top w:val="single" w:sz="8" w:color="auto"/>
            </w:tcBorders>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00" w:type="dxa"/>
            <w:vAlign w:val="bottom"/>
            <w:tcBorders>
              <w:top w:val="single" w:sz="8" w:color="auto"/>
            </w:tcBorders>
            <w:shd w:val="clear" w:color="auto" w:fill="CFF0FC"/>
          </w:tcPr>
          <w:p>
            <w:pPr>
              <w:spacing w:after="0"/>
              <w:rPr>
                <w:sz w:val="16"/>
                <w:szCs w:val="16"/>
                <w:color w:val="auto"/>
              </w:rPr>
            </w:pPr>
          </w:p>
        </w:tc>
        <w:tc>
          <w:tcPr>
            <w:tcW w:w="960" w:type="dxa"/>
            <w:vAlign w:val="bottom"/>
            <w:tcBorders>
              <w:top w:val="single" w:sz="8" w:color="auto"/>
            </w:tcBorders>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20" w:type="dxa"/>
            <w:vAlign w:val="bottom"/>
            <w:tcBorders>
              <w:top w:val="single" w:sz="8" w:color="auto"/>
            </w:tcBorders>
            <w:shd w:val="clear" w:color="auto" w:fill="CFF0FC"/>
          </w:tcPr>
          <w:p>
            <w:pPr>
              <w:spacing w:after="0"/>
              <w:rPr>
                <w:sz w:val="16"/>
                <w:szCs w:val="16"/>
                <w:color w:val="auto"/>
              </w:rPr>
            </w:pPr>
          </w:p>
        </w:tc>
        <w:tc>
          <w:tcPr>
            <w:tcW w:w="960" w:type="dxa"/>
            <w:vAlign w:val="bottom"/>
            <w:tcBorders>
              <w:top w:val="single" w:sz="8" w:color="auto"/>
            </w:tcBorders>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3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relationships</w:t>
            </w:r>
          </w:p>
        </w:tc>
        <w:tc>
          <w:tcPr>
            <w:tcW w:w="11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5-10 years</w:t>
            </w:r>
          </w:p>
        </w:tc>
        <w:tc>
          <w:tcPr>
            <w:tcW w:w="340" w:type="dxa"/>
            <w:vAlign w:val="bottom"/>
            <w:gridSpan w:val="2"/>
            <w:shd w:val="clear" w:color="auto" w:fill="CFF0FC"/>
          </w:tcPr>
          <w:p>
            <w:pPr>
              <w:jc w:val="right"/>
              <w:ind w:right="42"/>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34,201</w:t>
            </w:r>
          </w:p>
        </w:tc>
        <w:tc>
          <w:tcPr>
            <w:tcW w:w="3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(33,364)</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837</w:t>
            </w:r>
          </w:p>
        </w:tc>
        <w:tc>
          <w:tcPr>
            <w:tcW w:w="120" w:type="dxa"/>
            <w:vAlign w:val="bottom"/>
          </w:tcPr>
          <w:p>
            <w:pPr>
              <w:spacing w:after="0"/>
              <w:rPr>
                <w:sz w:val="20"/>
                <w:szCs w:val="20"/>
                <w:color w:val="auto"/>
              </w:rPr>
            </w:pPr>
          </w:p>
        </w:tc>
        <w:tc>
          <w:tcPr>
            <w:tcW w:w="220" w:type="dxa"/>
            <w:vAlign w:val="bottom"/>
            <w:shd w:val="clear" w:color="auto" w:fill="CFF0FC"/>
          </w:tcPr>
          <w:p>
            <w:pPr>
              <w:jc w:val="right"/>
              <w:ind w:right="38"/>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34,201</w:t>
            </w:r>
          </w:p>
        </w:tc>
        <w:tc>
          <w:tcPr>
            <w:tcW w:w="3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(33,255)</w:t>
            </w:r>
          </w:p>
        </w:tc>
        <w:tc>
          <w:tcPr>
            <w:tcW w:w="2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946</w:t>
            </w:r>
          </w:p>
        </w:tc>
        <w:tc>
          <w:tcPr>
            <w:tcW w:w="0" w:type="dxa"/>
            <w:vAlign w:val="bottom"/>
          </w:tcPr>
          <w:p>
            <w:pPr>
              <w:spacing w:after="0"/>
              <w:rPr>
                <w:sz w:val="1"/>
                <w:szCs w:val="1"/>
                <w:color w:val="auto"/>
              </w:rPr>
            </w:pPr>
          </w:p>
        </w:tc>
      </w:tr>
      <w:tr>
        <w:trPr>
          <w:trHeight w:val="216"/>
        </w:trPr>
        <w:tc>
          <w:tcPr>
            <w:tcW w:w="2380" w:type="dxa"/>
            <w:vAlign w:val="bottom"/>
          </w:tcPr>
          <w:p>
            <w:pPr>
              <w:spacing w:after="0"/>
              <w:rPr>
                <w:sz w:val="20"/>
                <w:szCs w:val="20"/>
                <w:color w:val="auto"/>
              </w:rPr>
            </w:pPr>
            <w:r>
              <w:rPr>
                <w:rFonts w:ascii="Times New Roman" w:cs="Times New Roman" w:eastAsia="Times New Roman" w:hAnsi="Times New Roman"/>
                <w:sz w:val="18"/>
                <w:szCs w:val="18"/>
                <w:color w:val="auto"/>
              </w:rPr>
              <w:t>Trade names and trademarks</w:t>
            </w:r>
          </w:p>
        </w:tc>
        <w:tc>
          <w:tcPr>
            <w:tcW w:w="11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1-15 years</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59,366</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(23,059)</w:t>
            </w:r>
          </w:p>
        </w:tc>
        <w:tc>
          <w:tcPr>
            <w:tcW w:w="10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36,307</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59,366</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(21,900)</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37,466</w:t>
            </w:r>
          </w:p>
        </w:tc>
        <w:tc>
          <w:tcPr>
            <w:tcW w:w="0" w:type="dxa"/>
            <w:vAlign w:val="bottom"/>
          </w:tcPr>
          <w:p>
            <w:pPr>
              <w:spacing w:after="0"/>
              <w:rPr>
                <w:sz w:val="1"/>
                <w:szCs w:val="1"/>
                <w:color w:val="auto"/>
              </w:rPr>
            </w:pPr>
          </w:p>
        </w:tc>
      </w:tr>
      <w:tr>
        <w:trPr>
          <w:trHeight w:val="216"/>
        </w:trPr>
        <w:tc>
          <w:tcPr>
            <w:tcW w:w="23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Non-competition agreement</w:t>
            </w:r>
          </w:p>
        </w:tc>
        <w:tc>
          <w:tcPr>
            <w:tcW w:w="11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3-5 years</w:t>
            </w: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6,728</w:t>
            </w:r>
          </w:p>
        </w:tc>
        <w:tc>
          <w:tcPr>
            <w:tcW w:w="2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1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(6,369)</w:t>
            </w:r>
          </w:p>
        </w:tc>
        <w:tc>
          <w:tcPr>
            <w:tcW w:w="100" w:type="dxa"/>
            <w:vAlign w:val="bottom"/>
            <w:shd w:val="clear" w:color="auto" w:fill="CFF0FC"/>
          </w:tcPr>
          <w:p>
            <w:pPr>
              <w:spacing w:after="0"/>
              <w:rPr>
                <w:sz w:val="18"/>
                <w:szCs w:val="18"/>
                <w:color w:val="auto"/>
              </w:rPr>
            </w:pPr>
          </w:p>
        </w:tc>
        <w:tc>
          <w:tcPr>
            <w:tcW w:w="10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359</w:t>
            </w:r>
          </w:p>
        </w:tc>
        <w:tc>
          <w:tcPr>
            <w:tcW w:w="120" w:type="dxa"/>
            <w:vAlign w:val="bottom"/>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6,728</w:t>
            </w: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1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(6,263)</w:t>
            </w: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465</w:t>
            </w:r>
          </w:p>
        </w:tc>
        <w:tc>
          <w:tcPr>
            <w:tcW w:w="0" w:type="dxa"/>
            <w:vAlign w:val="bottom"/>
          </w:tcPr>
          <w:p>
            <w:pPr>
              <w:spacing w:after="0"/>
              <w:rPr>
                <w:sz w:val="1"/>
                <w:szCs w:val="1"/>
                <w:color w:val="auto"/>
              </w:rPr>
            </w:pPr>
          </w:p>
        </w:tc>
      </w:tr>
      <w:tr>
        <w:trPr>
          <w:trHeight w:val="216"/>
        </w:trPr>
        <w:tc>
          <w:tcPr>
            <w:tcW w:w="2380" w:type="dxa"/>
            <w:vAlign w:val="bottom"/>
          </w:tcPr>
          <w:p>
            <w:pPr>
              <w:spacing w:after="0"/>
              <w:rPr>
                <w:sz w:val="20"/>
                <w:szCs w:val="20"/>
                <w:color w:val="auto"/>
              </w:rPr>
            </w:pPr>
            <w:r>
              <w:rPr>
                <w:rFonts w:ascii="Times New Roman" w:cs="Times New Roman" w:eastAsia="Times New Roman" w:hAnsi="Times New Roman"/>
                <w:sz w:val="18"/>
                <w:szCs w:val="18"/>
                <w:color w:val="auto"/>
              </w:rPr>
              <w:t>State Licenses</w:t>
            </w:r>
          </w:p>
        </w:tc>
        <w:tc>
          <w:tcPr>
            <w:tcW w:w="11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6-10 years</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24,981</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(1,868)</w:t>
            </w:r>
          </w:p>
        </w:tc>
        <w:tc>
          <w:tcPr>
            <w:tcW w:w="10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23,113</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24,981</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(1,243)</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23,738</w:t>
            </w:r>
          </w:p>
        </w:tc>
        <w:tc>
          <w:tcPr>
            <w:tcW w:w="0" w:type="dxa"/>
            <w:vAlign w:val="bottom"/>
          </w:tcPr>
          <w:p>
            <w:pPr>
              <w:spacing w:after="0"/>
              <w:rPr>
                <w:sz w:val="1"/>
                <w:szCs w:val="1"/>
                <w:color w:val="auto"/>
              </w:rPr>
            </w:pPr>
          </w:p>
        </w:tc>
      </w:tr>
      <w:tr>
        <w:trPr>
          <w:trHeight w:val="216"/>
        </w:trPr>
        <w:tc>
          <w:tcPr>
            <w:tcW w:w="23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State Licenses</w:t>
            </w:r>
          </w:p>
        </w:tc>
        <w:tc>
          <w:tcPr>
            <w:tcW w:w="11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Indefinite</w:t>
            </w: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47,028</w:t>
            </w:r>
          </w:p>
        </w:tc>
        <w:tc>
          <w:tcPr>
            <w:tcW w:w="2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1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8"/>
                <w:szCs w:val="18"/>
                <w:color w:val="auto"/>
              </w:rPr>
            </w:pPr>
          </w:p>
        </w:tc>
        <w:tc>
          <w:tcPr>
            <w:tcW w:w="10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47,028</w:t>
            </w:r>
          </w:p>
        </w:tc>
        <w:tc>
          <w:tcPr>
            <w:tcW w:w="120" w:type="dxa"/>
            <w:vAlign w:val="bottom"/>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47,028</w:t>
            </w: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1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47,028</w:t>
            </w:r>
          </w:p>
        </w:tc>
        <w:tc>
          <w:tcPr>
            <w:tcW w:w="0" w:type="dxa"/>
            <w:vAlign w:val="bottom"/>
          </w:tcPr>
          <w:p>
            <w:pPr>
              <w:spacing w:after="0"/>
              <w:rPr>
                <w:sz w:val="1"/>
                <w:szCs w:val="1"/>
                <w:color w:val="auto"/>
              </w:rPr>
            </w:pPr>
          </w:p>
        </w:tc>
      </w:tr>
      <w:tr>
        <w:trPr>
          <w:trHeight w:val="20"/>
        </w:trPr>
        <w:tc>
          <w:tcPr>
            <w:tcW w:w="2380" w:type="dxa"/>
            <w:vAlign w:val="bottom"/>
            <w:shd w:val="clear" w:color="auto" w:fill="CFF0FC"/>
          </w:tcPr>
          <w:p>
            <w:pPr>
              <w:spacing w:after="0" w:line="20" w:lineRule="exact"/>
              <w:rPr>
                <w:sz w:val="1"/>
                <w:szCs w:val="1"/>
                <w:color w:val="auto"/>
              </w:rPr>
            </w:pPr>
          </w:p>
        </w:tc>
        <w:tc>
          <w:tcPr>
            <w:tcW w:w="116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380" w:type="dxa"/>
            <w:vAlign w:val="bottom"/>
          </w:tcPr>
          <w:p>
            <w:pPr>
              <w:spacing w:after="0"/>
              <w:rPr>
                <w:sz w:val="20"/>
                <w:szCs w:val="20"/>
                <w:color w:val="auto"/>
              </w:rPr>
            </w:pPr>
            <w:r>
              <w:rPr>
                <w:rFonts w:ascii="Times New Roman" w:cs="Times New Roman" w:eastAsia="Times New Roman" w:hAnsi="Times New Roman"/>
                <w:sz w:val="18"/>
                <w:szCs w:val="18"/>
                <w:color w:val="auto"/>
              </w:rPr>
              <w:t>Total intangible assets</w:t>
            </w: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jc w:val="right"/>
              <w:ind w:right="42"/>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172,304</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(64,660)</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107,644</w:t>
            </w:r>
          </w:p>
        </w:tc>
        <w:tc>
          <w:tcPr>
            <w:tcW w:w="120" w:type="dxa"/>
            <w:vAlign w:val="bottom"/>
            <w:vMerge w:val="continue"/>
          </w:tcPr>
          <w:p>
            <w:pPr>
              <w:spacing w:after="0"/>
              <w:rPr>
                <w:sz w:val="18"/>
                <w:szCs w:val="18"/>
                <w:color w:val="auto"/>
              </w:rPr>
            </w:pPr>
          </w:p>
        </w:tc>
        <w:tc>
          <w:tcPr>
            <w:tcW w:w="220" w:type="dxa"/>
            <w:vAlign w:val="bottom"/>
          </w:tcPr>
          <w:p>
            <w:pPr>
              <w:jc w:val="right"/>
              <w:ind w:right="38"/>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172,304</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(62,661)</w:t>
            </w:r>
          </w:p>
        </w:tc>
        <w:tc>
          <w:tcPr>
            <w:tcW w:w="2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109,643</w:t>
            </w:r>
          </w:p>
        </w:tc>
        <w:tc>
          <w:tcPr>
            <w:tcW w:w="0" w:type="dxa"/>
            <w:vAlign w:val="bottom"/>
          </w:tcPr>
          <w:p>
            <w:pPr>
              <w:spacing w:after="0"/>
              <w:rPr>
                <w:sz w:val="1"/>
                <w:szCs w:val="1"/>
                <w:color w:val="auto"/>
              </w:rPr>
            </w:pPr>
          </w:p>
        </w:tc>
      </w:tr>
      <w:tr>
        <w:trPr>
          <w:trHeight w:val="20"/>
        </w:trPr>
        <w:tc>
          <w:tcPr>
            <w:tcW w:w="23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2988310</wp:posOffset>
            </wp:positionH>
            <wp:positionV relativeFrom="paragraph">
              <wp:posOffset>-170815</wp:posOffset>
            </wp:positionV>
            <wp:extent cx="68580"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3802380</wp:posOffset>
            </wp:positionH>
            <wp:positionV relativeFrom="paragraph">
              <wp:posOffset>-170815</wp:posOffset>
            </wp:positionV>
            <wp:extent cx="68580"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4617085</wp:posOffset>
            </wp:positionH>
            <wp:positionV relativeFrom="paragraph">
              <wp:posOffset>-170815</wp:posOffset>
            </wp:positionV>
            <wp:extent cx="68580"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5431155</wp:posOffset>
            </wp:positionH>
            <wp:positionV relativeFrom="paragraph">
              <wp:posOffset>-170815</wp:posOffset>
            </wp:positionV>
            <wp:extent cx="68580"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6245860</wp:posOffset>
            </wp:positionH>
            <wp:positionV relativeFrom="paragraph">
              <wp:posOffset>-170815</wp:posOffset>
            </wp:positionV>
            <wp:extent cx="68580"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326" w:lineRule="exact"/>
        <w:rPr>
          <w:sz w:val="20"/>
          <w:szCs w:val="20"/>
          <w:color w:val="auto"/>
        </w:rPr>
      </w:pPr>
    </w:p>
    <w:p>
      <w:pPr>
        <w:ind w:right="800" w:firstLine="509"/>
        <w:spacing w:after="0" w:line="297" w:lineRule="auto"/>
        <w:rPr>
          <w:sz w:val="20"/>
          <w:szCs w:val="20"/>
          <w:color w:val="auto"/>
        </w:rPr>
      </w:pPr>
      <w:r>
        <w:rPr>
          <w:rFonts w:ascii="Times New Roman" w:cs="Times New Roman" w:eastAsia="Times New Roman" w:hAnsi="Times New Roman"/>
          <w:sz w:val="18"/>
          <w:szCs w:val="18"/>
          <w:color w:val="auto"/>
        </w:rPr>
        <w:t>Amortization expense related to intangible assets was $2.0 million and $1.8 million for the three months ended March 31, 2025 and 2024, respectively. The weighted average remaining useful lives of identifiable intangible assets as of March 31, 2025 was 9.63 years.</w:t>
      </w: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Details of Certain Balance Sheet Accounts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Prepaid expenses and other current assets consisted of the following:</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52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March 31, 2025</w:t>
            </w:r>
          </w:p>
        </w:tc>
        <w:tc>
          <w:tcPr>
            <w:tcW w:w="540" w:type="dxa"/>
            <w:vAlign w:val="bottom"/>
            <w:tcBorders>
              <w:bottom w:val="single" w:sz="8" w:color="auto"/>
            </w:tcBorders>
          </w:tcPr>
          <w:p>
            <w:pPr>
              <w:spacing w:after="0"/>
              <w:rPr>
                <w:sz w:val="15"/>
                <w:szCs w:val="15"/>
                <w:color w:val="auto"/>
              </w:rPr>
            </w:pPr>
          </w:p>
        </w:tc>
        <w:tc>
          <w:tcPr>
            <w:tcW w:w="28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100" w:type="dxa"/>
            <w:vAlign w:val="bottom"/>
          </w:tcPr>
          <w:p>
            <w:pPr>
              <w:spacing w:after="0"/>
              <w:rPr>
                <w:sz w:val="15"/>
                <w:szCs w:val="15"/>
                <w:color w:val="auto"/>
              </w:rPr>
            </w:pPr>
          </w:p>
        </w:tc>
      </w:tr>
      <w:tr>
        <w:trPr>
          <w:trHeight w:val="142"/>
        </w:trPr>
        <w:tc>
          <w:tcPr>
            <w:tcW w:w="552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2120" w:type="dxa"/>
            <w:vAlign w:val="bottom"/>
            <w:gridSpan w:val="2"/>
          </w:tcPr>
          <w:p>
            <w:pPr>
              <w:jc w:val="right"/>
              <w:ind w:right="30"/>
              <w:spacing w:after="0" w:line="142" w:lineRule="exact"/>
              <w:rPr>
                <w:sz w:val="20"/>
                <w:szCs w:val="20"/>
                <w:color w:val="auto"/>
              </w:rPr>
            </w:pPr>
            <w:r>
              <w:rPr>
                <w:rFonts w:ascii="Times New Roman" w:cs="Times New Roman" w:eastAsia="Times New Roman" w:hAnsi="Times New Roman"/>
                <w:sz w:val="14"/>
                <w:szCs w:val="14"/>
                <w:b w:val="1"/>
                <w:bCs w:val="1"/>
                <w:color w:val="auto"/>
              </w:rPr>
              <w:t>(Amounts in</w:t>
            </w:r>
          </w:p>
        </w:tc>
        <w:tc>
          <w:tcPr>
            <w:tcW w:w="1880" w:type="dxa"/>
            <w:vAlign w:val="bottom"/>
            <w:gridSpan w:val="3"/>
          </w:tcPr>
          <w:p>
            <w:pPr>
              <w:jc w:val="center"/>
              <w:ind w:right="1152"/>
              <w:spacing w:after="0" w:line="142" w:lineRule="exact"/>
              <w:rPr>
                <w:sz w:val="20"/>
                <w:szCs w:val="20"/>
                <w:color w:val="auto"/>
              </w:rPr>
            </w:pPr>
            <w:r>
              <w:rPr>
                <w:rFonts w:ascii="Times New Roman" w:cs="Times New Roman" w:eastAsia="Times New Roman" w:hAnsi="Times New Roman"/>
                <w:sz w:val="14"/>
                <w:szCs w:val="14"/>
                <w:b w:val="1"/>
                <w:bCs w:val="1"/>
                <w:color w:val="auto"/>
                <w:w w:val="91"/>
              </w:rPr>
              <w:t>Thousands)</w:t>
            </w:r>
          </w:p>
        </w:tc>
        <w:tc>
          <w:tcPr>
            <w:tcW w:w="100" w:type="dxa"/>
            <w:vAlign w:val="bottom"/>
          </w:tcPr>
          <w:p>
            <w:pPr>
              <w:spacing w:after="0"/>
              <w:rPr>
                <w:sz w:val="12"/>
                <w:szCs w:val="12"/>
                <w:color w:val="auto"/>
              </w:rPr>
            </w:pPr>
          </w:p>
        </w:tc>
      </w:tr>
      <w:tr>
        <w:trPr>
          <w:trHeight w:val="216"/>
        </w:trPr>
        <w:tc>
          <w:tcPr>
            <w:tcW w:w="55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Income tax receivable</w:t>
            </w:r>
          </w:p>
        </w:tc>
        <w:tc>
          <w:tcPr>
            <w:tcW w:w="3200" w:type="dxa"/>
            <w:vAlign w:val="bottom"/>
            <w:gridSpan w:val="2"/>
            <w:shd w:val="clear" w:color="auto" w:fill="CFF0FC"/>
          </w:tcPr>
          <w:p>
            <w:pPr>
              <w:jc w:val="right"/>
              <w:ind w:right="1402"/>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5,975</w:t>
            </w:r>
          </w:p>
        </w:tc>
        <w:tc>
          <w:tcPr>
            <w:tcW w:w="420" w:type="dxa"/>
            <w:vAlign w:val="bottom"/>
            <w:gridSpan w:val="2"/>
            <w:shd w:val="clear" w:color="auto" w:fill="CFF0FC"/>
          </w:tcPr>
          <w:p>
            <w:pPr>
              <w:jc w:val="center"/>
              <w:ind w:left="136"/>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11,568</w:t>
            </w:r>
          </w:p>
        </w:tc>
        <w:tc>
          <w:tcPr>
            <w:tcW w:w="100" w:type="dxa"/>
            <w:vAlign w:val="bottom"/>
            <w:shd w:val="clear" w:color="auto" w:fill="CFF0FC"/>
          </w:tcPr>
          <w:p>
            <w:pPr>
              <w:spacing w:after="0"/>
              <w:rPr>
                <w:sz w:val="18"/>
                <w:szCs w:val="18"/>
                <w:color w:val="auto"/>
              </w:rPr>
            </w:pPr>
          </w:p>
        </w:tc>
      </w:tr>
      <w:tr>
        <w:trPr>
          <w:trHeight w:val="216"/>
        </w:trPr>
        <w:tc>
          <w:tcPr>
            <w:tcW w:w="5520" w:type="dxa"/>
            <w:vAlign w:val="bottom"/>
          </w:tcPr>
          <w:p>
            <w:pPr>
              <w:spacing w:after="0"/>
              <w:rPr>
                <w:sz w:val="20"/>
                <w:szCs w:val="20"/>
                <w:color w:val="auto"/>
              </w:rPr>
            </w:pPr>
            <w:r>
              <w:rPr>
                <w:rFonts w:ascii="Times New Roman" w:cs="Times New Roman" w:eastAsia="Times New Roman" w:hAnsi="Times New Roman"/>
                <w:sz w:val="18"/>
                <w:szCs w:val="18"/>
                <w:color w:val="auto"/>
              </w:rPr>
              <w:t>Prepaid payroll</w:t>
            </w:r>
          </w:p>
        </w:tc>
        <w:tc>
          <w:tcPr>
            <w:tcW w:w="16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2,699</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8,716</w:t>
            </w:r>
          </w:p>
        </w:tc>
        <w:tc>
          <w:tcPr>
            <w:tcW w:w="100" w:type="dxa"/>
            <w:vAlign w:val="bottom"/>
          </w:tcPr>
          <w:p>
            <w:pPr>
              <w:spacing w:after="0"/>
              <w:rPr>
                <w:sz w:val="18"/>
                <w:szCs w:val="18"/>
                <w:color w:val="auto"/>
              </w:rPr>
            </w:pPr>
          </w:p>
        </w:tc>
      </w:tr>
      <w:tr>
        <w:trPr>
          <w:trHeight w:val="216"/>
        </w:trPr>
        <w:tc>
          <w:tcPr>
            <w:tcW w:w="55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Prepaid workers' compensation and liability insurance</w:t>
            </w:r>
          </w:p>
        </w:tc>
        <w:tc>
          <w:tcPr>
            <w:tcW w:w="1620" w:type="dxa"/>
            <w:vAlign w:val="bottom"/>
            <w:shd w:val="clear" w:color="auto" w:fill="CFF0FC"/>
          </w:tcPr>
          <w:p>
            <w:pPr>
              <w:spacing w:after="0"/>
              <w:rPr>
                <w:sz w:val="18"/>
                <w:szCs w:val="18"/>
                <w:color w:val="auto"/>
              </w:rPr>
            </w:pPr>
          </w:p>
        </w:tc>
        <w:tc>
          <w:tcPr>
            <w:tcW w:w="1580" w:type="dxa"/>
            <w:vAlign w:val="bottom"/>
            <w:shd w:val="clear" w:color="auto" w:fill="CFF0FC"/>
          </w:tcPr>
          <w:p>
            <w:pPr>
              <w:spacing w:after="0"/>
              <w:rPr>
                <w:sz w:val="18"/>
                <w:szCs w:val="18"/>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2,843</w:t>
            </w:r>
          </w:p>
        </w:tc>
        <w:tc>
          <w:tcPr>
            <w:tcW w:w="2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4,254</w:t>
            </w:r>
          </w:p>
        </w:tc>
        <w:tc>
          <w:tcPr>
            <w:tcW w:w="100" w:type="dxa"/>
            <w:vAlign w:val="bottom"/>
            <w:shd w:val="clear" w:color="auto" w:fill="CFF0FC"/>
          </w:tcPr>
          <w:p>
            <w:pPr>
              <w:spacing w:after="0"/>
              <w:rPr>
                <w:sz w:val="18"/>
                <w:szCs w:val="18"/>
                <w:color w:val="auto"/>
              </w:rPr>
            </w:pPr>
          </w:p>
        </w:tc>
      </w:tr>
      <w:tr>
        <w:trPr>
          <w:trHeight w:val="216"/>
        </w:trPr>
        <w:tc>
          <w:tcPr>
            <w:tcW w:w="5520" w:type="dxa"/>
            <w:vAlign w:val="bottom"/>
          </w:tcPr>
          <w:p>
            <w:pPr>
              <w:spacing w:after="0"/>
              <w:rPr>
                <w:sz w:val="20"/>
                <w:szCs w:val="20"/>
                <w:color w:val="auto"/>
              </w:rPr>
            </w:pPr>
            <w:r>
              <w:rPr>
                <w:rFonts w:ascii="Times New Roman" w:cs="Times New Roman" w:eastAsia="Times New Roman" w:hAnsi="Times New Roman"/>
                <w:sz w:val="18"/>
                <w:szCs w:val="18"/>
                <w:color w:val="auto"/>
              </w:rPr>
              <w:t>Prepaid licensing fees</w:t>
            </w:r>
          </w:p>
        </w:tc>
        <w:tc>
          <w:tcPr>
            <w:tcW w:w="16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6,219</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5,414</w:t>
            </w:r>
          </w:p>
        </w:tc>
        <w:tc>
          <w:tcPr>
            <w:tcW w:w="100" w:type="dxa"/>
            <w:vAlign w:val="bottom"/>
          </w:tcPr>
          <w:p>
            <w:pPr>
              <w:spacing w:after="0"/>
              <w:rPr>
                <w:sz w:val="18"/>
                <w:szCs w:val="18"/>
                <w:color w:val="auto"/>
              </w:rPr>
            </w:pPr>
          </w:p>
        </w:tc>
      </w:tr>
      <w:tr>
        <w:trPr>
          <w:trHeight w:val="216"/>
        </w:trPr>
        <w:tc>
          <w:tcPr>
            <w:tcW w:w="55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Workers' compensation insurance receivable</w:t>
            </w:r>
          </w:p>
        </w:tc>
        <w:tc>
          <w:tcPr>
            <w:tcW w:w="1620" w:type="dxa"/>
            <w:vAlign w:val="bottom"/>
            <w:shd w:val="clear" w:color="auto" w:fill="CFF0FC"/>
          </w:tcPr>
          <w:p>
            <w:pPr>
              <w:spacing w:after="0"/>
              <w:rPr>
                <w:sz w:val="18"/>
                <w:szCs w:val="18"/>
                <w:color w:val="auto"/>
              </w:rPr>
            </w:pPr>
          </w:p>
        </w:tc>
        <w:tc>
          <w:tcPr>
            <w:tcW w:w="1580" w:type="dxa"/>
            <w:vAlign w:val="bottom"/>
            <w:shd w:val="clear" w:color="auto" w:fill="CFF0FC"/>
          </w:tcPr>
          <w:p>
            <w:pPr>
              <w:spacing w:after="0"/>
              <w:rPr>
                <w:sz w:val="18"/>
                <w:szCs w:val="18"/>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942</w:t>
            </w:r>
          </w:p>
        </w:tc>
        <w:tc>
          <w:tcPr>
            <w:tcW w:w="2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810</w:t>
            </w:r>
          </w:p>
        </w:tc>
        <w:tc>
          <w:tcPr>
            <w:tcW w:w="100" w:type="dxa"/>
            <w:vAlign w:val="bottom"/>
            <w:shd w:val="clear" w:color="auto" w:fill="CFF0FC"/>
          </w:tcPr>
          <w:p>
            <w:pPr>
              <w:spacing w:after="0"/>
              <w:rPr>
                <w:sz w:val="18"/>
                <w:szCs w:val="18"/>
                <w:color w:val="auto"/>
              </w:rPr>
            </w:pPr>
          </w:p>
        </w:tc>
      </w:tr>
      <w:tr>
        <w:trPr>
          <w:trHeight w:val="216"/>
        </w:trPr>
        <w:tc>
          <w:tcPr>
            <w:tcW w:w="5520" w:type="dxa"/>
            <w:vAlign w:val="bottom"/>
          </w:tcPr>
          <w:p>
            <w:pPr>
              <w:spacing w:after="0" w:line="216" w:lineRule="exact"/>
              <w:rPr>
                <w:sz w:val="20"/>
                <w:szCs w:val="20"/>
                <w:color w:val="auto"/>
              </w:rPr>
            </w:pPr>
            <w:r>
              <w:rPr>
                <w:rFonts w:ascii="Times New Roman" w:cs="Times New Roman" w:eastAsia="Times New Roman" w:hAnsi="Times New Roman"/>
                <w:sz w:val="18"/>
                <w:szCs w:val="18"/>
                <w:color w:val="auto"/>
              </w:rPr>
              <w:t xml:space="preserve">Other </w:t>
            </w:r>
            <w:r>
              <w:rPr>
                <w:rFonts w:ascii="Times New Roman" w:cs="Times New Roman" w:eastAsia="Times New Roman" w:hAnsi="Times New Roman"/>
                <w:sz w:val="24"/>
                <w:szCs w:val="24"/>
                <w:color w:val="auto"/>
                <w:vertAlign w:val="superscript"/>
              </w:rPr>
              <w:t>(1)</w:t>
            </w:r>
          </w:p>
        </w:tc>
        <w:tc>
          <w:tcPr>
            <w:tcW w:w="1620" w:type="dxa"/>
            <w:vAlign w:val="bottom"/>
          </w:tcPr>
          <w:p>
            <w:pPr>
              <w:spacing w:after="0"/>
              <w:rPr>
                <w:sz w:val="18"/>
                <w:szCs w:val="18"/>
                <w:color w:val="auto"/>
              </w:rPr>
            </w:pPr>
          </w:p>
        </w:tc>
        <w:tc>
          <w:tcPr>
            <w:tcW w:w="158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7,589</w:t>
            </w:r>
          </w:p>
        </w:tc>
        <w:tc>
          <w:tcPr>
            <w:tcW w:w="2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7,829</w:t>
            </w:r>
          </w:p>
        </w:tc>
        <w:tc>
          <w:tcPr>
            <w:tcW w:w="100" w:type="dxa"/>
            <w:vAlign w:val="bottom"/>
          </w:tcPr>
          <w:p>
            <w:pPr>
              <w:spacing w:after="0"/>
              <w:rPr>
                <w:sz w:val="18"/>
                <w:szCs w:val="18"/>
                <w:color w:val="auto"/>
              </w:rPr>
            </w:pPr>
          </w:p>
        </w:tc>
      </w:tr>
      <w:tr>
        <w:trPr>
          <w:trHeight w:val="230"/>
        </w:trPr>
        <w:tc>
          <w:tcPr>
            <w:tcW w:w="55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prepaid expenses and other current assets</w:t>
            </w:r>
          </w:p>
        </w:tc>
        <w:tc>
          <w:tcPr>
            <w:tcW w:w="1620" w:type="dxa"/>
            <w:vAlign w:val="bottom"/>
            <w:shd w:val="clear" w:color="auto" w:fill="CFF0FC"/>
          </w:tcPr>
          <w:p>
            <w:pPr>
              <w:spacing w:after="0"/>
              <w:rPr>
                <w:sz w:val="19"/>
                <w:szCs w:val="19"/>
                <w:color w:val="auto"/>
              </w:rPr>
            </w:pPr>
          </w:p>
        </w:tc>
        <w:tc>
          <w:tcPr>
            <w:tcW w:w="1580" w:type="dxa"/>
            <w:vAlign w:val="bottom"/>
            <w:shd w:val="clear" w:color="auto" w:fill="CFF0FC"/>
          </w:tcPr>
          <w:p>
            <w:pPr>
              <w:jc w:val="right"/>
              <w:ind w:right="1402"/>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26,267</w:t>
            </w:r>
          </w:p>
        </w:tc>
        <w:tc>
          <w:tcPr>
            <w:tcW w:w="420" w:type="dxa"/>
            <w:vAlign w:val="bottom"/>
            <w:gridSpan w:val="2"/>
            <w:shd w:val="clear" w:color="auto" w:fill="CFF0FC"/>
          </w:tcPr>
          <w:p>
            <w:pPr>
              <w:jc w:val="center"/>
              <w:ind w:left="136"/>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38,591</w:t>
            </w:r>
          </w:p>
        </w:tc>
        <w:tc>
          <w:tcPr>
            <w:tcW w:w="100" w:type="dxa"/>
            <w:vAlign w:val="bottom"/>
            <w:shd w:val="clear" w:color="auto" w:fill="CFF0FC"/>
          </w:tcPr>
          <w:p>
            <w:pPr>
              <w:spacing w:after="0"/>
              <w:rPr>
                <w:sz w:val="19"/>
                <w:szCs w:val="19"/>
                <w:color w:val="auto"/>
              </w:rPr>
            </w:pPr>
          </w:p>
        </w:tc>
      </w:tr>
      <w:tr>
        <w:trPr>
          <w:trHeight w:val="20"/>
        </w:trPr>
        <w:tc>
          <w:tcPr>
            <w:tcW w:w="5520" w:type="dxa"/>
            <w:vAlign w:val="bottom"/>
            <w:tcBorders>
              <w:top w:val="single" w:sz="8" w:color="CFF0FC"/>
            </w:tcBorders>
            <w:shd w:val="clear" w:color="auto" w:fill="CFF0FC"/>
          </w:tcPr>
          <w:p>
            <w:pPr>
              <w:spacing w:after="0" w:line="20" w:lineRule="exact"/>
              <w:rPr>
                <w:sz w:val="1"/>
                <w:szCs w:val="1"/>
                <w:color w:val="auto"/>
              </w:rPr>
            </w:pPr>
          </w:p>
        </w:tc>
        <w:tc>
          <w:tcPr>
            <w:tcW w:w="1620" w:type="dxa"/>
            <w:vAlign w:val="bottom"/>
            <w:tcBorders>
              <w:top w:val="single" w:sz="8" w:color="CFF0FC"/>
            </w:tcBorders>
            <w:shd w:val="clear" w:color="auto" w:fill="CFF0FC"/>
          </w:tcPr>
          <w:p>
            <w:pPr>
              <w:spacing w:after="0" w:line="20" w:lineRule="exact"/>
              <w:rPr>
                <w:sz w:val="1"/>
                <w:szCs w:val="1"/>
                <w:color w:val="auto"/>
              </w:rPr>
            </w:pPr>
          </w:p>
        </w:tc>
        <w:tc>
          <w:tcPr>
            <w:tcW w:w="1580" w:type="dxa"/>
            <w:vAlign w:val="bottom"/>
            <w:tcBorders>
              <w:top w:val="single" w:sz="8" w:color="auto"/>
            </w:tcBorders>
            <w:shd w:val="clear" w:color="auto" w:fill="000000"/>
          </w:tcPr>
          <w:p>
            <w:pPr>
              <w:spacing w:after="0" w:line="20" w:lineRule="exact"/>
              <w:rPr>
                <w:sz w:val="1"/>
                <w:szCs w:val="1"/>
                <w:color w:val="auto"/>
              </w:rPr>
            </w:pPr>
          </w:p>
        </w:tc>
        <w:tc>
          <w:tcPr>
            <w:tcW w:w="54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4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5885815</wp:posOffset>
            </wp:positionH>
            <wp:positionV relativeFrom="paragraph">
              <wp:posOffset>-24765</wp:posOffset>
            </wp:positionV>
            <wp:extent cx="68580"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-8255</wp:posOffset>
            </wp:positionV>
            <wp:extent cx="68580"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487680</wp:posOffset>
            </wp:positionV>
            <wp:extent cx="715772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type w:val="continuous"/>
        </w:sectPr>
      </w:pPr>
    </w:p>
    <w:bookmarkStart w:id="11" w:name="page12"/>
    <w:bookmarkEnd w:id="11"/>
    <w:p>
      <w:pPr>
        <w:spacing w:after="0"/>
        <w:rPr>
          <w:sz w:val="20"/>
          <w:szCs w:val="20"/>
          <w:color w:val="auto"/>
        </w:rPr>
      </w:pPr>
      <w:r>
        <w:rPr>
          <w:rFonts w:ascii="Times New Roman" w:cs="Times New Roman" w:eastAsia="Times New Roman" w:hAnsi="Times New Roman"/>
          <w:sz w:val="18"/>
          <w:szCs w:val="18"/>
          <w:b w:val="1"/>
          <w:bCs w:val="1"/>
          <w:u w:val="single" w:color="auto"/>
          <w:color w:val="0563C1"/>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-5080</wp:posOffset>
            </wp:positionV>
            <wp:extent cx="869315"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869315" cy="8255"/>
                    </a:xfrm>
                    <a:prstGeom prst="rect">
                      <a:avLst/>
                    </a:prstGeom>
                    <a:noFill/>
                  </pic:spPr>
                </pic:pic>
              </a:graphicData>
            </a:graphic>
          </wp:anchor>
        </w:drawing>
      </w:r>
    </w:p>
    <w:p>
      <w:pPr>
        <w:spacing w:after="0" w:line="214" w:lineRule="exact"/>
        <w:rPr>
          <w:sz w:val="20"/>
          <w:szCs w:val="20"/>
          <w:color w:val="auto"/>
        </w:rPr>
      </w:pPr>
    </w:p>
    <w:p>
      <w:pPr>
        <w:ind w:left="1260" w:right="860" w:hanging="503"/>
        <w:spacing w:after="0" w:line="298" w:lineRule="auto"/>
        <w:tabs>
          <w:tab w:leader="none" w:pos="126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Included $2.3 million and $6.1 million related to the New York Asset Sale deferred payments as of March 31, 2025 and December 31, 2024, respectively.</w:t>
      </w:r>
    </w:p>
    <w:p>
      <w:pPr>
        <w:spacing w:after="0" w:line="9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Accrued expenses consisted of the following:</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020" w:type="dxa"/>
            <w:vAlign w:val="bottom"/>
          </w:tcPr>
          <w:p>
            <w:pPr>
              <w:spacing w:after="0"/>
              <w:rPr>
                <w:sz w:val="15"/>
                <w:szCs w:val="15"/>
                <w:color w:val="auto"/>
              </w:rPr>
            </w:pPr>
          </w:p>
        </w:tc>
        <w:tc>
          <w:tcPr>
            <w:tcW w:w="27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60" w:type="dxa"/>
            <w:vAlign w:val="bottom"/>
          </w:tcPr>
          <w:p>
            <w:pPr>
              <w:jc w:val="right"/>
              <w:ind w:right="215"/>
              <w:spacing w:after="0"/>
              <w:rPr>
                <w:sz w:val="20"/>
                <w:szCs w:val="20"/>
                <w:color w:val="auto"/>
              </w:rPr>
            </w:pPr>
            <w:r>
              <w:rPr>
                <w:rFonts w:ascii="Times New Roman" w:cs="Times New Roman" w:eastAsia="Times New Roman" w:hAnsi="Times New Roman"/>
                <w:sz w:val="14"/>
                <w:szCs w:val="14"/>
                <w:b w:val="1"/>
                <w:bCs w:val="1"/>
                <w:color w:val="auto"/>
              </w:rPr>
              <w:t>March 31, 2025</w:t>
            </w:r>
          </w:p>
        </w:tc>
        <w:tc>
          <w:tcPr>
            <w:tcW w:w="28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w:t>
            </w:r>
          </w:p>
        </w:tc>
        <w:tc>
          <w:tcPr>
            <w:tcW w:w="140" w:type="dxa"/>
            <w:vAlign w:val="bottom"/>
          </w:tcPr>
          <w:p>
            <w:pPr>
              <w:spacing w:after="0"/>
              <w:rPr>
                <w:sz w:val="15"/>
                <w:szCs w:val="15"/>
                <w:color w:val="auto"/>
              </w:rPr>
            </w:pPr>
          </w:p>
        </w:tc>
        <w:tc>
          <w:tcPr>
            <w:tcW w:w="152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0" w:type="dxa"/>
            <w:vAlign w:val="bottom"/>
          </w:tcPr>
          <w:p>
            <w:pPr>
              <w:spacing w:after="0"/>
              <w:rPr>
                <w:sz w:val="1"/>
                <w:szCs w:val="1"/>
                <w:color w:val="auto"/>
              </w:rPr>
            </w:pPr>
          </w:p>
        </w:tc>
      </w:tr>
      <w:tr>
        <w:trPr>
          <w:trHeight w:val="184"/>
        </w:trPr>
        <w:tc>
          <w:tcPr>
            <w:tcW w:w="5020" w:type="dxa"/>
            <w:vAlign w:val="bottom"/>
          </w:tcPr>
          <w:p>
            <w:pPr>
              <w:spacing w:after="0"/>
              <w:rPr>
                <w:sz w:val="15"/>
                <w:szCs w:val="15"/>
                <w:color w:val="auto"/>
              </w:rPr>
            </w:pPr>
          </w:p>
        </w:tc>
        <w:tc>
          <w:tcPr>
            <w:tcW w:w="2720" w:type="dxa"/>
            <w:vAlign w:val="bottom"/>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13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(Amounts</w:t>
            </w:r>
          </w:p>
        </w:tc>
        <w:tc>
          <w:tcPr>
            <w:tcW w:w="280" w:type="dxa"/>
            <w:vAlign w:val="bottom"/>
            <w:vMerge w:val="continue"/>
          </w:tcPr>
          <w:p>
            <w:pPr>
              <w:spacing w:after="0"/>
              <w:rPr>
                <w:sz w:val="15"/>
                <w:szCs w:val="15"/>
                <w:color w:val="auto"/>
              </w:rPr>
            </w:pPr>
          </w:p>
        </w:tc>
        <w:tc>
          <w:tcPr>
            <w:tcW w:w="156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4"/>
                <w:szCs w:val="14"/>
                <w:b w:val="1"/>
                <w:bCs w:val="1"/>
                <w:color w:val="auto"/>
              </w:rPr>
              <w:t>Thousands)</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5020" w:type="dxa"/>
            <w:vAlign w:val="bottom"/>
          </w:tcPr>
          <w:p>
            <w:pPr>
              <w:spacing w:after="0"/>
              <w:rPr>
                <w:sz w:val="15"/>
                <w:szCs w:val="15"/>
                <w:color w:val="auto"/>
              </w:rPr>
            </w:pPr>
          </w:p>
        </w:tc>
        <w:tc>
          <w:tcPr>
            <w:tcW w:w="27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50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Accrued health benefits</w:t>
            </w:r>
          </w:p>
        </w:tc>
        <w:tc>
          <w:tcPr>
            <w:tcW w:w="2920" w:type="dxa"/>
            <w:vAlign w:val="bottom"/>
            <w:gridSpan w:val="2"/>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7,348</w:t>
            </w:r>
          </w:p>
        </w:tc>
        <w:tc>
          <w:tcPr>
            <w:tcW w:w="420" w:type="dxa"/>
            <w:vAlign w:val="bottom"/>
            <w:gridSpan w:val="2"/>
            <w:shd w:val="clear" w:color="auto" w:fill="CFF0FC"/>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6,637</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20" w:type="dxa"/>
            <w:vAlign w:val="bottom"/>
          </w:tcPr>
          <w:p>
            <w:pPr>
              <w:spacing w:after="0"/>
              <w:rPr>
                <w:sz w:val="20"/>
                <w:szCs w:val="20"/>
                <w:color w:val="auto"/>
              </w:rPr>
            </w:pPr>
            <w:r>
              <w:rPr>
                <w:rFonts w:ascii="Times New Roman" w:cs="Times New Roman" w:eastAsia="Times New Roman" w:hAnsi="Times New Roman"/>
                <w:sz w:val="18"/>
                <w:szCs w:val="18"/>
                <w:color w:val="auto"/>
              </w:rPr>
              <w:t>Accrued professional fees</w:t>
            </w:r>
          </w:p>
        </w:tc>
        <w:tc>
          <w:tcPr>
            <w:tcW w:w="2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5,373</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5,368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Accrued payroll and other taxes</w:t>
            </w:r>
          </w:p>
        </w:tc>
        <w:tc>
          <w:tcPr>
            <w:tcW w:w="27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4,744</w:t>
            </w:r>
          </w:p>
        </w:tc>
        <w:tc>
          <w:tcPr>
            <w:tcW w:w="2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4,516</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20" w:type="dxa"/>
            <w:vAlign w:val="bottom"/>
          </w:tcPr>
          <w:p>
            <w:pPr>
              <w:spacing w:after="0"/>
              <w:rPr>
                <w:sz w:val="20"/>
                <w:szCs w:val="20"/>
                <w:color w:val="auto"/>
              </w:rPr>
            </w:pPr>
            <w:r>
              <w:rPr>
                <w:rFonts w:ascii="Times New Roman" w:cs="Times New Roman" w:eastAsia="Times New Roman" w:hAnsi="Times New Roman"/>
                <w:sz w:val="18"/>
                <w:szCs w:val="18"/>
                <w:color w:val="auto"/>
              </w:rPr>
              <w:t>Other</w:t>
            </w:r>
          </w:p>
        </w:tc>
        <w:tc>
          <w:tcPr>
            <w:tcW w:w="27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12,283</w:t>
            </w:r>
          </w:p>
        </w:tc>
        <w:tc>
          <w:tcPr>
            <w:tcW w:w="2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12,438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0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accrued expenses</w:t>
            </w:r>
          </w:p>
        </w:tc>
        <w:tc>
          <w:tcPr>
            <w:tcW w:w="272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29,748</w:t>
            </w:r>
          </w:p>
        </w:tc>
        <w:tc>
          <w:tcPr>
            <w:tcW w:w="420" w:type="dxa"/>
            <w:vAlign w:val="bottom"/>
            <w:gridSpan w:val="2"/>
            <w:shd w:val="clear" w:color="auto" w:fill="CFF0FC"/>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28,959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020" w:type="dxa"/>
            <w:vAlign w:val="bottom"/>
            <w:tcBorders>
              <w:top w:val="single" w:sz="8" w:color="CFF0FC"/>
            </w:tcBorders>
            <w:shd w:val="clear" w:color="auto" w:fill="CFF0FC"/>
          </w:tcPr>
          <w:p>
            <w:pPr>
              <w:spacing w:after="0" w:line="20" w:lineRule="exact"/>
              <w:rPr>
                <w:sz w:val="1"/>
                <w:szCs w:val="1"/>
                <w:color w:val="auto"/>
              </w:rPr>
            </w:pPr>
          </w:p>
        </w:tc>
        <w:tc>
          <w:tcPr>
            <w:tcW w:w="272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136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4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-25400</wp:posOffset>
            </wp:positionV>
            <wp:extent cx="68580"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-7620</wp:posOffset>
            </wp:positionV>
            <wp:extent cx="68580"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ARPA Spending Plans</w:t>
      </w:r>
    </w:p>
    <w:p>
      <w:pPr>
        <w:spacing w:after="0" w:line="229"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In recognition of the significant threat to the liquidity of financial markets and challenges to healthcare providers posed by the COVID-19 pandemic, the Federal Reserve and Congress took dramatic actions to provide liquidity to businesses and the banking system in the United States and to assist healthcare providers, including through relief legislation such as the American Rescue Plan Act of 2021 (“ARPA”). The ARPA provided for $350 billion in relief funding for eligible state, local, territorial, and Tribal governments to mitigate the fiscal effects of the COVID-19 public health emergency. Additionally, the law provided for a 10-percentage point increase in federal matching funds for Medicaid home and community-based services (“HCBS”) from April 1, 2021, through March 31, 2022, provided the state satisfied certain conditions. States were generally permitted to use the state funds equivalent to the additional federal funds through March 31, 2025, but CMS granted extensions to several states. States must use the monies attributable to this matching fund increase to supplement, not supplant, their level of state spending for the implementation of activities enhanced under the Medicaid HCBS in effect as of April 1, 2021.</w:t>
      </w:r>
    </w:p>
    <w:p>
      <w:pPr>
        <w:spacing w:after="0" w:line="18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HCBS spending plans for the additional matching funds vary by state, but common initiatives in which the Company is participating</w:t>
      </w:r>
    </w:p>
    <w:p>
      <w:pPr>
        <w:spacing w:after="0" w:line="27"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include those aimed at strengthening the provider workforce (e.g., efforts to recruit, retain, and train direct service providers). The Company is required to properly and fully document the use of such funds in reports to the state in which the funds originated. Funds may be subject to recoupment if not expended or if they are expended on non-approved uses.</w:t>
      </w:r>
    </w:p>
    <w:p>
      <w:pPr>
        <w:spacing w:after="0" w:line="186" w:lineRule="exact"/>
        <w:rPr>
          <w:sz w:val="20"/>
          <w:szCs w:val="20"/>
          <w:color w:val="auto"/>
        </w:rPr>
      </w:pPr>
    </w:p>
    <w:p>
      <w:pPr>
        <w:ind w:right="40" w:firstLine="509"/>
        <w:spacing w:after="0" w:line="258" w:lineRule="auto"/>
        <w:rPr>
          <w:sz w:val="20"/>
          <w:szCs w:val="20"/>
          <w:color w:val="auto"/>
        </w:rPr>
      </w:pPr>
      <w:r>
        <w:rPr>
          <w:rFonts w:ascii="Times New Roman" w:cs="Times New Roman" w:eastAsia="Times New Roman" w:hAnsi="Times New Roman"/>
          <w:sz w:val="18"/>
          <w:szCs w:val="18"/>
          <w:color w:val="auto"/>
        </w:rPr>
        <w:t>During the three months ended March 31, 2025, the Company did not receive additional state funding provided by the ARPA. Of the total state funding received by the Company pursuant to the ARPA through March 31, 2025, the Company utilized $2.5 million during the three months ended March 31, 2025, primarily for caregivers and adding support to recruiting and retention efforts, included as a reduction of cost of service revenues in the Company’s Unaudited Condensed Consolidated Statements of Income. As of March 31, 2025, the deferred portion of ARPA funding of $8.7 million is included within Government stimulus advances on the Company’s Unaudited Condensed Consolidated Balance Sheets.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Long-Term Debt</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Long-term debt consisted of the following:</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200" w:type="dxa"/>
            <w:vAlign w:val="bottom"/>
          </w:tcPr>
          <w:p>
            <w:pPr>
              <w:spacing w:after="0"/>
              <w:rPr>
                <w:sz w:val="15"/>
                <w:szCs w:val="15"/>
                <w:color w:val="auto"/>
              </w:rPr>
            </w:pPr>
          </w:p>
        </w:tc>
        <w:tc>
          <w:tcPr>
            <w:tcW w:w="35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520" w:type="dxa"/>
            <w:vAlign w:val="bottom"/>
            <w:gridSpan w:val="2"/>
          </w:tcPr>
          <w:p>
            <w:pPr>
              <w:jc w:val="right"/>
              <w:ind w:right="388"/>
              <w:spacing w:after="0"/>
              <w:rPr>
                <w:sz w:val="20"/>
                <w:szCs w:val="20"/>
                <w:color w:val="auto"/>
              </w:rPr>
            </w:pPr>
            <w:r>
              <w:rPr>
                <w:rFonts w:ascii="Times New Roman" w:cs="Times New Roman" w:eastAsia="Times New Roman" w:hAnsi="Times New Roman"/>
                <w:sz w:val="14"/>
                <w:szCs w:val="14"/>
                <w:b w:val="1"/>
                <w:bCs w:val="1"/>
                <w:color w:val="auto"/>
              </w:rPr>
              <w:t>March 31, 2025</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52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December 31, 2024</w:t>
            </w:r>
          </w:p>
        </w:tc>
      </w:tr>
      <w:tr>
        <w:trPr>
          <w:trHeight w:val="142"/>
        </w:trPr>
        <w:tc>
          <w:tcPr>
            <w:tcW w:w="4200" w:type="dxa"/>
            <w:vAlign w:val="bottom"/>
          </w:tcPr>
          <w:p>
            <w:pPr>
              <w:spacing w:after="0"/>
              <w:rPr>
                <w:sz w:val="12"/>
                <w:szCs w:val="12"/>
                <w:color w:val="auto"/>
              </w:rPr>
            </w:pPr>
          </w:p>
        </w:tc>
        <w:tc>
          <w:tcPr>
            <w:tcW w:w="354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136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(Amounts</w:t>
            </w:r>
          </w:p>
        </w:tc>
        <w:tc>
          <w:tcPr>
            <w:tcW w:w="280" w:type="dxa"/>
            <w:vAlign w:val="bottom"/>
            <w:gridSpan w:val="2"/>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in</w:t>
            </w:r>
          </w:p>
        </w:tc>
        <w:tc>
          <w:tcPr>
            <w:tcW w:w="1560" w:type="dxa"/>
            <w:vAlign w:val="bottom"/>
            <w:tcBorders>
              <w:top w:val="single" w:sz="8" w:color="auto"/>
            </w:tcBorders>
            <w:gridSpan w:val="2"/>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Thousands)</w:t>
            </w:r>
          </w:p>
        </w:tc>
        <w:tc>
          <w:tcPr>
            <w:tcW w:w="100" w:type="dxa"/>
            <w:vAlign w:val="bottom"/>
          </w:tcPr>
          <w:p>
            <w:pPr>
              <w:spacing w:after="0"/>
              <w:rPr>
                <w:sz w:val="12"/>
                <w:szCs w:val="12"/>
                <w:color w:val="auto"/>
              </w:rPr>
            </w:pPr>
          </w:p>
        </w:tc>
      </w:tr>
      <w:tr>
        <w:trPr>
          <w:trHeight w:val="216"/>
        </w:trPr>
        <w:tc>
          <w:tcPr>
            <w:tcW w:w="42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Revolving loan under the credit facility</w:t>
            </w:r>
          </w:p>
        </w:tc>
        <w:tc>
          <w:tcPr>
            <w:tcW w:w="3740" w:type="dxa"/>
            <w:vAlign w:val="bottom"/>
            <w:gridSpan w:val="2"/>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gridSpan w:val="2"/>
            <w:shd w:val="clear" w:color="auto" w:fill="CFF0FC"/>
          </w:tcPr>
          <w:p>
            <w:pPr>
              <w:jc w:val="right"/>
              <w:ind w:right="88"/>
              <w:spacing w:after="0"/>
              <w:rPr>
                <w:sz w:val="20"/>
                <w:szCs w:val="20"/>
                <w:color w:val="auto"/>
              </w:rPr>
            </w:pPr>
            <w:r>
              <w:rPr>
                <w:rFonts w:ascii="Times New Roman" w:cs="Times New Roman" w:eastAsia="Times New Roman" w:hAnsi="Times New Roman"/>
                <w:sz w:val="18"/>
                <w:szCs w:val="18"/>
                <w:color w:val="auto"/>
              </w:rPr>
              <w:t>203,000</w:t>
            </w:r>
          </w:p>
        </w:tc>
        <w:tc>
          <w:tcPr>
            <w:tcW w:w="260" w:type="dxa"/>
            <w:vAlign w:val="bottom"/>
            <w:gridSpan w:val="2"/>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223,000</w:t>
            </w:r>
          </w:p>
        </w:tc>
      </w:tr>
      <w:tr>
        <w:trPr>
          <w:trHeight w:val="216"/>
        </w:trPr>
        <w:tc>
          <w:tcPr>
            <w:tcW w:w="4200" w:type="dxa"/>
            <w:vAlign w:val="bottom"/>
          </w:tcPr>
          <w:p>
            <w:pPr>
              <w:spacing w:after="0"/>
              <w:rPr>
                <w:sz w:val="20"/>
                <w:szCs w:val="20"/>
                <w:color w:val="auto"/>
              </w:rPr>
            </w:pPr>
            <w:r>
              <w:rPr>
                <w:rFonts w:ascii="Times New Roman" w:cs="Times New Roman" w:eastAsia="Times New Roman" w:hAnsi="Times New Roman"/>
                <w:sz w:val="18"/>
                <w:szCs w:val="18"/>
                <w:color w:val="auto"/>
              </w:rPr>
              <w:t>Less unamortized issuance costs</w:t>
            </w:r>
          </w:p>
        </w:tc>
        <w:tc>
          <w:tcPr>
            <w:tcW w:w="3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20" w:type="dxa"/>
            <w:vAlign w:val="bottom"/>
            <w:gridSpan w:val="2"/>
          </w:tcPr>
          <w:p>
            <w:pPr>
              <w:jc w:val="right"/>
              <w:ind w:right="28"/>
              <w:spacing w:after="0"/>
              <w:rPr>
                <w:sz w:val="20"/>
                <w:szCs w:val="20"/>
                <w:color w:val="auto"/>
              </w:rPr>
            </w:pPr>
            <w:r>
              <w:rPr>
                <w:rFonts w:ascii="Times New Roman" w:cs="Times New Roman" w:eastAsia="Times New Roman" w:hAnsi="Times New Roman"/>
                <w:sz w:val="18"/>
                <w:szCs w:val="18"/>
                <w:color w:val="auto"/>
              </w:rPr>
              <w:t>(4,260)</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(4,557)</w:t>
            </w:r>
          </w:p>
        </w:tc>
      </w:tr>
      <w:tr>
        <w:trPr>
          <w:trHeight w:val="20"/>
        </w:trPr>
        <w:tc>
          <w:tcPr>
            <w:tcW w:w="4200" w:type="dxa"/>
            <w:vAlign w:val="bottom"/>
          </w:tcPr>
          <w:p>
            <w:pPr>
              <w:spacing w:after="0" w:line="20" w:lineRule="exact"/>
              <w:rPr>
                <w:sz w:val="1"/>
                <w:szCs w:val="1"/>
                <w:color w:val="auto"/>
              </w:rPr>
            </w:pPr>
          </w:p>
        </w:tc>
        <w:tc>
          <w:tcPr>
            <w:tcW w:w="35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50"/>
        </w:trPr>
        <w:tc>
          <w:tcPr>
            <w:tcW w:w="42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Long-term debt</w:t>
            </w:r>
          </w:p>
        </w:tc>
        <w:tc>
          <w:tcPr>
            <w:tcW w:w="3540" w:type="dxa"/>
            <w:vAlign w:val="bottom"/>
            <w:shd w:val="clear" w:color="auto" w:fill="CFF0FC"/>
          </w:tcPr>
          <w:p>
            <w:pPr>
              <w:spacing w:after="0"/>
              <w:rPr>
                <w:sz w:val="21"/>
                <w:szCs w:val="21"/>
                <w:color w:val="auto"/>
              </w:rPr>
            </w:pPr>
          </w:p>
        </w:tc>
        <w:tc>
          <w:tcPr>
            <w:tcW w:w="2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198,740</w:t>
            </w:r>
          </w:p>
        </w:tc>
        <w:tc>
          <w:tcPr>
            <w:tcW w:w="160" w:type="dxa"/>
            <w:vAlign w:val="bottom"/>
            <w:shd w:val="clear" w:color="auto" w:fill="CFF0FC"/>
          </w:tcPr>
          <w:p>
            <w:pPr>
              <w:spacing w:after="0"/>
              <w:rPr>
                <w:sz w:val="21"/>
                <w:szCs w:val="21"/>
                <w:color w:val="auto"/>
              </w:rPr>
            </w:pPr>
          </w:p>
        </w:tc>
        <w:tc>
          <w:tcPr>
            <w:tcW w:w="260" w:type="dxa"/>
            <w:vAlign w:val="bottom"/>
            <w:gridSpan w:val="2"/>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218,443</w:t>
            </w:r>
          </w:p>
        </w:tc>
      </w:tr>
      <w:tr>
        <w:trPr>
          <w:trHeight w:val="609"/>
        </w:trPr>
        <w:tc>
          <w:tcPr>
            <w:tcW w:w="4200" w:type="dxa"/>
            <w:vAlign w:val="bottom"/>
            <w:tcBorders>
              <w:top w:val="single" w:sz="8" w:color="CFF0FC"/>
            </w:tcBorders>
          </w:tcPr>
          <w:p>
            <w:pPr>
              <w:spacing w:after="0"/>
              <w:rPr>
                <w:sz w:val="24"/>
                <w:szCs w:val="24"/>
                <w:color w:val="auto"/>
              </w:rPr>
            </w:pPr>
          </w:p>
        </w:tc>
        <w:tc>
          <w:tcPr>
            <w:tcW w:w="3540" w:type="dxa"/>
            <w:vAlign w:val="bottom"/>
            <w:tcBorders>
              <w:top w:val="single" w:sz="8" w:color="CFF0FC"/>
            </w:tcBorders>
          </w:tcPr>
          <w:p>
            <w:pPr>
              <w:jc w:val="right"/>
              <w:ind w:right="1955"/>
              <w:spacing w:after="0"/>
              <w:rPr>
                <w:sz w:val="20"/>
                <w:szCs w:val="20"/>
                <w:color w:val="auto"/>
              </w:rPr>
            </w:pPr>
            <w:r>
              <w:rPr>
                <w:rFonts w:ascii="Times New Roman" w:cs="Times New Roman" w:eastAsia="Times New Roman" w:hAnsi="Times New Roman"/>
                <w:sz w:val="16"/>
                <w:szCs w:val="16"/>
                <w:color w:val="auto"/>
              </w:rPr>
              <w:t>12</w:t>
            </w:r>
          </w:p>
        </w:tc>
        <w:tc>
          <w:tcPr>
            <w:tcW w:w="200" w:type="dxa"/>
            <w:vAlign w:val="bottom"/>
            <w:tcBorders>
              <w:top w:val="single" w:sz="8" w:color="auto"/>
            </w:tcBorders>
          </w:tcPr>
          <w:p>
            <w:pPr>
              <w:spacing w:after="0"/>
              <w:rPr>
                <w:sz w:val="24"/>
                <w:szCs w:val="24"/>
                <w:color w:val="auto"/>
              </w:rPr>
            </w:pPr>
          </w:p>
        </w:tc>
        <w:tc>
          <w:tcPr>
            <w:tcW w:w="1360" w:type="dxa"/>
            <w:vAlign w:val="bottom"/>
            <w:tcBorders>
              <w:top w:val="single" w:sz="8" w:color="auto"/>
            </w:tcBorders>
          </w:tcPr>
          <w:p>
            <w:pPr>
              <w:spacing w:after="0"/>
              <w:rPr>
                <w:sz w:val="24"/>
                <w:szCs w:val="24"/>
                <w:color w:val="auto"/>
              </w:rPr>
            </w:pPr>
          </w:p>
        </w:tc>
        <w:tc>
          <w:tcPr>
            <w:tcW w:w="160" w:type="dxa"/>
            <w:vAlign w:val="bottom"/>
            <w:tcBorders>
              <w:top w:val="single" w:sz="8" w:color="CFF0FC"/>
            </w:tcBorders>
          </w:tcPr>
          <w:p>
            <w:pPr>
              <w:spacing w:after="0"/>
              <w:rPr>
                <w:sz w:val="24"/>
                <w:szCs w:val="24"/>
                <w:color w:val="auto"/>
              </w:rPr>
            </w:pPr>
          </w:p>
        </w:tc>
        <w:tc>
          <w:tcPr>
            <w:tcW w:w="120" w:type="dxa"/>
            <w:vAlign w:val="bottom"/>
            <w:tcBorders>
              <w:top w:val="single" w:sz="8" w:color="CFF0FC"/>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420" w:type="dxa"/>
            <w:vAlign w:val="bottom"/>
            <w:tcBorders>
              <w:top w:val="single" w:sz="8" w:color="auto"/>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r>
      <w:tr>
        <w:trPr>
          <w:trHeight w:val="769"/>
        </w:trPr>
        <w:tc>
          <w:tcPr>
            <w:tcW w:w="4200" w:type="dxa"/>
            <w:vAlign w:val="bottom"/>
            <w:tcBorders>
              <w:bottom w:val="single" w:sz="8" w:color="9A9A9A"/>
            </w:tcBorders>
          </w:tcPr>
          <w:p>
            <w:pPr>
              <w:spacing w:after="0"/>
              <w:rPr>
                <w:sz w:val="24"/>
                <w:szCs w:val="24"/>
                <w:color w:val="auto"/>
              </w:rPr>
            </w:pPr>
          </w:p>
        </w:tc>
        <w:tc>
          <w:tcPr>
            <w:tcW w:w="354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36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4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-925195</wp:posOffset>
            </wp:positionV>
            <wp:extent cx="68580"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-908050</wp:posOffset>
            </wp:positionV>
            <wp:extent cx="68580"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-925195</wp:posOffset>
            </wp:positionV>
            <wp:extent cx="68580"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-908050</wp:posOffset>
            </wp:positionV>
            <wp:extent cx="68580"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b w:val="1"/>
          <w:bCs w:val="1"/>
          <w:u w:val="single" w:color="auto"/>
          <w:color w:val="0563C1"/>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-5080</wp:posOffset>
            </wp:positionV>
            <wp:extent cx="869315"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869315" cy="8255"/>
                    </a:xfrm>
                    <a:prstGeom prst="rect">
                      <a:avLst/>
                    </a:prstGeom>
                    <a:noFill/>
                  </pic:spPr>
                </pic:pic>
              </a:graphicData>
            </a:graphic>
          </wp:anchor>
        </w:drawing>
      </w:r>
    </w:p>
    <w:p>
      <w:pPr>
        <w:spacing w:after="0" w:line="3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Amended and Restated Senior Secured Credit Facility</w:t>
      </w:r>
    </w:p>
    <w:p>
      <w:pPr>
        <w:spacing w:after="0" w:line="121"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On October 31, 2018, the Company entered into the Amended and Restated Credit Agreement, with certain lenders and Capital One, National Association, as a lender and as agent for all lenders, as amended by the First Amendment to Amended and Restated Credit Agreement, dated as of September 12, 2019, as further amended by the Second Amendment to Amended and Restated Credit Agreement, dated as of July 30, 2021, as further amended by the Third Amendment to Amended and Restated Credit Agreement, dated as of April 26, 2023 (as described below, the “Third Amendment”), and as further amended by the Fourth Amendment to Amended and Restated Credit Agreement, dated as of October 22, 2024 (as described below, the “Fourth Amendment”) (as amended, the “Credit Agreement”, as used throughout this Quarterly Report on Form 10-Q, “credit facility” shall mean the credit facility evidenced by the Credit Agreement). The credit facility consists of a $650.0 million revolving credit facility and a $150.0 million incremental loan facility, which incremental loan facility may be for term loans or an increase to the revolving loan commitments. The maturity of this credit facility is July 30, 2028.</w:t>
      </w:r>
    </w:p>
    <w:p>
      <w:pPr>
        <w:spacing w:after="0" w:line="80" w:lineRule="exact"/>
        <w:rPr>
          <w:sz w:val="20"/>
          <w:szCs w:val="20"/>
          <w:color w:val="auto"/>
        </w:rPr>
      </w:pPr>
    </w:p>
    <w:p>
      <w:pPr>
        <w:ind w:right="40" w:firstLine="509"/>
        <w:spacing w:after="0" w:line="266" w:lineRule="auto"/>
        <w:rPr>
          <w:sz w:val="20"/>
          <w:szCs w:val="20"/>
          <w:color w:val="auto"/>
        </w:rPr>
      </w:pPr>
      <w:r>
        <w:rPr>
          <w:rFonts w:ascii="Times New Roman" w:cs="Times New Roman" w:eastAsia="Times New Roman" w:hAnsi="Times New Roman"/>
          <w:sz w:val="18"/>
          <w:szCs w:val="18"/>
          <w:color w:val="auto"/>
        </w:rPr>
        <w:t>On October 22, 2024, the Company entered into the Fourth Amendment to, among other things, (a) increase the Company’s revolving credit facility to an aggregate amount of $650.0 million, (b) increase the Company’s incremental loan facility to an aggregate amount of $150.0 million, and (c) extend the maturity date of the credit facility from July 30, 2026 to July 30, 2028.</w:t>
      </w:r>
    </w:p>
    <w:p>
      <w:pPr>
        <w:spacing w:after="0" w:line="68" w:lineRule="exact"/>
        <w:rPr>
          <w:sz w:val="20"/>
          <w:szCs w:val="20"/>
          <w:color w:val="auto"/>
        </w:rPr>
      </w:pPr>
    </w:p>
    <w:p>
      <w:pPr>
        <w:ind w:right="80" w:firstLine="509"/>
        <w:spacing w:after="0" w:line="255" w:lineRule="auto"/>
        <w:rPr>
          <w:sz w:val="20"/>
          <w:szCs w:val="20"/>
          <w:color w:val="auto"/>
        </w:rPr>
      </w:pPr>
      <w:r>
        <w:rPr>
          <w:rFonts w:ascii="Times New Roman" w:cs="Times New Roman" w:eastAsia="Times New Roman" w:hAnsi="Times New Roman"/>
          <w:sz w:val="18"/>
          <w:szCs w:val="18"/>
          <w:color w:val="auto"/>
        </w:rPr>
        <w:t>Interest on the credit facility may be payable at (x) the sum of (i) an applicable margin ranging from 0.75% to 1.50% based on the applicable senior net leverage ratio plus (ii) a base rate equal to the greatest of (a) the rate of interest last quoted by The Wall Street Journal as the “prime rate,” (b) the sum of the federal funds rate plus a margin of 0.50%, and (c) the sum of Term Secured Overnight Financing Rate (“SOFR”) (as published by the CME Group Benchmark Administrative Limited) for an interest period of one month for such applicable day (not to be less than 0.00%), plus a margin of 1.00% or (y) the sum of (i) an applicable margin ranging from 1.75% to 2.50% based on the applicable senior net leverage ratio plus (ii) the rate per annum equal to the sum of Term SOFR (as published by the CME Group Benchmark Administrative Limited) for the applicable interest period (not to be less than 0.00%). Swing loans may not be SOFR loans.</w:t>
      </w:r>
    </w:p>
    <w:p>
      <w:pPr>
        <w:spacing w:after="0" w:line="189" w:lineRule="exact"/>
        <w:rPr>
          <w:sz w:val="20"/>
          <w:szCs w:val="20"/>
          <w:color w:val="auto"/>
        </w:rPr>
      </w:pPr>
    </w:p>
    <w:p>
      <w:pPr>
        <w:ind w:right="40" w:firstLine="509"/>
        <w:spacing w:after="0" w:line="254" w:lineRule="auto"/>
        <w:rPr>
          <w:sz w:val="20"/>
          <w:szCs w:val="20"/>
          <w:color w:val="auto"/>
        </w:rPr>
      </w:pPr>
      <w:r>
        <w:rPr>
          <w:rFonts w:ascii="Times New Roman" w:cs="Times New Roman" w:eastAsia="Times New Roman" w:hAnsi="Times New Roman"/>
          <w:sz w:val="18"/>
          <w:szCs w:val="18"/>
          <w:color w:val="auto"/>
        </w:rPr>
        <w:t>Addus HealthCare, Inc. (“Addus HealthCare”) is the borrower, and its parent, Holdings, and substantially all of Holdings’ subsidiaries are guarantors under this credit facility, and it is collateralized by a first priority security interest in all of the Company’s and the other credit parties’ current and future tangible and intangible assets, including the shares of stock of the borrower and subsidiaries. The Credit Agreement contains affirmative and negative covenants customary for credit facilities of this type, including limitations on the Company with respect to liens, indebtedness, guaranties, investments, distributions, mergers and acquisitions, and dispositions of assets. The availability of additional draws under this credit facility is conditioned, among other things, upon (after giving effect to such draws) the Total Net Leverage Ratio (as defined in the Credit Agreement) not exceeding 3.75:1.00. In certain circumstances, in connection with a Material Acquisition (as defined in the Credit Agreement), the Company can elect to increase its Total Net Leverage Ratio compliance covenant to 4.25:1.00 for the then current fiscal quarter and the three succeeding fiscal quarters.</w:t>
      </w:r>
    </w:p>
    <w:p>
      <w:pPr>
        <w:spacing w:after="0" w:line="192" w:lineRule="exact"/>
        <w:rPr>
          <w:sz w:val="20"/>
          <w:szCs w:val="20"/>
          <w:color w:val="auto"/>
        </w:rPr>
      </w:pPr>
    </w:p>
    <w:p>
      <w:pPr>
        <w:ind w:right="200" w:firstLine="509"/>
        <w:spacing w:after="0" w:line="282" w:lineRule="auto"/>
        <w:rPr>
          <w:sz w:val="20"/>
          <w:szCs w:val="20"/>
          <w:color w:val="auto"/>
        </w:rPr>
      </w:pPr>
      <w:r>
        <w:rPr>
          <w:rFonts w:ascii="Times New Roman" w:cs="Times New Roman" w:eastAsia="Times New Roman" w:hAnsi="Times New Roman"/>
          <w:sz w:val="18"/>
          <w:szCs w:val="18"/>
          <w:color w:val="auto"/>
        </w:rPr>
        <w:t>The Company pays a fee ranging from 0.20% to 0.35% based on the applicable senior net leverage ratio times the unused portion of the revolving loan portion of the credit facility.</w:t>
      </w:r>
    </w:p>
    <w:p>
      <w:pPr>
        <w:spacing w:after="0" w:line="162" w:lineRule="exact"/>
        <w:rPr>
          <w:sz w:val="20"/>
          <w:szCs w:val="20"/>
          <w:color w:val="auto"/>
        </w:rPr>
      </w:pPr>
    </w:p>
    <w:p>
      <w:pPr>
        <w:ind w:right="40" w:firstLine="509"/>
        <w:spacing w:after="0" w:line="254" w:lineRule="auto"/>
        <w:rPr>
          <w:sz w:val="20"/>
          <w:szCs w:val="20"/>
          <w:color w:val="auto"/>
        </w:rPr>
      </w:pPr>
      <w:r>
        <w:rPr>
          <w:rFonts w:ascii="Times New Roman" w:cs="Times New Roman" w:eastAsia="Times New Roman" w:hAnsi="Times New Roman"/>
          <w:sz w:val="18"/>
          <w:szCs w:val="18"/>
          <w:color w:val="auto"/>
        </w:rPr>
        <w:t>The Credit Agreement contains customary affirmative covenants regarding, among other things, the maintenance of records, compliance with laws, maintenance of permits, maintenance of insurance and property, and payment of taxes. The Credit Agreement also contains certain customary financial covenants and negative covenants that, among other things, include a requirement to maintain a minimum Interest Coverage Ratio (as defined in the Credit Agreement) and a requirement to stay below a maximum Total Net Leverage Ratio (as defined in the Credit Agreement). The Credit Agreement also contains restrictions on guarantees, indebtedness, liens, investments, and loans, subject to customary carve outs, a restriction on dividends (provided that Addus HealthCare may make distributions to the Company in an amount that does not exceed $10.0 million in any year absent of an event of default, plus limited exceptions for tax and administrative distributions), a restriction on the ability to consummate acquisitions (without the consent of the lenders) under its credit facility subject to compliance with the Total Net Leverage Ratio (as defined in the Credit Agreement) thresholds, restrictions on mergers, dispositions of assets, and affiliate transactions, and restrictions on fundamental changes and lines of business.</w:t>
      </w:r>
    </w:p>
    <w:p>
      <w:pPr>
        <w:spacing w:after="0" w:line="188" w:lineRule="exact"/>
        <w:rPr>
          <w:sz w:val="20"/>
          <w:szCs w:val="20"/>
          <w:color w:val="auto"/>
        </w:rPr>
      </w:pPr>
    </w:p>
    <w:p>
      <w:pPr>
        <w:ind w:right="160" w:firstLine="509"/>
        <w:spacing w:after="0" w:line="282" w:lineRule="auto"/>
        <w:rPr>
          <w:sz w:val="20"/>
          <w:szCs w:val="20"/>
          <w:color w:val="auto"/>
        </w:rPr>
      </w:pPr>
      <w:r>
        <w:rPr>
          <w:rFonts w:ascii="Times New Roman" w:cs="Times New Roman" w:eastAsia="Times New Roman" w:hAnsi="Times New Roman"/>
          <w:sz w:val="18"/>
          <w:szCs w:val="18"/>
          <w:color w:val="auto"/>
        </w:rPr>
        <w:t>During the three months ended March 31, 2025, the Company did not draw on its credit facility and repaid $20.0 million under its revolving credit facility.</w:t>
      </w:r>
    </w:p>
    <w:p>
      <w:pPr>
        <w:spacing w:after="0" w:line="162" w:lineRule="exact"/>
        <w:rPr>
          <w:sz w:val="20"/>
          <w:szCs w:val="20"/>
          <w:color w:val="auto"/>
        </w:rPr>
      </w:pPr>
    </w:p>
    <w:p>
      <w:pPr>
        <w:ind w:right="20" w:firstLine="509"/>
        <w:spacing w:after="0" w:line="262" w:lineRule="auto"/>
        <w:rPr>
          <w:sz w:val="20"/>
          <w:szCs w:val="20"/>
          <w:color w:val="auto"/>
        </w:rPr>
      </w:pPr>
      <w:r>
        <w:rPr>
          <w:rFonts w:ascii="Times New Roman" w:cs="Times New Roman" w:eastAsia="Times New Roman" w:hAnsi="Times New Roman"/>
          <w:sz w:val="18"/>
          <w:szCs w:val="18"/>
          <w:color w:val="auto"/>
        </w:rPr>
        <w:t>As of March 31, 2025, the Company had a total of $203.0 million of revolving loans, with an interest rate of 6.32%, outstanding on its credit facility. After giving effect to the amount drawn on its credit facility, approximately $8.0 million of outstanding letters of credit and borrowing limits based on an advance multiple of adjusted EBITDA (as defined in the Credit Agreement), the Company had $632.9 of capacity and $421.9 million available for borrowing under its credit facility. As of December 31, 2024, the Company had a total of $223.0 million of revolving loans, with an interest rate of 6.34%, outstanding on its credit facility.</w:t>
      </w:r>
    </w:p>
    <w:p>
      <w:pPr>
        <w:spacing w:after="0" w:line="18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As of March 31, 2025, the Company was in compliance with all financial covenants under the Credit Agreement.</w:t>
      </w:r>
    </w:p>
    <w:p>
      <w:pPr>
        <w:sectPr>
          <w:pgSz w:w="11900" w:h="16838" w:orient="portrait"/>
          <w:cols w:equalWidth="0" w:num="1">
            <w:col w:w="11220"/>
          </w:cols>
          <w:pgMar w:left="320" w:top="765" w:right="359" w:bottom="1440" w:gutter="0" w:footer="0" w:header="0"/>
        </w:sectPr>
      </w:pPr>
    </w:p>
    <w:p>
      <w:pPr>
        <w:spacing w:after="0" w:line="2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487680</wp:posOffset>
            </wp:positionV>
            <wp:extent cx="7157720"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65" w:right="359" w:bottom="1440" w:gutter="0" w:footer="0" w:header="0"/>
          <w:type w:val="continuous"/>
        </w:sectPr>
      </w:pPr>
    </w:p>
    <w:bookmarkStart w:id="13" w:name="page14"/>
    <w:bookmarkEnd w:id="13"/>
    <w:p>
      <w:pPr>
        <w:spacing w:after="0"/>
        <w:rPr>
          <w:sz w:val="20"/>
          <w:szCs w:val="20"/>
          <w:color w:val="auto"/>
        </w:rPr>
      </w:pPr>
      <w:r>
        <w:rPr>
          <w:rFonts w:ascii="Times New Roman" w:cs="Times New Roman" w:eastAsia="Times New Roman" w:hAnsi="Times New Roman"/>
          <w:sz w:val="18"/>
          <w:szCs w:val="18"/>
          <w:b w:val="1"/>
          <w:bCs w:val="1"/>
          <w:u w:val="single" w:color="auto"/>
          <w:color w:val="0563C1"/>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-5080</wp:posOffset>
            </wp:positionV>
            <wp:extent cx="869315"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869315" cy="8255"/>
                    </a:xfrm>
                    <a:prstGeom prst="rect">
                      <a:avLst/>
                    </a:prstGeom>
                    <a:noFill/>
                  </pic:spPr>
                </pic:pic>
              </a:graphicData>
            </a:graphic>
          </wp:anchor>
        </w:drawing>
      </w: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Income Taxes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effective income tax rates were 21.4% and 25.7% for the three months ended March 31, 2025 and 2024, respectively.</w:t>
      </w:r>
    </w:p>
    <w:p>
      <w:pPr>
        <w:spacing w:after="0" w:line="225" w:lineRule="exact"/>
        <w:rPr>
          <w:sz w:val="20"/>
          <w:szCs w:val="20"/>
          <w:color w:val="auto"/>
        </w:rPr>
      </w:pPr>
    </w:p>
    <w:p>
      <w:pPr>
        <w:ind w:right="60" w:firstLine="509"/>
        <w:spacing w:after="0" w:line="256" w:lineRule="auto"/>
        <w:rPr>
          <w:sz w:val="20"/>
          <w:szCs w:val="20"/>
          <w:color w:val="auto"/>
        </w:rPr>
      </w:pPr>
      <w:r>
        <w:rPr>
          <w:rFonts w:ascii="Times New Roman" w:cs="Times New Roman" w:eastAsia="Times New Roman" w:hAnsi="Times New Roman"/>
          <w:sz w:val="18"/>
          <w:szCs w:val="18"/>
          <w:color w:val="auto"/>
        </w:rPr>
        <w:t>For the three months ended March 31, 2025, the difference between our federal statutory and effective income tax rates was principally due to the inclusion of state taxes and non-deductible compensation, partially offset by the use of federal employment tax credits and excess tax benefit. For the three months ended March 31, 2025 and 2024, the effective tax rates were inclusive of an excess tax benefit of 4.7% and 0.1%, respectively. The excess tax expense or benefit is a discrete item, related to the vesting of equity shares, which requires the Company to recognize the expense or benefit fully in the period. An excess tax expense results if the Company’s cumulative costs of the award recognized exceed the income tax deduction, whereas an excess tax benefit results if the Company’s cumulative costs of the award recognized are less than the income tax deduction.</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Commitments and Contingencies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Legal Proceedings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From time to time, the Company is subject to legal and/or administrative proceedings incidental to its business.</w:t>
      </w:r>
    </w:p>
    <w:p>
      <w:pPr>
        <w:spacing w:after="0" w:line="225" w:lineRule="exact"/>
        <w:rPr>
          <w:sz w:val="20"/>
          <w:szCs w:val="20"/>
          <w:color w:val="auto"/>
        </w:rPr>
      </w:pPr>
    </w:p>
    <w:p>
      <w:pPr>
        <w:ind w:right="780" w:firstLine="509"/>
        <w:spacing w:after="0" w:line="282" w:lineRule="auto"/>
        <w:rPr>
          <w:sz w:val="20"/>
          <w:szCs w:val="20"/>
          <w:color w:val="auto"/>
        </w:rPr>
      </w:pPr>
      <w:r>
        <w:rPr>
          <w:rFonts w:ascii="Times New Roman" w:cs="Times New Roman" w:eastAsia="Times New Roman" w:hAnsi="Times New Roman"/>
          <w:sz w:val="18"/>
          <w:szCs w:val="18"/>
          <w:color w:val="auto"/>
        </w:rPr>
        <w:t>It is the opinion of management that the outcome of pending legal and/or administrative proceedings will not have a material effect on the Company’s Unaudited Condensed Consolidated Balance Sheets and Unaudited Condensed Consolidated Statements of Income.</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Segment Information</w:t>
      </w:r>
    </w:p>
    <w:p>
      <w:pPr>
        <w:spacing w:after="0" w:line="229"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Operating segments are defined as components of a company that engage in business activities from which it may earn revenues and incur expenses, and for which separate financial information is available and is regularly reviewed by the Company’s CODM. The Company identifies its Chief Executive Officer and Chief Operating Officer together as CODMs to assess the performance of the individual segments and make decisions about resources to be allocated to the segments. The Company operates as a multi-state provider of three business segments providing in-home services.</w:t>
      </w:r>
    </w:p>
    <w:p>
      <w:pPr>
        <w:spacing w:after="0" w:line="180"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In its personal care segment, the Company provides non-medical assistance with activities of daily living, primarily to persons who are at increased risk of hospitalization or institutionalization, such as the elderly, chronically ill or disabled. In its hospice segment, the Company provides physical, emotional, and spiritual care for people who are terminally ill as well as related services for their families. In its home health segment, the Company provides services that are primarily medical in nature to individuals who may require assistance during an illness or after hospitalization and include skilled nursing and physical, occupational, and speech therapy.</w:t>
      </w:r>
    </w:p>
    <w:p>
      <w:pPr>
        <w:spacing w:after="0" w:line="75" w:lineRule="exact"/>
        <w:rPr>
          <w:sz w:val="20"/>
          <w:szCs w:val="20"/>
          <w:color w:val="auto"/>
        </w:rPr>
      </w:pPr>
    </w:p>
    <w:p>
      <w:pPr>
        <w:ind w:right="20" w:firstLine="509"/>
        <w:spacing w:after="0" w:line="256" w:lineRule="auto"/>
        <w:rPr>
          <w:sz w:val="20"/>
          <w:szCs w:val="20"/>
          <w:color w:val="auto"/>
        </w:rPr>
      </w:pPr>
      <w:r>
        <w:rPr>
          <w:rFonts w:ascii="Times New Roman" w:cs="Times New Roman" w:eastAsia="Times New Roman" w:hAnsi="Times New Roman"/>
          <w:sz w:val="18"/>
          <w:szCs w:val="18"/>
          <w:color w:val="auto"/>
        </w:rPr>
        <w:t>The Company’s method for measuring profitability on each reportable segment basis is the same as those described in the summary of significant accounting policies and its CODMs frequently review the actual result to budget variance to allocate resources to the segment and assess its performance. Segment operating income consists of revenue generated by a segment, less the direct costs of service revenues and general and administrative expenses that are incurred directly by the segment. Unallocated general and administrative costs are those costs for functions performed in a centralized manner and therefore not attributable to a particular segment. These costs include accounting, finance, human resources, legal, information technology, corporate office support and facility costs and overall corporate management.</w:t>
      </w:r>
    </w:p>
    <w:p>
      <w:pPr>
        <w:spacing w:after="0" w:line="7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CODMs do not review disaggregated assets by segment. The measure of segment assets is reported on the balance sheet as total consolidated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assets.</w:t>
      </w:r>
    </w:p>
    <w:p>
      <w:pPr>
        <w:spacing w:after="0" w:line="207" w:lineRule="exact"/>
        <w:rPr>
          <w:sz w:val="20"/>
          <w:szCs w:val="20"/>
          <w:color w:val="auto"/>
        </w:rPr>
      </w:pPr>
    </w:p>
    <w:p>
      <w:pPr>
        <w:ind w:right="760" w:firstLine="509"/>
        <w:spacing w:after="0" w:line="282" w:lineRule="auto"/>
        <w:rPr>
          <w:sz w:val="20"/>
          <w:szCs w:val="20"/>
          <w:color w:val="auto"/>
        </w:rPr>
      </w:pPr>
      <w:r>
        <w:rPr>
          <w:rFonts w:ascii="Times New Roman" w:cs="Times New Roman" w:eastAsia="Times New Roman" w:hAnsi="Times New Roman"/>
          <w:sz w:val="18"/>
          <w:szCs w:val="18"/>
          <w:color w:val="auto"/>
        </w:rPr>
        <w:t>The tables below set forth information about the Company’s reportable segments, along with the items necessary to reconcile the segment information to the totals reported in the accompanying Unaudited Condensed Consolidated Financial Statements.</w:t>
      </w:r>
    </w:p>
    <w:p>
      <w:pPr>
        <w:spacing w:after="0" w:line="16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487680</wp:posOffset>
            </wp:positionV>
            <wp:extent cx="7157720"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65" w:right="35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b w:val="1"/>
          <w:bCs w:val="1"/>
          <w:u w:val="single" w:color="auto"/>
          <w:color w:val="0563C1"/>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-5080</wp:posOffset>
            </wp:positionV>
            <wp:extent cx="869315"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869315" cy="8255"/>
                    </a:xfrm>
                    <a:prstGeom prst="rect">
                      <a:avLst/>
                    </a:prstGeom>
                    <a:noFill/>
                  </pic:spPr>
                </pic:pic>
              </a:graphicData>
            </a:graphic>
          </wp:anchor>
        </w:drawing>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60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3000" w:type="dxa"/>
            <w:vAlign w:val="bottom"/>
            <w:tcBorders>
              <w:bottom w:val="single" w:sz="8" w:color="auto"/>
            </w:tcBorders>
            <w:gridSpan w:val="4"/>
          </w:tcPr>
          <w:p>
            <w:pPr>
              <w:jc w:val="right"/>
              <w:ind w:right="93"/>
              <w:spacing w:after="0"/>
              <w:rPr>
                <w:sz w:val="20"/>
                <w:szCs w:val="20"/>
                <w:color w:val="auto"/>
              </w:rPr>
            </w:pPr>
            <w:r>
              <w:rPr>
                <w:rFonts w:ascii="Times New Roman" w:cs="Times New Roman" w:eastAsia="Times New Roman" w:hAnsi="Times New Roman"/>
                <w:sz w:val="14"/>
                <w:szCs w:val="14"/>
                <w:b w:val="1"/>
                <w:bCs w:val="1"/>
                <w:color w:val="auto"/>
              </w:rPr>
              <w:t>For the Three Months Ended March 31, 2025</w:t>
            </w:r>
          </w:p>
        </w:tc>
        <w:tc>
          <w:tcPr>
            <w:tcW w:w="28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42"/>
        </w:trPr>
        <w:tc>
          <w:tcPr>
            <w:tcW w:w="460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260" w:type="dxa"/>
            <w:vAlign w:val="bottom"/>
            <w:tcBorders>
              <w:bottom w:val="single" w:sz="8" w:color="auto"/>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3000" w:type="dxa"/>
            <w:vAlign w:val="bottom"/>
            <w:tcBorders>
              <w:bottom w:val="single" w:sz="8" w:color="auto"/>
            </w:tcBorders>
            <w:gridSpan w:val="4"/>
          </w:tcPr>
          <w:p>
            <w:pPr>
              <w:jc w:val="right"/>
              <w:ind w:right="733"/>
              <w:spacing w:after="0" w:line="142" w:lineRule="exact"/>
              <w:rPr>
                <w:sz w:val="20"/>
                <w:szCs w:val="20"/>
                <w:color w:val="auto"/>
              </w:rPr>
            </w:pPr>
            <w:r>
              <w:rPr>
                <w:rFonts w:ascii="Times New Roman" w:cs="Times New Roman" w:eastAsia="Times New Roman" w:hAnsi="Times New Roman"/>
                <w:sz w:val="14"/>
                <w:szCs w:val="14"/>
                <w:b w:val="1"/>
                <w:bCs w:val="1"/>
                <w:color w:val="auto"/>
              </w:rPr>
              <w:t>(Amounts in Thousands)</w:t>
            </w:r>
          </w:p>
        </w:tc>
        <w:tc>
          <w:tcPr>
            <w:tcW w:w="280" w:type="dxa"/>
            <w:vAlign w:val="bottom"/>
            <w:tcBorders>
              <w:bottom w:val="single" w:sz="8" w:color="auto"/>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r>
      <w:tr>
        <w:trPr>
          <w:trHeight w:val="142"/>
        </w:trPr>
        <w:tc>
          <w:tcPr>
            <w:tcW w:w="460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260" w:type="dxa"/>
            <w:vAlign w:val="bottom"/>
            <w:tcBorders>
              <w:bottom w:val="single" w:sz="8" w:color="auto"/>
            </w:tcBorders>
          </w:tcPr>
          <w:p>
            <w:pPr>
              <w:jc w:val="right"/>
              <w:ind w:right="193"/>
              <w:spacing w:after="0" w:line="142" w:lineRule="exact"/>
              <w:rPr>
                <w:sz w:val="20"/>
                <w:szCs w:val="20"/>
                <w:color w:val="auto"/>
              </w:rPr>
            </w:pPr>
            <w:r>
              <w:rPr>
                <w:rFonts w:ascii="Times New Roman" w:cs="Times New Roman" w:eastAsia="Times New Roman" w:hAnsi="Times New Roman"/>
                <w:sz w:val="14"/>
                <w:szCs w:val="14"/>
                <w:b w:val="1"/>
                <w:bCs w:val="1"/>
                <w:color w:val="auto"/>
              </w:rPr>
              <w:t>Personal Care</w:t>
            </w:r>
          </w:p>
        </w:tc>
        <w:tc>
          <w:tcPr>
            <w:tcW w:w="30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320" w:type="dxa"/>
            <w:vAlign w:val="bottom"/>
            <w:tcBorders>
              <w:bottom w:val="single" w:sz="8" w:color="auto"/>
            </w:tcBorders>
          </w:tcPr>
          <w:p>
            <w:pPr>
              <w:jc w:val="right"/>
              <w:ind w:right="397"/>
              <w:spacing w:after="0" w:line="142" w:lineRule="exact"/>
              <w:rPr>
                <w:sz w:val="20"/>
                <w:szCs w:val="20"/>
                <w:color w:val="auto"/>
              </w:rPr>
            </w:pPr>
            <w:r>
              <w:rPr>
                <w:rFonts w:ascii="Times New Roman" w:cs="Times New Roman" w:eastAsia="Times New Roman" w:hAnsi="Times New Roman"/>
                <w:sz w:val="14"/>
                <w:szCs w:val="14"/>
                <w:b w:val="1"/>
                <w:bCs w:val="1"/>
                <w:color w:val="auto"/>
              </w:rPr>
              <w:t>Hospice</w:t>
            </w:r>
          </w:p>
        </w:tc>
        <w:tc>
          <w:tcPr>
            <w:tcW w:w="26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1220" w:type="dxa"/>
            <w:vAlign w:val="bottom"/>
            <w:tcBorders>
              <w:bottom w:val="single" w:sz="8" w:color="auto"/>
            </w:tcBorders>
          </w:tcPr>
          <w:p>
            <w:pPr>
              <w:jc w:val="right"/>
              <w:ind w:right="213"/>
              <w:spacing w:after="0" w:line="142" w:lineRule="exact"/>
              <w:rPr>
                <w:sz w:val="20"/>
                <w:szCs w:val="20"/>
                <w:color w:val="auto"/>
              </w:rPr>
            </w:pPr>
            <w:r>
              <w:rPr>
                <w:rFonts w:ascii="Times New Roman" w:cs="Times New Roman" w:eastAsia="Times New Roman" w:hAnsi="Times New Roman"/>
                <w:sz w:val="14"/>
                <w:szCs w:val="14"/>
                <w:b w:val="1"/>
                <w:bCs w:val="1"/>
                <w:color w:val="auto"/>
              </w:rPr>
              <w:t>Home Health</w:t>
            </w:r>
          </w:p>
        </w:tc>
        <w:tc>
          <w:tcPr>
            <w:tcW w:w="280" w:type="dxa"/>
            <w:vAlign w:val="bottom"/>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tcPr>
          <w:p>
            <w:pPr>
              <w:jc w:val="right"/>
              <w:ind w:right="472"/>
              <w:spacing w:after="0" w:line="142" w:lineRule="exact"/>
              <w:rPr>
                <w:sz w:val="20"/>
                <w:szCs w:val="20"/>
                <w:color w:val="auto"/>
              </w:rPr>
            </w:pPr>
            <w:r>
              <w:rPr>
                <w:rFonts w:ascii="Times New Roman" w:cs="Times New Roman" w:eastAsia="Times New Roman" w:hAnsi="Times New Roman"/>
                <w:sz w:val="14"/>
                <w:szCs w:val="14"/>
                <w:b w:val="1"/>
                <w:bCs w:val="1"/>
                <w:color w:val="auto"/>
              </w:rPr>
              <w:t>Total</w:t>
            </w:r>
          </w:p>
        </w:tc>
        <w:tc>
          <w:tcPr>
            <w:tcW w:w="100" w:type="dxa"/>
            <w:vAlign w:val="bottom"/>
          </w:tcPr>
          <w:p>
            <w:pPr>
              <w:spacing w:after="0"/>
              <w:rPr>
                <w:sz w:val="12"/>
                <w:szCs w:val="12"/>
                <w:color w:val="auto"/>
              </w:rPr>
            </w:pPr>
          </w:p>
        </w:tc>
      </w:tr>
      <w:tr>
        <w:trPr>
          <w:trHeight w:val="210"/>
        </w:trPr>
        <w:tc>
          <w:tcPr>
            <w:tcW w:w="46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service revenues</w:t>
            </w:r>
          </w:p>
        </w:tc>
        <w:tc>
          <w:tcPr>
            <w:tcW w:w="180" w:type="dxa"/>
            <w:vAlign w:val="bottom"/>
            <w:shd w:val="clear" w:color="auto" w:fill="CFF0FC"/>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258,286</w:t>
            </w:r>
          </w:p>
        </w:tc>
        <w:tc>
          <w:tcPr>
            <w:tcW w:w="4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61,437</w:t>
            </w:r>
          </w:p>
        </w:tc>
        <w:tc>
          <w:tcPr>
            <w:tcW w:w="4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17,985</w:t>
            </w:r>
          </w:p>
        </w:tc>
        <w:tc>
          <w:tcPr>
            <w:tcW w:w="5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337,708</w:t>
            </w:r>
          </w:p>
        </w:tc>
        <w:tc>
          <w:tcPr>
            <w:tcW w:w="100" w:type="dxa"/>
            <w:vAlign w:val="bottom"/>
            <w:shd w:val="clear" w:color="auto" w:fill="CFF0FC"/>
          </w:tcPr>
          <w:p>
            <w:pPr>
              <w:spacing w:after="0"/>
              <w:rPr>
                <w:sz w:val="18"/>
                <w:szCs w:val="18"/>
                <w:color w:val="auto"/>
              </w:rPr>
            </w:pPr>
          </w:p>
        </w:tc>
      </w:tr>
      <w:tr>
        <w:trPr>
          <w:trHeight w:val="216"/>
        </w:trPr>
        <w:tc>
          <w:tcPr>
            <w:tcW w:w="4600" w:type="dxa"/>
            <w:vAlign w:val="bottom"/>
          </w:tcPr>
          <w:p>
            <w:pPr>
              <w:spacing w:after="0"/>
              <w:rPr>
                <w:sz w:val="20"/>
                <w:szCs w:val="20"/>
                <w:color w:val="auto"/>
              </w:rPr>
            </w:pPr>
            <w:r>
              <w:rPr>
                <w:rFonts w:ascii="Times New Roman" w:cs="Times New Roman" w:eastAsia="Times New Roman" w:hAnsi="Times New Roman"/>
                <w:sz w:val="18"/>
                <w:szCs w:val="18"/>
                <w:color w:val="auto"/>
              </w:rPr>
              <w:t>Direct service personnel</w:t>
            </w:r>
          </w:p>
        </w:tc>
        <w:tc>
          <w:tcPr>
            <w:tcW w:w="1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186,650</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26,205</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10,413</w:t>
            </w: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223,268</w:t>
            </w:r>
          </w:p>
        </w:tc>
        <w:tc>
          <w:tcPr>
            <w:tcW w:w="100" w:type="dxa"/>
            <w:vAlign w:val="bottom"/>
          </w:tcPr>
          <w:p>
            <w:pPr>
              <w:spacing w:after="0"/>
              <w:rPr>
                <w:sz w:val="18"/>
                <w:szCs w:val="18"/>
                <w:color w:val="auto"/>
              </w:rPr>
            </w:pPr>
          </w:p>
        </w:tc>
      </w:tr>
      <w:tr>
        <w:trPr>
          <w:trHeight w:val="216"/>
        </w:trPr>
        <w:tc>
          <w:tcPr>
            <w:tcW w:w="46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General and administrative salaries, wages and benefits</w:t>
            </w:r>
          </w:p>
        </w:tc>
        <w:tc>
          <w:tcPr>
            <w:tcW w:w="180" w:type="dxa"/>
            <w:vAlign w:val="bottom"/>
            <w:shd w:val="clear" w:color="auto" w:fill="CFF0FC"/>
          </w:tcPr>
          <w:p>
            <w:pPr>
              <w:spacing w:after="0"/>
              <w:rPr>
                <w:sz w:val="18"/>
                <w:szCs w:val="18"/>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18,239</w:t>
            </w:r>
          </w:p>
        </w:tc>
        <w:tc>
          <w:tcPr>
            <w:tcW w:w="3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10,980</w:t>
            </w:r>
          </w:p>
        </w:tc>
        <w:tc>
          <w:tcPr>
            <w:tcW w:w="2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3,279</w:t>
            </w:r>
          </w:p>
        </w:tc>
        <w:tc>
          <w:tcPr>
            <w:tcW w:w="2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32,498</w:t>
            </w:r>
          </w:p>
        </w:tc>
        <w:tc>
          <w:tcPr>
            <w:tcW w:w="100" w:type="dxa"/>
            <w:vAlign w:val="bottom"/>
            <w:shd w:val="clear" w:color="auto" w:fill="CFF0FC"/>
          </w:tcPr>
          <w:p>
            <w:pPr>
              <w:spacing w:after="0"/>
              <w:rPr>
                <w:sz w:val="18"/>
                <w:szCs w:val="18"/>
                <w:color w:val="auto"/>
              </w:rPr>
            </w:pPr>
          </w:p>
        </w:tc>
      </w:tr>
      <w:tr>
        <w:trPr>
          <w:trHeight w:val="216"/>
        </w:trPr>
        <w:tc>
          <w:tcPr>
            <w:tcW w:w="4600" w:type="dxa"/>
            <w:vAlign w:val="bottom"/>
          </w:tcPr>
          <w:p>
            <w:pPr>
              <w:spacing w:after="0" w:line="216" w:lineRule="exact"/>
              <w:rPr>
                <w:sz w:val="20"/>
                <w:szCs w:val="20"/>
                <w:color w:val="auto"/>
              </w:rPr>
            </w:pPr>
            <w:r>
              <w:rPr>
                <w:rFonts w:ascii="Times New Roman" w:cs="Times New Roman" w:eastAsia="Times New Roman" w:hAnsi="Times New Roman"/>
                <w:sz w:val="18"/>
                <w:szCs w:val="18"/>
                <w:color w:val="auto"/>
              </w:rPr>
              <w:t xml:space="preserve">Other segment items </w:t>
            </w:r>
            <w:r>
              <w:rPr>
                <w:rFonts w:ascii="Times New Roman" w:cs="Times New Roman" w:eastAsia="Times New Roman" w:hAnsi="Times New Roman"/>
                <w:sz w:val="24"/>
                <w:szCs w:val="24"/>
                <w:color w:val="auto"/>
                <w:vertAlign w:val="superscript"/>
              </w:rPr>
              <w:t>1</w:t>
            </w:r>
          </w:p>
        </w:tc>
        <w:tc>
          <w:tcPr>
            <w:tcW w:w="1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5,805</w:t>
            </w:r>
          </w:p>
        </w:tc>
        <w:tc>
          <w:tcPr>
            <w:tcW w:w="3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9,635</w:t>
            </w:r>
          </w:p>
        </w:tc>
        <w:tc>
          <w:tcPr>
            <w:tcW w:w="26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1,279</w:t>
            </w:r>
          </w:p>
        </w:tc>
        <w:tc>
          <w:tcPr>
            <w:tcW w:w="28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16,719</w:t>
            </w:r>
          </w:p>
        </w:tc>
        <w:tc>
          <w:tcPr>
            <w:tcW w:w="100" w:type="dxa"/>
            <w:vAlign w:val="bottom"/>
          </w:tcPr>
          <w:p>
            <w:pPr>
              <w:spacing w:after="0"/>
              <w:rPr>
                <w:sz w:val="18"/>
                <w:szCs w:val="18"/>
                <w:color w:val="auto"/>
              </w:rPr>
            </w:pPr>
          </w:p>
        </w:tc>
      </w:tr>
      <w:tr>
        <w:trPr>
          <w:trHeight w:val="210"/>
        </w:trPr>
        <w:tc>
          <w:tcPr>
            <w:tcW w:w="46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Segment operating income</w:t>
            </w:r>
          </w:p>
        </w:tc>
        <w:tc>
          <w:tcPr>
            <w:tcW w:w="180" w:type="dxa"/>
            <w:vAlign w:val="bottom"/>
            <w:shd w:val="clear" w:color="auto" w:fill="CFF0FC"/>
          </w:tcPr>
          <w:p>
            <w:pPr>
              <w:spacing w:after="0"/>
              <w:rPr>
                <w:sz w:val="18"/>
                <w:szCs w:val="18"/>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47,592</w:t>
            </w:r>
          </w:p>
        </w:tc>
        <w:tc>
          <w:tcPr>
            <w:tcW w:w="3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14,617</w:t>
            </w:r>
          </w:p>
        </w:tc>
        <w:tc>
          <w:tcPr>
            <w:tcW w:w="2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3,014</w:t>
            </w:r>
          </w:p>
        </w:tc>
        <w:tc>
          <w:tcPr>
            <w:tcW w:w="2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65,223</w:t>
            </w:r>
          </w:p>
        </w:tc>
        <w:tc>
          <w:tcPr>
            <w:tcW w:w="100" w:type="dxa"/>
            <w:vAlign w:val="bottom"/>
            <w:shd w:val="clear" w:color="auto" w:fill="CFF0FC"/>
          </w:tcPr>
          <w:p>
            <w:pPr>
              <w:spacing w:after="0"/>
              <w:rPr>
                <w:sz w:val="18"/>
                <w:szCs w:val="18"/>
                <w:color w:val="auto"/>
              </w:rPr>
            </w:pPr>
          </w:p>
        </w:tc>
      </w:tr>
      <w:tr>
        <w:trPr>
          <w:trHeight w:val="216"/>
        </w:trPr>
        <w:tc>
          <w:tcPr>
            <w:tcW w:w="4600" w:type="dxa"/>
            <w:vAlign w:val="bottom"/>
          </w:tcPr>
          <w:p>
            <w:pPr>
              <w:spacing w:after="0"/>
              <w:rPr>
                <w:sz w:val="20"/>
                <w:szCs w:val="20"/>
                <w:color w:val="auto"/>
              </w:rPr>
            </w:pPr>
            <w:r>
              <w:rPr>
                <w:rFonts w:ascii="Times New Roman" w:cs="Times New Roman" w:eastAsia="Times New Roman" w:hAnsi="Times New Roman"/>
                <w:sz w:val="18"/>
                <w:szCs w:val="18"/>
                <w:color w:val="auto"/>
              </w:rPr>
              <w:t>Segment reconciliation:</w:t>
            </w:r>
          </w:p>
        </w:tc>
        <w:tc>
          <w:tcPr>
            <w:tcW w:w="1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6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Items not allocated at segment level:</w:t>
            </w:r>
          </w:p>
        </w:tc>
        <w:tc>
          <w:tcPr>
            <w:tcW w:w="180" w:type="dxa"/>
            <w:vAlign w:val="bottom"/>
            <w:shd w:val="clear" w:color="auto" w:fill="CFF0FC"/>
          </w:tcPr>
          <w:p>
            <w:pPr>
              <w:spacing w:after="0"/>
              <w:rPr>
                <w:sz w:val="18"/>
                <w:szCs w:val="18"/>
                <w:color w:val="auto"/>
              </w:rPr>
            </w:pPr>
          </w:p>
        </w:tc>
        <w:tc>
          <w:tcPr>
            <w:tcW w:w="12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4600" w:type="dxa"/>
            <w:vAlign w:val="bottom"/>
          </w:tcPr>
          <w:p>
            <w:pPr>
              <w:spacing w:after="0"/>
              <w:rPr>
                <w:sz w:val="20"/>
                <w:szCs w:val="20"/>
                <w:color w:val="auto"/>
              </w:rPr>
            </w:pPr>
            <w:r>
              <w:rPr>
                <w:rFonts w:ascii="Times New Roman" w:cs="Times New Roman" w:eastAsia="Times New Roman" w:hAnsi="Times New Roman"/>
                <w:sz w:val="18"/>
                <w:szCs w:val="18"/>
                <w:color w:val="auto"/>
              </w:rPr>
              <w:t>Other general and administrative expenses</w:t>
            </w:r>
          </w:p>
        </w:tc>
        <w:tc>
          <w:tcPr>
            <w:tcW w:w="1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30,766</w:t>
            </w:r>
          </w:p>
        </w:tc>
        <w:tc>
          <w:tcPr>
            <w:tcW w:w="100" w:type="dxa"/>
            <w:vAlign w:val="bottom"/>
          </w:tcPr>
          <w:p>
            <w:pPr>
              <w:spacing w:after="0"/>
              <w:rPr>
                <w:sz w:val="18"/>
                <w:szCs w:val="18"/>
                <w:color w:val="auto"/>
              </w:rPr>
            </w:pPr>
          </w:p>
        </w:tc>
      </w:tr>
      <w:tr>
        <w:trPr>
          <w:trHeight w:val="216"/>
        </w:trPr>
        <w:tc>
          <w:tcPr>
            <w:tcW w:w="46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80" w:type="dxa"/>
            <w:vAlign w:val="bottom"/>
            <w:shd w:val="clear" w:color="auto" w:fill="CFF0FC"/>
          </w:tcPr>
          <w:p>
            <w:pPr>
              <w:spacing w:after="0"/>
              <w:rPr>
                <w:sz w:val="18"/>
                <w:szCs w:val="18"/>
                <w:color w:val="auto"/>
              </w:rPr>
            </w:pPr>
          </w:p>
        </w:tc>
        <w:tc>
          <w:tcPr>
            <w:tcW w:w="12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3,943</w:t>
            </w:r>
          </w:p>
        </w:tc>
        <w:tc>
          <w:tcPr>
            <w:tcW w:w="100" w:type="dxa"/>
            <w:vAlign w:val="bottom"/>
            <w:shd w:val="clear" w:color="auto" w:fill="CFF0FC"/>
          </w:tcPr>
          <w:p>
            <w:pPr>
              <w:spacing w:after="0"/>
              <w:rPr>
                <w:sz w:val="18"/>
                <w:szCs w:val="18"/>
                <w:color w:val="auto"/>
              </w:rPr>
            </w:pPr>
          </w:p>
        </w:tc>
      </w:tr>
      <w:tr>
        <w:trPr>
          <w:trHeight w:val="216"/>
        </w:trPr>
        <w:tc>
          <w:tcPr>
            <w:tcW w:w="4600" w:type="dxa"/>
            <w:vAlign w:val="bottom"/>
          </w:tcPr>
          <w:p>
            <w:pPr>
              <w:spacing w:after="0"/>
              <w:rPr>
                <w:sz w:val="20"/>
                <w:szCs w:val="20"/>
                <w:color w:val="auto"/>
              </w:rPr>
            </w:pPr>
            <w:r>
              <w:rPr>
                <w:rFonts w:ascii="Times New Roman" w:cs="Times New Roman" w:eastAsia="Times New Roman" w:hAnsi="Times New Roman"/>
                <w:sz w:val="18"/>
                <w:szCs w:val="18"/>
                <w:color w:val="auto"/>
              </w:rPr>
              <w:t>Interest income</w:t>
            </w:r>
          </w:p>
        </w:tc>
        <w:tc>
          <w:tcPr>
            <w:tcW w:w="1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(502)</w:t>
            </w:r>
          </w:p>
        </w:tc>
      </w:tr>
      <w:tr>
        <w:trPr>
          <w:trHeight w:val="216"/>
        </w:trPr>
        <w:tc>
          <w:tcPr>
            <w:tcW w:w="46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180" w:type="dxa"/>
            <w:vAlign w:val="bottom"/>
            <w:tcBorders>
              <w:bottom w:val="single" w:sz="8" w:color="CFF0FC"/>
            </w:tcBorders>
            <w:shd w:val="clear" w:color="auto" w:fill="CFF0FC"/>
          </w:tcPr>
          <w:p>
            <w:pPr>
              <w:spacing w:after="0"/>
              <w:rPr>
                <w:sz w:val="18"/>
                <w:szCs w:val="18"/>
                <w:color w:val="auto"/>
              </w:rPr>
            </w:pPr>
          </w:p>
        </w:tc>
        <w:tc>
          <w:tcPr>
            <w:tcW w:w="126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132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CFF0FC"/>
            </w:tcBorders>
            <w:shd w:val="clear" w:color="auto" w:fill="CFF0FC"/>
          </w:tcPr>
          <w:p>
            <w:pPr>
              <w:spacing w:after="0"/>
              <w:rPr>
                <w:sz w:val="18"/>
                <w:szCs w:val="18"/>
                <w:color w:val="auto"/>
              </w:rPr>
            </w:pPr>
          </w:p>
        </w:tc>
        <w:tc>
          <w:tcPr>
            <w:tcW w:w="122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4,018</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4600" w:type="dxa"/>
            <w:vAlign w:val="bottom"/>
          </w:tcPr>
          <w:p>
            <w:pPr>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1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5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26,998</w:t>
            </w:r>
          </w:p>
        </w:tc>
        <w:tc>
          <w:tcPr>
            <w:tcW w:w="100" w:type="dxa"/>
            <w:vAlign w:val="bottom"/>
          </w:tcPr>
          <w:p>
            <w:pPr>
              <w:spacing w:after="0"/>
              <w:rPr>
                <w:sz w:val="18"/>
                <w:szCs w:val="18"/>
                <w:color w:val="auto"/>
              </w:rPr>
            </w:pPr>
          </w:p>
        </w:tc>
      </w:tr>
      <w:tr>
        <w:trPr>
          <w:trHeight w:val="20"/>
        </w:trPr>
        <w:tc>
          <w:tcPr>
            <w:tcW w:w="46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86" w:lineRule="exact"/>
        <w:rPr>
          <w:sz w:val="20"/>
          <w:szCs w:val="20"/>
          <w:color w:val="auto"/>
        </w:rPr>
      </w:pPr>
    </w:p>
    <w:p>
      <w:pPr>
        <w:ind w:left="720" w:right="280" w:hanging="383"/>
        <w:spacing w:after="0" w:line="282" w:lineRule="auto"/>
        <w:tabs>
          <w:tab w:leader="none" w:pos="7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segment items include other costs for direct service personnel, office expense, licenses and taxes, communication, medical director fees, travel, and bad debt expense.</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60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3000" w:type="dxa"/>
            <w:vAlign w:val="bottom"/>
            <w:tcBorders>
              <w:bottom w:val="single" w:sz="8" w:color="auto"/>
            </w:tcBorders>
            <w:gridSpan w:val="4"/>
          </w:tcPr>
          <w:p>
            <w:pPr>
              <w:jc w:val="right"/>
              <w:ind w:right="93"/>
              <w:spacing w:after="0"/>
              <w:rPr>
                <w:sz w:val="20"/>
                <w:szCs w:val="20"/>
                <w:color w:val="auto"/>
              </w:rPr>
            </w:pPr>
            <w:r>
              <w:rPr>
                <w:rFonts w:ascii="Times New Roman" w:cs="Times New Roman" w:eastAsia="Times New Roman" w:hAnsi="Times New Roman"/>
                <w:sz w:val="14"/>
                <w:szCs w:val="14"/>
                <w:b w:val="1"/>
                <w:bCs w:val="1"/>
                <w:color w:val="auto"/>
              </w:rPr>
              <w:t>For the Three Months Ended March 31, 2024</w:t>
            </w:r>
          </w:p>
        </w:tc>
        <w:tc>
          <w:tcPr>
            <w:tcW w:w="28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42"/>
        </w:trPr>
        <w:tc>
          <w:tcPr>
            <w:tcW w:w="460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260" w:type="dxa"/>
            <w:vAlign w:val="bottom"/>
            <w:tcBorders>
              <w:bottom w:val="single" w:sz="8" w:color="auto"/>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3000" w:type="dxa"/>
            <w:vAlign w:val="bottom"/>
            <w:tcBorders>
              <w:bottom w:val="single" w:sz="8" w:color="auto"/>
            </w:tcBorders>
            <w:gridSpan w:val="4"/>
          </w:tcPr>
          <w:p>
            <w:pPr>
              <w:jc w:val="right"/>
              <w:ind w:right="733"/>
              <w:spacing w:after="0" w:line="142" w:lineRule="exact"/>
              <w:rPr>
                <w:sz w:val="20"/>
                <w:szCs w:val="20"/>
                <w:color w:val="auto"/>
              </w:rPr>
            </w:pPr>
            <w:r>
              <w:rPr>
                <w:rFonts w:ascii="Times New Roman" w:cs="Times New Roman" w:eastAsia="Times New Roman" w:hAnsi="Times New Roman"/>
                <w:sz w:val="14"/>
                <w:szCs w:val="14"/>
                <w:b w:val="1"/>
                <w:bCs w:val="1"/>
                <w:color w:val="auto"/>
              </w:rPr>
              <w:t>(Amounts in Thousands)</w:t>
            </w:r>
          </w:p>
        </w:tc>
        <w:tc>
          <w:tcPr>
            <w:tcW w:w="280" w:type="dxa"/>
            <w:vAlign w:val="bottom"/>
            <w:tcBorders>
              <w:bottom w:val="single" w:sz="8" w:color="auto"/>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r>
      <w:tr>
        <w:trPr>
          <w:trHeight w:val="142"/>
        </w:trPr>
        <w:tc>
          <w:tcPr>
            <w:tcW w:w="460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260" w:type="dxa"/>
            <w:vAlign w:val="bottom"/>
            <w:tcBorders>
              <w:bottom w:val="single" w:sz="8" w:color="auto"/>
            </w:tcBorders>
          </w:tcPr>
          <w:p>
            <w:pPr>
              <w:jc w:val="right"/>
              <w:ind w:right="193"/>
              <w:spacing w:after="0" w:line="142" w:lineRule="exact"/>
              <w:rPr>
                <w:sz w:val="20"/>
                <w:szCs w:val="20"/>
                <w:color w:val="auto"/>
              </w:rPr>
            </w:pPr>
            <w:r>
              <w:rPr>
                <w:rFonts w:ascii="Times New Roman" w:cs="Times New Roman" w:eastAsia="Times New Roman" w:hAnsi="Times New Roman"/>
                <w:sz w:val="14"/>
                <w:szCs w:val="14"/>
                <w:b w:val="1"/>
                <w:bCs w:val="1"/>
                <w:color w:val="auto"/>
              </w:rPr>
              <w:t>Personal Care</w:t>
            </w:r>
          </w:p>
        </w:tc>
        <w:tc>
          <w:tcPr>
            <w:tcW w:w="30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320" w:type="dxa"/>
            <w:vAlign w:val="bottom"/>
            <w:tcBorders>
              <w:bottom w:val="single" w:sz="8" w:color="auto"/>
            </w:tcBorders>
          </w:tcPr>
          <w:p>
            <w:pPr>
              <w:jc w:val="right"/>
              <w:ind w:right="397"/>
              <w:spacing w:after="0" w:line="142" w:lineRule="exact"/>
              <w:rPr>
                <w:sz w:val="20"/>
                <w:szCs w:val="20"/>
                <w:color w:val="auto"/>
              </w:rPr>
            </w:pPr>
            <w:r>
              <w:rPr>
                <w:rFonts w:ascii="Times New Roman" w:cs="Times New Roman" w:eastAsia="Times New Roman" w:hAnsi="Times New Roman"/>
                <w:sz w:val="14"/>
                <w:szCs w:val="14"/>
                <w:b w:val="1"/>
                <w:bCs w:val="1"/>
                <w:color w:val="auto"/>
              </w:rPr>
              <w:t>Hospice</w:t>
            </w:r>
          </w:p>
        </w:tc>
        <w:tc>
          <w:tcPr>
            <w:tcW w:w="26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1220" w:type="dxa"/>
            <w:vAlign w:val="bottom"/>
            <w:tcBorders>
              <w:bottom w:val="single" w:sz="8" w:color="auto"/>
            </w:tcBorders>
          </w:tcPr>
          <w:p>
            <w:pPr>
              <w:jc w:val="right"/>
              <w:ind w:right="213"/>
              <w:spacing w:after="0" w:line="142" w:lineRule="exact"/>
              <w:rPr>
                <w:sz w:val="20"/>
                <w:szCs w:val="20"/>
                <w:color w:val="auto"/>
              </w:rPr>
            </w:pPr>
            <w:r>
              <w:rPr>
                <w:rFonts w:ascii="Times New Roman" w:cs="Times New Roman" w:eastAsia="Times New Roman" w:hAnsi="Times New Roman"/>
                <w:sz w:val="14"/>
                <w:szCs w:val="14"/>
                <w:b w:val="1"/>
                <w:bCs w:val="1"/>
                <w:color w:val="auto"/>
              </w:rPr>
              <w:t>Home Health</w:t>
            </w:r>
          </w:p>
        </w:tc>
        <w:tc>
          <w:tcPr>
            <w:tcW w:w="280" w:type="dxa"/>
            <w:vAlign w:val="bottom"/>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tcPr>
          <w:p>
            <w:pPr>
              <w:jc w:val="right"/>
              <w:ind w:right="472"/>
              <w:spacing w:after="0" w:line="142" w:lineRule="exact"/>
              <w:rPr>
                <w:sz w:val="20"/>
                <w:szCs w:val="20"/>
                <w:color w:val="auto"/>
              </w:rPr>
            </w:pPr>
            <w:r>
              <w:rPr>
                <w:rFonts w:ascii="Times New Roman" w:cs="Times New Roman" w:eastAsia="Times New Roman" w:hAnsi="Times New Roman"/>
                <w:sz w:val="14"/>
                <w:szCs w:val="14"/>
                <w:b w:val="1"/>
                <w:bCs w:val="1"/>
                <w:color w:val="auto"/>
              </w:rPr>
              <w:t>Total</w:t>
            </w:r>
          </w:p>
        </w:tc>
        <w:tc>
          <w:tcPr>
            <w:tcW w:w="100" w:type="dxa"/>
            <w:vAlign w:val="bottom"/>
          </w:tcPr>
          <w:p>
            <w:pPr>
              <w:spacing w:after="0"/>
              <w:rPr>
                <w:sz w:val="12"/>
                <w:szCs w:val="12"/>
                <w:color w:val="auto"/>
              </w:rPr>
            </w:pPr>
          </w:p>
        </w:tc>
      </w:tr>
      <w:tr>
        <w:trPr>
          <w:trHeight w:val="209"/>
        </w:trPr>
        <w:tc>
          <w:tcPr>
            <w:tcW w:w="46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service revenues</w:t>
            </w:r>
          </w:p>
        </w:tc>
        <w:tc>
          <w:tcPr>
            <w:tcW w:w="180" w:type="dxa"/>
            <w:vAlign w:val="bottom"/>
            <w:shd w:val="clear" w:color="auto" w:fill="CFF0FC"/>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208,003</w:t>
            </w:r>
          </w:p>
        </w:tc>
        <w:tc>
          <w:tcPr>
            <w:tcW w:w="4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55,863</w:t>
            </w:r>
          </w:p>
        </w:tc>
        <w:tc>
          <w:tcPr>
            <w:tcW w:w="4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16,880</w:t>
            </w:r>
          </w:p>
        </w:tc>
        <w:tc>
          <w:tcPr>
            <w:tcW w:w="5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280,746</w:t>
            </w:r>
          </w:p>
        </w:tc>
        <w:tc>
          <w:tcPr>
            <w:tcW w:w="100" w:type="dxa"/>
            <w:vAlign w:val="bottom"/>
            <w:shd w:val="clear" w:color="auto" w:fill="CFF0FC"/>
          </w:tcPr>
          <w:p>
            <w:pPr>
              <w:spacing w:after="0"/>
              <w:rPr>
                <w:sz w:val="18"/>
                <w:szCs w:val="18"/>
                <w:color w:val="auto"/>
              </w:rPr>
            </w:pPr>
          </w:p>
        </w:tc>
      </w:tr>
      <w:tr>
        <w:trPr>
          <w:trHeight w:val="216"/>
        </w:trPr>
        <w:tc>
          <w:tcPr>
            <w:tcW w:w="4600" w:type="dxa"/>
            <w:vAlign w:val="bottom"/>
          </w:tcPr>
          <w:p>
            <w:pPr>
              <w:spacing w:after="0"/>
              <w:rPr>
                <w:sz w:val="20"/>
                <w:szCs w:val="20"/>
                <w:color w:val="auto"/>
              </w:rPr>
            </w:pPr>
            <w:r>
              <w:rPr>
                <w:rFonts w:ascii="Times New Roman" w:cs="Times New Roman" w:eastAsia="Times New Roman" w:hAnsi="Times New Roman"/>
                <w:sz w:val="18"/>
                <w:szCs w:val="18"/>
                <w:color w:val="auto"/>
              </w:rPr>
              <w:t>Direct service personnel</w:t>
            </w:r>
          </w:p>
        </w:tc>
        <w:tc>
          <w:tcPr>
            <w:tcW w:w="1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152,072</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23,325</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10,623</w:t>
            </w: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186,020</w:t>
            </w:r>
          </w:p>
        </w:tc>
        <w:tc>
          <w:tcPr>
            <w:tcW w:w="100" w:type="dxa"/>
            <w:vAlign w:val="bottom"/>
          </w:tcPr>
          <w:p>
            <w:pPr>
              <w:spacing w:after="0"/>
              <w:rPr>
                <w:sz w:val="18"/>
                <w:szCs w:val="18"/>
                <w:color w:val="auto"/>
              </w:rPr>
            </w:pPr>
          </w:p>
        </w:tc>
      </w:tr>
      <w:tr>
        <w:trPr>
          <w:trHeight w:val="216"/>
        </w:trPr>
        <w:tc>
          <w:tcPr>
            <w:tcW w:w="46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General and administrative salaries, wages and benefits</w:t>
            </w:r>
          </w:p>
        </w:tc>
        <w:tc>
          <w:tcPr>
            <w:tcW w:w="180" w:type="dxa"/>
            <w:vAlign w:val="bottom"/>
            <w:shd w:val="clear" w:color="auto" w:fill="CFF0FC"/>
          </w:tcPr>
          <w:p>
            <w:pPr>
              <w:spacing w:after="0"/>
              <w:rPr>
                <w:sz w:val="18"/>
                <w:szCs w:val="18"/>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11,161</w:t>
            </w:r>
          </w:p>
        </w:tc>
        <w:tc>
          <w:tcPr>
            <w:tcW w:w="3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10,079</w:t>
            </w:r>
          </w:p>
        </w:tc>
        <w:tc>
          <w:tcPr>
            <w:tcW w:w="2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3,664</w:t>
            </w:r>
          </w:p>
        </w:tc>
        <w:tc>
          <w:tcPr>
            <w:tcW w:w="2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24,903</w:t>
            </w:r>
          </w:p>
        </w:tc>
        <w:tc>
          <w:tcPr>
            <w:tcW w:w="100" w:type="dxa"/>
            <w:vAlign w:val="bottom"/>
            <w:shd w:val="clear" w:color="auto" w:fill="CFF0FC"/>
          </w:tcPr>
          <w:p>
            <w:pPr>
              <w:spacing w:after="0"/>
              <w:rPr>
                <w:sz w:val="18"/>
                <w:szCs w:val="18"/>
                <w:color w:val="auto"/>
              </w:rPr>
            </w:pPr>
          </w:p>
        </w:tc>
      </w:tr>
      <w:tr>
        <w:trPr>
          <w:trHeight w:val="216"/>
        </w:trPr>
        <w:tc>
          <w:tcPr>
            <w:tcW w:w="4600" w:type="dxa"/>
            <w:vAlign w:val="bottom"/>
          </w:tcPr>
          <w:p>
            <w:pPr>
              <w:spacing w:after="0" w:line="216" w:lineRule="exact"/>
              <w:rPr>
                <w:sz w:val="20"/>
                <w:szCs w:val="20"/>
                <w:color w:val="auto"/>
              </w:rPr>
            </w:pPr>
            <w:r>
              <w:rPr>
                <w:rFonts w:ascii="Times New Roman" w:cs="Times New Roman" w:eastAsia="Times New Roman" w:hAnsi="Times New Roman"/>
                <w:sz w:val="18"/>
                <w:szCs w:val="18"/>
                <w:color w:val="auto"/>
              </w:rPr>
              <w:t xml:space="preserve">Other segment items </w:t>
            </w:r>
            <w:r>
              <w:rPr>
                <w:rFonts w:ascii="Times New Roman" w:cs="Times New Roman" w:eastAsia="Times New Roman" w:hAnsi="Times New Roman"/>
                <w:sz w:val="24"/>
                <w:szCs w:val="24"/>
                <w:color w:val="auto"/>
                <w:vertAlign w:val="superscript"/>
              </w:rPr>
              <w:t>1</w:t>
            </w:r>
          </w:p>
        </w:tc>
        <w:tc>
          <w:tcPr>
            <w:tcW w:w="1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4,748</w:t>
            </w:r>
          </w:p>
        </w:tc>
        <w:tc>
          <w:tcPr>
            <w:tcW w:w="3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9,002</w:t>
            </w:r>
          </w:p>
        </w:tc>
        <w:tc>
          <w:tcPr>
            <w:tcW w:w="26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1,316</w:t>
            </w:r>
          </w:p>
        </w:tc>
        <w:tc>
          <w:tcPr>
            <w:tcW w:w="28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15,067</w:t>
            </w:r>
          </w:p>
        </w:tc>
        <w:tc>
          <w:tcPr>
            <w:tcW w:w="100" w:type="dxa"/>
            <w:vAlign w:val="bottom"/>
          </w:tcPr>
          <w:p>
            <w:pPr>
              <w:spacing w:after="0"/>
              <w:rPr>
                <w:sz w:val="18"/>
                <w:szCs w:val="18"/>
                <w:color w:val="auto"/>
              </w:rPr>
            </w:pPr>
          </w:p>
        </w:tc>
      </w:tr>
      <w:tr>
        <w:trPr>
          <w:trHeight w:val="210"/>
        </w:trPr>
        <w:tc>
          <w:tcPr>
            <w:tcW w:w="46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Segment operating income</w:t>
            </w:r>
          </w:p>
        </w:tc>
        <w:tc>
          <w:tcPr>
            <w:tcW w:w="180" w:type="dxa"/>
            <w:vAlign w:val="bottom"/>
            <w:shd w:val="clear" w:color="auto" w:fill="CFF0FC"/>
          </w:tcPr>
          <w:p>
            <w:pPr>
              <w:spacing w:after="0"/>
              <w:rPr>
                <w:sz w:val="18"/>
                <w:szCs w:val="18"/>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40,022</w:t>
            </w:r>
          </w:p>
        </w:tc>
        <w:tc>
          <w:tcPr>
            <w:tcW w:w="3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13,457</w:t>
            </w:r>
          </w:p>
        </w:tc>
        <w:tc>
          <w:tcPr>
            <w:tcW w:w="2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1,277</w:t>
            </w:r>
          </w:p>
        </w:tc>
        <w:tc>
          <w:tcPr>
            <w:tcW w:w="2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54,756</w:t>
            </w:r>
          </w:p>
        </w:tc>
        <w:tc>
          <w:tcPr>
            <w:tcW w:w="100" w:type="dxa"/>
            <w:vAlign w:val="bottom"/>
            <w:shd w:val="clear" w:color="auto" w:fill="CFF0FC"/>
          </w:tcPr>
          <w:p>
            <w:pPr>
              <w:spacing w:after="0"/>
              <w:rPr>
                <w:sz w:val="18"/>
                <w:szCs w:val="18"/>
                <w:color w:val="auto"/>
              </w:rPr>
            </w:pPr>
          </w:p>
        </w:tc>
      </w:tr>
      <w:tr>
        <w:trPr>
          <w:trHeight w:val="216"/>
        </w:trPr>
        <w:tc>
          <w:tcPr>
            <w:tcW w:w="4600" w:type="dxa"/>
            <w:vAlign w:val="bottom"/>
          </w:tcPr>
          <w:p>
            <w:pPr>
              <w:spacing w:after="0"/>
              <w:rPr>
                <w:sz w:val="20"/>
                <w:szCs w:val="20"/>
                <w:color w:val="auto"/>
              </w:rPr>
            </w:pPr>
            <w:r>
              <w:rPr>
                <w:rFonts w:ascii="Times New Roman" w:cs="Times New Roman" w:eastAsia="Times New Roman" w:hAnsi="Times New Roman"/>
                <w:sz w:val="18"/>
                <w:szCs w:val="18"/>
                <w:color w:val="auto"/>
              </w:rPr>
              <w:t>Segment reconciliation:</w:t>
            </w:r>
          </w:p>
        </w:tc>
        <w:tc>
          <w:tcPr>
            <w:tcW w:w="1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6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Items not allocated at segment level:</w:t>
            </w:r>
          </w:p>
        </w:tc>
        <w:tc>
          <w:tcPr>
            <w:tcW w:w="180" w:type="dxa"/>
            <w:vAlign w:val="bottom"/>
            <w:shd w:val="clear" w:color="auto" w:fill="CFF0FC"/>
          </w:tcPr>
          <w:p>
            <w:pPr>
              <w:spacing w:after="0"/>
              <w:rPr>
                <w:sz w:val="18"/>
                <w:szCs w:val="18"/>
                <w:color w:val="auto"/>
              </w:rPr>
            </w:pPr>
          </w:p>
        </w:tc>
        <w:tc>
          <w:tcPr>
            <w:tcW w:w="12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4600" w:type="dxa"/>
            <w:vAlign w:val="bottom"/>
          </w:tcPr>
          <w:p>
            <w:pPr>
              <w:spacing w:after="0"/>
              <w:rPr>
                <w:sz w:val="20"/>
                <w:szCs w:val="20"/>
                <w:color w:val="auto"/>
              </w:rPr>
            </w:pPr>
            <w:r>
              <w:rPr>
                <w:rFonts w:ascii="Times New Roman" w:cs="Times New Roman" w:eastAsia="Times New Roman" w:hAnsi="Times New Roman"/>
                <w:sz w:val="18"/>
                <w:szCs w:val="18"/>
                <w:color w:val="auto"/>
              </w:rPr>
              <w:t>Other general and administrative expenses</w:t>
            </w:r>
          </w:p>
        </w:tc>
        <w:tc>
          <w:tcPr>
            <w:tcW w:w="1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27,642</w:t>
            </w:r>
          </w:p>
        </w:tc>
        <w:tc>
          <w:tcPr>
            <w:tcW w:w="100" w:type="dxa"/>
            <w:vAlign w:val="bottom"/>
          </w:tcPr>
          <w:p>
            <w:pPr>
              <w:spacing w:after="0"/>
              <w:rPr>
                <w:sz w:val="18"/>
                <w:szCs w:val="18"/>
                <w:color w:val="auto"/>
              </w:rPr>
            </w:pPr>
          </w:p>
        </w:tc>
      </w:tr>
      <w:tr>
        <w:trPr>
          <w:trHeight w:val="216"/>
        </w:trPr>
        <w:tc>
          <w:tcPr>
            <w:tcW w:w="46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80" w:type="dxa"/>
            <w:vAlign w:val="bottom"/>
            <w:shd w:val="clear" w:color="auto" w:fill="CFF0FC"/>
          </w:tcPr>
          <w:p>
            <w:pPr>
              <w:spacing w:after="0"/>
              <w:rPr>
                <w:sz w:val="18"/>
                <w:szCs w:val="18"/>
                <w:color w:val="auto"/>
              </w:rPr>
            </w:pPr>
          </w:p>
        </w:tc>
        <w:tc>
          <w:tcPr>
            <w:tcW w:w="12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3,469</w:t>
            </w:r>
          </w:p>
        </w:tc>
        <w:tc>
          <w:tcPr>
            <w:tcW w:w="100" w:type="dxa"/>
            <w:vAlign w:val="bottom"/>
            <w:shd w:val="clear" w:color="auto" w:fill="CFF0FC"/>
          </w:tcPr>
          <w:p>
            <w:pPr>
              <w:spacing w:after="0"/>
              <w:rPr>
                <w:sz w:val="18"/>
                <w:szCs w:val="18"/>
                <w:color w:val="auto"/>
              </w:rPr>
            </w:pPr>
          </w:p>
        </w:tc>
      </w:tr>
      <w:tr>
        <w:trPr>
          <w:trHeight w:val="216"/>
        </w:trPr>
        <w:tc>
          <w:tcPr>
            <w:tcW w:w="4600" w:type="dxa"/>
            <w:vAlign w:val="bottom"/>
          </w:tcPr>
          <w:p>
            <w:pPr>
              <w:spacing w:after="0"/>
              <w:rPr>
                <w:sz w:val="20"/>
                <w:szCs w:val="20"/>
                <w:color w:val="auto"/>
              </w:rPr>
            </w:pPr>
            <w:r>
              <w:rPr>
                <w:rFonts w:ascii="Times New Roman" w:cs="Times New Roman" w:eastAsia="Times New Roman" w:hAnsi="Times New Roman"/>
                <w:sz w:val="18"/>
                <w:szCs w:val="18"/>
                <w:color w:val="auto"/>
              </w:rPr>
              <w:t>Interest income</w:t>
            </w:r>
          </w:p>
        </w:tc>
        <w:tc>
          <w:tcPr>
            <w:tcW w:w="1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(423)</w:t>
            </w:r>
          </w:p>
        </w:tc>
      </w:tr>
      <w:tr>
        <w:trPr>
          <w:trHeight w:val="216"/>
        </w:trPr>
        <w:tc>
          <w:tcPr>
            <w:tcW w:w="46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180" w:type="dxa"/>
            <w:vAlign w:val="bottom"/>
            <w:tcBorders>
              <w:bottom w:val="single" w:sz="8" w:color="CFF0FC"/>
            </w:tcBorders>
            <w:shd w:val="clear" w:color="auto" w:fill="CFF0FC"/>
          </w:tcPr>
          <w:p>
            <w:pPr>
              <w:spacing w:after="0"/>
              <w:rPr>
                <w:sz w:val="18"/>
                <w:szCs w:val="18"/>
                <w:color w:val="auto"/>
              </w:rPr>
            </w:pPr>
          </w:p>
        </w:tc>
        <w:tc>
          <w:tcPr>
            <w:tcW w:w="126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132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CFF0FC"/>
            </w:tcBorders>
            <w:shd w:val="clear" w:color="auto" w:fill="CFF0FC"/>
          </w:tcPr>
          <w:p>
            <w:pPr>
              <w:spacing w:after="0"/>
              <w:rPr>
                <w:sz w:val="18"/>
                <w:szCs w:val="18"/>
                <w:color w:val="auto"/>
              </w:rPr>
            </w:pPr>
          </w:p>
        </w:tc>
        <w:tc>
          <w:tcPr>
            <w:tcW w:w="122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2,758</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4600" w:type="dxa"/>
            <w:vAlign w:val="bottom"/>
          </w:tcPr>
          <w:p>
            <w:pPr>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1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5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21,310</w:t>
            </w:r>
          </w:p>
        </w:tc>
        <w:tc>
          <w:tcPr>
            <w:tcW w:w="100" w:type="dxa"/>
            <w:vAlign w:val="bottom"/>
          </w:tcPr>
          <w:p>
            <w:pPr>
              <w:spacing w:after="0"/>
              <w:rPr>
                <w:sz w:val="18"/>
                <w:szCs w:val="18"/>
                <w:color w:val="auto"/>
              </w:rPr>
            </w:pPr>
          </w:p>
        </w:tc>
      </w:tr>
      <w:tr>
        <w:trPr>
          <w:trHeight w:val="20"/>
        </w:trPr>
        <w:tc>
          <w:tcPr>
            <w:tcW w:w="46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8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286" w:lineRule="exact"/>
        <w:rPr>
          <w:sz w:val="20"/>
          <w:szCs w:val="20"/>
          <w:color w:val="auto"/>
        </w:rPr>
      </w:pPr>
    </w:p>
    <w:p>
      <w:pPr>
        <w:ind w:left="720" w:right="280" w:hanging="383"/>
        <w:spacing w:after="0" w:line="282" w:lineRule="auto"/>
        <w:tabs>
          <w:tab w:leader="none" w:pos="72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segment items include other costs for direct service personnel, office expense, licenses and taxes, communication, medical director fees, travel, and bad debt expense.</w:t>
      </w:r>
    </w:p>
    <w:p>
      <w:pPr>
        <w:spacing w:after="0" w:line="200" w:lineRule="exact"/>
        <w:rPr>
          <w:rFonts w:ascii="Times New Roman" w:cs="Times New Roman" w:eastAsia="Times New Roman" w:hAnsi="Times New Roman"/>
          <w:sz w:val="18"/>
          <w:szCs w:val="18"/>
          <w:color w:val="auto"/>
        </w:rPr>
      </w:pPr>
    </w:p>
    <w:p>
      <w:pPr>
        <w:spacing w:after="0" w:line="268" w:lineRule="exact"/>
        <w:rPr>
          <w:rFonts w:ascii="Times New Roman" w:cs="Times New Roman" w:eastAsia="Times New Roman" w:hAnsi="Times New Roman"/>
          <w:sz w:val="18"/>
          <w:szCs w:val="18"/>
          <w:color w:val="auto"/>
        </w:rPr>
      </w:pPr>
    </w:p>
    <w:p>
      <w:pPr>
        <w:ind w:left="280" w:hanging="272"/>
        <w:spacing w:after="0"/>
        <w:tabs>
          <w:tab w:leader="none" w:pos="280" w:val="left"/>
        </w:tabs>
        <w:numPr>
          <w:ilvl w:val="0"/>
          <w:numId w:val="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Significant Payors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Company’s revenue by payor type was as follows:</w:t>
      </w:r>
    </w:p>
    <w:p>
      <w:pPr>
        <w:spacing w:after="0" w:line="356"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454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Personal Care Segment</w:t>
            </w:r>
          </w:p>
        </w:tc>
        <w:tc>
          <w:tcPr>
            <w:tcW w:w="1120" w:type="dxa"/>
            <w:vAlign w:val="bottom"/>
          </w:tcPr>
          <w:p>
            <w:pPr>
              <w:spacing w:after="0"/>
              <w:rPr>
                <w:sz w:val="19"/>
                <w:szCs w:val="19"/>
                <w:color w:val="auto"/>
              </w:rPr>
            </w:pPr>
          </w:p>
        </w:tc>
        <w:tc>
          <w:tcPr>
            <w:tcW w:w="12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860" w:type="dxa"/>
            <w:vAlign w:val="bottom"/>
            <w:tcBorders>
              <w:bottom w:val="single" w:sz="8" w:color="auto"/>
            </w:tcBorders>
            <w:gridSpan w:val="5"/>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For the Three Months Ended March 31,</w:t>
            </w:r>
          </w:p>
        </w:tc>
        <w:tc>
          <w:tcPr>
            <w:tcW w:w="1100" w:type="dxa"/>
            <w:vAlign w:val="bottom"/>
            <w:tcBorders>
              <w:bottom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2"/>
        </w:trPr>
        <w:tc>
          <w:tcPr>
            <w:tcW w:w="45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440" w:type="dxa"/>
            <w:vAlign w:val="bottom"/>
            <w:tcBorders>
              <w:bottom w:val="single" w:sz="8" w:color="auto"/>
            </w:tcBorders>
            <w:gridSpan w:val="3"/>
          </w:tcPr>
          <w:p>
            <w:pPr>
              <w:jc w:val="right"/>
              <w:ind w:right="20"/>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100" w:type="dxa"/>
            <w:vAlign w:val="bottom"/>
            <w:tcBorders>
              <w:bottom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1480" w:type="dxa"/>
            <w:vAlign w:val="bottom"/>
            <w:tcBorders>
              <w:bottom w:val="single" w:sz="8" w:color="auto"/>
            </w:tcBorders>
            <w:gridSpan w:val="3"/>
          </w:tcPr>
          <w:p>
            <w:pPr>
              <w:jc w:val="right"/>
              <w:ind w:right="40"/>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100" w:type="dxa"/>
            <w:vAlign w:val="bottom"/>
            <w:tcBorders>
              <w:bottom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7"/>
        </w:trPr>
        <w:tc>
          <w:tcPr>
            <w:tcW w:w="454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1440" w:type="dxa"/>
            <w:vAlign w:val="bottom"/>
            <w:gridSpan w:val="3"/>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100" w:type="dxa"/>
            <w:vAlign w:val="bottom"/>
          </w:tcPr>
          <w:p>
            <w:pPr>
              <w:jc w:val="center"/>
              <w:ind w:right="38"/>
              <w:spacing w:after="0" w:line="118" w:lineRule="exact"/>
              <w:rPr>
                <w:sz w:val="20"/>
                <w:szCs w:val="20"/>
                <w:color w:val="auto"/>
              </w:rPr>
            </w:pPr>
            <w:r>
              <w:rPr>
                <w:rFonts w:ascii="Times New Roman" w:cs="Times New Roman" w:eastAsia="Times New Roman" w:hAnsi="Times New Roman"/>
                <w:sz w:val="13"/>
                <w:szCs w:val="13"/>
                <w:b w:val="1"/>
                <w:bCs w:val="1"/>
                <w:color w:val="auto"/>
              </w:rPr>
              <w:t>% of Segment</w:t>
            </w:r>
          </w:p>
        </w:tc>
        <w:tc>
          <w:tcPr>
            <w:tcW w:w="280" w:type="dxa"/>
            <w:vAlign w:val="bottom"/>
          </w:tcPr>
          <w:p>
            <w:pPr>
              <w:spacing w:after="0"/>
              <w:rPr>
                <w:sz w:val="10"/>
                <w:szCs w:val="10"/>
                <w:color w:val="auto"/>
              </w:rPr>
            </w:pPr>
          </w:p>
        </w:tc>
        <w:tc>
          <w:tcPr>
            <w:tcW w:w="1480" w:type="dxa"/>
            <w:vAlign w:val="bottom"/>
            <w:gridSpan w:val="3"/>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100" w:type="dxa"/>
            <w:vAlign w:val="bottom"/>
          </w:tcPr>
          <w:p>
            <w:pPr>
              <w:jc w:val="center"/>
              <w:ind w:right="77"/>
              <w:spacing w:after="0" w:line="118" w:lineRule="exact"/>
              <w:rPr>
                <w:sz w:val="20"/>
                <w:szCs w:val="20"/>
                <w:color w:val="auto"/>
              </w:rPr>
            </w:pPr>
            <w:r>
              <w:rPr>
                <w:rFonts w:ascii="Times New Roman" w:cs="Times New Roman" w:eastAsia="Times New Roman" w:hAnsi="Times New Roman"/>
                <w:sz w:val="13"/>
                <w:szCs w:val="13"/>
                <w:b w:val="1"/>
                <w:bCs w:val="1"/>
                <w:color w:val="auto"/>
              </w:rPr>
              <w:t>% of Segment</w:t>
            </w:r>
          </w:p>
        </w:tc>
        <w:tc>
          <w:tcPr>
            <w:tcW w:w="1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45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440" w:type="dxa"/>
            <w:vAlign w:val="bottom"/>
            <w:gridSpan w:val="3"/>
            <w:vMerge w:val="continue"/>
          </w:tcPr>
          <w:p>
            <w:pPr>
              <w:spacing w:after="0"/>
              <w:rPr>
                <w:sz w:val="12"/>
                <w:szCs w:val="12"/>
                <w:color w:val="auto"/>
              </w:rPr>
            </w:pPr>
          </w:p>
        </w:tc>
        <w:tc>
          <w:tcPr>
            <w:tcW w:w="1380" w:type="dxa"/>
            <w:vAlign w:val="bottom"/>
            <w:gridSpan w:val="2"/>
          </w:tcPr>
          <w:p>
            <w:pPr>
              <w:jc w:val="center"/>
              <w:ind w:right="400"/>
              <w:spacing w:after="0" w:line="149" w:lineRule="exact"/>
              <w:rPr>
                <w:sz w:val="20"/>
                <w:szCs w:val="20"/>
                <w:color w:val="auto"/>
              </w:rPr>
            </w:pPr>
            <w:r>
              <w:rPr>
                <w:rFonts w:ascii="Times New Roman" w:cs="Times New Roman" w:eastAsia="Times New Roman" w:hAnsi="Times New Roman"/>
                <w:sz w:val="14"/>
                <w:szCs w:val="14"/>
                <w:b w:val="1"/>
                <w:bCs w:val="1"/>
                <w:color w:val="auto"/>
              </w:rPr>
              <w:t>Net Service</w:t>
            </w:r>
          </w:p>
        </w:tc>
        <w:tc>
          <w:tcPr>
            <w:tcW w:w="1480" w:type="dxa"/>
            <w:vAlign w:val="bottom"/>
            <w:gridSpan w:val="3"/>
            <w:vMerge w:val="continue"/>
          </w:tcPr>
          <w:p>
            <w:pPr>
              <w:spacing w:after="0"/>
              <w:rPr>
                <w:sz w:val="12"/>
                <w:szCs w:val="12"/>
                <w:color w:val="auto"/>
              </w:rPr>
            </w:pPr>
          </w:p>
        </w:tc>
        <w:tc>
          <w:tcPr>
            <w:tcW w:w="1280" w:type="dxa"/>
            <w:vAlign w:val="bottom"/>
            <w:gridSpan w:val="2"/>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Net Service</w:t>
            </w:r>
          </w:p>
        </w:tc>
        <w:tc>
          <w:tcPr>
            <w:tcW w:w="0" w:type="dxa"/>
            <w:vAlign w:val="bottom"/>
          </w:tcPr>
          <w:p>
            <w:pPr>
              <w:spacing w:after="0"/>
              <w:rPr>
                <w:sz w:val="1"/>
                <w:szCs w:val="1"/>
                <w:color w:val="auto"/>
              </w:rPr>
            </w:pPr>
          </w:p>
        </w:tc>
      </w:tr>
      <w:tr>
        <w:trPr>
          <w:trHeight w:val="173"/>
        </w:trPr>
        <w:tc>
          <w:tcPr>
            <w:tcW w:w="45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2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center"/>
              <w:ind w:right="38"/>
              <w:spacing w:after="0"/>
              <w:rPr>
                <w:sz w:val="20"/>
                <w:szCs w:val="20"/>
                <w:color w:val="auto"/>
              </w:rPr>
            </w:pPr>
            <w:r>
              <w:rPr>
                <w:rFonts w:ascii="Times New Roman" w:cs="Times New Roman" w:eastAsia="Times New Roman" w:hAnsi="Times New Roman"/>
                <w:sz w:val="14"/>
                <w:szCs w:val="14"/>
                <w:b w:val="1"/>
                <w:bCs w:val="1"/>
                <w:color w:val="auto"/>
              </w:rPr>
              <w:t>Revenues</w:t>
            </w:r>
          </w:p>
        </w:tc>
        <w:tc>
          <w:tcPr>
            <w:tcW w:w="280" w:type="dxa"/>
            <w:vAlign w:val="bottom"/>
          </w:tcPr>
          <w:p>
            <w:pPr>
              <w:spacing w:after="0"/>
              <w:rPr>
                <w:sz w:val="15"/>
                <w:szCs w:val="15"/>
                <w:color w:val="auto"/>
              </w:rPr>
            </w:pPr>
          </w:p>
        </w:tc>
        <w:tc>
          <w:tcPr>
            <w:tcW w:w="1480" w:type="dxa"/>
            <w:vAlign w:val="bottom"/>
            <w:tcBorders>
              <w:bottom w:val="single" w:sz="8" w:color="auto"/>
            </w:tcBorders>
            <w:gridSpan w:val="3"/>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100" w:type="dxa"/>
            <w:vAlign w:val="bottom"/>
            <w:tcBorders>
              <w:bottom w:val="single" w:sz="8" w:color="auto"/>
            </w:tcBorders>
          </w:tcPr>
          <w:p>
            <w:pPr>
              <w:jc w:val="center"/>
              <w:ind w:right="77"/>
              <w:spacing w:after="0"/>
              <w:rPr>
                <w:sz w:val="20"/>
                <w:szCs w:val="20"/>
                <w:color w:val="auto"/>
              </w:rPr>
            </w:pPr>
            <w:r>
              <w:rPr>
                <w:rFonts w:ascii="Times New Roman" w:cs="Times New Roman" w:eastAsia="Times New Roman" w:hAnsi="Times New Roman"/>
                <w:sz w:val="14"/>
                <w:szCs w:val="14"/>
                <w:b w:val="1"/>
                <w:bCs w:val="1"/>
                <w:color w:val="auto"/>
              </w:rPr>
              <w:t>Revenues</w:t>
            </w: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45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State, local and other governmental programs</w:t>
            </w:r>
          </w:p>
        </w:tc>
        <w:tc>
          <w:tcPr>
            <w:tcW w:w="2440" w:type="dxa"/>
            <w:vAlign w:val="bottom"/>
            <w:gridSpan w:val="3"/>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$132,904</w:t>
            </w:r>
          </w:p>
        </w:tc>
        <w:tc>
          <w:tcPr>
            <w:tcW w:w="120" w:type="dxa"/>
            <w:vAlign w:val="bottom"/>
            <w:shd w:val="clear" w:color="auto" w:fill="CFF0FC"/>
          </w:tcPr>
          <w:p>
            <w:pPr>
              <w:spacing w:after="0"/>
              <w:rPr>
                <w:sz w:val="18"/>
                <w:szCs w:val="18"/>
                <w:color w:val="auto"/>
              </w:rPr>
            </w:pPr>
          </w:p>
        </w:tc>
        <w:tc>
          <w:tcPr>
            <w:tcW w:w="13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51.5%</w:t>
            </w:r>
          </w:p>
        </w:tc>
        <w:tc>
          <w:tcPr>
            <w:tcW w:w="13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$107,754</w:t>
            </w:r>
          </w:p>
        </w:tc>
        <w:tc>
          <w:tcPr>
            <w:tcW w:w="140" w:type="dxa"/>
            <w:vAlign w:val="bottom"/>
            <w:shd w:val="clear" w:color="auto" w:fill="CFF0FC"/>
          </w:tcPr>
          <w:p>
            <w:pPr>
              <w:spacing w:after="0"/>
              <w:rPr>
                <w:sz w:val="18"/>
                <w:szCs w:val="18"/>
                <w:color w:val="auto"/>
              </w:rPr>
            </w:pPr>
          </w:p>
        </w:tc>
        <w:tc>
          <w:tcPr>
            <w:tcW w:w="12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51.8%</w:t>
            </w:r>
          </w:p>
        </w:tc>
        <w:tc>
          <w:tcPr>
            <w:tcW w:w="0" w:type="dxa"/>
            <w:vAlign w:val="bottom"/>
          </w:tcPr>
          <w:p>
            <w:pPr>
              <w:spacing w:after="0"/>
              <w:rPr>
                <w:sz w:val="1"/>
                <w:szCs w:val="1"/>
                <w:color w:val="auto"/>
              </w:rPr>
            </w:pPr>
          </w:p>
        </w:tc>
      </w:tr>
      <w:tr>
        <w:trPr>
          <w:trHeight w:val="216"/>
        </w:trPr>
        <w:tc>
          <w:tcPr>
            <w:tcW w:w="4540" w:type="dxa"/>
            <w:vAlign w:val="bottom"/>
          </w:tcPr>
          <w:p>
            <w:pPr>
              <w:spacing w:after="0"/>
              <w:rPr>
                <w:sz w:val="20"/>
                <w:szCs w:val="20"/>
                <w:color w:val="auto"/>
              </w:rPr>
            </w:pPr>
            <w:r>
              <w:rPr>
                <w:rFonts w:ascii="Times New Roman" w:cs="Times New Roman" w:eastAsia="Times New Roman" w:hAnsi="Times New Roman"/>
                <w:sz w:val="18"/>
                <w:szCs w:val="18"/>
                <w:color w:val="auto"/>
              </w:rPr>
              <w:t>Managed care organizations</w:t>
            </w:r>
          </w:p>
        </w:tc>
        <w:tc>
          <w:tcPr>
            <w:tcW w:w="244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117,007</w:t>
            </w:r>
          </w:p>
        </w:tc>
        <w:tc>
          <w:tcPr>
            <w:tcW w:w="120" w:type="dxa"/>
            <w:vAlign w:val="bottom"/>
          </w:tcPr>
          <w:p>
            <w:pPr>
              <w:spacing w:after="0"/>
              <w:rPr>
                <w:sz w:val="18"/>
                <w:szCs w:val="18"/>
                <w:color w:val="auto"/>
              </w:rPr>
            </w:pPr>
          </w:p>
        </w:tc>
        <w:tc>
          <w:tcPr>
            <w:tcW w:w="13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45.3</w:t>
            </w:r>
          </w:p>
        </w:tc>
        <w:tc>
          <w:tcPr>
            <w:tcW w:w="13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94,276</w:t>
            </w:r>
          </w:p>
        </w:tc>
        <w:tc>
          <w:tcPr>
            <w:tcW w:w="140" w:type="dxa"/>
            <w:vAlign w:val="bottom"/>
          </w:tcPr>
          <w:p>
            <w:pPr>
              <w:spacing w:after="0"/>
              <w:rPr>
                <w:sz w:val="18"/>
                <w:szCs w:val="18"/>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45.3</w:t>
            </w:r>
          </w:p>
        </w:tc>
        <w:tc>
          <w:tcPr>
            <w:tcW w:w="0" w:type="dxa"/>
            <w:vAlign w:val="bottom"/>
          </w:tcPr>
          <w:p>
            <w:pPr>
              <w:spacing w:after="0"/>
              <w:rPr>
                <w:sz w:val="1"/>
                <w:szCs w:val="1"/>
                <w:color w:val="auto"/>
              </w:rPr>
            </w:pPr>
          </w:p>
        </w:tc>
      </w:tr>
      <w:tr>
        <w:trPr>
          <w:trHeight w:val="216"/>
        </w:trPr>
        <w:tc>
          <w:tcPr>
            <w:tcW w:w="45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Private pay</w:t>
            </w:r>
          </w:p>
        </w:tc>
        <w:tc>
          <w:tcPr>
            <w:tcW w:w="2440" w:type="dxa"/>
            <w:vAlign w:val="bottom"/>
            <w:gridSpan w:val="3"/>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6,976</w:t>
            </w:r>
          </w:p>
        </w:tc>
        <w:tc>
          <w:tcPr>
            <w:tcW w:w="120" w:type="dxa"/>
            <w:vAlign w:val="bottom"/>
            <w:shd w:val="clear" w:color="auto" w:fill="CFF0FC"/>
          </w:tcPr>
          <w:p>
            <w:pPr>
              <w:spacing w:after="0"/>
              <w:rPr>
                <w:sz w:val="18"/>
                <w:szCs w:val="18"/>
                <w:color w:val="auto"/>
              </w:rPr>
            </w:pPr>
          </w:p>
        </w:tc>
        <w:tc>
          <w:tcPr>
            <w:tcW w:w="138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2.7</w:t>
            </w:r>
          </w:p>
        </w:tc>
        <w:tc>
          <w:tcPr>
            <w:tcW w:w="13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3,906</w:t>
            </w:r>
          </w:p>
        </w:tc>
        <w:tc>
          <w:tcPr>
            <w:tcW w:w="140" w:type="dxa"/>
            <w:vAlign w:val="bottom"/>
            <w:shd w:val="clear" w:color="auto" w:fill="CFF0FC"/>
          </w:tcPr>
          <w:p>
            <w:pPr>
              <w:spacing w:after="0"/>
              <w:rPr>
                <w:sz w:val="18"/>
                <w:szCs w:val="18"/>
                <w:color w:val="auto"/>
              </w:rPr>
            </w:pPr>
          </w:p>
        </w:tc>
        <w:tc>
          <w:tcPr>
            <w:tcW w:w="12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1.9</w:t>
            </w:r>
          </w:p>
        </w:tc>
        <w:tc>
          <w:tcPr>
            <w:tcW w:w="0" w:type="dxa"/>
            <w:vAlign w:val="bottom"/>
          </w:tcPr>
          <w:p>
            <w:pPr>
              <w:spacing w:after="0"/>
              <w:rPr>
                <w:sz w:val="1"/>
                <w:szCs w:val="1"/>
                <w:color w:val="auto"/>
              </w:rPr>
            </w:pPr>
          </w:p>
        </w:tc>
      </w:tr>
      <w:tr>
        <w:trPr>
          <w:trHeight w:val="216"/>
        </w:trPr>
        <w:tc>
          <w:tcPr>
            <w:tcW w:w="4540" w:type="dxa"/>
            <w:vAlign w:val="bottom"/>
          </w:tcPr>
          <w:p>
            <w:pPr>
              <w:spacing w:after="0"/>
              <w:rPr>
                <w:sz w:val="20"/>
                <w:szCs w:val="20"/>
                <w:color w:val="auto"/>
              </w:rPr>
            </w:pPr>
            <w:r>
              <w:rPr>
                <w:rFonts w:ascii="Times New Roman" w:cs="Times New Roman" w:eastAsia="Times New Roman" w:hAnsi="Times New Roman"/>
                <w:sz w:val="18"/>
                <w:szCs w:val="18"/>
                <w:color w:val="auto"/>
              </w:rPr>
              <w:t>Commercial insurance</w:t>
            </w:r>
          </w:p>
        </w:tc>
        <w:tc>
          <w:tcPr>
            <w:tcW w:w="244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1,160</w:t>
            </w:r>
          </w:p>
        </w:tc>
        <w:tc>
          <w:tcPr>
            <w:tcW w:w="120" w:type="dxa"/>
            <w:vAlign w:val="bottom"/>
          </w:tcPr>
          <w:p>
            <w:pPr>
              <w:spacing w:after="0"/>
              <w:rPr>
                <w:sz w:val="18"/>
                <w:szCs w:val="18"/>
                <w:color w:val="auto"/>
              </w:rPr>
            </w:pPr>
          </w:p>
        </w:tc>
        <w:tc>
          <w:tcPr>
            <w:tcW w:w="13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0.4</w:t>
            </w:r>
          </w:p>
        </w:tc>
        <w:tc>
          <w:tcPr>
            <w:tcW w:w="13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1,486</w:t>
            </w:r>
          </w:p>
        </w:tc>
        <w:tc>
          <w:tcPr>
            <w:tcW w:w="140" w:type="dxa"/>
            <w:vAlign w:val="bottom"/>
          </w:tcPr>
          <w:p>
            <w:pPr>
              <w:spacing w:after="0"/>
              <w:rPr>
                <w:sz w:val="18"/>
                <w:szCs w:val="18"/>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0.7</w:t>
            </w:r>
          </w:p>
        </w:tc>
        <w:tc>
          <w:tcPr>
            <w:tcW w:w="0" w:type="dxa"/>
            <w:vAlign w:val="bottom"/>
          </w:tcPr>
          <w:p>
            <w:pPr>
              <w:spacing w:after="0"/>
              <w:rPr>
                <w:sz w:val="1"/>
                <w:szCs w:val="1"/>
                <w:color w:val="auto"/>
              </w:rPr>
            </w:pPr>
          </w:p>
        </w:tc>
      </w:tr>
      <w:tr>
        <w:trPr>
          <w:trHeight w:val="216"/>
        </w:trPr>
        <w:tc>
          <w:tcPr>
            <w:tcW w:w="45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w:t>
            </w:r>
          </w:p>
        </w:tc>
        <w:tc>
          <w:tcPr>
            <w:tcW w:w="1120" w:type="dxa"/>
            <w:vAlign w:val="bottom"/>
            <w:shd w:val="clear" w:color="auto" w:fill="CFF0FC"/>
          </w:tcPr>
          <w:p>
            <w:pPr>
              <w:spacing w:after="0"/>
              <w:rPr>
                <w:sz w:val="18"/>
                <w:szCs w:val="18"/>
                <w:color w:val="auto"/>
              </w:rPr>
            </w:pPr>
          </w:p>
        </w:tc>
        <w:tc>
          <w:tcPr>
            <w:tcW w:w="13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239</w:t>
            </w:r>
          </w:p>
        </w:tc>
        <w:tc>
          <w:tcPr>
            <w:tcW w:w="120" w:type="dxa"/>
            <w:vAlign w:val="bottom"/>
            <w:shd w:val="clear" w:color="auto" w:fill="CFF0FC"/>
          </w:tcPr>
          <w:p>
            <w:pPr>
              <w:spacing w:after="0"/>
              <w:rPr>
                <w:sz w:val="18"/>
                <w:szCs w:val="18"/>
                <w:color w:val="auto"/>
              </w:rPr>
            </w:pPr>
          </w:p>
        </w:tc>
        <w:tc>
          <w:tcPr>
            <w:tcW w:w="138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0.1</w:t>
            </w:r>
          </w:p>
        </w:tc>
        <w:tc>
          <w:tcPr>
            <w:tcW w:w="13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581</w:t>
            </w:r>
          </w:p>
        </w:tc>
        <w:tc>
          <w:tcPr>
            <w:tcW w:w="140" w:type="dxa"/>
            <w:vAlign w:val="bottom"/>
            <w:shd w:val="clear" w:color="auto" w:fill="CFF0FC"/>
          </w:tcPr>
          <w:p>
            <w:pPr>
              <w:spacing w:after="0"/>
              <w:rPr>
                <w:sz w:val="18"/>
                <w:szCs w:val="18"/>
                <w:color w:val="auto"/>
              </w:rPr>
            </w:pPr>
          </w:p>
        </w:tc>
        <w:tc>
          <w:tcPr>
            <w:tcW w:w="12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0.3</w:t>
            </w:r>
          </w:p>
        </w:tc>
        <w:tc>
          <w:tcPr>
            <w:tcW w:w="0" w:type="dxa"/>
            <w:vAlign w:val="bottom"/>
          </w:tcPr>
          <w:p>
            <w:pPr>
              <w:spacing w:after="0"/>
              <w:rPr>
                <w:sz w:val="1"/>
                <w:szCs w:val="1"/>
                <w:color w:val="auto"/>
              </w:rPr>
            </w:pPr>
          </w:p>
        </w:tc>
      </w:tr>
      <w:tr>
        <w:trPr>
          <w:trHeight w:val="20"/>
        </w:trPr>
        <w:tc>
          <w:tcPr>
            <w:tcW w:w="4540" w:type="dxa"/>
            <w:vAlign w:val="bottom"/>
            <w:shd w:val="clear" w:color="auto" w:fill="CFF0FC"/>
          </w:tcPr>
          <w:p>
            <w:pPr>
              <w:spacing w:after="0" w:line="20" w:lineRule="exact"/>
              <w:rPr>
                <w:sz w:val="1"/>
                <w:szCs w:val="1"/>
                <w:color w:val="auto"/>
              </w:rPr>
            </w:pPr>
          </w:p>
        </w:tc>
        <w:tc>
          <w:tcPr>
            <w:tcW w:w="1120" w:type="dxa"/>
            <w:vAlign w:val="bottom"/>
            <w:shd w:val="clear" w:color="auto" w:fill="CFF0FC"/>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540" w:type="dxa"/>
            <w:vAlign w:val="bottom"/>
          </w:tcPr>
          <w:p>
            <w:pPr>
              <w:spacing w:after="0"/>
              <w:rPr>
                <w:sz w:val="20"/>
                <w:szCs w:val="20"/>
                <w:color w:val="auto"/>
              </w:rPr>
            </w:pPr>
            <w:r>
              <w:rPr>
                <w:rFonts w:ascii="Times New Roman" w:cs="Times New Roman" w:eastAsia="Times New Roman" w:hAnsi="Times New Roman"/>
                <w:sz w:val="18"/>
                <w:szCs w:val="18"/>
                <w:color w:val="auto"/>
              </w:rPr>
              <w:t>Total personal care segment net service revenues</w:t>
            </w:r>
          </w:p>
        </w:tc>
        <w:tc>
          <w:tcPr>
            <w:tcW w:w="1120" w:type="dxa"/>
            <w:vAlign w:val="bottom"/>
          </w:tcPr>
          <w:p>
            <w:pPr>
              <w:spacing w:after="0"/>
              <w:rPr>
                <w:sz w:val="18"/>
                <w:szCs w:val="18"/>
                <w:color w:val="auto"/>
              </w:rPr>
            </w:pPr>
          </w:p>
        </w:tc>
        <w:tc>
          <w:tcPr>
            <w:tcW w:w="13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$258,286</w:t>
            </w:r>
          </w:p>
        </w:tc>
        <w:tc>
          <w:tcPr>
            <w:tcW w:w="120" w:type="dxa"/>
            <w:vAlign w:val="bottom"/>
          </w:tcPr>
          <w:p>
            <w:pPr>
              <w:spacing w:after="0"/>
              <w:rPr>
                <w:sz w:val="18"/>
                <w:szCs w:val="18"/>
                <w:color w:val="auto"/>
              </w:rPr>
            </w:pPr>
          </w:p>
        </w:tc>
        <w:tc>
          <w:tcPr>
            <w:tcW w:w="13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100.0%</w:t>
            </w:r>
          </w:p>
        </w:tc>
        <w:tc>
          <w:tcPr>
            <w:tcW w:w="13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$208,003</w:t>
            </w:r>
          </w:p>
        </w:tc>
        <w:tc>
          <w:tcPr>
            <w:tcW w:w="140" w:type="dxa"/>
            <w:vAlign w:val="bottom"/>
          </w:tcPr>
          <w:p>
            <w:pPr>
              <w:spacing w:after="0"/>
              <w:rPr>
                <w:sz w:val="18"/>
                <w:szCs w:val="18"/>
                <w:color w:val="auto"/>
              </w:rPr>
            </w:pPr>
          </w:p>
        </w:tc>
        <w:tc>
          <w:tcPr>
            <w:tcW w:w="12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100.0%</w:t>
            </w:r>
          </w:p>
        </w:tc>
        <w:tc>
          <w:tcPr>
            <w:tcW w:w="0" w:type="dxa"/>
            <w:vAlign w:val="bottom"/>
          </w:tcPr>
          <w:p>
            <w:pPr>
              <w:spacing w:after="0"/>
              <w:rPr>
                <w:sz w:val="1"/>
                <w:szCs w:val="1"/>
                <w:color w:val="auto"/>
              </w:rPr>
            </w:pPr>
          </w:p>
        </w:tc>
      </w:tr>
      <w:tr>
        <w:trPr>
          <w:trHeight w:val="20"/>
        </w:trPr>
        <w:tc>
          <w:tcPr>
            <w:tcW w:w="45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09"/>
        </w:trPr>
        <w:tc>
          <w:tcPr>
            <w:tcW w:w="4540" w:type="dxa"/>
            <w:vAlign w:val="bottom"/>
          </w:tcPr>
          <w:p>
            <w:pPr>
              <w:spacing w:after="0"/>
              <w:rPr>
                <w:sz w:val="24"/>
                <w:szCs w:val="24"/>
                <w:color w:val="auto"/>
              </w:rPr>
            </w:pPr>
          </w:p>
        </w:tc>
        <w:tc>
          <w:tcPr>
            <w:tcW w:w="2320" w:type="dxa"/>
            <w:vAlign w:val="bottom"/>
            <w:gridSpan w:val="2"/>
          </w:tcPr>
          <w:p>
            <w:pPr>
              <w:jc w:val="right"/>
              <w:ind w:right="1081"/>
              <w:spacing w:after="0"/>
              <w:rPr>
                <w:sz w:val="20"/>
                <w:szCs w:val="20"/>
                <w:color w:val="auto"/>
              </w:rPr>
            </w:pPr>
            <w:r>
              <w:rPr>
                <w:rFonts w:ascii="Times New Roman" w:cs="Times New Roman" w:eastAsia="Times New Roman" w:hAnsi="Times New Roman"/>
                <w:sz w:val="16"/>
                <w:szCs w:val="16"/>
                <w:color w:val="auto"/>
              </w:rPr>
              <w:t>15</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9"/>
        </w:trPr>
        <w:tc>
          <w:tcPr>
            <w:tcW w:w="4540" w:type="dxa"/>
            <w:vAlign w:val="bottom"/>
            <w:tcBorders>
              <w:bottom w:val="single" w:sz="8" w:color="9A9A9A"/>
            </w:tcBorders>
          </w:tcPr>
          <w:p>
            <w:pPr>
              <w:spacing w:after="0"/>
              <w:rPr>
                <w:sz w:val="24"/>
                <w:szCs w:val="24"/>
                <w:color w:val="auto"/>
              </w:rPr>
            </w:pPr>
          </w:p>
        </w:tc>
        <w:tc>
          <w:tcPr>
            <w:tcW w:w="1120" w:type="dxa"/>
            <w:vAlign w:val="bottom"/>
            <w:tcBorders>
              <w:bottom w:val="single" w:sz="8" w:color="9A9A9A"/>
            </w:tcBorders>
          </w:tcPr>
          <w:p>
            <w:pPr>
              <w:spacing w:after="0"/>
              <w:rPr>
                <w:sz w:val="24"/>
                <w:szCs w:val="24"/>
                <w:color w:val="auto"/>
              </w:rPr>
            </w:pPr>
          </w:p>
        </w:tc>
        <w:tc>
          <w:tcPr>
            <w:tcW w:w="12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10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12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10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4359910</wp:posOffset>
            </wp:positionH>
            <wp:positionV relativeFrom="paragraph">
              <wp:posOffset>-1071245</wp:posOffset>
            </wp:positionV>
            <wp:extent cx="77470" cy="88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5208270</wp:posOffset>
            </wp:positionH>
            <wp:positionV relativeFrom="paragraph">
              <wp:posOffset>-1071245</wp:posOffset>
            </wp:positionV>
            <wp:extent cx="102870" cy="88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102870" cy="8890"/>
                    </a:xfrm>
                    <a:prstGeom prst="rect">
                      <a:avLst/>
                    </a:prstGeom>
                    <a:noFill/>
                  </pic:spPr>
                </pic:pic>
              </a:graphicData>
            </a:graphic>
          </wp:anchor>
        </w:drawing>
        <w:drawing>
          <wp:anchor simplePos="0" relativeHeight="251657728" behindDoc="1" locked="0" layoutInCell="0" allowOverlap="1">
            <wp:simplePos x="0" y="0"/>
            <wp:positionH relativeFrom="column">
              <wp:posOffset>6160135</wp:posOffset>
            </wp:positionH>
            <wp:positionV relativeFrom="paragraph">
              <wp:posOffset>-1071245</wp:posOffset>
            </wp:positionV>
            <wp:extent cx="76835" cy="88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7017385</wp:posOffset>
            </wp:positionH>
            <wp:positionV relativeFrom="paragraph">
              <wp:posOffset>-1071245</wp:posOffset>
            </wp:positionV>
            <wp:extent cx="120015" cy="88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120015" cy="8890"/>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b w:val="1"/>
          <w:bCs w:val="1"/>
          <w:u w:val="single" w:color="auto"/>
          <w:color w:val="0563C1"/>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-5080</wp:posOffset>
            </wp:positionV>
            <wp:extent cx="869315"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869315" cy="8255"/>
                    </a:xfrm>
                    <a:prstGeom prst="rect">
                      <a:avLst/>
                    </a:prstGeom>
                    <a:noFill/>
                  </pic:spPr>
                </pic:pic>
              </a:graphicData>
            </a:graphic>
          </wp:anchor>
        </w:drawing>
      </w:r>
    </w:p>
    <w:p>
      <w:pPr>
        <w:spacing w:after="0" w:line="200" w:lineRule="exact"/>
        <w:rPr>
          <w:sz w:val="20"/>
          <w:szCs w:val="20"/>
          <w:color w:val="auto"/>
        </w:rPr>
      </w:pPr>
    </w:p>
    <w:p>
      <w:pPr>
        <w:spacing w:after="0" w:line="3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Hospice Segment</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Medicare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Commercial insurance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Managed care organizations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w:t>
      </w:r>
    </w:p>
    <w:p>
      <w:pPr>
        <w:spacing w:after="0" w:line="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Total hospice segment net service revenues</w:t>
      </w:r>
    </w:p>
    <w:p>
      <w:pPr>
        <w:spacing w:after="0" w:line="3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Home Health Segment</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Medicare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Managed care organizations</w:t>
      </w:r>
    </w:p>
    <w:p>
      <w:pPr>
        <w:spacing w:after="0" w:line="9" w:lineRule="exact"/>
        <w:rPr>
          <w:sz w:val="20"/>
          <w:szCs w:val="20"/>
          <w:color w:val="auto"/>
        </w:rPr>
      </w:pPr>
    </w:p>
    <w:p>
      <w:pPr>
        <w:ind w:right="40"/>
        <w:spacing w:after="0" w:line="271" w:lineRule="auto"/>
        <w:rPr>
          <w:sz w:val="20"/>
          <w:szCs w:val="20"/>
          <w:color w:val="auto"/>
        </w:rPr>
      </w:pPr>
      <w:r>
        <w:rPr>
          <w:rFonts w:ascii="Times New Roman" w:cs="Times New Roman" w:eastAsia="Times New Roman" w:hAnsi="Times New Roman"/>
          <w:sz w:val="18"/>
          <w:szCs w:val="18"/>
          <w:color w:val="auto"/>
        </w:rPr>
        <w:t>State, local and other governmental programs (excluding Medicare) Other</w:t>
      </w:r>
    </w:p>
    <w:p>
      <w:pPr>
        <w:spacing w:after="0"/>
        <w:rPr>
          <w:sz w:val="20"/>
          <w:szCs w:val="20"/>
          <w:color w:val="auto"/>
        </w:rPr>
      </w:pPr>
      <w:r>
        <w:rPr>
          <w:rFonts w:ascii="Times New Roman" w:cs="Times New Roman" w:eastAsia="Times New Roman" w:hAnsi="Times New Roman"/>
          <w:sz w:val="18"/>
          <w:szCs w:val="18"/>
          <w:color w:val="auto"/>
        </w:rPr>
        <w:t>Total home health segment net service revenues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4"/>
          <w:szCs w:val="14"/>
          <w:b w:val="1"/>
          <w:bCs w:val="1"/>
          <w:color w:val="auto"/>
        </w:rPr>
        <w:t>For the Three Months Ended March 31,</w:t>
      </w:r>
    </w:p>
    <w:p>
      <w:pPr>
        <w:spacing w:after="0" w:line="12"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20" w:type="dxa"/>
            <w:vAlign w:val="bottom"/>
          </w:tcPr>
          <w:p>
            <w:pPr>
              <w:spacing w:after="0"/>
              <w:rPr>
                <w:sz w:val="12"/>
                <w:szCs w:val="12"/>
                <w:color w:val="auto"/>
              </w:rPr>
            </w:pPr>
          </w:p>
        </w:tc>
        <w:tc>
          <w:tcPr>
            <w:tcW w:w="1420" w:type="dxa"/>
            <w:vAlign w:val="bottom"/>
            <w:tcBorders>
              <w:top w:val="single" w:sz="8" w:color="auto"/>
              <w:bottom w:val="single" w:sz="8" w:color="auto"/>
            </w:tcBorders>
            <w:gridSpan w:val="4"/>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120" w:type="dxa"/>
            <w:vAlign w:val="bottom"/>
            <w:tcBorders>
              <w:top w:val="single" w:sz="8" w:color="auto"/>
              <w:bottom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1480" w:type="dxa"/>
            <w:vAlign w:val="bottom"/>
            <w:tcBorders>
              <w:top w:val="single" w:sz="8" w:color="auto"/>
              <w:bottom w:val="single" w:sz="8" w:color="auto"/>
            </w:tcBorders>
            <w:gridSpan w:val="3"/>
          </w:tcPr>
          <w:p>
            <w:pPr>
              <w:jc w:val="right"/>
              <w:ind w:right="40"/>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100" w:type="dxa"/>
            <w:vAlign w:val="bottom"/>
            <w:tcBorders>
              <w:top w:val="single" w:sz="8" w:color="auto"/>
              <w:bottom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1420" w:type="dxa"/>
            <w:vAlign w:val="bottom"/>
            <w:gridSpan w:val="4"/>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120" w:type="dxa"/>
            <w:vAlign w:val="bottom"/>
          </w:tcPr>
          <w:p>
            <w:pPr>
              <w:jc w:val="center"/>
              <w:ind w:right="18"/>
              <w:spacing w:after="0" w:line="118" w:lineRule="exact"/>
              <w:rPr>
                <w:sz w:val="20"/>
                <w:szCs w:val="20"/>
                <w:color w:val="auto"/>
              </w:rPr>
            </w:pPr>
            <w:r>
              <w:rPr>
                <w:rFonts w:ascii="Times New Roman" w:cs="Times New Roman" w:eastAsia="Times New Roman" w:hAnsi="Times New Roman"/>
                <w:sz w:val="13"/>
                <w:szCs w:val="13"/>
                <w:b w:val="1"/>
                <w:bCs w:val="1"/>
                <w:color w:val="auto"/>
              </w:rPr>
              <w:t>% of Segment</w:t>
            </w:r>
          </w:p>
        </w:tc>
        <w:tc>
          <w:tcPr>
            <w:tcW w:w="280" w:type="dxa"/>
            <w:vAlign w:val="bottom"/>
          </w:tcPr>
          <w:p>
            <w:pPr>
              <w:spacing w:after="0"/>
              <w:rPr>
                <w:sz w:val="10"/>
                <w:szCs w:val="10"/>
                <w:color w:val="auto"/>
              </w:rPr>
            </w:pPr>
          </w:p>
        </w:tc>
        <w:tc>
          <w:tcPr>
            <w:tcW w:w="1480" w:type="dxa"/>
            <w:vAlign w:val="bottom"/>
            <w:gridSpan w:val="3"/>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100" w:type="dxa"/>
            <w:vAlign w:val="bottom"/>
          </w:tcPr>
          <w:p>
            <w:pPr>
              <w:jc w:val="center"/>
              <w:ind w:right="77"/>
              <w:spacing w:after="0" w:line="118" w:lineRule="exact"/>
              <w:rPr>
                <w:sz w:val="20"/>
                <w:szCs w:val="20"/>
                <w:color w:val="auto"/>
              </w:rPr>
            </w:pPr>
            <w:r>
              <w:rPr>
                <w:rFonts w:ascii="Times New Roman" w:cs="Times New Roman" w:eastAsia="Times New Roman" w:hAnsi="Times New Roman"/>
                <w:sz w:val="13"/>
                <w:szCs w:val="13"/>
                <w:b w:val="1"/>
                <w:bCs w:val="1"/>
                <w:color w:val="auto"/>
              </w:rPr>
              <w:t>% of Segment</w:t>
            </w: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1420" w:type="dxa"/>
            <w:vAlign w:val="bottom"/>
            <w:gridSpan w:val="4"/>
            <w:vMerge w:val="continue"/>
          </w:tcPr>
          <w:p>
            <w:pPr>
              <w:spacing w:after="0"/>
              <w:rPr>
                <w:sz w:val="12"/>
                <w:szCs w:val="12"/>
                <w:color w:val="auto"/>
              </w:rPr>
            </w:pPr>
          </w:p>
        </w:tc>
        <w:tc>
          <w:tcPr>
            <w:tcW w:w="1400" w:type="dxa"/>
            <w:vAlign w:val="bottom"/>
            <w:gridSpan w:val="2"/>
          </w:tcPr>
          <w:p>
            <w:pPr>
              <w:jc w:val="center"/>
              <w:ind w:right="380"/>
              <w:spacing w:after="0" w:line="149" w:lineRule="exact"/>
              <w:rPr>
                <w:sz w:val="20"/>
                <w:szCs w:val="20"/>
                <w:color w:val="auto"/>
              </w:rPr>
            </w:pPr>
            <w:r>
              <w:rPr>
                <w:rFonts w:ascii="Times New Roman" w:cs="Times New Roman" w:eastAsia="Times New Roman" w:hAnsi="Times New Roman"/>
                <w:sz w:val="14"/>
                <w:szCs w:val="14"/>
                <w:b w:val="1"/>
                <w:bCs w:val="1"/>
                <w:color w:val="auto"/>
              </w:rPr>
              <w:t>Net Service</w:t>
            </w:r>
          </w:p>
        </w:tc>
        <w:tc>
          <w:tcPr>
            <w:tcW w:w="1480" w:type="dxa"/>
            <w:vAlign w:val="bottom"/>
            <w:gridSpan w:val="3"/>
            <w:vMerge w:val="continue"/>
          </w:tcPr>
          <w:p>
            <w:pPr>
              <w:spacing w:after="0"/>
              <w:rPr>
                <w:sz w:val="12"/>
                <w:szCs w:val="12"/>
                <w:color w:val="auto"/>
              </w:rPr>
            </w:pPr>
          </w:p>
        </w:tc>
        <w:tc>
          <w:tcPr>
            <w:tcW w:w="124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Net Service</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2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20" w:type="dxa"/>
            <w:vAlign w:val="bottom"/>
            <w:gridSpan w:val="2"/>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center"/>
              <w:ind w:right="18"/>
              <w:spacing w:after="0"/>
              <w:rPr>
                <w:sz w:val="20"/>
                <w:szCs w:val="20"/>
                <w:color w:val="auto"/>
              </w:rPr>
            </w:pPr>
            <w:r>
              <w:rPr>
                <w:rFonts w:ascii="Times New Roman" w:cs="Times New Roman" w:eastAsia="Times New Roman" w:hAnsi="Times New Roman"/>
                <w:sz w:val="14"/>
                <w:szCs w:val="14"/>
                <w:b w:val="1"/>
                <w:bCs w:val="1"/>
                <w:color w:val="auto"/>
              </w:rPr>
              <w:t>Revenues</w:t>
            </w:r>
          </w:p>
        </w:tc>
        <w:tc>
          <w:tcPr>
            <w:tcW w:w="280" w:type="dxa"/>
            <w:vAlign w:val="bottom"/>
          </w:tcPr>
          <w:p>
            <w:pPr>
              <w:spacing w:after="0"/>
              <w:rPr>
                <w:sz w:val="15"/>
                <w:szCs w:val="15"/>
                <w:color w:val="auto"/>
              </w:rPr>
            </w:pPr>
          </w:p>
        </w:tc>
        <w:tc>
          <w:tcPr>
            <w:tcW w:w="12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center"/>
              <w:ind w:right="77"/>
              <w:spacing w:after="0"/>
              <w:rPr>
                <w:sz w:val="20"/>
                <w:szCs w:val="20"/>
                <w:color w:val="auto"/>
              </w:rPr>
            </w:pPr>
            <w:r>
              <w:rPr>
                <w:rFonts w:ascii="Times New Roman" w:cs="Times New Roman" w:eastAsia="Times New Roman" w:hAnsi="Times New Roman"/>
                <w:sz w:val="14"/>
                <w:szCs w:val="14"/>
                <w:b w:val="1"/>
                <w:bCs w:val="1"/>
                <w:color w:val="auto"/>
              </w:rPr>
              <w:t>Revenues</w:t>
            </w: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1220" w:type="dxa"/>
            <w:vAlign w:val="bottom"/>
          </w:tcPr>
          <w:p>
            <w:pPr>
              <w:jc w:val="right"/>
              <w:spacing w:after="0" w:line="191" w:lineRule="exact"/>
              <w:rPr>
                <w:sz w:val="20"/>
                <w:szCs w:val="20"/>
                <w:color w:val="auto"/>
              </w:rPr>
            </w:pPr>
            <w:r>
              <w:rPr>
                <w:rFonts w:ascii="Times New Roman" w:cs="Times New Roman" w:eastAsia="Times New Roman" w:hAnsi="Times New Roman"/>
                <w:sz w:val="18"/>
                <w:szCs w:val="18"/>
                <w:color w:val="auto"/>
              </w:rPr>
              <w:t>$56,788</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0" w:type="dxa"/>
            <w:vAlign w:val="bottom"/>
            <w:gridSpan w:val="2"/>
          </w:tcPr>
          <w:p>
            <w:pPr>
              <w:jc w:val="right"/>
              <w:ind w:right="120"/>
              <w:spacing w:after="0" w:line="191" w:lineRule="exact"/>
              <w:rPr>
                <w:sz w:val="20"/>
                <w:szCs w:val="20"/>
                <w:color w:val="auto"/>
              </w:rPr>
            </w:pPr>
            <w:r>
              <w:rPr>
                <w:rFonts w:ascii="Times New Roman" w:cs="Times New Roman" w:eastAsia="Times New Roman" w:hAnsi="Times New Roman"/>
                <w:sz w:val="18"/>
                <w:szCs w:val="18"/>
                <w:color w:val="auto"/>
              </w:rPr>
              <w:t>92.4%</w:t>
            </w:r>
          </w:p>
        </w:tc>
        <w:tc>
          <w:tcPr>
            <w:tcW w:w="1220" w:type="dxa"/>
            <w:vAlign w:val="bottom"/>
          </w:tcPr>
          <w:p>
            <w:pPr>
              <w:jc w:val="right"/>
              <w:spacing w:after="0" w:line="191" w:lineRule="exact"/>
              <w:rPr>
                <w:sz w:val="20"/>
                <w:szCs w:val="20"/>
                <w:color w:val="auto"/>
              </w:rPr>
            </w:pPr>
            <w:r>
              <w:rPr>
                <w:rFonts w:ascii="Times New Roman" w:cs="Times New Roman" w:eastAsia="Times New Roman" w:hAnsi="Times New Roman"/>
                <w:sz w:val="18"/>
                <w:szCs w:val="18"/>
                <w:color w:val="auto"/>
              </w:rPr>
              <w:t>$50,652</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40" w:type="dxa"/>
            <w:vAlign w:val="bottom"/>
            <w:gridSpan w:val="2"/>
          </w:tcPr>
          <w:p>
            <w:pPr>
              <w:jc w:val="right"/>
              <w:spacing w:after="0" w:line="191" w:lineRule="exact"/>
              <w:rPr>
                <w:sz w:val="20"/>
                <w:szCs w:val="20"/>
                <w:color w:val="auto"/>
              </w:rPr>
            </w:pPr>
            <w:r>
              <w:rPr>
                <w:rFonts w:ascii="Times New Roman" w:cs="Times New Roman" w:eastAsia="Times New Roman" w:hAnsi="Times New Roman"/>
                <w:sz w:val="18"/>
                <w:szCs w:val="18"/>
                <w:color w:val="auto"/>
              </w:rPr>
              <w:t>90.7%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2,383</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3.9</w:t>
            </w:r>
          </w:p>
        </w:tc>
        <w:tc>
          <w:tcPr>
            <w:tcW w:w="13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3,134</w:t>
            </w:r>
          </w:p>
        </w:tc>
        <w:tc>
          <w:tcPr>
            <w:tcW w:w="140" w:type="dxa"/>
            <w:vAlign w:val="bottom"/>
          </w:tcPr>
          <w:p>
            <w:pPr>
              <w:spacing w:after="0"/>
              <w:rPr>
                <w:sz w:val="18"/>
                <w:szCs w:val="18"/>
                <w:color w:val="auto"/>
              </w:rPr>
            </w:pPr>
          </w:p>
        </w:tc>
        <w:tc>
          <w:tcPr>
            <w:tcW w:w="12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2,028</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3.3</w:t>
            </w:r>
          </w:p>
        </w:tc>
        <w:tc>
          <w:tcPr>
            <w:tcW w:w="13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1,817</w:t>
            </w:r>
          </w:p>
        </w:tc>
        <w:tc>
          <w:tcPr>
            <w:tcW w:w="140" w:type="dxa"/>
            <w:vAlign w:val="bottom"/>
          </w:tcPr>
          <w:p>
            <w:pPr>
              <w:spacing w:after="0"/>
              <w:rPr>
                <w:sz w:val="18"/>
                <w:szCs w:val="18"/>
                <w:color w:val="auto"/>
              </w:rPr>
            </w:pPr>
          </w:p>
        </w:tc>
        <w:tc>
          <w:tcPr>
            <w:tcW w:w="12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3.3</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238</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0.4</w:t>
            </w:r>
          </w:p>
        </w:tc>
        <w:tc>
          <w:tcPr>
            <w:tcW w:w="13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260</w:t>
            </w:r>
          </w:p>
        </w:tc>
        <w:tc>
          <w:tcPr>
            <w:tcW w:w="140" w:type="dxa"/>
            <w:vAlign w:val="bottom"/>
          </w:tcPr>
          <w:p>
            <w:pPr>
              <w:spacing w:after="0"/>
              <w:rPr>
                <w:sz w:val="20"/>
                <w:szCs w:val="20"/>
                <w:color w:val="auto"/>
              </w:rPr>
            </w:pPr>
          </w:p>
        </w:tc>
        <w:tc>
          <w:tcPr>
            <w:tcW w:w="12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0.4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2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120" w:type="dxa"/>
            <w:vAlign w:val="bottom"/>
            <w:tcBorders>
              <w:right w:val="single" w:sz="8" w:color="auto"/>
            </w:tcBorders>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$61,437</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100.0%</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$55,863</w:t>
            </w:r>
          </w:p>
        </w:tc>
        <w:tc>
          <w:tcPr>
            <w:tcW w:w="12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4"/>
        </w:trPr>
        <w:tc>
          <w:tcPr>
            <w:tcW w:w="2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880" w:type="dxa"/>
            <w:vAlign w:val="bottom"/>
            <w:tcBorders>
              <w:bottom w:val="single" w:sz="8" w:color="auto"/>
            </w:tcBorders>
            <w:gridSpan w:val="5"/>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For the Three Months Ended March 31,</w:t>
            </w:r>
          </w:p>
        </w:tc>
        <w:tc>
          <w:tcPr>
            <w:tcW w:w="1100" w:type="dxa"/>
            <w:vAlign w:val="bottom"/>
            <w:tcBorders>
              <w:bottom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20" w:type="dxa"/>
            <w:vAlign w:val="bottom"/>
            <w:tcBorders>
              <w:bottom w:val="single" w:sz="8" w:color="auto"/>
            </w:tcBorders>
          </w:tcPr>
          <w:p>
            <w:pPr>
              <w:spacing w:after="0"/>
              <w:rPr>
                <w:sz w:val="12"/>
                <w:szCs w:val="12"/>
                <w:color w:val="auto"/>
              </w:rPr>
            </w:pPr>
          </w:p>
        </w:tc>
        <w:tc>
          <w:tcPr>
            <w:tcW w:w="1420" w:type="dxa"/>
            <w:vAlign w:val="bottom"/>
            <w:tcBorders>
              <w:bottom w:val="single" w:sz="8" w:color="auto"/>
            </w:tcBorders>
            <w:gridSpan w:val="4"/>
          </w:tcPr>
          <w:p>
            <w:pPr>
              <w:jc w:val="right"/>
              <w:ind w:right="20"/>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120" w:type="dxa"/>
            <w:vAlign w:val="bottom"/>
            <w:tcBorders>
              <w:bottom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1480" w:type="dxa"/>
            <w:vAlign w:val="bottom"/>
            <w:tcBorders>
              <w:bottom w:val="single" w:sz="8" w:color="auto"/>
            </w:tcBorders>
            <w:gridSpan w:val="3"/>
          </w:tcPr>
          <w:p>
            <w:pPr>
              <w:jc w:val="right"/>
              <w:ind w:right="60"/>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100" w:type="dxa"/>
            <w:vAlign w:val="bottom"/>
            <w:tcBorders>
              <w:bottom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1420" w:type="dxa"/>
            <w:vAlign w:val="bottom"/>
            <w:gridSpan w:val="4"/>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120" w:type="dxa"/>
            <w:vAlign w:val="bottom"/>
          </w:tcPr>
          <w:p>
            <w:pPr>
              <w:jc w:val="center"/>
              <w:ind w:right="58"/>
              <w:spacing w:after="0" w:line="118" w:lineRule="exact"/>
              <w:rPr>
                <w:sz w:val="20"/>
                <w:szCs w:val="20"/>
                <w:color w:val="auto"/>
              </w:rPr>
            </w:pPr>
            <w:r>
              <w:rPr>
                <w:rFonts w:ascii="Times New Roman" w:cs="Times New Roman" w:eastAsia="Times New Roman" w:hAnsi="Times New Roman"/>
                <w:sz w:val="13"/>
                <w:szCs w:val="13"/>
                <w:b w:val="1"/>
                <w:bCs w:val="1"/>
                <w:color w:val="auto"/>
              </w:rPr>
              <w:t>% of Segment</w:t>
            </w:r>
          </w:p>
        </w:tc>
        <w:tc>
          <w:tcPr>
            <w:tcW w:w="280" w:type="dxa"/>
            <w:vAlign w:val="bottom"/>
          </w:tcPr>
          <w:p>
            <w:pPr>
              <w:spacing w:after="0"/>
              <w:rPr>
                <w:sz w:val="10"/>
                <w:szCs w:val="10"/>
                <w:color w:val="auto"/>
              </w:rPr>
            </w:pPr>
          </w:p>
        </w:tc>
        <w:tc>
          <w:tcPr>
            <w:tcW w:w="1480" w:type="dxa"/>
            <w:vAlign w:val="bottom"/>
            <w:gridSpan w:val="3"/>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100" w:type="dxa"/>
            <w:vAlign w:val="bottom"/>
          </w:tcPr>
          <w:p>
            <w:pPr>
              <w:jc w:val="center"/>
              <w:ind w:right="77"/>
              <w:spacing w:after="0" w:line="118" w:lineRule="exact"/>
              <w:rPr>
                <w:sz w:val="20"/>
                <w:szCs w:val="20"/>
                <w:color w:val="auto"/>
              </w:rPr>
            </w:pPr>
            <w:r>
              <w:rPr>
                <w:rFonts w:ascii="Times New Roman" w:cs="Times New Roman" w:eastAsia="Times New Roman" w:hAnsi="Times New Roman"/>
                <w:sz w:val="13"/>
                <w:szCs w:val="13"/>
                <w:b w:val="1"/>
                <w:bCs w:val="1"/>
                <w:color w:val="auto"/>
              </w:rPr>
              <w:t>% of Segment</w:t>
            </w: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420" w:type="dxa"/>
            <w:vAlign w:val="bottom"/>
            <w:gridSpan w:val="4"/>
            <w:vMerge w:val="continue"/>
          </w:tcPr>
          <w:p>
            <w:pPr>
              <w:spacing w:after="0"/>
              <w:rPr>
                <w:sz w:val="12"/>
                <w:szCs w:val="12"/>
                <w:color w:val="auto"/>
              </w:rPr>
            </w:pPr>
          </w:p>
        </w:tc>
        <w:tc>
          <w:tcPr>
            <w:tcW w:w="1400" w:type="dxa"/>
            <w:vAlign w:val="bottom"/>
            <w:gridSpan w:val="2"/>
          </w:tcPr>
          <w:p>
            <w:pPr>
              <w:jc w:val="center"/>
              <w:ind w:right="420"/>
              <w:spacing w:after="0" w:line="149" w:lineRule="exact"/>
              <w:rPr>
                <w:sz w:val="20"/>
                <w:szCs w:val="20"/>
                <w:color w:val="auto"/>
              </w:rPr>
            </w:pPr>
            <w:r>
              <w:rPr>
                <w:rFonts w:ascii="Times New Roman" w:cs="Times New Roman" w:eastAsia="Times New Roman" w:hAnsi="Times New Roman"/>
                <w:sz w:val="14"/>
                <w:szCs w:val="14"/>
                <w:b w:val="1"/>
                <w:bCs w:val="1"/>
                <w:color w:val="auto"/>
              </w:rPr>
              <w:t>Net Service</w:t>
            </w:r>
          </w:p>
        </w:tc>
        <w:tc>
          <w:tcPr>
            <w:tcW w:w="1480" w:type="dxa"/>
            <w:vAlign w:val="bottom"/>
            <w:gridSpan w:val="3"/>
            <w:vMerge w:val="continue"/>
          </w:tcPr>
          <w:p>
            <w:pPr>
              <w:spacing w:after="0"/>
              <w:rPr>
                <w:sz w:val="12"/>
                <w:szCs w:val="12"/>
                <w:color w:val="auto"/>
              </w:rPr>
            </w:pPr>
          </w:p>
        </w:tc>
        <w:tc>
          <w:tcPr>
            <w:tcW w:w="124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Net Service</w:t>
            </w:r>
          </w:p>
        </w:tc>
        <w:tc>
          <w:tcPr>
            <w:tcW w:w="0" w:type="dxa"/>
            <w:vAlign w:val="bottom"/>
          </w:tcPr>
          <w:p>
            <w:pPr>
              <w:spacing w:after="0"/>
              <w:rPr>
                <w:sz w:val="1"/>
                <w:szCs w:val="1"/>
                <w:color w:val="auto"/>
              </w:rPr>
            </w:pPr>
          </w:p>
        </w:tc>
      </w:tr>
      <w:tr>
        <w:trPr>
          <w:trHeight w:val="173"/>
        </w:trPr>
        <w:tc>
          <w:tcPr>
            <w:tcW w:w="2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00" w:type="dxa"/>
            <w:vAlign w:val="bottom"/>
          </w:tcPr>
          <w:p>
            <w:pPr>
              <w:spacing w:after="0"/>
              <w:rPr>
                <w:sz w:val="15"/>
                <w:szCs w:val="15"/>
                <w:color w:val="auto"/>
              </w:rPr>
            </w:pPr>
          </w:p>
        </w:tc>
        <w:tc>
          <w:tcPr>
            <w:tcW w:w="100" w:type="dxa"/>
            <w:vAlign w:val="bottom"/>
            <w:tcBorders>
              <w:bottom w:val="single" w:sz="8" w:color="auto"/>
            </w:tcBorders>
            <w:gridSpan w:val="2"/>
          </w:tcPr>
          <w:p>
            <w:pPr>
              <w:spacing w:after="0"/>
              <w:rPr>
                <w:sz w:val="15"/>
                <w:szCs w:val="15"/>
                <w:color w:val="auto"/>
              </w:rPr>
            </w:pPr>
          </w:p>
        </w:tc>
        <w:tc>
          <w:tcPr>
            <w:tcW w:w="1120" w:type="dxa"/>
            <w:vAlign w:val="bottom"/>
            <w:tcBorders>
              <w:bottom w:val="single" w:sz="8" w:color="auto"/>
            </w:tcBorders>
          </w:tcPr>
          <w:p>
            <w:pPr>
              <w:jc w:val="center"/>
              <w:ind w:right="58"/>
              <w:spacing w:after="0"/>
              <w:rPr>
                <w:sz w:val="20"/>
                <w:szCs w:val="20"/>
                <w:color w:val="auto"/>
              </w:rPr>
            </w:pPr>
            <w:r>
              <w:rPr>
                <w:rFonts w:ascii="Times New Roman" w:cs="Times New Roman" w:eastAsia="Times New Roman" w:hAnsi="Times New Roman"/>
                <w:sz w:val="14"/>
                <w:szCs w:val="14"/>
                <w:b w:val="1"/>
                <w:bCs w:val="1"/>
                <w:color w:val="auto"/>
              </w:rPr>
              <w:t>Revenues</w:t>
            </w:r>
          </w:p>
        </w:tc>
        <w:tc>
          <w:tcPr>
            <w:tcW w:w="280" w:type="dxa"/>
            <w:vAlign w:val="bottom"/>
          </w:tcPr>
          <w:p>
            <w:pPr>
              <w:spacing w:after="0"/>
              <w:rPr>
                <w:sz w:val="15"/>
                <w:szCs w:val="15"/>
                <w:color w:val="auto"/>
              </w:rPr>
            </w:pPr>
          </w:p>
        </w:tc>
        <w:tc>
          <w:tcPr>
            <w:tcW w:w="12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center"/>
              <w:ind w:right="77"/>
              <w:spacing w:after="0"/>
              <w:rPr>
                <w:sz w:val="20"/>
                <w:szCs w:val="20"/>
                <w:color w:val="auto"/>
              </w:rPr>
            </w:pPr>
            <w:r>
              <w:rPr>
                <w:rFonts w:ascii="Times New Roman" w:cs="Times New Roman" w:eastAsia="Times New Roman" w:hAnsi="Times New Roman"/>
                <w:sz w:val="14"/>
                <w:szCs w:val="14"/>
                <w:b w:val="1"/>
                <w:bCs w:val="1"/>
                <w:color w:val="auto"/>
              </w:rPr>
              <w:t>Revenues</w:t>
            </w: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1220" w:type="dxa"/>
            <w:vAlign w:val="bottom"/>
          </w:tcPr>
          <w:p>
            <w:pPr>
              <w:jc w:val="right"/>
              <w:spacing w:after="0" w:line="191" w:lineRule="exact"/>
              <w:rPr>
                <w:sz w:val="20"/>
                <w:szCs w:val="20"/>
                <w:color w:val="auto"/>
              </w:rPr>
            </w:pPr>
            <w:r>
              <w:rPr>
                <w:rFonts w:ascii="Times New Roman" w:cs="Times New Roman" w:eastAsia="Times New Roman" w:hAnsi="Times New Roman"/>
                <w:sz w:val="18"/>
                <w:szCs w:val="18"/>
                <w:color w:val="auto"/>
              </w:rPr>
              <w:t>$12,576</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0" w:type="dxa"/>
            <w:vAlign w:val="bottom"/>
            <w:gridSpan w:val="2"/>
          </w:tcPr>
          <w:p>
            <w:pPr>
              <w:jc w:val="right"/>
              <w:ind w:right="140"/>
              <w:spacing w:after="0" w:line="191" w:lineRule="exact"/>
              <w:rPr>
                <w:sz w:val="20"/>
                <w:szCs w:val="20"/>
                <w:color w:val="auto"/>
              </w:rPr>
            </w:pPr>
            <w:r>
              <w:rPr>
                <w:rFonts w:ascii="Times New Roman" w:cs="Times New Roman" w:eastAsia="Times New Roman" w:hAnsi="Times New Roman"/>
                <w:sz w:val="18"/>
                <w:szCs w:val="18"/>
                <w:color w:val="auto"/>
              </w:rPr>
              <w:t>69.9%</w:t>
            </w:r>
          </w:p>
        </w:tc>
        <w:tc>
          <w:tcPr>
            <w:tcW w:w="1220" w:type="dxa"/>
            <w:vAlign w:val="bottom"/>
          </w:tcPr>
          <w:p>
            <w:pPr>
              <w:jc w:val="right"/>
              <w:spacing w:after="0" w:line="191" w:lineRule="exact"/>
              <w:rPr>
                <w:sz w:val="20"/>
                <w:szCs w:val="20"/>
                <w:color w:val="auto"/>
              </w:rPr>
            </w:pPr>
            <w:r>
              <w:rPr>
                <w:rFonts w:ascii="Times New Roman" w:cs="Times New Roman" w:eastAsia="Times New Roman" w:hAnsi="Times New Roman"/>
                <w:sz w:val="18"/>
                <w:szCs w:val="18"/>
                <w:color w:val="auto"/>
              </w:rPr>
              <w:t>$11,663</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40" w:type="dxa"/>
            <w:vAlign w:val="bottom"/>
            <w:gridSpan w:val="2"/>
          </w:tcPr>
          <w:p>
            <w:pPr>
              <w:jc w:val="right"/>
              <w:spacing w:after="0" w:line="191" w:lineRule="exact"/>
              <w:rPr>
                <w:sz w:val="20"/>
                <w:szCs w:val="20"/>
                <w:color w:val="auto"/>
              </w:rPr>
            </w:pPr>
            <w:r>
              <w:rPr>
                <w:rFonts w:ascii="Times New Roman" w:cs="Times New Roman" w:eastAsia="Times New Roman" w:hAnsi="Times New Roman"/>
                <w:sz w:val="18"/>
                <w:szCs w:val="18"/>
                <w:color w:val="auto"/>
              </w:rPr>
              <w:t>69.1%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3,810</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21.2</w:t>
            </w:r>
          </w:p>
        </w:tc>
        <w:tc>
          <w:tcPr>
            <w:tcW w:w="2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4,400</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26.1</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1,087</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2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512</w:t>
            </w:r>
          </w:p>
        </w:tc>
        <w:tc>
          <w:tcPr>
            <w:tcW w:w="10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280" w:type="dxa"/>
            <w:vAlign w:val="bottom"/>
          </w:tcPr>
          <w:p>
            <w:pPr>
              <w:spacing w:after="0"/>
              <w:rPr>
                <w:sz w:val="20"/>
                <w:szCs w:val="20"/>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791</w:t>
            </w:r>
          </w:p>
        </w:tc>
        <w:tc>
          <w:tcPr>
            <w:tcW w:w="1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$17,985</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100.0%</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$16,880</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0" w:type="dxa"/>
            <w:vAlign w:val="bottom"/>
          </w:tcPr>
          <w:p>
            <w:pPr>
              <w:spacing w:after="0"/>
              <w:rPr>
                <w:sz w:val="1"/>
                <w:szCs w:val="1"/>
                <w:color w:val="auto"/>
              </w:rPr>
            </w:pPr>
          </w:p>
        </w:tc>
      </w:tr>
      <w:tr>
        <w:trPr>
          <w:trHeight w:val="20"/>
        </w:trPr>
        <w:tc>
          <w:tcPr>
            <w:tcW w:w="2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-3575685</wp:posOffset>
            </wp:positionH>
            <wp:positionV relativeFrom="paragraph">
              <wp:posOffset>-2193925</wp:posOffset>
            </wp:positionV>
            <wp:extent cx="7132320" cy="13716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-3575685</wp:posOffset>
            </wp:positionH>
            <wp:positionV relativeFrom="paragraph">
              <wp:posOffset>-1919605</wp:posOffset>
            </wp:positionV>
            <wp:extent cx="7132320" cy="13716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-3575685</wp:posOffset>
            </wp:positionH>
            <wp:positionV relativeFrom="paragraph">
              <wp:posOffset>-1636395</wp:posOffset>
            </wp:positionV>
            <wp:extent cx="7132320" cy="16319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32320" cy="163195"/>
                    </a:xfrm>
                    <a:prstGeom prst="rect">
                      <a:avLst/>
                    </a:prstGeom>
                    <a:noFill/>
                  </pic:spPr>
                </pic:pic>
              </a:graphicData>
            </a:graphic>
          </wp:anchor>
        </w:drawing>
        <w:drawing>
          <wp:anchor simplePos="0" relativeHeight="251657728" behindDoc="1" locked="0" layoutInCell="0" allowOverlap="1">
            <wp:simplePos x="0" y="0"/>
            <wp:positionH relativeFrom="column">
              <wp:posOffset>-3575685</wp:posOffset>
            </wp:positionH>
            <wp:positionV relativeFrom="paragraph">
              <wp:posOffset>-719455</wp:posOffset>
            </wp:positionV>
            <wp:extent cx="7132320" cy="13716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-3575685</wp:posOffset>
            </wp:positionH>
            <wp:positionV relativeFrom="paragraph">
              <wp:posOffset>-445135</wp:posOffset>
            </wp:positionV>
            <wp:extent cx="7132320" cy="13716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-3575685</wp:posOffset>
            </wp:positionH>
            <wp:positionV relativeFrom="paragraph">
              <wp:posOffset>-162560</wp:posOffset>
            </wp:positionV>
            <wp:extent cx="7132320" cy="16319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198" w:lineRule="exact"/>
        <w:rPr>
          <w:sz w:val="20"/>
          <w:szCs w:val="20"/>
          <w:color w:val="auto"/>
        </w:rPr>
      </w:pPr>
    </w:p>
    <w:p>
      <w:pPr>
        <w:sectPr>
          <w:pgSz w:w="11900" w:h="16838" w:orient="portrait"/>
          <w:cols w:equalWidth="0" w:num="2">
            <w:col w:w="4920" w:space="720"/>
            <w:col w:w="5600"/>
          </w:cols>
          <w:pgMar w:left="320" w:top="765" w:right="339" w:bottom="1440" w:gutter="0" w:footer="0" w:header="0"/>
        </w:sectPr>
      </w:pPr>
    </w:p>
    <w:p>
      <w:pPr>
        <w:ind w:right="60" w:firstLine="509"/>
        <w:spacing w:after="0" w:line="282" w:lineRule="auto"/>
        <w:rPr>
          <w:sz w:val="20"/>
          <w:szCs w:val="20"/>
          <w:color w:val="auto"/>
        </w:rPr>
      </w:pPr>
      <w:r>
        <w:rPr>
          <w:rFonts w:ascii="Times New Roman" w:cs="Times New Roman" w:eastAsia="Times New Roman" w:hAnsi="Times New Roman"/>
          <w:sz w:val="18"/>
          <w:szCs w:val="18"/>
          <w:color w:val="auto"/>
        </w:rPr>
        <w:t>The Company derives a significant amount of its revenue from its operations in Illinois, New Mexico, Ohio, and Texas. The percentages of segment revenue for each of these significant states and New York for the three months ended March 31, 2025 and 2024 were as follows:</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564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Personal Care Segment</w:t>
            </w:r>
          </w:p>
        </w:tc>
        <w:tc>
          <w:tcPr>
            <w:tcW w:w="12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880" w:type="dxa"/>
            <w:vAlign w:val="bottom"/>
            <w:tcBorders>
              <w:bottom w:val="single" w:sz="8" w:color="auto"/>
            </w:tcBorders>
            <w:gridSpan w:val="5"/>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For the Three Months Ended March 31,</w:t>
            </w:r>
          </w:p>
        </w:tc>
        <w:tc>
          <w:tcPr>
            <w:tcW w:w="1100" w:type="dxa"/>
            <w:vAlign w:val="bottom"/>
            <w:tcBorders>
              <w:bottom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2"/>
        </w:trPr>
        <w:tc>
          <w:tcPr>
            <w:tcW w:w="5640" w:type="dxa"/>
            <w:vAlign w:val="bottom"/>
          </w:tcPr>
          <w:p>
            <w:pPr>
              <w:spacing w:after="0"/>
              <w:rPr>
                <w:sz w:val="12"/>
                <w:szCs w:val="12"/>
                <w:color w:val="auto"/>
              </w:rPr>
            </w:pPr>
          </w:p>
        </w:tc>
        <w:tc>
          <w:tcPr>
            <w:tcW w:w="1440" w:type="dxa"/>
            <w:vAlign w:val="bottom"/>
            <w:tcBorders>
              <w:bottom w:val="single" w:sz="8" w:color="auto"/>
            </w:tcBorders>
            <w:gridSpan w:val="3"/>
          </w:tcPr>
          <w:p>
            <w:pPr>
              <w:jc w:val="right"/>
              <w:ind w:right="20"/>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100" w:type="dxa"/>
            <w:vAlign w:val="bottom"/>
            <w:tcBorders>
              <w:bottom w:val="single" w:sz="8" w:color="auto"/>
            </w:tcBorders>
          </w:tcPr>
          <w:p>
            <w:pPr>
              <w:spacing w:after="0"/>
              <w:rPr>
                <w:sz w:val="12"/>
                <w:szCs w:val="12"/>
                <w:color w:val="auto"/>
              </w:rPr>
            </w:pPr>
          </w:p>
        </w:tc>
        <w:tc>
          <w:tcPr>
            <w:tcW w:w="300" w:type="dxa"/>
            <w:vAlign w:val="bottom"/>
          </w:tcPr>
          <w:p>
            <w:pPr>
              <w:spacing w:after="0"/>
              <w:rPr>
                <w:sz w:val="12"/>
                <w:szCs w:val="12"/>
                <w:color w:val="auto"/>
              </w:rPr>
            </w:pPr>
          </w:p>
        </w:tc>
        <w:tc>
          <w:tcPr>
            <w:tcW w:w="1480" w:type="dxa"/>
            <w:vAlign w:val="bottom"/>
            <w:tcBorders>
              <w:bottom w:val="single" w:sz="8" w:color="auto"/>
            </w:tcBorders>
            <w:gridSpan w:val="3"/>
          </w:tcPr>
          <w:p>
            <w:pPr>
              <w:jc w:val="right"/>
              <w:ind w:right="60"/>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100" w:type="dxa"/>
            <w:vAlign w:val="bottom"/>
            <w:tcBorders>
              <w:bottom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7"/>
        </w:trPr>
        <w:tc>
          <w:tcPr>
            <w:tcW w:w="5640" w:type="dxa"/>
            <w:vAlign w:val="bottom"/>
          </w:tcPr>
          <w:p>
            <w:pPr>
              <w:spacing w:after="0"/>
              <w:rPr>
                <w:sz w:val="10"/>
                <w:szCs w:val="10"/>
                <w:color w:val="auto"/>
              </w:rPr>
            </w:pPr>
          </w:p>
        </w:tc>
        <w:tc>
          <w:tcPr>
            <w:tcW w:w="1440" w:type="dxa"/>
            <w:vAlign w:val="bottom"/>
            <w:gridSpan w:val="3"/>
            <w:vMerge w:val="restart"/>
          </w:tcPr>
          <w:p>
            <w:pPr>
              <w:jc w:val="right"/>
              <w:ind w:right="58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100" w:type="dxa"/>
            <w:vAlign w:val="bottom"/>
          </w:tcPr>
          <w:p>
            <w:pPr>
              <w:jc w:val="center"/>
              <w:ind w:right="38"/>
              <w:spacing w:after="0" w:line="118" w:lineRule="exact"/>
              <w:rPr>
                <w:sz w:val="20"/>
                <w:szCs w:val="20"/>
                <w:color w:val="auto"/>
              </w:rPr>
            </w:pPr>
            <w:r>
              <w:rPr>
                <w:rFonts w:ascii="Times New Roman" w:cs="Times New Roman" w:eastAsia="Times New Roman" w:hAnsi="Times New Roman"/>
                <w:sz w:val="13"/>
                <w:szCs w:val="13"/>
                <w:b w:val="1"/>
                <w:bCs w:val="1"/>
                <w:color w:val="auto"/>
              </w:rPr>
              <w:t>% of Segment</w:t>
            </w:r>
          </w:p>
        </w:tc>
        <w:tc>
          <w:tcPr>
            <w:tcW w:w="300" w:type="dxa"/>
            <w:vAlign w:val="bottom"/>
          </w:tcPr>
          <w:p>
            <w:pPr>
              <w:spacing w:after="0"/>
              <w:rPr>
                <w:sz w:val="10"/>
                <w:szCs w:val="10"/>
                <w:color w:val="auto"/>
              </w:rPr>
            </w:pPr>
          </w:p>
        </w:tc>
        <w:tc>
          <w:tcPr>
            <w:tcW w:w="1480" w:type="dxa"/>
            <w:vAlign w:val="bottom"/>
            <w:gridSpan w:val="3"/>
            <w:vMerge w:val="restart"/>
          </w:tcPr>
          <w:p>
            <w:pPr>
              <w:jc w:val="right"/>
              <w:ind w:right="62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100" w:type="dxa"/>
            <w:vAlign w:val="bottom"/>
          </w:tcPr>
          <w:p>
            <w:pPr>
              <w:jc w:val="center"/>
              <w:ind w:right="77"/>
              <w:spacing w:after="0" w:line="118" w:lineRule="exact"/>
              <w:rPr>
                <w:sz w:val="20"/>
                <w:szCs w:val="20"/>
                <w:color w:val="auto"/>
              </w:rPr>
            </w:pPr>
            <w:r>
              <w:rPr>
                <w:rFonts w:ascii="Times New Roman" w:cs="Times New Roman" w:eastAsia="Times New Roman" w:hAnsi="Times New Roman"/>
                <w:sz w:val="13"/>
                <w:szCs w:val="13"/>
                <w:b w:val="1"/>
                <w:bCs w:val="1"/>
                <w:color w:val="auto"/>
              </w:rPr>
              <w:t>% of Segment</w:t>
            </w:r>
          </w:p>
        </w:tc>
        <w:tc>
          <w:tcPr>
            <w:tcW w:w="1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5640" w:type="dxa"/>
            <w:vAlign w:val="bottom"/>
          </w:tcPr>
          <w:p>
            <w:pPr>
              <w:spacing w:after="0"/>
              <w:rPr>
                <w:sz w:val="12"/>
                <w:szCs w:val="12"/>
                <w:color w:val="auto"/>
              </w:rPr>
            </w:pPr>
          </w:p>
        </w:tc>
        <w:tc>
          <w:tcPr>
            <w:tcW w:w="1440" w:type="dxa"/>
            <w:vAlign w:val="bottom"/>
            <w:gridSpan w:val="3"/>
            <w:vMerge w:val="continue"/>
          </w:tcPr>
          <w:p>
            <w:pPr>
              <w:spacing w:after="0"/>
              <w:rPr>
                <w:sz w:val="12"/>
                <w:szCs w:val="12"/>
                <w:color w:val="auto"/>
              </w:rPr>
            </w:pPr>
          </w:p>
        </w:tc>
        <w:tc>
          <w:tcPr>
            <w:tcW w:w="1400" w:type="dxa"/>
            <w:vAlign w:val="bottom"/>
            <w:gridSpan w:val="2"/>
          </w:tcPr>
          <w:p>
            <w:pPr>
              <w:jc w:val="center"/>
              <w:ind w:right="420"/>
              <w:spacing w:after="0" w:line="149" w:lineRule="exact"/>
              <w:rPr>
                <w:sz w:val="20"/>
                <w:szCs w:val="20"/>
                <w:color w:val="auto"/>
              </w:rPr>
            </w:pPr>
            <w:r>
              <w:rPr>
                <w:rFonts w:ascii="Times New Roman" w:cs="Times New Roman" w:eastAsia="Times New Roman" w:hAnsi="Times New Roman"/>
                <w:sz w:val="14"/>
                <w:szCs w:val="14"/>
                <w:b w:val="1"/>
                <w:bCs w:val="1"/>
                <w:color w:val="auto"/>
              </w:rPr>
              <w:t>Net Service</w:t>
            </w:r>
          </w:p>
        </w:tc>
        <w:tc>
          <w:tcPr>
            <w:tcW w:w="1480" w:type="dxa"/>
            <w:vAlign w:val="bottom"/>
            <w:gridSpan w:val="3"/>
            <w:vMerge w:val="continue"/>
          </w:tcPr>
          <w:p>
            <w:pPr>
              <w:spacing w:after="0"/>
              <w:rPr>
                <w:sz w:val="12"/>
                <w:szCs w:val="12"/>
                <w:color w:val="auto"/>
              </w:rPr>
            </w:pPr>
          </w:p>
        </w:tc>
        <w:tc>
          <w:tcPr>
            <w:tcW w:w="1280" w:type="dxa"/>
            <w:vAlign w:val="bottom"/>
            <w:gridSpan w:val="2"/>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Net Service</w:t>
            </w:r>
          </w:p>
        </w:tc>
        <w:tc>
          <w:tcPr>
            <w:tcW w:w="0" w:type="dxa"/>
            <w:vAlign w:val="bottom"/>
          </w:tcPr>
          <w:p>
            <w:pPr>
              <w:spacing w:after="0"/>
              <w:rPr>
                <w:sz w:val="1"/>
                <w:szCs w:val="1"/>
                <w:color w:val="auto"/>
              </w:rPr>
            </w:pPr>
          </w:p>
        </w:tc>
      </w:tr>
      <w:tr>
        <w:trPr>
          <w:trHeight w:val="173"/>
        </w:trPr>
        <w:tc>
          <w:tcPr>
            <w:tcW w:w="5640" w:type="dxa"/>
            <w:vAlign w:val="bottom"/>
          </w:tcPr>
          <w:p>
            <w:pPr>
              <w:spacing w:after="0"/>
              <w:rPr>
                <w:sz w:val="15"/>
                <w:szCs w:val="15"/>
                <w:color w:val="auto"/>
              </w:rPr>
            </w:pPr>
          </w:p>
        </w:tc>
        <w:tc>
          <w:tcPr>
            <w:tcW w:w="1220" w:type="dxa"/>
            <w:vAlign w:val="bottom"/>
            <w:tcBorders>
              <w:bottom w:val="single" w:sz="8" w:color="auto"/>
            </w:tcBorders>
          </w:tcPr>
          <w:p>
            <w:pPr>
              <w:jc w:val="right"/>
              <w:ind w:right="56"/>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center"/>
              <w:ind w:right="38"/>
              <w:spacing w:after="0"/>
              <w:rPr>
                <w:sz w:val="20"/>
                <w:szCs w:val="20"/>
                <w:color w:val="auto"/>
              </w:rPr>
            </w:pPr>
            <w:r>
              <w:rPr>
                <w:rFonts w:ascii="Times New Roman" w:cs="Times New Roman" w:eastAsia="Times New Roman" w:hAnsi="Times New Roman"/>
                <w:sz w:val="14"/>
                <w:szCs w:val="14"/>
                <w:b w:val="1"/>
                <w:bCs w:val="1"/>
                <w:color w:val="auto"/>
              </w:rPr>
              <w:t>Revenues</w:t>
            </w:r>
          </w:p>
        </w:tc>
        <w:tc>
          <w:tcPr>
            <w:tcW w:w="300" w:type="dxa"/>
            <w:vAlign w:val="bottom"/>
          </w:tcPr>
          <w:p>
            <w:pPr>
              <w:spacing w:after="0"/>
              <w:rPr>
                <w:sz w:val="15"/>
                <w:szCs w:val="15"/>
                <w:color w:val="auto"/>
              </w:rPr>
            </w:pPr>
          </w:p>
        </w:tc>
        <w:tc>
          <w:tcPr>
            <w:tcW w:w="1220" w:type="dxa"/>
            <w:vAlign w:val="bottom"/>
            <w:tcBorders>
              <w:bottom w:val="single" w:sz="8" w:color="auto"/>
            </w:tcBorders>
          </w:tcPr>
          <w:p>
            <w:pPr>
              <w:jc w:val="right"/>
              <w:ind w:right="56"/>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center"/>
              <w:ind w:right="77"/>
              <w:spacing w:after="0"/>
              <w:rPr>
                <w:sz w:val="20"/>
                <w:szCs w:val="20"/>
                <w:color w:val="auto"/>
              </w:rPr>
            </w:pPr>
            <w:r>
              <w:rPr>
                <w:rFonts w:ascii="Times New Roman" w:cs="Times New Roman" w:eastAsia="Times New Roman" w:hAnsi="Times New Roman"/>
                <w:sz w:val="14"/>
                <w:szCs w:val="14"/>
                <w:b w:val="1"/>
                <w:bCs w:val="1"/>
                <w:color w:val="auto"/>
              </w:rPr>
              <w:t>Revenues</w:t>
            </w: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56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Illinois</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$111,414</w:t>
            </w: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43.1%</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$107,575</w:t>
            </w: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51.8%</w:t>
            </w:r>
          </w:p>
        </w:tc>
        <w:tc>
          <w:tcPr>
            <w:tcW w:w="0" w:type="dxa"/>
            <w:vAlign w:val="bottom"/>
          </w:tcPr>
          <w:p>
            <w:pPr>
              <w:spacing w:after="0"/>
              <w:rPr>
                <w:sz w:val="1"/>
                <w:szCs w:val="1"/>
                <w:color w:val="auto"/>
              </w:rPr>
            </w:pPr>
          </w:p>
        </w:tc>
      </w:tr>
      <w:tr>
        <w:trPr>
          <w:trHeight w:val="216"/>
        </w:trPr>
        <w:tc>
          <w:tcPr>
            <w:tcW w:w="5640" w:type="dxa"/>
            <w:vAlign w:val="bottom"/>
          </w:tcPr>
          <w:p>
            <w:pPr>
              <w:spacing w:after="0"/>
              <w:rPr>
                <w:sz w:val="20"/>
                <w:szCs w:val="20"/>
                <w:color w:val="auto"/>
              </w:rPr>
            </w:pPr>
            <w:r>
              <w:rPr>
                <w:rFonts w:ascii="Times New Roman" w:cs="Times New Roman" w:eastAsia="Times New Roman" w:hAnsi="Times New Roman"/>
                <w:sz w:val="18"/>
                <w:szCs w:val="18"/>
                <w:color w:val="auto"/>
              </w:rPr>
              <w:t>New Mexico</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28,305</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w:t>
            </w:r>
          </w:p>
        </w:tc>
        <w:tc>
          <w:tcPr>
            <w:tcW w:w="3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28,967</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40" w:type="dxa"/>
            <w:vAlign w:val="bottom"/>
            <w:shd w:val="clear" w:color="auto" w:fill="CFF0FC"/>
          </w:tcPr>
          <w:p>
            <w:pPr>
              <w:spacing w:after="0" w:line="216" w:lineRule="exact"/>
              <w:rPr>
                <w:sz w:val="20"/>
                <w:szCs w:val="20"/>
                <w:color w:val="auto"/>
              </w:rPr>
            </w:pPr>
            <w:r>
              <w:rPr>
                <w:rFonts w:ascii="Times New Roman" w:cs="Times New Roman" w:eastAsia="Times New Roman" w:hAnsi="Times New Roman"/>
                <w:sz w:val="18"/>
                <w:szCs w:val="18"/>
                <w:color w:val="auto"/>
              </w:rPr>
              <w:t>New York</w:t>
            </w:r>
            <w:r>
              <w:rPr>
                <w:rFonts w:ascii="Times New Roman" w:cs="Times New Roman" w:eastAsia="Times New Roman" w:hAnsi="Times New Roman"/>
                <w:sz w:val="24"/>
                <w:szCs w:val="24"/>
                <w:color w:val="auto"/>
                <w:vertAlign w:val="superscript"/>
              </w:rPr>
              <w:t>(1)</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273</w:t>
            </w: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300" w:type="dxa"/>
            <w:vAlign w:val="bottom"/>
            <w:shd w:val="clear" w:color="auto" w:fill="CFF0FC"/>
          </w:tcPr>
          <w:p>
            <w:pPr>
              <w:spacing w:after="0"/>
              <w:rPr>
                <w:sz w:val="18"/>
                <w:szCs w:val="18"/>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23,534</w:t>
            </w: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11.3</w:t>
            </w:r>
          </w:p>
        </w:tc>
        <w:tc>
          <w:tcPr>
            <w:tcW w:w="1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40" w:type="dxa"/>
            <w:vAlign w:val="bottom"/>
          </w:tcPr>
          <w:p>
            <w:pPr>
              <w:spacing w:after="0"/>
              <w:rPr>
                <w:sz w:val="20"/>
                <w:szCs w:val="20"/>
                <w:color w:val="auto"/>
              </w:rPr>
            </w:pPr>
            <w:r>
              <w:rPr>
                <w:rFonts w:ascii="Times New Roman" w:cs="Times New Roman" w:eastAsia="Times New Roman" w:hAnsi="Times New Roman"/>
                <w:sz w:val="18"/>
                <w:szCs w:val="18"/>
                <w:color w:val="auto"/>
              </w:rPr>
              <w:t>Texas</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49,861</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w:t>
            </w:r>
          </w:p>
        </w:tc>
        <w:tc>
          <w:tcPr>
            <w:tcW w:w="300" w:type="dxa"/>
            <w:vAlign w:val="bottom"/>
          </w:tcPr>
          <w:p>
            <w:pPr>
              <w:spacing w:after="0"/>
              <w:rPr>
                <w:sz w:val="18"/>
                <w:szCs w:val="18"/>
                <w:color w:val="auto"/>
              </w:rPr>
            </w:pPr>
          </w:p>
        </w:tc>
        <w:tc>
          <w:tcPr>
            <w:tcW w:w="1480" w:type="dxa"/>
            <w:vAlign w:val="bottom"/>
            <w:gridSpan w:val="3"/>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6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All other states</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68,433</w:t>
            </w: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26.5</w:t>
            </w:r>
          </w:p>
        </w:tc>
        <w:tc>
          <w:tcPr>
            <w:tcW w:w="300" w:type="dxa"/>
            <w:vAlign w:val="bottom"/>
            <w:shd w:val="clear" w:color="auto" w:fill="CFF0FC"/>
          </w:tcPr>
          <w:p>
            <w:pPr>
              <w:spacing w:after="0"/>
              <w:rPr>
                <w:sz w:val="18"/>
                <w:szCs w:val="18"/>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47,927</w:t>
            </w: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23.0%</w:t>
            </w:r>
          </w:p>
        </w:tc>
        <w:tc>
          <w:tcPr>
            <w:tcW w:w="0" w:type="dxa"/>
            <w:vAlign w:val="bottom"/>
          </w:tcPr>
          <w:p>
            <w:pPr>
              <w:spacing w:after="0"/>
              <w:rPr>
                <w:sz w:val="1"/>
                <w:szCs w:val="1"/>
                <w:color w:val="auto"/>
              </w:rPr>
            </w:pPr>
          </w:p>
        </w:tc>
      </w:tr>
      <w:tr>
        <w:trPr>
          <w:trHeight w:val="20"/>
        </w:trPr>
        <w:tc>
          <w:tcPr>
            <w:tcW w:w="5640" w:type="dxa"/>
            <w:vAlign w:val="bottom"/>
            <w:shd w:val="clear" w:color="auto" w:fill="CFF0FC"/>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640" w:type="dxa"/>
            <w:vAlign w:val="bottom"/>
          </w:tcPr>
          <w:p>
            <w:pPr>
              <w:spacing w:after="0"/>
              <w:rPr>
                <w:sz w:val="20"/>
                <w:szCs w:val="20"/>
                <w:color w:val="auto"/>
              </w:rPr>
            </w:pPr>
            <w:r>
              <w:rPr>
                <w:rFonts w:ascii="Times New Roman" w:cs="Times New Roman" w:eastAsia="Times New Roman" w:hAnsi="Times New Roman"/>
                <w:sz w:val="18"/>
                <w:szCs w:val="18"/>
                <w:color w:val="auto"/>
              </w:rPr>
              <w:t>Total personal care segment net service revenues</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$258,286</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100.0%</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$208,003</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640" w:type="dxa"/>
            <w:vAlign w:val="bottom"/>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4351020</wp:posOffset>
            </wp:positionH>
            <wp:positionV relativeFrom="paragraph">
              <wp:posOffset>-170815</wp:posOffset>
            </wp:positionV>
            <wp:extent cx="76835" cy="88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5200015</wp:posOffset>
            </wp:positionH>
            <wp:positionV relativeFrom="paragraph">
              <wp:posOffset>-170815</wp:posOffset>
            </wp:positionV>
            <wp:extent cx="111125" cy="88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111125" cy="8890"/>
                    </a:xfrm>
                    <a:prstGeom prst="rect">
                      <a:avLst/>
                    </a:prstGeom>
                    <a:noFill/>
                  </pic:spPr>
                </pic:pic>
              </a:graphicData>
            </a:graphic>
          </wp:anchor>
        </w:drawing>
        <w:drawing>
          <wp:anchor simplePos="0" relativeHeight="251657728" behindDoc="1" locked="0" layoutInCell="0" allowOverlap="1">
            <wp:simplePos x="0" y="0"/>
            <wp:positionH relativeFrom="column">
              <wp:posOffset>6160135</wp:posOffset>
            </wp:positionH>
            <wp:positionV relativeFrom="paragraph">
              <wp:posOffset>-170815</wp:posOffset>
            </wp:positionV>
            <wp:extent cx="76835" cy="88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7017385</wp:posOffset>
            </wp:positionH>
            <wp:positionV relativeFrom="paragraph">
              <wp:posOffset>-170815</wp:posOffset>
            </wp:positionV>
            <wp:extent cx="120015" cy="88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120015" cy="8890"/>
                    </a:xfrm>
                    <a:prstGeom prst="rect">
                      <a:avLst/>
                    </a:prstGeom>
                    <a:noFill/>
                  </pic:spPr>
                </pic:pic>
              </a:graphicData>
            </a:graphic>
          </wp:anchor>
        </w:drawing>
      </w:r>
    </w:p>
    <w:p>
      <w:pPr>
        <w:spacing w:after="0" w:line="43" w:lineRule="exact"/>
        <w:rPr>
          <w:sz w:val="20"/>
          <w:szCs w:val="20"/>
          <w:color w:val="auto"/>
        </w:rPr>
      </w:pPr>
    </w:p>
    <w:p>
      <w:pPr>
        <w:ind w:left="760" w:right="20" w:hanging="378"/>
        <w:spacing w:after="0" w:line="258" w:lineRule="auto"/>
        <w:tabs>
          <w:tab w:leader="none" w:pos="7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selection process of the New York Consumer Directed Personal Assistance Program (“CDPAP”) fiscal intermediaries has changed significantly in recent years and the program continues to be an area of focus for New York governmental authorities. As a result of the changes and uncertainty in the state, the Company determined that its New York personal care operations no longer fit its growth strategy and is divesting these operations. See Note 3 to the Notes to Unaudited Condensed Consolidated Financial Statements, </w:t>
      </w:r>
      <w:r>
        <w:rPr>
          <w:rFonts w:ascii="Times New Roman" w:cs="Times New Roman" w:eastAsia="Times New Roman" w:hAnsi="Times New Roman"/>
          <w:sz w:val="18"/>
          <w:szCs w:val="18"/>
          <w:i w:val="1"/>
          <w:iCs w:val="1"/>
          <w:color w:val="auto"/>
        </w:rPr>
        <w:t>Divestiture</w:t>
      </w:r>
      <w:r>
        <w:rPr>
          <w:rFonts w:ascii="Times New Roman" w:cs="Times New Roman" w:eastAsia="Times New Roman" w:hAnsi="Times New Roman"/>
          <w:sz w:val="18"/>
          <w:szCs w:val="18"/>
          <w:color w:val="auto"/>
        </w:rPr>
        <w:t>, for additional details regarding our divestiture.</w:t>
      </w:r>
    </w:p>
    <w:p>
      <w:pPr>
        <w:spacing w:after="0" w:line="314"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434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Hospice Segment</w:t>
            </w:r>
          </w:p>
        </w:tc>
        <w:tc>
          <w:tcPr>
            <w:tcW w:w="1320" w:type="dxa"/>
            <w:vAlign w:val="bottom"/>
          </w:tcPr>
          <w:p>
            <w:pPr>
              <w:spacing w:after="0"/>
              <w:rPr>
                <w:sz w:val="19"/>
                <w:szCs w:val="19"/>
                <w:color w:val="auto"/>
              </w:rPr>
            </w:pPr>
          </w:p>
        </w:tc>
        <w:tc>
          <w:tcPr>
            <w:tcW w:w="124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880" w:type="dxa"/>
            <w:vAlign w:val="bottom"/>
            <w:tcBorders>
              <w:bottom w:val="single" w:sz="8" w:color="auto"/>
            </w:tcBorders>
            <w:gridSpan w:val="5"/>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For the Three Months Ended March 31,</w:t>
            </w:r>
          </w:p>
        </w:tc>
        <w:tc>
          <w:tcPr>
            <w:tcW w:w="1080" w:type="dxa"/>
            <w:vAlign w:val="bottom"/>
            <w:tcBorders>
              <w:bottom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2"/>
        </w:trPr>
        <w:tc>
          <w:tcPr>
            <w:tcW w:w="434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460" w:type="dxa"/>
            <w:vAlign w:val="bottom"/>
            <w:tcBorders>
              <w:bottom w:val="single" w:sz="8" w:color="auto"/>
            </w:tcBorders>
            <w:gridSpan w:val="3"/>
          </w:tcPr>
          <w:p>
            <w:pPr>
              <w:jc w:val="right"/>
              <w:ind w:right="20"/>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120" w:type="dxa"/>
            <w:vAlign w:val="bottom"/>
            <w:tcBorders>
              <w:bottom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1480" w:type="dxa"/>
            <w:vAlign w:val="bottom"/>
            <w:tcBorders>
              <w:bottom w:val="single" w:sz="8" w:color="auto"/>
            </w:tcBorders>
            <w:gridSpan w:val="3"/>
          </w:tcPr>
          <w:p>
            <w:pPr>
              <w:jc w:val="right"/>
              <w:ind w:right="60"/>
              <w:spacing w:after="0" w:line="142" w:lineRule="exact"/>
              <w:rPr>
                <w:sz w:val="20"/>
                <w:szCs w:val="20"/>
                <w:color w:val="auto"/>
              </w:rPr>
            </w:pPr>
            <w:r>
              <w:rPr>
                <w:rFonts w:ascii="Times New Roman" w:cs="Times New Roman" w:eastAsia="Times New Roman" w:hAnsi="Times New Roman"/>
                <w:sz w:val="13"/>
                <w:szCs w:val="13"/>
                <w:b w:val="1"/>
                <w:bCs w:val="1"/>
                <w:color w:val="auto"/>
              </w:rPr>
              <w:t>2024</w:t>
            </w:r>
          </w:p>
        </w:tc>
        <w:tc>
          <w:tcPr>
            <w:tcW w:w="1080" w:type="dxa"/>
            <w:vAlign w:val="bottom"/>
            <w:tcBorders>
              <w:bottom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7"/>
        </w:trPr>
        <w:tc>
          <w:tcPr>
            <w:tcW w:w="434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1460" w:type="dxa"/>
            <w:vAlign w:val="bottom"/>
            <w:gridSpan w:val="3"/>
            <w:vMerge w:val="restart"/>
          </w:tcPr>
          <w:p>
            <w:pPr>
              <w:jc w:val="right"/>
              <w:ind w:right="58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120" w:type="dxa"/>
            <w:vAlign w:val="bottom"/>
          </w:tcPr>
          <w:p>
            <w:pPr>
              <w:jc w:val="center"/>
              <w:ind w:right="19"/>
              <w:spacing w:after="0" w:line="118" w:lineRule="exact"/>
              <w:rPr>
                <w:sz w:val="20"/>
                <w:szCs w:val="20"/>
                <w:color w:val="auto"/>
              </w:rPr>
            </w:pPr>
            <w:r>
              <w:rPr>
                <w:rFonts w:ascii="Times New Roman" w:cs="Times New Roman" w:eastAsia="Times New Roman" w:hAnsi="Times New Roman"/>
                <w:sz w:val="13"/>
                <w:szCs w:val="13"/>
                <w:b w:val="1"/>
                <w:bCs w:val="1"/>
                <w:color w:val="auto"/>
              </w:rPr>
              <w:t>% of Segment</w:t>
            </w:r>
          </w:p>
        </w:tc>
        <w:tc>
          <w:tcPr>
            <w:tcW w:w="28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80" w:type="dxa"/>
            <w:vAlign w:val="bottom"/>
          </w:tcPr>
          <w:p>
            <w:pPr>
              <w:jc w:val="center"/>
              <w:ind w:right="58"/>
              <w:spacing w:after="0" w:line="118" w:lineRule="exact"/>
              <w:rPr>
                <w:sz w:val="20"/>
                <w:szCs w:val="20"/>
                <w:color w:val="auto"/>
              </w:rPr>
            </w:pPr>
            <w:r>
              <w:rPr>
                <w:rFonts w:ascii="Times New Roman" w:cs="Times New Roman" w:eastAsia="Times New Roman" w:hAnsi="Times New Roman"/>
                <w:sz w:val="13"/>
                <w:szCs w:val="13"/>
                <w:b w:val="1"/>
                <w:bCs w:val="1"/>
                <w:color w:val="auto"/>
              </w:rPr>
              <w:t>% of Segment</w:t>
            </w:r>
          </w:p>
        </w:tc>
        <w:tc>
          <w:tcPr>
            <w:tcW w:w="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434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460" w:type="dxa"/>
            <w:vAlign w:val="bottom"/>
            <w:gridSpan w:val="3"/>
            <w:vMerge w:val="continue"/>
          </w:tcPr>
          <w:p>
            <w:pPr>
              <w:spacing w:after="0"/>
              <w:rPr>
                <w:sz w:val="12"/>
                <w:szCs w:val="12"/>
                <w:color w:val="auto"/>
              </w:rPr>
            </w:pPr>
          </w:p>
        </w:tc>
        <w:tc>
          <w:tcPr>
            <w:tcW w:w="1400" w:type="dxa"/>
            <w:vAlign w:val="bottom"/>
            <w:gridSpan w:val="2"/>
          </w:tcPr>
          <w:p>
            <w:pPr>
              <w:jc w:val="center"/>
              <w:ind w:right="380"/>
              <w:spacing w:after="0" w:line="149" w:lineRule="exact"/>
              <w:rPr>
                <w:sz w:val="20"/>
                <w:szCs w:val="20"/>
                <w:color w:val="auto"/>
              </w:rPr>
            </w:pPr>
            <w:r>
              <w:rPr>
                <w:rFonts w:ascii="Times New Roman" w:cs="Times New Roman" w:eastAsia="Times New Roman" w:hAnsi="Times New Roman"/>
                <w:sz w:val="14"/>
                <w:szCs w:val="14"/>
                <w:b w:val="1"/>
                <w:bCs w:val="1"/>
                <w:color w:val="auto"/>
              </w:rPr>
              <w:t>Net Service</w:t>
            </w:r>
          </w:p>
        </w:tc>
        <w:tc>
          <w:tcPr>
            <w:tcW w:w="1480" w:type="dxa"/>
            <w:vAlign w:val="bottom"/>
            <w:gridSpan w:val="3"/>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1240" w:type="dxa"/>
            <w:vAlign w:val="bottom"/>
            <w:gridSpan w:val="2"/>
          </w:tcPr>
          <w:p>
            <w:pPr>
              <w:jc w:val="center"/>
              <w:ind w:right="300"/>
              <w:spacing w:after="0"/>
              <w:rPr>
                <w:sz w:val="20"/>
                <w:szCs w:val="20"/>
                <w:color w:val="auto"/>
              </w:rPr>
            </w:pPr>
            <w:r>
              <w:rPr>
                <w:rFonts w:ascii="Times New Roman" w:cs="Times New Roman" w:eastAsia="Times New Roman" w:hAnsi="Times New Roman"/>
                <w:sz w:val="13"/>
                <w:szCs w:val="13"/>
                <w:b w:val="1"/>
                <w:bCs w:val="1"/>
                <w:color w:val="auto"/>
              </w:rPr>
              <w:t>Net Service</w:t>
            </w:r>
          </w:p>
        </w:tc>
        <w:tc>
          <w:tcPr>
            <w:tcW w:w="0" w:type="dxa"/>
            <w:vAlign w:val="bottom"/>
          </w:tcPr>
          <w:p>
            <w:pPr>
              <w:spacing w:after="0"/>
              <w:rPr>
                <w:sz w:val="1"/>
                <w:szCs w:val="1"/>
                <w:color w:val="auto"/>
              </w:rPr>
            </w:pPr>
          </w:p>
        </w:tc>
      </w:tr>
      <w:tr>
        <w:trPr>
          <w:trHeight w:val="173"/>
        </w:trPr>
        <w:tc>
          <w:tcPr>
            <w:tcW w:w="434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240" w:type="dxa"/>
            <w:vAlign w:val="bottom"/>
            <w:tcBorders>
              <w:bottom w:val="single" w:sz="8" w:color="auto"/>
            </w:tcBorders>
          </w:tcPr>
          <w:p>
            <w:pPr>
              <w:jc w:val="right"/>
              <w:ind w:right="81"/>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Revenues</w:t>
            </w:r>
          </w:p>
        </w:tc>
        <w:tc>
          <w:tcPr>
            <w:tcW w:w="280" w:type="dxa"/>
            <w:vAlign w:val="bottom"/>
          </w:tcPr>
          <w:p>
            <w:pPr>
              <w:spacing w:after="0"/>
              <w:rPr>
                <w:sz w:val="15"/>
                <w:szCs w:val="15"/>
                <w:color w:val="auto"/>
              </w:rPr>
            </w:pPr>
          </w:p>
        </w:tc>
        <w:tc>
          <w:tcPr>
            <w:tcW w:w="12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rPr>
              <w:t>(in Thousands)</w:t>
            </w:r>
          </w:p>
        </w:tc>
        <w:tc>
          <w:tcPr>
            <w:tcW w:w="1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center"/>
              <w:ind w:right="58"/>
              <w:spacing w:after="0"/>
              <w:rPr>
                <w:sz w:val="20"/>
                <w:szCs w:val="20"/>
                <w:color w:val="auto"/>
              </w:rPr>
            </w:pPr>
            <w:r>
              <w:rPr>
                <w:rFonts w:ascii="Times New Roman" w:cs="Times New Roman" w:eastAsia="Times New Roman" w:hAnsi="Times New Roman"/>
                <w:sz w:val="13"/>
                <w:szCs w:val="13"/>
                <w:b w:val="1"/>
                <w:bCs w:val="1"/>
                <w:color w:val="auto"/>
              </w:rPr>
              <w:t>Revenues</w:t>
            </w: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43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Ohio</w:t>
            </w:r>
          </w:p>
        </w:tc>
        <w:tc>
          <w:tcPr>
            <w:tcW w:w="2680" w:type="dxa"/>
            <w:vAlign w:val="bottom"/>
            <w:gridSpan w:val="3"/>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$23,187</w:t>
            </w:r>
          </w:p>
        </w:tc>
        <w:tc>
          <w:tcPr>
            <w:tcW w:w="100" w:type="dxa"/>
            <w:vAlign w:val="bottom"/>
            <w:shd w:val="clear" w:color="auto" w:fill="CFF0FC"/>
          </w:tcPr>
          <w:p>
            <w:pPr>
              <w:spacing w:after="0"/>
              <w:rPr>
                <w:sz w:val="18"/>
                <w:szCs w:val="18"/>
                <w:color w:val="auto"/>
              </w:rPr>
            </w:pPr>
          </w:p>
        </w:tc>
        <w:tc>
          <w:tcPr>
            <w:tcW w:w="14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37.7%</w:t>
            </w:r>
          </w:p>
        </w:tc>
        <w:tc>
          <w:tcPr>
            <w:tcW w:w="13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$20,236</w:t>
            </w:r>
          </w:p>
        </w:tc>
        <w:tc>
          <w:tcPr>
            <w:tcW w:w="140" w:type="dxa"/>
            <w:vAlign w:val="bottom"/>
            <w:shd w:val="clear" w:color="auto" w:fill="CFF0FC"/>
          </w:tcPr>
          <w:p>
            <w:pPr>
              <w:spacing w:after="0"/>
              <w:rPr>
                <w:sz w:val="18"/>
                <w:szCs w:val="18"/>
                <w:color w:val="auto"/>
              </w:rPr>
            </w:pPr>
          </w:p>
        </w:tc>
        <w:tc>
          <w:tcPr>
            <w:tcW w:w="12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36.2%</w:t>
            </w:r>
          </w:p>
        </w:tc>
        <w:tc>
          <w:tcPr>
            <w:tcW w:w="0" w:type="dxa"/>
            <w:vAlign w:val="bottom"/>
          </w:tcPr>
          <w:p>
            <w:pPr>
              <w:spacing w:after="0"/>
              <w:rPr>
                <w:sz w:val="1"/>
                <w:szCs w:val="1"/>
                <w:color w:val="auto"/>
              </w:rPr>
            </w:pPr>
          </w:p>
        </w:tc>
      </w:tr>
      <w:tr>
        <w:trPr>
          <w:trHeight w:val="216"/>
        </w:trPr>
        <w:tc>
          <w:tcPr>
            <w:tcW w:w="4340" w:type="dxa"/>
            <w:vAlign w:val="bottom"/>
          </w:tcPr>
          <w:p>
            <w:pPr>
              <w:spacing w:after="0"/>
              <w:rPr>
                <w:sz w:val="20"/>
                <w:szCs w:val="20"/>
                <w:color w:val="auto"/>
              </w:rPr>
            </w:pPr>
            <w:r>
              <w:rPr>
                <w:rFonts w:ascii="Times New Roman" w:cs="Times New Roman" w:eastAsia="Times New Roman" w:hAnsi="Times New Roman"/>
                <w:sz w:val="18"/>
                <w:szCs w:val="18"/>
                <w:color w:val="auto"/>
              </w:rPr>
              <w:t>Illinois</w:t>
            </w:r>
          </w:p>
        </w:tc>
        <w:tc>
          <w:tcPr>
            <w:tcW w:w="268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14,564</w:t>
            </w:r>
          </w:p>
        </w:tc>
        <w:tc>
          <w:tcPr>
            <w:tcW w:w="100" w:type="dxa"/>
            <w:vAlign w:val="bottom"/>
          </w:tcPr>
          <w:p>
            <w:pPr>
              <w:spacing w:after="0"/>
              <w:rPr>
                <w:sz w:val="18"/>
                <w:szCs w:val="18"/>
                <w:color w:val="auto"/>
              </w:rPr>
            </w:pPr>
          </w:p>
        </w:tc>
        <w:tc>
          <w:tcPr>
            <w:tcW w:w="14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23.7</w:t>
            </w:r>
          </w:p>
        </w:tc>
        <w:tc>
          <w:tcPr>
            <w:tcW w:w="13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12,252</w:t>
            </w:r>
          </w:p>
        </w:tc>
        <w:tc>
          <w:tcPr>
            <w:tcW w:w="140" w:type="dxa"/>
            <w:vAlign w:val="bottom"/>
          </w:tcPr>
          <w:p>
            <w:pPr>
              <w:spacing w:after="0"/>
              <w:rPr>
                <w:sz w:val="18"/>
                <w:szCs w:val="18"/>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21.9</w:t>
            </w:r>
          </w:p>
        </w:tc>
        <w:tc>
          <w:tcPr>
            <w:tcW w:w="0" w:type="dxa"/>
            <w:vAlign w:val="bottom"/>
          </w:tcPr>
          <w:p>
            <w:pPr>
              <w:spacing w:after="0"/>
              <w:rPr>
                <w:sz w:val="1"/>
                <w:szCs w:val="1"/>
                <w:color w:val="auto"/>
              </w:rPr>
            </w:pPr>
          </w:p>
        </w:tc>
      </w:tr>
      <w:tr>
        <w:trPr>
          <w:trHeight w:val="216"/>
        </w:trPr>
        <w:tc>
          <w:tcPr>
            <w:tcW w:w="43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New Mexico</w:t>
            </w:r>
          </w:p>
        </w:tc>
        <w:tc>
          <w:tcPr>
            <w:tcW w:w="2680" w:type="dxa"/>
            <w:vAlign w:val="bottom"/>
            <w:gridSpan w:val="3"/>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7,913</w:t>
            </w:r>
          </w:p>
        </w:tc>
        <w:tc>
          <w:tcPr>
            <w:tcW w:w="100" w:type="dxa"/>
            <w:vAlign w:val="bottom"/>
            <w:shd w:val="clear" w:color="auto" w:fill="CFF0FC"/>
          </w:tcPr>
          <w:p>
            <w:pPr>
              <w:spacing w:after="0"/>
              <w:rPr>
                <w:sz w:val="18"/>
                <w:szCs w:val="18"/>
                <w:color w:val="auto"/>
              </w:rPr>
            </w:pPr>
          </w:p>
        </w:tc>
        <w:tc>
          <w:tcPr>
            <w:tcW w:w="140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12.9</w:t>
            </w:r>
          </w:p>
        </w:tc>
        <w:tc>
          <w:tcPr>
            <w:tcW w:w="13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7,515</w:t>
            </w:r>
          </w:p>
        </w:tc>
        <w:tc>
          <w:tcPr>
            <w:tcW w:w="140" w:type="dxa"/>
            <w:vAlign w:val="bottom"/>
            <w:shd w:val="clear" w:color="auto" w:fill="CFF0FC"/>
          </w:tcPr>
          <w:p>
            <w:pPr>
              <w:spacing w:after="0"/>
              <w:rPr>
                <w:sz w:val="18"/>
                <w:szCs w:val="18"/>
                <w:color w:val="auto"/>
              </w:rPr>
            </w:pPr>
          </w:p>
        </w:tc>
        <w:tc>
          <w:tcPr>
            <w:tcW w:w="12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13.5</w:t>
            </w:r>
          </w:p>
        </w:tc>
        <w:tc>
          <w:tcPr>
            <w:tcW w:w="0" w:type="dxa"/>
            <w:vAlign w:val="bottom"/>
          </w:tcPr>
          <w:p>
            <w:pPr>
              <w:spacing w:after="0"/>
              <w:rPr>
                <w:sz w:val="1"/>
                <w:szCs w:val="1"/>
                <w:color w:val="auto"/>
              </w:rPr>
            </w:pPr>
          </w:p>
        </w:tc>
      </w:tr>
      <w:tr>
        <w:trPr>
          <w:trHeight w:val="216"/>
        </w:trPr>
        <w:tc>
          <w:tcPr>
            <w:tcW w:w="4340" w:type="dxa"/>
            <w:vAlign w:val="bottom"/>
          </w:tcPr>
          <w:p>
            <w:pPr>
              <w:spacing w:after="0"/>
              <w:rPr>
                <w:sz w:val="20"/>
                <w:szCs w:val="20"/>
                <w:color w:val="auto"/>
              </w:rPr>
            </w:pPr>
            <w:r>
              <w:rPr>
                <w:rFonts w:ascii="Times New Roman" w:cs="Times New Roman" w:eastAsia="Times New Roman" w:hAnsi="Times New Roman"/>
                <w:sz w:val="18"/>
                <w:szCs w:val="18"/>
                <w:color w:val="auto"/>
              </w:rPr>
              <w:t>All other states</w:t>
            </w:r>
          </w:p>
        </w:tc>
        <w:tc>
          <w:tcPr>
            <w:tcW w:w="13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15,773</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25.7</w:t>
            </w:r>
          </w:p>
        </w:tc>
        <w:tc>
          <w:tcPr>
            <w:tcW w:w="13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15,860</w:t>
            </w:r>
          </w:p>
        </w:tc>
        <w:tc>
          <w:tcPr>
            <w:tcW w:w="140" w:type="dxa"/>
            <w:vAlign w:val="bottom"/>
          </w:tcPr>
          <w:p>
            <w:pPr>
              <w:spacing w:after="0"/>
              <w:rPr>
                <w:sz w:val="18"/>
                <w:szCs w:val="18"/>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28.4</w:t>
            </w:r>
          </w:p>
        </w:tc>
        <w:tc>
          <w:tcPr>
            <w:tcW w:w="0" w:type="dxa"/>
            <w:vAlign w:val="bottom"/>
          </w:tcPr>
          <w:p>
            <w:pPr>
              <w:spacing w:after="0"/>
              <w:rPr>
                <w:sz w:val="1"/>
                <w:szCs w:val="1"/>
                <w:color w:val="auto"/>
              </w:rPr>
            </w:pPr>
          </w:p>
        </w:tc>
      </w:tr>
      <w:tr>
        <w:trPr>
          <w:trHeight w:val="20"/>
        </w:trPr>
        <w:tc>
          <w:tcPr>
            <w:tcW w:w="43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43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hospice segment net service revenues</w:t>
            </w:r>
          </w:p>
        </w:tc>
        <w:tc>
          <w:tcPr>
            <w:tcW w:w="132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$61,437</w:t>
            </w: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100.0%</w:t>
            </w:r>
          </w:p>
        </w:tc>
        <w:tc>
          <w:tcPr>
            <w:tcW w:w="13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$55,863</w:t>
            </w:r>
          </w:p>
        </w:tc>
        <w:tc>
          <w:tcPr>
            <w:tcW w:w="14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100.0%</w:t>
            </w:r>
          </w:p>
        </w:tc>
        <w:tc>
          <w:tcPr>
            <w:tcW w:w="0" w:type="dxa"/>
            <w:vAlign w:val="bottom"/>
          </w:tcPr>
          <w:p>
            <w:pPr>
              <w:spacing w:after="0"/>
              <w:rPr>
                <w:sz w:val="1"/>
                <w:szCs w:val="1"/>
                <w:color w:val="auto"/>
              </w:rPr>
            </w:pPr>
          </w:p>
        </w:tc>
      </w:tr>
      <w:tr>
        <w:trPr>
          <w:trHeight w:val="20"/>
        </w:trPr>
        <w:tc>
          <w:tcPr>
            <w:tcW w:w="4340" w:type="dxa"/>
            <w:vAlign w:val="bottom"/>
            <w:tcBorders>
              <w:top w:val="single" w:sz="8" w:color="CFF0FC"/>
            </w:tcBorders>
            <w:shd w:val="clear" w:color="auto" w:fill="CFF0FC"/>
          </w:tcPr>
          <w:p>
            <w:pPr>
              <w:spacing w:after="0" w:line="20" w:lineRule="exact"/>
              <w:rPr>
                <w:sz w:val="1"/>
                <w:szCs w:val="1"/>
                <w:color w:val="auto"/>
              </w:rPr>
            </w:pPr>
          </w:p>
        </w:tc>
        <w:tc>
          <w:tcPr>
            <w:tcW w:w="1320" w:type="dxa"/>
            <w:vAlign w:val="bottom"/>
            <w:tcBorders>
              <w:top w:val="single" w:sz="8" w:color="CFF0FC"/>
            </w:tcBorders>
            <w:shd w:val="clear" w:color="auto" w:fill="CFF0FC"/>
          </w:tcPr>
          <w:p>
            <w:pPr>
              <w:spacing w:after="0" w:line="20" w:lineRule="exact"/>
              <w:rPr>
                <w:sz w:val="1"/>
                <w:szCs w:val="1"/>
                <w:color w:val="auto"/>
              </w:rPr>
            </w:pPr>
          </w:p>
        </w:tc>
        <w:tc>
          <w:tcPr>
            <w:tcW w:w="12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FF0FC"/>
            </w:tcBorders>
            <w:shd w:val="clear" w:color="auto" w:fill="CFF0FC"/>
          </w:tcPr>
          <w:p>
            <w:pPr>
              <w:spacing w:after="0" w:line="20" w:lineRule="exact"/>
              <w:rPr>
                <w:sz w:val="1"/>
                <w:szCs w:val="1"/>
                <w:color w:val="auto"/>
              </w:rPr>
            </w:pPr>
          </w:p>
        </w:tc>
        <w:tc>
          <w:tcPr>
            <w:tcW w:w="12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08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90"/>
        </w:trPr>
        <w:tc>
          <w:tcPr>
            <w:tcW w:w="4340" w:type="dxa"/>
            <w:vAlign w:val="bottom"/>
          </w:tcPr>
          <w:p>
            <w:pPr>
              <w:spacing w:after="0"/>
              <w:rPr>
                <w:sz w:val="24"/>
                <w:szCs w:val="24"/>
                <w:color w:val="auto"/>
              </w:rPr>
            </w:pPr>
          </w:p>
        </w:tc>
        <w:tc>
          <w:tcPr>
            <w:tcW w:w="2560" w:type="dxa"/>
            <w:vAlign w:val="bottom"/>
            <w:gridSpan w:val="2"/>
          </w:tcPr>
          <w:p>
            <w:pPr>
              <w:jc w:val="right"/>
              <w:ind w:right="1121"/>
              <w:spacing w:after="0"/>
              <w:rPr>
                <w:sz w:val="20"/>
                <w:szCs w:val="20"/>
                <w:color w:val="auto"/>
              </w:rPr>
            </w:pPr>
            <w:r>
              <w:rPr>
                <w:rFonts w:ascii="Times New Roman" w:cs="Times New Roman" w:eastAsia="Times New Roman" w:hAnsi="Times New Roman"/>
                <w:sz w:val="16"/>
                <w:szCs w:val="16"/>
                <w:color w:val="auto"/>
              </w:rPr>
              <w:t>16</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9"/>
        </w:trPr>
        <w:tc>
          <w:tcPr>
            <w:tcW w:w="4340" w:type="dxa"/>
            <w:vAlign w:val="bottom"/>
            <w:tcBorders>
              <w:bottom w:val="single" w:sz="8" w:color="9A9A9A"/>
            </w:tcBorders>
          </w:tcPr>
          <w:p>
            <w:pPr>
              <w:spacing w:after="0"/>
              <w:rPr>
                <w:sz w:val="24"/>
                <w:szCs w:val="24"/>
                <w:color w:val="auto"/>
              </w:rPr>
            </w:pPr>
          </w:p>
        </w:tc>
        <w:tc>
          <w:tcPr>
            <w:tcW w:w="1320" w:type="dxa"/>
            <w:vAlign w:val="bottom"/>
            <w:tcBorders>
              <w:bottom w:val="single" w:sz="8" w:color="9A9A9A"/>
            </w:tcBorders>
          </w:tcPr>
          <w:p>
            <w:pPr>
              <w:spacing w:after="0"/>
              <w:rPr>
                <w:sz w:val="24"/>
                <w:szCs w:val="24"/>
                <w:color w:val="auto"/>
              </w:rPr>
            </w:pPr>
          </w:p>
        </w:tc>
        <w:tc>
          <w:tcPr>
            <w:tcW w:w="12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12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12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08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4377055</wp:posOffset>
            </wp:positionH>
            <wp:positionV relativeFrom="paragraph">
              <wp:posOffset>-976630</wp:posOffset>
            </wp:positionV>
            <wp:extent cx="85725"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4377055</wp:posOffset>
            </wp:positionH>
            <wp:positionV relativeFrom="paragraph">
              <wp:posOffset>-959485</wp:posOffset>
            </wp:positionV>
            <wp:extent cx="85725" cy="88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5234305</wp:posOffset>
            </wp:positionH>
            <wp:positionV relativeFrom="paragraph">
              <wp:posOffset>-976630</wp:posOffset>
            </wp:positionV>
            <wp:extent cx="102870"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5234305</wp:posOffset>
            </wp:positionH>
            <wp:positionV relativeFrom="paragraph">
              <wp:posOffset>-959485</wp:posOffset>
            </wp:positionV>
            <wp:extent cx="102870" cy="88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102870" cy="8890"/>
                    </a:xfrm>
                    <a:prstGeom prst="rect">
                      <a:avLst/>
                    </a:prstGeom>
                    <a:noFill/>
                  </pic:spPr>
                </pic:pic>
              </a:graphicData>
            </a:graphic>
          </wp:anchor>
        </w:drawing>
        <w:drawing>
          <wp:anchor simplePos="0" relativeHeight="251657728" behindDoc="1" locked="0" layoutInCell="0" allowOverlap="1">
            <wp:simplePos x="0" y="0"/>
            <wp:positionH relativeFrom="column">
              <wp:posOffset>6185535</wp:posOffset>
            </wp:positionH>
            <wp:positionV relativeFrom="paragraph">
              <wp:posOffset>-976630</wp:posOffset>
            </wp:positionV>
            <wp:extent cx="76835"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6185535</wp:posOffset>
            </wp:positionH>
            <wp:positionV relativeFrom="paragraph">
              <wp:posOffset>-959485</wp:posOffset>
            </wp:positionV>
            <wp:extent cx="76835" cy="88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7034530</wp:posOffset>
            </wp:positionH>
            <wp:positionV relativeFrom="paragraph">
              <wp:posOffset>-976630</wp:posOffset>
            </wp:positionV>
            <wp:extent cx="102870"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7034530</wp:posOffset>
            </wp:positionH>
            <wp:positionV relativeFrom="paragraph">
              <wp:posOffset>-959485</wp:posOffset>
            </wp:positionV>
            <wp:extent cx="102870" cy="88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102870" cy="8890"/>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type w:val="continuous"/>
        </w:sectPr>
      </w:pPr>
    </w:p>
    <w:bookmarkStart w:id="16" w:name="page17"/>
    <w:bookmarkEnd w:id="16"/>
    <w:p>
      <w:pPr>
        <w:spacing w:after="0"/>
        <w:rPr>
          <w:sz w:val="20"/>
          <w:szCs w:val="20"/>
          <w:color w:val="auto"/>
        </w:rPr>
      </w:pPr>
      <w:r>
        <w:rPr>
          <w:rFonts w:ascii="Times New Roman" w:cs="Times New Roman" w:eastAsia="Times New Roman" w:hAnsi="Times New Roman"/>
          <w:sz w:val="18"/>
          <w:szCs w:val="18"/>
          <w:b w:val="1"/>
          <w:bCs w:val="1"/>
          <w:u w:val="single" w:color="auto"/>
          <w:color w:val="0563C1"/>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-5080</wp:posOffset>
            </wp:positionV>
            <wp:extent cx="869315"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869315" cy="8255"/>
                    </a:xfrm>
                    <a:prstGeom prst="rect">
                      <a:avLst/>
                    </a:prstGeom>
                    <a:noFill/>
                  </pic:spPr>
                </pic:pic>
              </a:graphicData>
            </a:graphic>
          </wp:anchor>
        </w:drawing>
      </w:r>
    </w:p>
    <w:p>
      <w:pPr>
        <w:spacing w:after="0" w:line="200" w:lineRule="exact"/>
        <w:rPr>
          <w:sz w:val="20"/>
          <w:szCs w:val="20"/>
          <w:color w:val="auto"/>
        </w:rPr>
      </w:pPr>
    </w:p>
    <w:p>
      <w:pPr>
        <w:spacing w:after="0" w:line="356"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566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Home Health Segment</w:t>
            </w:r>
          </w:p>
        </w:tc>
        <w:tc>
          <w:tcPr>
            <w:tcW w:w="124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880" w:type="dxa"/>
            <w:vAlign w:val="bottom"/>
            <w:tcBorders>
              <w:bottom w:val="single" w:sz="8" w:color="auto"/>
            </w:tcBorders>
            <w:gridSpan w:val="5"/>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For the Three Months Ended March 31,</w:t>
            </w:r>
          </w:p>
        </w:tc>
        <w:tc>
          <w:tcPr>
            <w:tcW w:w="1080" w:type="dxa"/>
            <w:vAlign w:val="bottom"/>
            <w:tcBorders>
              <w:bottom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2"/>
        </w:trPr>
        <w:tc>
          <w:tcPr>
            <w:tcW w:w="5660" w:type="dxa"/>
            <w:vAlign w:val="bottom"/>
          </w:tcPr>
          <w:p>
            <w:pPr>
              <w:spacing w:after="0"/>
              <w:rPr>
                <w:sz w:val="12"/>
                <w:szCs w:val="12"/>
                <w:color w:val="auto"/>
              </w:rPr>
            </w:pPr>
          </w:p>
        </w:tc>
        <w:tc>
          <w:tcPr>
            <w:tcW w:w="1460" w:type="dxa"/>
            <w:vAlign w:val="bottom"/>
            <w:tcBorders>
              <w:bottom w:val="single" w:sz="8" w:color="auto"/>
            </w:tcBorders>
            <w:gridSpan w:val="3"/>
          </w:tcPr>
          <w:p>
            <w:pPr>
              <w:jc w:val="right"/>
              <w:ind w:right="20"/>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120" w:type="dxa"/>
            <w:vAlign w:val="bottom"/>
            <w:tcBorders>
              <w:bottom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1480" w:type="dxa"/>
            <w:vAlign w:val="bottom"/>
            <w:tcBorders>
              <w:bottom w:val="single" w:sz="8" w:color="auto"/>
            </w:tcBorders>
            <w:gridSpan w:val="3"/>
          </w:tcPr>
          <w:p>
            <w:pPr>
              <w:jc w:val="right"/>
              <w:ind w:right="60"/>
              <w:spacing w:after="0" w:line="142" w:lineRule="exact"/>
              <w:rPr>
                <w:sz w:val="20"/>
                <w:szCs w:val="20"/>
                <w:color w:val="auto"/>
              </w:rPr>
            </w:pPr>
            <w:r>
              <w:rPr>
                <w:rFonts w:ascii="Times New Roman" w:cs="Times New Roman" w:eastAsia="Times New Roman" w:hAnsi="Times New Roman"/>
                <w:sz w:val="13"/>
                <w:szCs w:val="13"/>
                <w:b w:val="1"/>
                <w:bCs w:val="1"/>
                <w:color w:val="auto"/>
              </w:rPr>
              <w:t>2024</w:t>
            </w:r>
          </w:p>
        </w:tc>
        <w:tc>
          <w:tcPr>
            <w:tcW w:w="1080" w:type="dxa"/>
            <w:vAlign w:val="bottom"/>
            <w:tcBorders>
              <w:bottom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7"/>
        </w:trPr>
        <w:tc>
          <w:tcPr>
            <w:tcW w:w="5660" w:type="dxa"/>
            <w:vAlign w:val="bottom"/>
          </w:tcPr>
          <w:p>
            <w:pPr>
              <w:spacing w:after="0"/>
              <w:rPr>
                <w:sz w:val="10"/>
                <w:szCs w:val="10"/>
                <w:color w:val="auto"/>
              </w:rPr>
            </w:pPr>
          </w:p>
        </w:tc>
        <w:tc>
          <w:tcPr>
            <w:tcW w:w="1460" w:type="dxa"/>
            <w:vAlign w:val="bottom"/>
            <w:gridSpan w:val="3"/>
            <w:vMerge w:val="restart"/>
          </w:tcPr>
          <w:p>
            <w:pPr>
              <w:jc w:val="right"/>
              <w:ind w:right="58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120" w:type="dxa"/>
            <w:vAlign w:val="bottom"/>
          </w:tcPr>
          <w:p>
            <w:pPr>
              <w:jc w:val="center"/>
              <w:ind w:right="20"/>
              <w:spacing w:after="0" w:line="118" w:lineRule="exact"/>
              <w:rPr>
                <w:sz w:val="20"/>
                <w:szCs w:val="20"/>
                <w:color w:val="auto"/>
              </w:rPr>
            </w:pPr>
            <w:r>
              <w:rPr>
                <w:rFonts w:ascii="Times New Roman" w:cs="Times New Roman" w:eastAsia="Times New Roman" w:hAnsi="Times New Roman"/>
                <w:sz w:val="13"/>
                <w:szCs w:val="13"/>
                <w:b w:val="1"/>
                <w:bCs w:val="1"/>
                <w:color w:val="auto"/>
              </w:rPr>
              <w:t>% of Segment</w:t>
            </w:r>
          </w:p>
        </w:tc>
        <w:tc>
          <w:tcPr>
            <w:tcW w:w="28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80" w:type="dxa"/>
            <w:vAlign w:val="bottom"/>
          </w:tcPr>
          <w:p>
            <w:pPr>
              <w:jc w:val="center"/>
              <w:ind w:right="60"/>
              <w:spacing w:after="0" w:line="118" w:lineRule="exact"/>
              <w:rPr>
                <w:sz w:val="20"/>
                <w:szCs w:val="20"/>
                <w:color w:val="auto"/>
              </w:rPr>
            </w:pPr>
            <w:r>
              <w:rPr>
                <w:rFonts w:ascii="Times New Roman" w:cs="Times New Roman" w:eastAsia="Times New Roman" w:hAnsi="Times New Roman"/>
                <w:sz w:val="13"/>
                <w:szCs w:val="13"/>
                <w:b w:val="1"/>
                <w:bCs w:val="1"/>
                <w:color w:val="auto"/>
              </w:rPr>
              <w:t>% of Segment</w:t>
            </w:r>
          </w:p>
        </w:tc>
        <w:tc>
          <w:tcPr>
            <w:tcW w:w="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5660" w:type="dxa"/>
            <w:vAlign w:val="bottom"/>
          </w:tcPr>
          <w:p>
            <w:pPr>
              <w:spacing w:after="0"/>
              <w:rPr>
                <w:sz w:val="12"/>
                <w:szCs w:val="12"/>
                <w:color w:val="auto"/>
              </w:rPr>
            </w:pPr>
          </w:p>
        </w:tc>
        <w:tc>
          <w:tcPr>
            <w:tcW w:w="1460" w:type="dxa"/>
            <w:vAlign w:val="bottom"/>
            <w:gridSpan w:val="3"/>
            <w:vMerge w:val="continue"/>
          </w:tcPr>
          <w:p>
            <w:pPr>
              <w:spacing w:after="0"/>
              <w:rPr>
                <w:sz w:val="12"/>
                <w:szCs w:val="12"/>
                <w:color w:val="auto"/>
              </w:rPr>
            </w:pPr>
          </w:p>
        </w:tc>
        <w:tc>
          <w:tcPr>
            <w:tcW w:w="1400" w:type="dxa"/>
            <w:vAlign w:val="bottom"/>
            <w:gridSpan w:val="2"/>
          </w:tcPr>
          <w:p>
            <w:pPr>
              <w:jc w:val="center"/>
              <w:ind w:right="380"/>
              <w:spacing w:after="0" w:line="149" w:lineRule="exact"/>
              <w:rPr>
                <w:sz w:val="20"/>
                <w:szCs w:val="20"/>
                <w:color w:val="auto"/>
              </w:rPr>
            </w:pPr>
            <w:r>
              <w:rPr>
                <w:rFonts w:ascii="Times New Roman" w:cs="Times New Roman" w:eastAsia="Times New Roman" w:hAnsi="Times New Roman"/>
                <w:sz w:val="14"/>
                <w:szCs w:val="14"/>
                <w:b w:val="1"/>
                <w:bCs w:val="1"/>
                <w:color w:val="auto"/>
              </w:rPr>
              <w:t>Net Service</w:t>
            </w:r>
          </w:p>
        </w:tc>
        <w:tc>
          <w:tcPr>
            <w:tcW w:w="1480" w:type="dxa"/>
            <w:vAlign w:val="bottom"/>
            <w:gridSpan w:val="3"/>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1240" w:type="dxa"/>
            <w:vAlign w:val="bottom"/>
            <w:gridSpan w:val="2"/>
          </w:tcPr>
          <w:p>
            <w:pPr>
              <w:jc w:val="center"/>
              <w:ind w:right="300"/>
              <w:spacing w:after="0"/>
              <w:rPr>
                <w:sz w:val="20"/>
                <w:szCs w:val="20"/>
                <w:color w:val="auto"/>
              </w:rPr>
            </w:pPr>
            <w:r>
              <w:rPr>
                <w:rFonts w:ascii="Times New Roman" w:cs="Times New Roman" w:eastAsia="Times New Roman" w:hAnsi="Times New Roman"/>
                <w:sz w:val="13"/>
                <w:szCs w:val="13"/>
                <w:b w:val="1"/>
                <w:bCs w:val="1"/>
                <w:color w:val="auto"/>
              </w:rPr>
              <w:t>Net Service</w:t>
            </w:r>
          </w:p>
        </w:tc>
        <w:tc>
          <w:tcPr>
            <w:tcW w:w="0" w:type="dxa"/>
            <w:vAlign w:val="bottom"/>
          </w:tcPr>
          <w:p>
            <w:pPr>
              <w:spacing w:after="0"/>
              <w:rPr>
                <w:sz w:val="1"/>
                <w:szCs w:val="1"/>
                <w:color w:val="auto"/>
              </w:rPr>
            </w:pPr>
          </w:p>
        </w:tc>
      </w:tr>
      <w:tr>
        <w:trPr>
          <w:trHeight w:val="173"/>
        </w:trPr>
        <w:tc>
          <w:tcPr>
            <w:tcW w:w="5660" w:type="dxa"/>
            <w:vAlign w:val="bottom"/>
          </w:tcPr>
          <w:p>
            <w:pPr>
              <w:spacing w:after="0"/>
              <w:rPr>
                <w:sz w:val="15"/>
                <w:szCs w:val="15"/>
                <w:color w:val="auto"/>
              </w:rPr>
            </w:pPr>
          </w:p>
        </w:tc>
        <w:tc>
          <w:tcPr>
            <w:tcW w:w="1240" w:type="dxa"/>
            <w:vAlign w:val="bottom"/>
            <w:tcBorders>
              <w:bottom w:val="single" w:sz="8" w:color="auto"/>
            </w:tcBorders>
          </w:tcPr>
          <w:p>
            <w:pPr>
              <w:jc w:val="right"/>
              <w:ind w:right="78"/>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Revenues</w:t>
            </w:r>
          </w:p>
        </w:tc>
        <w:tc>
          <w:tcPr>
            <w:tcW w:w="280" w:type="dxa"/>
            <w:vAlign w:val="bottom"/>
          </w:tcPr>
          <w:p>
            <w:pPr>
              <w:spacing w:after="0"/>
              <w:rPr>
                <w:sz w:val="15"/>
                <w:szCs w:val="15"/>
                <w:color w:val="auto"/>
              </w:rPr>
            </w:pPr>
          </w:p>
        </w:tc>
        <w:tc>
          <w:tcPr>
            <w:tcW w:w="12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rPr>
              <w:t>(in Thousands)</w:t>
            </w:r>
          </w:p>
        </w:tc>
        <w:tc>
          <w:tcPr>
            <w:tcW w:w="1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center"/>
              <w:ind w:right="60"/>
              <w:spacing w:after="0"/>
              <w:rPr>
                <w:sz w:val="20"/>
                <w:szCs w:val="20"/>
                <w:color w:val="auto"/>
              </w:rPr>
            </w:pPr>
            <w:r>
              <w:rPr>
                <w:rFonts w:ascii="Times New Roman" w:cs="Times New Roman" w:eastAsia="Times New Roman" w:hAnsi="Times New Roman"/>
                <w:sz w:val="13"/>
                <w:szCs w:val="13"/>
                <w:b w:val="1"/>
                <w:bCs w:val="1"/>
                <w:color w:val="auto"/>
              </w:rPr>
              <w:t>Revenues</w:t>
            </w: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56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New Mexico</w:t>
            </w: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$8,555</w:t>
            </w: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47.6%</w:t>
            </w:r>
          </w:p>
        </w:tc>
        <w:tc>
          <w:tcPr>
            <w:tcW w:w="13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$7,777</w:t>
            </w:r>
          </w:p>
        </w:tc>
        <w:tc>
          <w:tcPr>
            <w:tcW w:w="140" w:type="dxa"/>
            <w:vAlign w:val="bottom"/>
            <w:shd w:val="clear" w:color="auto" w:fill="CFF0FC"/>
          </w:tcPr>
          <w:p>
            <w:pPr>
              <w:spacing w:after="0"/>
              <w:rPr>
                <w:sz w:val="18"/>
                <w:szCs w:val="18"/>
                <w:color w:val="auto"/>
              </w:rPr>
            </w:pPr>
          </w:p>
        </w:tc>
        <w:tc>
          <w:tcPr>
            <w:tcW w:w="12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46.1%</w:t>
            </w:r>
          </w:p>
        </w:tc>
        <w:tc>
          <w:tcPr>
            <w:tcW w:w="0" w:type="dxa"/>
            <w:vAlign w:val="bottom"/>
          </w:tcPr>
          <w:p>
            <w:pPr>
              <w:spacing w:after="0"/>
              <w:rPr>
                <w:sz w:val="1"/>
                <w:szCs w:val="1"/>
                <w:color w:val="auto"/>
              </w:rPr>
            </w:pPr>
          </w:p>
        </w:tc>
      </w:tr>
      <w:tr>
        <w:trPr>
          <w:trHeight w:val="216"/>
        </w:trPr>
        <w:tc>
          <w:tcPr>
            <w:tcW w:w="5660" w:type="dxa"/>
            <w:vAlign w:val="bottom"/>
          </w:tcPr>
          <w:p>
            <w:pPr>
              <w:spacing w:after="0"/>
              <w:rPr>
                <w:sz w:val="20"/>
                <w:szCs w:val="20"/>
                <w:color w:val="auto"/>
              </w:rPr>
            </w:pPr>
            <w:r>
              <w:rPr>
                <w:rFonts w:ascii="Times New Roman" w:cs="Times New Roman" w:eastAsia="Times New Roman" w:hAnsi="Times New Roman"/>
                <w:sz w:val="18"/>
                <w:szCs w:val="18"/>
                <w:color w:val="auto"/>
              </w:rPr>
              <w:t>Illinois</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1,932</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10.7</w:t>
            </w:r>
          </w:p>
        </w:tc>
        <w:tc>
          <w:tcPr>
            <w:tcW w:w="13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2,942</w:t>
            </w:r>
          </w:p>
        </w:tc>
        <w:tc>
          <w:tcPr>
            <w:tcW w:w="140" w:type="dxa"/>
            <w:vAlign w:val="bottom"/>
          </w:tcPr>
          <w:p>
            <w:pPr>
              <w:spacing w:after="0"/>
              <w:rPr>
                <w:sz w:val="18"/>
                <w:szCs w:val="18"/>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17.4</w:t>
            </w:r>
          </w:p>
        </w:tc>
        <w:tc>
          <w:tcPr>
            <w:tcW w:w="0" w:type="dxa"/>
            <w:vAlign w:val="bottom"/>
          </w:tcPr>
          <w:p>
            <w:pPr>
              <w:spacing w:after="0"/>
              <w:rPr>
                <w:sz w:val="1"/>
                <w:szCs w:val="1"/>
                <w:color w:val="auto"/>
              </w:rPr>
            </w:pPr>
          </w:p>
        </w:tc>
      </w:tr>
      <w:tr>
        <w:trPr>
          <w:trHeight w:val="216"/>
        </w:trPr>
        <w:tc>
          <w:tcPr>
            <w:tcW w:w="56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Tennessee</w:t>
            </w: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7,498</w:t>
            </w: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0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41.7</w:t>
            </w:r>
          </w:p>
        </w:tc>
        <w:tc>
          <w:tcPr>
            <w:tcW w:w="13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6,161</w:t>
            </w:r>
          </w:p>
        </w:tc>
        <w:tc>
          <w:tcPr>
            <w:tcW w:w="140" w:type="dxa"/>
            <w:vAlign w:val="bottom"/>
            <w:shd w:val="clear" w:color="auto" w:fill="CFF0FC"/>
          </w:tcPr>
          <w:p>
            <w:pPr>
              <w:spacing w:after="0"/>
              <w:rPr>
                <w:sz w:val="18"/>
                <w:szCs w:val="18"/>
                <w:color w:val="auto"/>
              </w:rPr>
            </w:pPr>
          </w:p>
        </w:tc>
        <w:tc>
          <w:tcPr>
            <w:tcW w:w="12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36.5</w:t>
            </w:r>
          </w:p>
        </w:tc>
        <w:tc>
          <w:tcPr>
            <w:tcW w:w="0" w:type="dxa"/>
            <w:vAlign w:val="bottom"/>
          </w:tcPr>
          <w:p>
            <w:pPr>
              <w:spacing w:after="0"/>
              <w:rPr>
                <w:sz w:val="1"/>
                <w:szCs w:val="1"/>
                <w:color w:val="auto"/>
              </w:rPr>
            </w:pPr>
          </w:p>
        </w:tc>
      </w:tr>
      <w:tr>
        <w:trPr>
          <w:trHeight w:val="20"/>
        </w:trPr>
        <w:tc>
          <w:tcPr>
            <w:tcW w:w="5660" w:type="dxa"/>
            <w:vAlign w:val="bottom"/>
            <w:shd w:val="clear" w:color="auto" w:fill="CFF0FC"/>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660" w:type="dxa"/>
            <w:vAlign w:val="bottom"/>
          </w:tcPr>
          <w:p>
            <w:pPr>
              <w:spacing w:after="0"/>
              <w:rPr>
                <w:sz w:val="20"/>
                <w:szCs w:val="20"/>
                <w:color w:val="auto"/>
              </w:rPr>
            </w:pPr>
            <w:r>
              <w:rPr>
                <w:rFonts w:ascii="Times New Roman" w:cs="Times New Roman" w:eastAsia="Times New Roman" w:hAnsi="Times New Roman"/>
                <w:sz w:val="18"/>
                <w:szCs w:val="18"/>
                <w:color w:val="auto"/>
              </w:rPr>
              <w:t>Total home health segment net service revenues</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$17,985</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100.0%</w:t>
            </w:r>
          </w:p>
        </w:tc>
        <w:tc>
          <w:tcPr>
            <w:tcW w:w="13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$16,880</w:t>
            </w:r>
          </w:p>
        </w:tc>
        <w:tc>
          <w:tcPr>
            <w:tcW w:w="140" w:type="dxa"/>
            <w:vAlign w:val="bottom"/>
          </w:tcPr>
          <w:p>
            <w:pPr>
              <w:spacing w:after="0"/>
              <w:rPr>
                <w:sz w:val="18"/>
                <w:szCs w:val="18"/>
                <w:color w:val="auto"/>
              </w:rPr>
            </w:pPr>
          </w:p>
        </w:tc>
        <w:tc>
          <w:tcPr>
            <w:tcW w:w="12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100.0%</w:t>
            </w:r>
          </w:p>
        </w:tc>
        <w:tc>
          <w:tcPr>
            <w:tcW w:w="0" w:type="dxa"/>
            <w:vAlign w:val="bottom"/>
          </w:tcPr>
          <w:p>
            <w:pPr>
              <w:spacing w:after="0"/>
              <w:rPr>
                <w:sz w:val="1"/>
                <w:szCs w:val="1"/>
                <w:color w:val="auto"/>
              </w:rPr>
            </w:pPr>
          </w:p>
        </w:tc>
      </w:tr>
      <w:tr>
        <w:trPr>
          <w:trHeight w:val="20"/>
        </w:trPr>
        <w:tc>
          <w:tcPr>
            <w:tcW w:w="5660" w:type="dxa"/>
            <w:vAlign w:val="bottom"/>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4377055</wp:posOffset>
            </wp:positionH>
            <wp:positionV relativeFrom="paragraph">
              <wp:posOffset>-170815</wp:posOffset>
            </wp:positionV>
            <wp:extent cx="85725" cy="88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5234305</wp:posOffset>
            </wp:positionH>
            <wp:positionV relativeFrom="paragraph">
              <wp:posOffset>-170815</wp:posOffset>
            </wp:positionV>
            <wp:extent cx="102870" cy="88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102870" cy="8890"/>
                    </a:xfrm>
                    <a:prstGeom prst="rect">
                      <a:avLst/>
                    </a:prstGeom>
                    <a:noFill/>
                  </pic:spPr>
                </pic:pic>
              </a:graphicData>
            </a:graphic>
          </wp:anchor>
        </w:drawing>
        <w:drawing>
          <wp:anchor simplePos="0" relativeHeight="251657728" behindDoc="1" locked="0" layoutInCell="0" allowOverlap="1">
            <wp:simplePos x="0" y="0"/>
            <wp:positionH relativeFrom="column">
              <wp:posOffset>6185535</wp:posOffset>
            </wp:positionH>
            <wp:positionV relativeFrom="paragraph">
              <wp:posOffset>-170815</wp:posOffset>
            </wp:positionV>
            <wp:extent cx="76835" cy="88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7034530</wp:posOffset>
            </wp:positionH>
            <wp:positionV relativeFrom="paragraph">
              <wp:posOffset>-170815</wp:posOffset>
            </wp:positionV>
            <wp:extent cx="102870" cy="88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102870" cy="8890"/>
                    </a:xfrm>
                    <a:prstGeom prst="rect">
                      <a:avLst/>
                    </a:prstGeom>
                    <a:noFill/>
                  </pic:spPr>
                </pic:pic>
              </a:graphicData>
            </a:graphic>
          </wp:anchor>
        </w:drawing>
      </w:r>
    </w:p>
    <w:p>
      <w:pPr>
        <w:spacing w:after="0" w:line="200" w:lineRule="exact"/>
        <w:rPr>
          <w:sz w:val="20"/>
          <w:szCs w:val="20"/>
          <w:color w:val="auto"/>
        </w:rPr>
      </w:pPr>
    </w:p>
    <w:p>
      <w:pPr>
        <w:spacing w:after="0" w:line="261" w:lineRule="exact"/>
        <w:rPr>
          <w:sz w:val="20"/>
          <w:szCs w:val="20"/>
          <w:color w:val="auto"/>
        </w:rPr>
      </w:pPr>
    </w:p>
    <w:p>
      <w:pPr>
        <w:ind w:right="100" w:firstLine="509"/>
        <w:spacing w:after="0" w:line="258" w:lineRule="auto"/>
        <w:rPr>
          <w:sz w:val="20"/>
          <w:szCs w:val="20"/>
          <w:color w:val="auto"/>
        </w:rPr>
      </w:pPr>
      <w:r>
        <w:rPr>
          <w:rFonts w:ascii="Times New Roman" w:cs="Times New Roman" w:eastAsia="Times New Roman" w:hAnsi="Times New Roman"/>
          <w:sz w:val="18"/>
          <w:szCs w:val="18"/>
          <w:color w:val="auto"/>
        </w:rPr>
        <w:t>A substantial portion of the Company’s revenue and accounts receivable are derived from services performed for federal, state, and local governmental agencies. The personal care segment derives a significant amount of its net service revenues in Illinois, which represented 33.0% and 38.3% of our net service revenues for the three months ended March 31, 2025 and 2024, respectively. The Illinois Department on Aging, the largest payor program for the Company’s Illinois personal care operations, accounted for 18.5% and 20.8% of the Company’s net service revenues for the three months ended March 31, 2025 and 2024, respectively.</w:t>
      </w:r>
    </w:p>
    <w:p>
      <w:pPr>
        <w:spacing w:after="0" w:line="183" w:lineRule="exact"/>
        <w:rPr>
          <w:sz w:val="20"/>
          <w:szCs w:val="20"/>
          <w:color w:val="auto"/>
        </w:rPr>
      </w:pPr>
    </w:p>
    <w:p>
      <w:pPr>
        <w:ind w:right="500" w:firstLine="509"/>
        <w:spacing w:after="0" w:line="282" w:lineRule="auto"/>
        <w:rPr>
          <w:sz w:val="20"/>
          <w:szCs w:val="20"/>
          <w:color w:val="auto"/>
        </w:rPr>
      </w:pPr>
      <w:r>
        <w:rPr>
          <w:rFonts w:ascii="Times New Roman" w:cs="Times New Roman" w:eastAsia="Times New Roman" w:hAnsi="Times New Roman"/>
          <w:sz w:val="18"/>
          <w:szCs w:val="18"/>
          <w:color w:val="auto"/>
        </w:rPr>
        <w:t>The related receivables due from the Illinois Department on Aging represented 23.8% and 18.0% of the Company’s net accounts receivable at March 31, 2025 and December 31, 2024, respectively.</w:t>
      </w:r>
    </w:p>
    <w:p>
      <w:pPr>
        <w:spacing w:after="0" w:line="1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487680</wp:posOffset>
            </wp:positionV>
            <wp:extent cx="7157720" cy="425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b w:val="1"/>
          <w:bCs w:val="1"/>
          <w:u w:val="single" w:color="auto"/>
          <w:color w:val="0563C1"/>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-5080</wp:posOffset>
            </wp:positionV>
            <wp:extent cx="869315"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869315" cy="8255"/>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133"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7"/>
          <w:szCs w:val="17"/>
          <w:i w:val="1"/>
          <w:iCs w:val="1"/>
          <w:color w:val="auto"/>
        </w:rPr>
        <w:t>You should read the following discussion together with our unaudited condensed consolidated financial statements and the related notes included elsewhere in this quarterly report on Form 10-Q. This discussion contains forward-looking statements about our business and operations. Statements that are predictive in nature, that depend upon or refer to future events or conditions or that include words like “believes,” “belief,” “expects,” “plans,” “anticipates,” “intends,” “projects,” “estimates,” “may,” “might,” “would,” “should,” and similar expressions are intended to be forward-looking statements as defined by the Private Securities Litigation Reform Act of 1995. These statements are based on the beliefs and assumptions of our management based on information currently available to management. Such forward-looking statements are subject to risks, uncertainties and other important factors that could cause actual results and the timing of certain events to differ materially from future results expressed or implied by such forward-looking statements. These risks and uncertainties include, but are not limited to: the impact of macroeconomic conditions, including significant global inflation and interest rates, legislative and political developments, including any hold on or cancellation of congressionally authorized spending or interruptions in the distribution of government funds, trade policies and tensions, including changes in, or the imposition of, tariffs and/or trade barriers and the economic impacts, volatility and uncertainty resulting therefrom, and the potential adverse effects of current conditions; business disruptions due to inclement weather, natural disasters, acts of terrorism, pandemics, civil insurrection or social unrest; changes in operational and reimbursement processes and payment structures at the state or federal levels; changes in Medicaid, Medicare, other government program and managed care organizations’ policies and payment rates, and the timeliness of reimbursements received under government programs; changes in, or our failure to comply with, existing federal and state laws or regulations, or our failure to comply with new government laws or regulations on a timely basis; the impact of decisions of the U.S. Supreme Court regarding the actions of federal agencies; changes in presidential administrations; changes in the structure and administration of, and funding for, federal and state agencies and programs; competition in the healthcare industry; the geographical concentration of our operations; changes in the case mix of consumers and payment methodologies; operational changes resulting from the assumption by managed care organizations of responsibility for managing and paying for our services to consumers; the nature and success of future financial and/or delivery system reforms; changes in estimates and judgments associated with critical accounting policies; our ability to maintain or establish new referral sources; our ability to renew significant agreements or groups of agreements; our ability to attract and retain qualified personnel; federal, state and city minimum wage pressure, including any failure of any governmental entity to enact a minimum wage offset and/or the timing of any such enactment; changes in payments and covered services due to overall economic conditions and deficit reduction measures by federal and state governments, and our expectations regarding these changes; cost containment initiatives undertaken by federal and state governmental and other third-party payors; our ability to access financing through the capital and credit markets; our ability to meet debt service requirements and comply with covenants in debt agreements; our ability to integrate and manage our information systems; any security breaches, cyber-attacks, loss of data, or cybersecurity threats or incidents, and any actual or perceived failures to comply with legal requirements related to the privacy of confidential consumer data and other sensitive information; the size and growth of the markets for our services, including our expectations regarding the markets for our services; eligibility standards and limits on services imposed by governmental agencies; the potential for litigation, audits, and investigations; discretionary determinations by government officials; our ability to successfully implement our business model to grow our business; our ability to continue identifying, pursuing, consummating, and integrating acquisition opportunities and expanding into new geographic markets; the impact of acquisitions and dispositions on our business, including the potential inability to realize the benefits of potential acquisitions; the effectiveness, quality, and cost of our services; our ability to successfully execute our growth strategy; changes in tax rates; and various other matters, many of which are beyond our control. In addition, these forward-looking statements are subject to the risk factors set forth in Part I, Item 1A of our Annual Report on Form 10-K for the period ended December 31, 2024, filed with the SEC on February 25, 2025. You should carefully review all of these factors. Moreover, our business may be materially adversely affected by factors that are not currently known to us, by factors that we currently consider immaterial or by factors that are not specific to us, such as general economic conditions. These forward-looking statements were based on information, plans, and estimates at the date of this report, and we assume no obligation to update any forward-looking statements to reflect changes in underlying assumptions or factors, new information, future events or other changes, except as may be required by law.</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Overview</w:t>
      </w:r>
    </w:p>
    <w:p>
      <w:pPr>
        <w:spacing w:after="0" w:line="121" w:lineRule="exact"/>
        <w:rPr>
          <w:sz w:val="20"/>
          <w:szCs w:val="20"/>
          <w:color w:val="auto"/>
        </w:rPr>
      </w:pPr>
    </w:p>
    <w:p>
      <w:pPr>
        <w:ind w:right="100" w:firstLine="509"/>
        <w:spacing w:after="0" w:line="261" w:lineRule="auto"/>
        <w:rPr>
          <w:sz w:val="20"/>
          <w:szCs w:val="20"/>
          <w:color w:val="auto"/>
        </w:rPr>
      </w:pPr>
      <w:r>
        <w:rPr>
          <w:rFonts w:ascii="Times New Roman" w:cs="Times New Roman" w:eastAsia="Times New Roman" w:hAnsi="Times New Roman"/>
          <w:sz w:val="18"/>
          <w:szCs w:val="18"/>
          <w:color w:val="auto"/>
        </w:rPr>
        <w:t>We are a home care services provider operating three segments: personal care, hospice, and home health. Our services are principally provided in-home under agreements with federal, state, and local government agencies, managed care organizations, commercial insurers, and private individuals. Our consumers are predominantly “dual eligible,” meaning they are eligible to receive both Medicare and Medicaid benefits. Managed care organizations accounted for 35.6% and 34.2% of our net service revenues during the three months ended March 31, 2025 and 2024, respectively.</w:t>
      </w:r>
    </w:p>
    <w:p>
      <w:pPr>
        <w:spacing w:after="0" w:line="1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487680</wp:posOffset>
            </wp:positionV>
            <wp:extent cx="7157720" cy="425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65" w:right="35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b w:val="1"/>
          <w:bCs w:val="1"/>
          <w:u w:val="single" w:color="auto"/>
          <w:color w:val="0563C1"/>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-5080</wp:posOffset>
            </wp:positionV>
            <wp:extent cx="869315"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869315" cy="8255"/>
                    </a:xfrm>
                    <a:prstGeom prst="rect">
                      <a:avLst/>
                    </a:prstGeom>
                    <a:noFill/>
                  </pic:spPr>
                </pic:pic>
              </a:graphicData>
            </a:graphic>
          </wp:anchor>
        </w:drawing>
      </w:r>
    </w:p>
    <w:p>
      <w:pPr>
        <w:spacing w:after="0" w:line="37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 summary of certain consolidated financial results is provided in the table below.</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080" w:type="dxa"/>
            <w:vAlign w:val="bottom"/>
          </w:tcPr>
          <w:p>
            <w:pPr>
              <w:spacing w:after="0"/>
              <w:rPr>
                <w:sz w:val="15"/>
                <w:szCs w:val="15"/>
                <w:color w:val="auto"/>
              </w:rPr>
            </w:pPr>
          </w:p>
        </w:tc>
        <w:tc>
          <w:tcPr>
            <w:tcW w:w="2660" w:type="dxa"/>
            <w:vAlign w:val="bottom"/>
          </w:tcPr>
          <w:p>
            <w:pPr>
              <w:spacing w:after="0"/>
              <w:rPr>
                <w:sz w:val="15"/>
                <w:szCs w:val="15"/>
                <w:color w:val="auto"/>
              </w:rPr>
            </w:pPr>
          </w:p>
        </w:tc>
        <w:tc>
          <w:tcPr>
            <w:tcW w:w="3500" w:type="dxa"/>
            <w:vAlign w:val="bottom"/>
            <w:gridSpan w:val="7"/>
          </w:tcPr>
          <w:p>
            <w:pPr>
              <w:ind w:left="460"/>
              <w:spacing w:after="0"/>
              <w:rPr>
                <w:sz w:val="20"/>
                <w:szCs w:val="20"/>
                <w:color w:val="auto"/>
              </w:rPr>
            </w:pPr>
            <w:r>
              <w:rPr>
                <w:rFonts w:ascii="Times New Roman" w:cs="Times New Roman" w:eastAsia="Times New Roman" w:hAnsi="Times New Roman"/>
                <w:sz w:val="14"/>
                <w:szCs w:val="14"/>
                <w:b w:val="1"/>
                <w:bCs w:val="1"/>
                <w:color w:val="auto"/>
              </w:rPr>
              <w:t>For the Three Months Ended March 31,</w:t>
            </w:r>
          </w:p>
        </w:tc>
        <w:tc>
          <w:tcPr>
            <w:tcW w:w="0" w:type="dxa"/>
            <w:vAlign w:val="bottom"/>
          </w:tcPr>
          <w:p>
            <w:pPr>
              <w:spacing w:after="0"/>
              <w:rPr>
                <w:sz w:val="1"/>
                <w:szCs w:val="1"/>
                <w:color w:val="auto"/>
              </w:rPr>
            </w:pPr>
          </w:p>
        </w:tc>
      </w:tr>
      <w:tr>
        <w:trPr>
          <w:trHeight w:val="142"/>
        </w:trPr>
        <w:tc>
          <w:tcPr>
            <w:tcW w:w="50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Net service revenues by segment:</w:t>
            </w:r>
          </w:p>
        </w:tc>
        <w:tc>
          <w:tcPr>
            <w:tcW w:w="2660" w:type="dxa"/>
            <w:vAlign w:val="bottom"/>
          </w:tcPr>
          <w:p>
            <w:pPr>
              <w:spacing w:after="0"/>
              <w:rPr>
                <w:sz w:val="12"/>
                <w:szCs w:val="12"/>
                <w:color w:val="auto"/>
              </w:rPr>
            </w:pPr>
          </w:p>
        </w:tc>
        <w:tc>
          <w:tcPr>
            <w:tcW w:w="94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620" w:type="dxa"/>
            <w:vAlign w:val="bottom"/>
            <w:tcBorders>
              <w:top w:val="single" w:sz="8" w:color="auto"/>
              <w:bottom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spacing w:after="0"/>
              <w:rPr>
                <w:sz w:val="12"/>
                <w:szCs w:val="12"/>
                <w:color w:val="auto"/>
              </w:rPr>
            </w:pPr>
          </w:p>
        </w:tc>
        <w:tc>
          <w:tcPr>
            <w:tcW w:w="940" w:type="dxa"/>
            <w:vAlign w:val="bottom"/>
            <w:tcBorders>
              <w:top w:val="single" w:sz="8" w:color="auto"/>
              <w:bottom w:val="single" w:sz="8" w:color="auto"/>
            </w:tcBorders>
          </w:tcPr>
          <w:p>
            <w:pPr>
              <w:jc w:val="right"/>
              <w:ind w:right="553"/>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2024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5080" w:type="dxa"/>
            <w:vAlign w:val="bottom"/>
            <w:vMerge w:val="continue"/>
          </w:tcPr>
          <w:p>
            <w:pPr>
              <w:spacing w:after="0"/>
              <w:rPr>
                <w:sz w:val="18"/>
                <w:szCs w:val="18"/>
                <w:color w:val="auto"/>
              </w:rPr>
            </w:pPr>
          </w:p>
        </w:tc>
        <w:tc>
          <w:tcPr>
            <w:tcW w:w="26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52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(Amounts in Thousands)</w:t>
            </w: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8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Personal care</w:t>
            </w:r>
          </w:p>
        </w:tc>
        <w:tc>
          <w:tcPr>
            <w:tcW w:w="3600" w:type="dxa"/>
            <w:vAlign w:val="bottom"/>
            <w:gridSpan w:val="2"/>
            <w:shd w:val="clear" w:color="auto" w:fill="CFF0FC"/>
          </w:tcPr>
          <w:p>
            <w:pPr>
              <w:jc w:val="right"/>
              <w:ind w:right="768"/>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258,286</w:t>
            </w:r>
          </w:p>
        </w:tc>
        <w:tc>
          <w:tcPr>
            <w:tcW w:w="760" w:type="dxa"/>
            <w:vAlign w:val="bottom"/>
            <w:gridSpan w:val="2"/>
            <w:shd w:val="clear" w:color="auto" w:fill="CFF0FC"/>
          </w:tcPr>
          <w:p>
            <w:pPr>
              <w:jc w:val="right"/>
              <w:ind w:right="54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208,003</w:t>
            </w:r>
          </w:p>
        </w:tc>
        <w:tc>
          <w:tcPr>
            <w:tcW w:w="0" w:type="dxa"/>
            <w:vAlign w:val="bottom"/>
          </w:tcPr>
          <w:p>
            <w:pPr>
              <w:spacing w:after="0"/>
              <w:rPr>
                <w:sz w:val="1"/>
                <w:szCs w:val="1"/>
                <w:color w:val="auto"/>
              </w:rPr>
            </w:pPr>
          </w:p>
        </w:tc>
      </w:tr>
      <w:tr>
        <w:trPr>
          <w:trHeight w:val="216"/>
        </w:trPr>
        <w:tc>
          <w:tcPr>
            <w:tcW w:w="50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Hospice</w:t>
            </w:r>
          </w:p>
        </w:tc>
        <w:tc>
          <w:tcPr>
            <w:tcW w:w="26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61,437</w:t>
            </w: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55,863</w:t>
            </w:r>
          </w:p>
        </w:tc>
        <w:tc>
          <w:tcPr>
            <w:tcW w:w="0" w:type="dxa"/>
            <w:vAlign w:val="bottom"/>
          </w:tcPr>
          <w:p>
            <w:pPr>
              <w:spacing w:after="0"/>
              <w:rPr>
                <w:sz w:val="1"/>
                <w:szCs w:val="1"/>
                <w:color w:val="auto"/>
              </w:rPr>
            </w:pPr>
          </w:p>
        </w:tc>
      </w:tr>
      <w:tr>
        <w:trPr>
          <w:trHeight w:val="216"/>
        </w:trPr>
        <w:tc>
          <w:tcPr>
            <w:tcW w:w="5080" w:type="dxa"/>
            <w:vAlign w:val="bottom"/>
            <w:tcBorders>
              <w:bottom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Home health</w:t>
            </w:r>
          </w:p>
        </w:tc>
        <w:tc>
          <w:tcPr>
            <w:tcW w:w="2660" w:type="dxa"/>
            <w:vAlign w:val="bottom"/>
            <w:tcBorders>
              <w:bottom w:val="single" w:sz="8" w:color="CFF0FC"/>
            </w:tcBorders>
            <w:shd w:val="clear" w:color="auto" w:fill="CFF0FC"/>
          </w:tcPr>
          <w:p>
            <w:pPr>
              <w:spacing w:after="0"/>
              <w:rPr>
                <w:sz w:val="18"/>
                <w:szCs w:val="18"/>
                <w:color w:val="auto"/>
              </w:rPr>
            </w:pPr>
          </w:p>
        </w:tc>
        <w:tc>
          <w:tcPr>
            <w:tcW w:w="940" w:type="dxa"/>
            <w:vAlign w:val="bottom"/>
            <w:tcBorders>
              <w:bottom w:val="single" w:sz="8" w:color="auto"/>
            </w:tcBorders>
            <w:shd w:val="clear" w:color="auto" w:fill="CFF0FC"/>
          </w:tcPr>
          <w:p>
            <w:pPr>
              <w:spacing w:after="0"/>
              <w:rPr>
                <w:sz w:val="18"/>
                <w:szCs w:val="18"/>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17,985</w:t>
            </w:r>
          </w:p>
        </w:tc>
        <w:tc>
          <w:tcPr>
            <w:tcW w:w="14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CFF0FC"/>
            </w:tcBorders>
            <w:shd w:val="clear" w:color="auto" w:fill="CFF0FC"/>
          </w:tcPr>
          <w:p>
            <w:pPr>
              <w:spacing w:after="0"/>
              <w:rPr>
                <w:sz w:val="18"/>
                <w:szCs w:val="18"/>
                <w:color w:val="auto"/>
              </w:rPr>
            </w:pPr>
          </w:p>
        </w:tc>
        <w:tc>
          <w:tcPr>
            <w:tcW w:w="620" w:type="dxa"/>
            <w:vAlign w:val="bottom"/>
            <w:tcBorders>
              <w:bottom w:val="single" w:sz="8" w:color="auto"/>
            </w:tcBorders>
            <w:shd w:val="clear" w:color="auto" w:fill="CFF0FC"/>
          </w:tcPr>
          <w:p>
            <w:pPr>
              <w:spacing w:after="0"/>
              <w:rPr>
                <w:sz w:val="18"/>
                <w:szCs w:val="18"/>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16,880</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Total net service revenue</w:t>
            </w:r>
          </w:p>
        </w:tc>
        <w:tc>
          <w:tcPr>
            <w:tcW w:w="3600" w:type="dxa"/>
            <w:vAlign w:val="bottom"/>
            <w:gridSpan w:val="2"/>
          </w:tcPr>
          <w:p>
            <w:pPr>
              <w:jc w:val="right"/>
              <w:ind w:right="768"/>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337,708</w:t>
            </w:r>
          </w:p>
        </w:tc>
        <w:tc>
          <w:tcPr>
            <w:tcW w:w="76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280,746</w:t>
            </w:r>
          </w:p>
        </w:tc>
        <w:tc>
          <w:tcPr>
            <w:tcW w:w="0" w:type="dxa"/>
            <w:vAlign w:val="bottom"/>
          </w:tcPr>
          <w:p>
            <w:pPr>
              <w:spacing w:after="0"/>
              <w:rPr>
                <w:sz w:val="1"/>
                <w:szCs w:val="1"/>
                <w:color w:val="auto"/>
              </w:rPr>
            </w:pPr>
          </w:p>
        </w:tc>
      </w:tr>
      <w:tr>
        <w:trPr>
          <w:trHeight w:val="20"/>
        </w:trPr>
        <w:tc>
          <w:tcPr>
            <w:tcW w:w="508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080" w:type="dxa"/>
            <w:vAlign w:val="bottom"/>
            <w:shd w:val="clear" w:color="auto" w:fill="CFF0FC"/>
          </w:tcPr>
          <w:p>
            <w:pPr>
              <w:spacing w:after="0"/>
              <w:rPr>
                <w:sz w:val="17"/>
                <w:szCs w:val="17"/>
                <w:color w:val="auto"/>
              </w:rPr>
            </w:pPr>
          </w:p>
        </w:tc>
        <w:tc>
          <w:tcPr>
            <w:tcW w:w="266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6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62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Net income</w:t>
            </w:r>
          </w:p>
        </w:tc>
        <w:tc>
          <w:tcPr>
            <w:tcW w:w="3600" w:type="dxa"/>
            <w:vAlign w:val="bottom"/>
            <w:gridSpan w:val="2"/>
          </w:tcPr>
          <w:p>
            <w:pPr>
              <w:jc w:val="right"/>
              <w:ind w:right="768"/>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21,228</w:t>
            </w:r>
          </w:p>
        </w:tc>
        <w:tc>
          <w:tcPr>
            <w:tcW w:w="76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15,830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-456565</wp:posOffset>
            </wp:positionV>
            <wp:extent cx="68580"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-456565</wp:posOffset>
            </wp:positionV>
            <wp:extent cx="68580"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46" w:lineRule="exact"/>
        <w:rPr>
          <w:sz w:val="20"/>
          <w:szCs w:val="20"/>
          <w:color w:val="auto"/>
        </w:rPr>
      </w:pPr>
    </w:p>
    <w:p>
      <w:pPr>
        <w:ind w:right="120" w:firstLine="509"/>
        <w:spacing w:after="0" w:line="266" w:lineRule="auto"/>
        <w:rPr>
          <w:sz w:val="20"/>
          <w:szCs w:val="20"/>
          <w:color w:val="auto"/>
        </w:rPr>
      </w:pPr>
      <w:r>
        <w:rPr>
          <w:rFonts w:ascii="Times New Roman" w:cs="Times New Roman" w:eastAsia="Times New Roman" w:hAnsi="Times New Roman"/>
          <w:sz w:val="18"/>
          <w:szCs w:val="18"/>
          <w:color w:val="auto"/>
        </w:rPr>
        <w:t>As of March 31, 2025, we provided our services in 23 states through 260 offices. We served approximately 72,000 and 57,000 discrete individuals, respectively, during the three months ended March 31, 2025 and 2024. Our personal care segment also includes staffing services, with clients including assisted living facilities, nursing homes, and hospice facilities.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Acquisitions</w:t>
      </w:r>
    </w:p>
    <w:p>
      <w:pPr>
        <w:spacing w:after="0" w:line="121" w:lineRule="exact"/>
        <w:rPr>
          <w:sz w:val="20"/>
          <w:szCs w:val="20"/>
          <w:color w:val="auto"/>
        </w:rPr>
      </w:pPr>
    </w:p>
    <w:p>
      <w:pPr>
        <w:ind w:right="120" w:firstLine="509"/>
        <w:spacing w:after="0" w:line="266" w:lineRule="auto"/>
        <w:rPr>
          <w:sz w:val="20"/>
          <w:szCs w:val="20"/>
          <w:color w:val="auto"/>
        </w:rPr>
      </w:pPr>
      <w:r>
        <w:rPr>
          <w:rFonts w:ascii="Times New Roman" w:cs="Times New Roman" w:eastAsia="Times New Roman" w:hAnsi="Times New Roman"/>
          <w:sz w:val="18"/>
          <w:szCs w:val="18"/>
          <w:color w:val="auto"/>
        </w:rPr>
        <w:t>In addition to our organic growth, we have grown through acquisitions that have expanded our presence in current markets, with the goal of having all three levels of in-home care in our markets or facilitating our entry into new markets where in-home care has been moving to managed care organizations or that present other strategic opportunities.</w:t>
      </w:r>
    </w:p>
    <w:p>
      <w:pPr>
        <w:spacing w:after="0" w:line="176" w:lineRule="exact"/>
        <w:rPr>
          <w:sz w:val="20"/>
          <w:szCs w:val="20"/>
          <w:color w:val="auto"/>
        </w:rPr>
      </w:pPr>
    </w:p>
    <w:p>
      <w:pPr>
        <w:ind w:right="480" w:firstLine="509"/>
        <w:spacing w:after="0" w:line="282" w:lineRule="auto"/>
        <w:rPr>
          <w:sz w:val="20"/>
          <w:szCs w:val="20"/>
          <w:color w:val="auto"/>
        </w:rPr>
      </w:pPr>
      <w:r>
        <w:rPr>
          <w:rFonts w:ascii="Times New Roman" w:cs="Times New Roman" w:eastAsia="Times New Roman" w:hAnsi="Times New Roman"/>
          <w:sz w:val="18"/>
          <w:szCs w:val="18"/>
          <w:color w:val="auto"/>
        </w:rPr>
        <w:t>On March 9, 2024, we completed our acquisition of the operations of Upstate Home Care Solutions (“Upstate”) for $0.4 million, with funding provided by available cash. With the purchase of Upstate, the Company expanded its personal care segment in South Carolina.</w:t>
      </w:r>
    </w:p>
    <w:p>
      <w:pPr>
        <w:spacing w:after="0" w:line="162" w:lineRule="exact"/>
        <w:rPr>
          <w:sz w:val="20"/>
          <w:szCs w:val="20"/>
          <w:color w:val="auto"/>
        </w:rPr>
      </w:pPr>
    </w:p>
    <w:p>
      <w:pPr>
        <w:ind w:right="100" w:firstLine="509"/>
        <w:spacing w:after="0" w:line="256" w:lineRule="auto"/>
        <w:rPr>
          <w:sz w:val="20"/>
          <w:szCs w:val="20"/>
          <w:color w:val="auto"/>
        </w:rPr>
      </w:pPr>
      <w:r>
        <w:rPr>
          <w:rFonts w:ascii="Times New Roman" w:cs="Times New Roman" w:eastAsia="Times New Roman" w:hAnsi="Times New Roman"/>
          <w:sz w:val="18"/>
          <w:szCs w:val="18"/>
          <w:color w:val="auto"/>
        </w:rPr>
        <w:t>On December 2, 2024, we completed the acquisition of the personal care business of Curo Health Services, LLC, a Delaware limited liability company that does business as Gentiva, consisting of certain equity interests and assets and liabilities (collectively, the “Gentiva Acquisition”) for approximately $353.6 million, with funding primarily provided by drawing on the Company’s revolving credit facility and a portion of the net proceeds of the Company’s public offering of common stock. The purchase price is subject to the completion of working capital and related adjustments. With the Gentiva Acquisition, the Company expanded its services within its personal care segment in Arizona, Arkansas, California, and North Carolina, and entered the market in Missouri and Texas. The home health segment also was expanded in Tennessee.</w:t>
      </w:r>
    </w:p>
    <w:p>
      <w:pPr>
        <w:spacing w:after="0" w:line="18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On January 1, 2025, the Company completed the Jacksonville Acquisition for approximately $0.8 million, with funding provided by available cash.</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With the Jacksonville Acquisition, the Company expanded its personal care segment in Florida and recorded goodwill of $0.8 million.</w:t>
      </w:r>
    </w:p>
    <w:p>
      <w:pPr>
        <w:spacing w:after="0" w:line="207" w:lineRule="exact"/>
        <w:rPr>
          <w:sz w:val="20"/>
          <w:szCs w:val="20"/>
          <w:color w:val="auto"/>
        </w:rPr>
      </w:pPr>
    </w:p>
    <w:p>
      <w:pPr>
        <w:ind w:right="160" w:firstLine="509"/>
        <w:spacing w:after="0" w:line="266" w:lineRule="auto"/>
        <w:rPr>
          <w:sz w:val="20"/>
          <w:szCs w:val="20"/>
          <w:color w:val="auto"/>
        </w:rPr>
      </w:pPr>
      <w:r>
        <w:rPr>
          <w:rFonts w:ascii="Times New Roman" w:cs="Times New Roman" w:eastAsia="Times New Roman" w:hAnsi="Times New Roman"/>
          <w:sz w:val="18"/>
          <w:szCs w:val="18"/>
          <w:color w:val="auto"/>
        </w:rPr>
        <w:t>On March 1, 2025, the Company completed the Great Lakes Acquisition for $2.6 million, with funding provided by available cash. With the Great Lakes Acquisition, the Company expanded its personal care segment in Michigan and recognized goodwill in its personal care segment of $2.6 million during the three months ended March 31, 2025.</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New York Asset Sale</w:t>
      </w:r>
    </w:p>
    <w:p>
      <w:pPr>
        <w:spacing w:after="0" w:line="229" w:lineRule="exact"/>
        <w:rPr>
          <w:sz w:val="20"/>
          <w:szCs w:val="20"/>
          <w:color w:val="auto"/>
        </w:rPr>
      </w:pPr>
    </w:p>
    <w:p>
      <w:pPr>
        <w:ind w:right="40" w:firstLine="509"/>
        <w:spacing w:after="0" w:line="258" w:lineRule="auto"/>
        <w:rPr>
          <w:sz w:val="20"/>
          <w:szCs w:val="20"/>
          <w:color w:val="auto"/>
        </w:rPr>
      </w:pPr>
      <w:r>
        <w:rPr>
          <w:rFonts w:ascii="Times New Roman" w:cs="Times New Roman" w:eastAsia="Times New Roman" w:hAnsi="Times New Roman"/>
          <w:sz w:val="18"/>
          <w:szCs w:val="18"/>
          <w:color w:val="auto"/>
        </w:rPr>
        <w:t xml:space="preserve">Effective May 20, 2024, we entered into the New York Asset Sale. The Company entered into a consulting agreement with the purchaser, as the transfer of clients and caregivers and payment for assets pursuant to the New York Asset Sale is occurring over time as regulatory approvals are received, coordination of the transfer of clients and caregivers occurs, and the change of control takes place. In connection with this transaction, the Company ceased operations in New York. See Note 3 to the Notes to Unaudited Condensed Consolidated Financial Statements, </w:t>
      </w:r>
      <w:r>
        <w:rPr>
          <w:rFonts w:ascii="Times New Roman" w:cs="Times New Roman" w:eastAsia="Times New Roman" w:hAnsi="Times New Roman"/>
          <w:sz w:val="18"/>
          <w:szCs w:val="18"/>
          <w:i w:val="1"/>
          <w:iCs w:val="1"/>
          <w:color w:val="auto"/>
        </w:rPr>
        <w:t>Divesture</w:t>
      </w:r>
      <w:r>
        <w:rPr>
          <w:rFonts w:ascii="Times New Roman" w:cs="Times New Roman" w:eastAsia="Times New Roman" w:hAnsi="Times New Roman"/>
          <w:sz w:val="18"/>
          <w:szCs w:val="18"/>
          <w:color w:val="auto"/>
        </w:rPr>
        <w:t>, for additional details regarding our divestiture.</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Recruiting</w:t>
      </w:r>
    </w:p>
    <w:p>
      <w:pPr>
        <w:spacing w:after="0" w:line="121" w:lineRule="exact"/>
        <w:rPr>
          <w:sz w:val="20"/>
          <w:szCs w:val="20"/>
          <w:color w:val="auto"/>
        </w:rPr>
      </w:pPr>
    </w:p>
    <w:p>
      <w:pPr>
        <w:ind w:right="80" w:firstLine="509"/>
        <w:spacing w:after="0" w:line="261" w:lineRule="auto"/>
        <w:rPr>
          <w:sz w:val="20"/>
          <w:szCs w:val="20"/>
          <w:color w:val="auto"/>
        </w:rPr>
      </w:pPr>
      <w:r>
        <w:rPr>
          <w:rFonts w:ascii="Times New Roman" w:cs="Times New Roman" w:eastAsia="Times New Roman" w:hAnsi="Times New Roman"/>
          <w:sz w:val="18"/>
          <w:szCs w:val="18"/>
          <w:color w:val="auto"/>
        </w:rPr>
        <w:t>As the labor market continues to be tight and unemployment remains at low levels, the competition for new caregivers, including skilled healthcare staff, and support staff continues to be significant. In addition, the United States economy continues to experience inflationary pressures. To the extent that we continue to experience a shortage of caregivers, it may hinder our ability to fully meet the continuing demand for both our non-clinical and clinical services.</w:t>
      </w:r>
    </w:p>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487680</wp:posOffset>
            </wp:positionV>
            <wp:extent cx="7157720" cy="425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b w:val="1"/>
          <w:bCs w:val="1"/>
          <w:u w:val="single" w:color="auto"/>
          <w:color w:val="0563C1"/>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-5080</wp:posOffset>
            </wp:positionV>
            <wp:extent cx="869315"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869315" cy="8255"/>
                    </a:xfrm>
                    <a:prstGeom prst="rect">
                      <a:avLst/>
                    </a:prstGeom>
                    <a:noFill/>
                  </pic:spPr>
                </pic:pic>
              </a:graphicData>
            </a:graphic>
          </wp:anchor>
        </w:drawing>
      </w: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by Payor and Significant States</w:t>
      </w:r>
    </w:p>
    <w:p>
      <w:pPr>
        <w:spacing w:after="0" w:line="121" w:lineRule="exact"/>
        <w:rPr>
          <w:sz w:val="20"/>
          <w:szCs w:val="20"/>
          <w:color w:val="auto"/>
        </w:rPr>
      </w:pPr>
    </w:p>
    <w:p>
      <w:pPr>
        <w:ind w:right="240" w:firstLine="509"/>
        <w:spacing w:after="0" w:line="261" w:lineRule="auto"/>
        <w:rPr>
          <w:sz w:val="20"/>
          <w:szCs w:val="20"/>
          <w:color w:val="auto"/>
        </w:rPr>
      </w:pPr>
      <w:r>
        <w:rPr>
          <w:rFonts w:ascii="Times New Roman" w:cs="Times New Roman" w:eastAsia="Times New Roman" w:hAnsi="Times New Roman"/>
          <w:sz w:val="18"/>
          <w:szCs w:val="18"/>
          <w:color w:val="auto"/>
        </w:rPr>
        <w:t>Our payors are principally federal, state, and local governmental agencies and managed care organizations. The federal, state, and local programs under which the agencies operate are subject to legislative and budgetary changes and other risks that can influence reimbursement rates. We are experiencing a transition of business from government payors to managed care organizations, which we believe aligns with our emphasis on coordinated care and the reduction of the need for acute care.</w:t>
      </w:r>
    </w:p>
    <w:p>
      <w:pPr>
        <w:spacing w:after="0" w:line="18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Our revenue by payor and significant states by segment were as follows: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454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Personal Care Segment</w:t>
            </w:r>
          </w:p>
        </w:tc>
        <w:tc>
          <w:tcPr>
            <w:tcW w:w="1120" w:type="dxa"/>
            <w:vAlign w:val="bottom"/>
          </w:tcPr>
          <w:p>
            <w:pPr>
              <w:spacing w:after="0"/>
              <w:rPr>
                <w:sz w:val="19"/>
                <w:szCs w:val="19"/>
                <w:color w:val="auto"/>
              </w:rPr>
            </w:pPr>
          </w:p>
        </w:tc>
        <w:tc>
          <w:tcPr>
            <w:tcW w:w="12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860" w:type="dxa"/>
            <w:vAlign w:val="bottom"/>
            <w:tcBorders>
              <w:bottom w:val="single" w:sz="8" w:color="auto"/>
            </w:tcBorders>
            <w:gridSpan w:val="5"/>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For the Three Months Ended March 31,</w:t>
            </w:r>
          </w:p>
        </w:tc>
        <w:tc>
          <w:tcPr>
            <w:tcW w:w="1100" w:type="dxa"/>
            <w:vAlign w:val="bottom"/>
            <w:tcBorders>
              <w:bottom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2"/>
        </w:trPr>
        <w:tc>
          <w:tcPr>
            <w:tcW w:w="45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440" w:type="dxa"/>
            <w:vAlign w:val="bottom"/>
            <w:tcBorders>
              <w:bottom w:val="single" w:sz="8" w:color="auto"/>
            </w:tcBorders>
            <w:gridSpan w:val="3"/>
          </w:tcPr>
          <w:p>
            <w:pPr>
              <w:jc w:val="right"/>
              <w:ind w:right="40"/>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100" w:type="dxa"/>
            <w:vAlign w:val="bottom"/>
            <w:tcBorders>
              <w:bottom w:val="single" w:sz="8" w:color="auto"/>
            </w:tcBorders>
          </w:tcPr>
          <w:p>
            <w:pPr>
              <w:spacing w:after="0"/>
              <w:rPr>
                <w:sz w:val="12"/>
                <w:szCs w:val="12"/>
                <w:color w:val="auto"/>
              </w:rPr>
            </w:pPr>
          </w:p>
        </w:tc>
        <w:tc>
          <w:tcPr>
            <w:tcW w:w="300" w:type="dxa"/>
            <w:vAlign w:val="bottom"/>
          </w:tcPr>
          <w:p>
            <w:pPr>
              <w:spacing w:after="0"/>
              <w:rPr>
                <w:sz w:val="12"/>
                <w:szCs w:val="12"/>
                <w:color w:val="auto"/>
              </w:rPr>
            </w:pPr>
          </w:p>
        </w:tc>
        <w:tc>
          <w:tcPr>
            <w:tcW w:w="1460" w:type="dxa"/>
            <w:vAlign w:val="bottom"/>
            <w:tcBorders>
              <w:bottom w:val="single" w:sz="8" w:color="auto"/>
            </w:tcBorders>
            <w:gridSpan w:val="3"/>
          </w:tcPr>
          <w:p>
            <w:pPr>
              <w:jc w:val="right"/>
              <w:ind w:right="40"/>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100" w:type="dxa"/>
            <w:vAlign w:val="bottom"/>
            <w:tcBorders>
              <w:bottom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7"/>
        </w:trPr>
        <w:tc>
          <w:tcPr>
            <w:tcW w:w="454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1440" w:type="dxa"/>
            <w:vAlign w:val="bottom"/>
            <w:gridSpan w:val="3"/>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100" w:type="dxa"/>
            <w:vAlign w:val="bottom"/>
          </w:tcPr>
          <w:p>
            <w:pPr>
              <w:jc w:val="center"/>
              <w:ind w:right="35"/>
              <w:spacing w:after="0" w:line="118" w:lineRule="exact"/>
              <w:rPr>
                <w:sz w:val="20"/>
                <w:szCs w:val="20"/>
                <w:color w:val="auto"/>
              </w:rPr>
            </w:pPr>
            <w:r>
              <w:rPr>
                <w:rFonts w:ascii="Times New Roman" w:cs="Times New Roman" w:eastAsia="Times New Roman" w:hAnsi="Times New Roman"/>
                <w:sz w:val="13"/>
                <w:szCs w:val="13"/>
                <w:b w:val="1"/>
                <w:bCs w:val="1"/>
                <w:color w:val="auto"/>
              </w:rPr>
              <w:t>% of Segment</w:t>
            </w:r>
          </w:p>
        </w:tc>
        <w:tc>
          <w:tcPr>
            <w:tcW w:w="300" w:type="dxa"/>
            <w:vAlign w:val="bottom"/>
          </w:tcPr>
          <w:p>
            <w:pPr>
              <w:spacing w:after="0"/>
              <w:rPr>
                <w:sz w:val="10"/>
                <w:szCs w:val="10"/>
                <w:color w:val="auto"/>
              </w:rPr>
            </w:pPr>
          </w:p>
        </w:tc>
        <w:tc>
          <w:tcPr>
            <w:tcW w:w="1460" w:type="dxa"/>
            <w:vAlign w:val="bottom"/>
            <w:gridSpan w:val="3"/>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100" w:type="dxa"/>
            <w:vAlign w:val="bottom"/>
          </w:tcPr>
          <w:p>
            <w:pPr>
              <w:jc w:val="center"/>
              <w:ind w:right="34"/>
              <w:spacing w:after="0" w:line="118" w:lineRule="exact"/>
              <w:rPr>
                <w:sz w:val="20"/>
                <w:szCs w:val="20"/>
                <w:color w:val="auto"/>
              </w:rPr>
            </w:pPr>
            <w:r>
              <w:rPr>
                <w:rFonts w:ascii="Times New Roman" w:cs="Times New Roman" w:eastAsia="Times New Roman" w:hAnsi="Times New Roman"/>
                <w:sz w:val="13"/>
                <w:szCs w:val="13"/>
                <w:b w:val="1"/>
                <w:bCs w:val="1"/>
                <w:color w:val="auto"/>
              </w:rPr>
              <w:t>% of Segment</w:t>
            </w:r>
          </w:p>
        </w:tc>
        <w:tc>
          <w:tcPr>
            <w:tcW w:w="1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45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440" w:type="dxa"/>
            <w:vAlign w:val="bottom"/>
            <w:gridSpan w:val="3"/>
            <w:vMerge w:val="continue"/>
          </w:tcPr>
          <w:p>
            <w:pPr>
              <w:spacing w:after="0"/>
              <w:rPr>
                <w:sz w:val="12"/>
                <w:szCs w:val="12"/>
                <w:color w:val="auto"/>
              </w:rPr>
            </w:pPr>
          </w:p>
        </w:tc>
        <w:tc>
          <w:tcPr>
            <w:tcW w:w="1400" w:type="dxa"/>
            <w:vAlign w:val="bottom"/>
            <w:gridSpan w:val="2"/>
          </w:tcPr>
          <w:p>
            <w:pPr>
              <w:jc w:val="center"/>
              <w:ind w:right="420"/>
              <w:spacing w:after="0" w:line="149" w:lineRule="exact"/>
              <w:rPr>
                <w:sz w:val="20"/>
                <w:szCs w:val="20"/>
                <w:color w:val="auto"/>
              </w:rPr>
            </w:pPr>
            <w:r>
              <w:rPr>
                <w:rFonts w:ascii="Times New Roman" w:cs="Times New Roman" w:eastAsia="Times New Roman" w:hAnsi="Times New Roman"/>
                <w:sz w:val="14"/>
                <w:szCs w:val="14"/>
                <w:b w:val="1"/>
                <w:bCs w:val="1"/>
                <w:color w:val="auto"/>
              </w:rPr>
              <w:t>Net Service</w:t>
            </w:r>
          </w:p>
        </w:tc>
        <w:tc>
          <w:tcPr>
            <w:tcW w:w="1460" w:type="dxa"/>
            <w:vAlign w:val="bottom"/>
            <w:gridSpan w:val="3"/>
            <w:vMerge w:val="continue"/>
          </w:tcPr>
          <w:p>
            <w:pPr>
              <w:spacing w:after="0"/>
              <w:rPr>
                <w:sz w:val="12"/>
                <w:szCs w:val="12"/>
                <w:color w:val="auto"/>
              </w:rPr>
            </w:pPr>
          </w:p>
        </w:tc>
        <w:tc>
          <w:tcPr>
            <w:tcW w:w="128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Net Service</w:t>
            </w:r>
          </w:p>
        </w:tc>
        <w:tc>
          <w:tcPr>
            <w:tcW w:w="0" w:type="dxa"/>
            <w:vAlign w:val="bottom"/>
          </w:tcPr>
          <w:p>
            <w:pPr>
              <w:spacing w:after="0"/>
              <w:rPr>
                <w:sz w:val="1"/>
                <w:szCs w:val="1"/>
                <w:color w:val="auto"/>
              </w:rPr>
            </w:pPr>
          </w:p>
        </w:tc>
      </w:tr>
      <w:tr>
        <w:trPr>
          <w:trHeight w:val="173"/>
        </w:trPr>
        <w:tc>
          <w:tcPr>
            <w:tcW w:w="45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2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center"/>
              <w:ind w:right="35"/>
              <w:spacing w:after="0"/>
              <w:rPr>
                <w:sz w:val="20"/>
                <w:szCs w:val="20"/>
                <w:color w:val="auto"/>
              </w:rPr>
            </w:pPr>
            <w:r>
              <w:rPr>
                <w:rFonts w:ascii="Times New Roman" w:cs="Times New Roman" w:eastAsia="Times New Roman" w:hAnsi="Times New Roman"/>
                <w:sz w:val="14"/>
                <w:szCs w:val="14"/>
                <w:b w:val="1"/>
                <w:bCs w:val="1"/>
                <w:color w:val="auto"/>
              </w:rPr>
              <w:t>Revenues</w:t>
            </w:r>
          </w:p>
        </w:tc>
        <w:tc>
          <w:tcPr>
            <w:tcW w:w="300" w:type="dxa"/>
            <w:vAlign w:val="bottom"/>
          </w:tcPr>
          <w:p>
            <w:pPr>
              <w:spacing w:after="0"/>
              <w:rPr>
                <w:sz w:val="15"/>
                <w:szCs w:val="15"/>
                <w:color w:val="auto"/>
              </w:rPr>
            </w:pPr>
          </w:p>
        </w:tc>
        <w:tc>
          <w:tcPr>
            <w:tcW w:w="12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center"/>
              <w:ind w:right="34"/>
              <w:spacing w:after="0"/>
              <w:rPr>
                <w:sz w:val="20"/>
                <w:szCs w:val="20"/>
                <w:color w:val="auto"/>
              </w:rPr>
            </w:pPr>
            <w:r>
              <w:rPr>
                <w:rFonts w:ascii="Times New Roman" w:cs="Times New Roman" w:eastAsia="Times New Roman" w:hAnsi="Times New Roman"/>
                <w:sz w:val="14"/>
                <w:szCs w:val="14"/>
                <w:b w:val="1"/>
                <w:bCs w:val="1"/>
                <w:color w:val="auto"/>
              </w:rPr>
              <w:t>Revenues</w:t>
            </w: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45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State, local and other governmental programs</w:t>
            </w:r>
          </w:p>
        </w:tc>
        <w:tc>
          <w:tcPr>
            <w:tcW w:w="23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$132,904</w:t>
            </w: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00" w:type="dxa"/>
            <w:vAlign w:val="bottom"/>
            <w:tcBorders>
              <w:right w:val="single" w:sz="8" w:color="CFF0FC"/>
            </w:tcBorders>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51.5%</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$107,754</w:t>
            </w: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51.8%</w:t>
            </w:r>
          </w:p>
        </w:tc>
        <w:tc>
          <w:tcPr>
            <w:tcW w:w="0" w:type="dxa"/>
            <w:vAlign w:val="bottom"/>
          </w:tcPr>
          <w:p>
            <w:pPr>
              <w:spacing w:after="0"/>
              <w:rPr>
                <w:sz w:val="1"/>
                <w:szCs w:val="1"/>
                <w:color w:val="auto"/>
              </w:rPr>
            </w:pPr>
          </w:p>
        </w:tc>
      </w:tr>
      <w:tr>
        <w:trPr>
          <w:trHeight w:val="216"/>
        </w:trPr>
        <w:tc>
          <w:tcPr>
            <w:tcW w:w="4540" w:type="dxa"/>
            <w:vAlign w:val="bottom"/>
          </w:tcPr>
          <w:p>
            <w:pPr>
              <w:spacing w:after="0"/>
              <w:rPr>
                <w:sz w:val="20"/>
                <w:szCs w:val="20"/>
                <w:color w:val="auto"/>
              </w:rPr>
            </w:pPr>
            <w:r>
              <w:rPr>
                <w:rFonts w:ascii="Times New Roman" w:cs="Times New Roman" w:eastAsia="Times New Roman" w:hAnsi="Times New Roman"/>
                <w:sz w:val="18"/>
                <w:szCs w:val="18"/>
                <w:color w:val="auto"/>
              </w:rPr>
              <w:t>Managed care organizations</w:t>
            </w:r>
          </w:p>
        </w:tc>
        <w:tc>
          <w:tcPr>
            <w:tcW w:w="2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117,007</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45.3</w:t>
            </w:r>
          </w:p>
        </w:tc>
        <w:tc>
          <w:tcPr>
            <w:tcW w:w="3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94,276</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45.3</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Private pay</w:t>
            </w:r>
          </w:p>
        </w:tc>
        <w:tc>
          <w:tcPr>
            <w:tcW w:w="23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6,976</w:t>
            </w: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300" w:type="dxa"/>
            <w:vAlign w:val="bottom"/>
            <w:tcBorders>
              <w:right w:val="single" w:sz="8" w:color="CFF0FC"/>
            </w:tcBorders>
            <w:shd w:val="clear" w:color="auto" w:fill="CFF0FC"/>
          </w:tcPr>
          <w:p>
            <w:pPr>
              <w:spacing w:after="0"/>
              <w:rPr>
                <w:sz w:val="18"/>
                <w:szCs w:val="18"/>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3,906</w:t>
            </w: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40" w:type="dxa"/>
            <w:vAlign w:val="bottom"/>
          </w:tcPr>
          <w:p>
            <w:pPr>
              <w:spacing w:after="0"/>
              <w:rPr>
                <w:sz w:val="20"/>
                <w:szCs w:val="20"/>
                <w:color w:val="auto"/>
              </w:rPr>
            </w:pPr>
            <w:r>
              <w:rPr>
                <w:rFonts w:ascii="Times New Roman" w:cs="Times New Roman" w:eastAsia="Times New Roman" w:hAnsi="Times New Roman"/>
                <w:sz w:val="18"/>
                <w:szCs w:val="18"/>
                <w:color w:val="auto"/>
              </w:rPr>
              <w:t>Commercial insurance</w:t>
            </w:r>
          </w:p>
        </w:tc>
        <w:tc>
          <w:tcPr>
            <w:tcW w:w="2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1,160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3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1,486</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w:t>
            </w:r>
          </w:p>
        </w:tc>
        <w:tc>
          <w:tcPr>
            <w:tcW w:w="1120" w:type="dxa"/>
            <w:vAlign w:val="bottom"/>
            <w:tcBorders>
              <w:bottom w:val="single" w:sz="8" w:color="CFF0FC"/>
            </w:tcBorders>
            <w:shd w:val="clear" w:color="auto" w:fill="CFF0FC"/>
          </w:tcPr>
          <w:p>
            <w:pPr>
              <w:spacing w:after="0"/>
              <w:rPr>
                <w:sz w:val="18"/>
                <w:szCs w:val="18"/>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239</w:t>
            </w:r>
          </w:p>
        </w:tc>
        <w:tc>
          <w:tcPr>
            <w:tcW w:w="12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300" w:type="dxa"/>
            <w:vAlign w:val="bottom"/>
            <w:tcBorders>
              <w:bottom w:val="single" w:sz="8" w:color="CFF0FC"/>
              <w:right w:val="single" w:sz="8" w:color="CFF0FC"/>
            </w:tcBorders>
            <w:shd w:val="clear" w:color="auto" w:fill="CFF0FC"/>
          </w:tcPr>
          <w:p>
            <w:pPr>
              <w:spacing w:after="0"/>
              <w:rPr>
                <w:sz w:val="18"/>
                <w:szCs w:val="18"/>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581</w:t>
            </w:r>
          </w:p>
        </w:tc>
        <w:tc>
          <w:tcPr>
            <w:tcW w:w="12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8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540" w:type="dxa"/>
            <w:vAlign w:val="bottom"/>
          </w:tcPr>
          <w:p>
            <w:pPr>
              <w:spacing w:after="0"/>
              <w:rPr>
                <w:sz w:val="20"/>
                <w:szCs w:val="20"/>
                <w:color w:val="auto"/>
              </w:rPr>
            </w:pPr>
            <w:r>
              <w:rPr>
                <w:rFonts w:ascii="Times New Roman" w:cs="Times New Roman" w:eastAsia="Times New Roman" w:hAnsi="Times New Roman"/>
                <w:sz w:val="18"/>
                <w:szCs w:val="18"/>
                <w:color w:val="auto"/>
              </w:rPr>
              <w:t>Total personal care segment net service revenues</w:t>
            </w:r>
          </w:p>
        </w:tc>
        <w:tc>
          <w:tcPr>
            <w:tcW w:w="2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$258,286</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100.0%</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$208,003</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100.0%</w:t>
            </w:r>
          </w:p>
        </w:tc>
        <w:tc>
          <w:tcPr>
            <w:tcW w:w="0" w:type="dxa"/>
            <w:vAlign w:val="bottom"/>
          </w:tcPr>
          <w:p>
            <w:pPr>
              <w:spacing w:after="0"/>
              <w:rPr>
                <w:sz w:val="1"/>
                <w:szCs w:val="1"/>
                <w:color w:val="auto"/>
              </w:rPr>
            </w:pPr>
          </w:p>
        </w:tc>
      </w:tr>
      <w:tr>
        <w:trPr>
          <w:trHeight w:val="20"/>
        </w:trPr>
        <w:tc>
          <w:tcPr>
            <w:tcW w:w="45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540" w:type="dxa"/>
            <w:vAlign w:val="bottom"/>
            <w:shd w:val="clear" w:color="auto" w:fill="CFF0FC"/>
          </w:tcPr>
          <w:p>
            <w:pPr>
              <w:spacing w:after="0" w:line="196" w:lineRule="exact"/>
              <w:rPr>
                <w:sz w:val="20"/>
                <w:szCs w:val="20"/>
                <w:color w:val="auto"/>
              </w:rPr>
            </w:pPr>
            <w:r>
              <w:rPr>
                <w:rFonts w:ascii="Times New Roman" w:cs="Times New Roman" w:eastAsia="Times New Roman" w:hAnsi="Times New Roman"/>
                <w:sz w:val="18"/>
                <w:szCs w:val="18"/>
                <w:color w:val="auto"/>
              </w:rPr>
              <w:t>Illinois</w:t>
            </w:r>
          </w:p>
        </w:tc>
        <w:tc>
          <w:tcPr>
            <w:tcW w:w="2320" w:type="dxa"/>
            <w:vAlign w:val="bottom"/>
            <w:gridSpan w:val="2"/>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$111,414</w:t>
            </w:r>
          </w:p>
        </w:tc>
        <w:tc>
          <w:tcPr>
            <w:tcW w:w="1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400" w:type="dxa"/>
            <w:vAlign w:val="bottom"/>
            <w:tcBorders>
              <w:right w:val="single" w:sz="8" w:color="CFF0FC"/>
            </w:tcBorders>
            <w:gridSpan w:val="2"/>
            <w:shd w:val="clear" w:color="auto" w:fill="CFF0FC"/>
          </w:tcPr>
          <w:p>
            <w:pPr>
              <w:jc w:val="right"/>
              <w:ind w:right="140"/>
              <w:spacing w:after="0" w:line="196" w:lineRule="exact"/>
              <w:rPr>
                <w:sz w:val="20"/>
                <w:szCs w:val="20"/>
                <w:color w:val="auto"/>
              </w:rPr>
            </w:pPr>
            <w:r>
              <w:rPr>
                <w:rFonts w:ascii="Times New Roman" w:cs="Times New Roman" w:eastAsia="Times New Roman" w:hAnsi="Times New Roman"/>
                <w:sz w:val="18"/>
                <w:szCs w:val="18"/>
                <w:color w:val="auto"/>
              </w:rPr>
              <w:t>43.1%</w:t>
            </w:r>
          </w:p>
        </w:tc>
        <w:tc>
          <w:tcPr>
            <w:tcW w:w="1220" w:type="dxa"/>
            <w:vAlign w:val="bottom"/>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$107,575</w:t>
            </w:r>
          </w:p>
        </w:tc>
        <w:tc>
          <w:tcPr>
            <w:tcW w:w="1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280" w:type="dxa"/>
            <w:vAlign w:val="bottom"/>
            <w:gridSpan w:val="2"/>
            <w:shd w:val="clear" w:color="auto" w:fill="CFF0FC"/>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51.8%</w:t>
            </w:r>
          </w:p>
        </w:tc>
        <w:tc>
          <w:tcPr>
            <w:tcW w:w="0" w:type="dxa"/>
            <w:vAlign w:val="bottom"/>
          </w:tcPr>
          <w:p>
            <w:pPr>
              <w:spacing w:after="0"/>
              <w:rPr>
                <w:sz w:val="1"/>
                <w:szCs w:val="1"/>
                <w:color w:val="auto"/>
              </w:rPr>
            </w:pPr>
          </w:p>
        </w:tc>
      </w:tr>
      <w:tr>
        <w:trPr>
          <w:trHeight w:val="216"/>
        </w:trPr>
        <w:tc>
          <w:tcPr>
            <w:tcW w:w="4540" w:type="dxa"/>
            <w:vAlign w:val="bottom"/>
          </w:tcPr>
          <w:p>
            <w:pPr>
              <w:spacing w:after="0"/>
              <w:rPr>
                <w:sz w:val="20"/>
                <w:szCs w:val="20"/>
                <w:color w:val="auto"/>
              </w:rPr>
            </w:pPr>
            <w:r>
              <w:rPr>
                <w:rFonts w:ascii="Times New Roman" w:cs="Times New Roman" w:eastAsia="Times New Roman" w:hAnsi="Times New Roman"/>
                <w:sz w:val="18"/>
                <w:szCs w:val="18"/>
                <w:color w:val="auto"/>
              </w:rPr>
              <w:t>New Mexico</w:t>
            </w:r>
          </w:p>
        </w:tc>
        <w:tc>
          <w:tcPr>
            <w:tcW w:w="2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28,305</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w:t>
            </w:r>
          </w:p>
        </w:tc>
        <w:tc>
          <w:tcPr>
            <w:tcW w:w="3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28,967</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New York</w:t>
            </w:r>
          </w:p>
        </w:tc>
        <w:tc>
          <w:tcPr>
            <w:tcW w:w="23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273</w:t>
            </w: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300" w:type="dxa"/>
            <w:vAlign w:val="bottom"/>
            <w:tcBorders>
              <w:right w:val="single" w:sz="8" w:color="CFF0FC"/>
            </w:tcBorders>
            <w:shd w:val="clear" w:color="auto" w:fill="CFF0FC"/>
          </w:tcPr>
          <w:p>
            <w:pPr>
              <w:spacing w:after="0"/>
              <w:rPr>
                <w:sz w:val="18"/>
                <w:szCs w:val="18"/>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23,534</w:t>
            </w: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11.3</w:t>
            </w:r>
          </w:p>
        </w:tc>
        <w:tc>
          <w:tcPr>
            <w:tcW w:w="1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40" w:type="dxa"/>
            <w:vAlign w:val="bottom"/>
          </w:tcPr>
          <w:p>
            <w:pPr>
              <w:spacing w:after="0"/>
              <w:rPr>
                <w:sz w:val="20"/>
                <w:szCs w:val="20"/>
                <w:color w:val="auto"/>
              </w:rPr>
            </w:pPr>
            <w:r>
              <w:rPr>
                <w:rFonts w:ascii="Times New Roman" w:cs="Times New Roman" w:eastAsia="Times New Roman" w:hAnsi="Times New Roman"/>
                <w:sz w:val="18"/>
                <w:szCs w:val="18"/>
                <w:color w:val="auto"/>
              </w:rPr>
              <w:t>Texas</w:t>
            </w:r>
          </w:p>
        </w:tc>
        <w:tc>
          <w:tcPr>
            <w:tcW w:w="2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49,861</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w:t>
            </w:r>
          </w:p>
        </w:tc>
        <w:tc>
          <w:tcPr>
            <w:tcW w:w="300" w:type="dxa"/>
            <w:vAlign w:val="bottom"/>
          </w:tcPr>
          <w:p>
            <w:pPr>
              <w:spacing w:after="0"/>
              <w:rPr>
                <w:sz w:val="18"/>
                <w:szCs w:val="18"/>
                <w:color w:val="auto"/>
              </w:rPr>
            </w:pPr>
          </w:p>
        </w:tc>
        <w:tc>
          <w:tcPr>
            <w:tcW w:w="146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5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All other states</w:t>
            </w:r>
          </w:p>
        </w:tc>
        <w:tc>
          <w:tcPr>
            <w:tcW w:w="1120" w:type="dxa"/>
            <w:vAlign w:val="bottom"/>
            <w:tcBorders>
              <w:bottom w:val="single" w:sz="8" w:color="CFF0FC"/>
            </w:tcBorders>
            <w:shd w:val="clear" w:color="auto" w:fill="CFF0FC"/>
          </w:tcPr>
          <w:p>
            <w:pPr>
              <w:spacing w:after="0"/>
              <w:rPr>
                <w:sz w:val="18"/>
                <w:szCs w:val="18"/>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68,433</w:t>
            </w:r>
          </w:p>
        </w:tc>
        <w:tc>
          <w:tcPr>
            <w:tcW w:w="12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26.5</w:t>
            </w:r>
          </w:p>
        </w:tc>
        <w:tc>
          <w:tcPr>
            <w:tcW w:w="300" w:type="dxa"/>
            <w:vAlign w:val="bottom"/>
            <w:tcBorders>
              <w:bottom w:val="single" w:sz="8" w:color="CFF0FC"/>
              <w:right w:val="single" w:sz="8" w:color="CFF0FC"/>
            </w:tcBorders>
            <w:shd w:val="clear" w:color="auto" w:fill="CFF0FC"/>
          </w:tcPr>
          <w:p>
            <w:pPr>
              <w:spacing w:after="0"/>
              <w:rPr>
                <w:sz w:val="18"/>
                <w:szCs w:val="18"/>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47,927</w:t>
            </w:r>
          </w:p>
        </w:tc>
        <w:tc>
          <w:tcPr>
            <w:tcW w:w="12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23.0</w:t>
            </w:r>
          </w:p>
        </w:tc>
        <w:tc>
          <w:tcPr>
            <w:tcW w:w="18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540" w:type="dxa"/>
            <w:vAlign w:val="bottom"/>
          </w:tcPr>
          <w:p>
            <w:pPr>
              <w:spacing w:after="0"/>
              <w:rPr>
                <w:sz w:val="20"/>
                <w:szCs w:val="20"/>
                <w:color w:val="auto"/>
              </w:rPr>
            </w:pPr>
            <w:r>
              <w:rPr>
                <w:rFonts w:ascii="Times New Roman" w:cs="Times New Roman" w:eastAsia="Times New Roman" w:hAnsi="Times New Roman"/>
                <w:sz w:val="18"/>
                <w:szCs w:val="18"/>
                <w:color w:val="auto"/>
              </w:rPr>
              <w:t>Total personal care segment net service revenues</w:t>
            </w:r>
          </w:p>
        </w:tc>
        <w:tc>
          <w:tcPr>
            <w:tcW w:w="11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$258,286</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100.0%</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$208,003</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100.0%</w:t>
            </w:r>
          </w:p>
        </w:tc>
        <w:tc>
          <w:tcPr>
            <w:tcW w:w="0" w:type="dxa"/>
            <w:vAlign w:val="bottom"/>
          </w:tcPr>
          <w:p>
            <w:pPr>
              <w:spacing w:after="0"/>
              <w:rPr>
                <w:sz w:val="1"/>
                <w:szCs w:val="1"/>
                <w:color w:val="auto"/>
              </w:rPr>
            </w:pPr>
          </w:p>
        </w:tc>
      </w:tr>
      <w:tr>
        <w:trPr>
          <w:trHeight w:val="20"/>
        </w:trPr>
        <w:tc>
          <w:tcPr>
            <w:tcW w:w="454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i w:val="1"/>
                <w:iCs w:val="1"/>
                <w:color w:val="auto"/>
              </w:rPr>
              <w:t>Hospice Segment</w:t>
            </w:r>
          </w:p>
        </w:tc>
        <w:tc>
          <w:tcPr>
            <w:tcW w:w="1120" w:type="dxa"/>
            <w:vAlign w:val="bottom"/>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07"/>
        </w:trPr>
        <w:tc>
          <w:tcPr>
            <w:tcW w:w="4540" w:type="dxa"/>
            <w:vAlign w:val="bottom"/>
            <w:vMerge w:val="continue"/>
          </w:tcPr>
          <w:p>
            <w:pPr>
              <w:spacing w:after="0"/>
              <w:rPr>
                <w:sz w:val="24"/>
                <w:szCs w:val="24"/>
                <w:color w:val="auto"/>
              </w:rPr>
            </w:pPr>
          </w:p>
        </w:tc>
        <w:tc>
          <w:tcPr>
            <w:tcW w:w="1120" w:type="dxa"/>
            <w:vAlign w:val="bottom"/>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860" w:type="dxa"/>
            <w:vAlign w:val="bottom"/>
            <w:tcBorders>
              <w:bottom w:val="single" w:sz="8" w:color="auto"/>
            </w:tcBorders>
            <w:gridSpan w:val="5"/>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For the Three Months Ended March 31,</w:t>
            </w:r>
          </w:p>
        </w:tc>
        <w:tc>
          <w:tcPr>
            <w:tcW w:w="1100" w:type="dxa"/>
            <w:vAlign w:val="bottom"/>
            <w:tcBorders>
              <w:bottom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45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440" w:type="dxa"/>
            <w:vAlign w:val="bottom"/>
            <w:tcBorders>
              <w:bottom w:val="single" w:sz="8" w:color="auto"/>
            </w:tcBorders>
            <w:gridSpan w:val="3"/>
          </w:tcPr>
          <w:p>
            <w:pPr>
              <w:jc w:val="right"/>
              <w:ind w:right="20"/>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100" w:type="dxa"/>
            <w:vAlign w:val="bottom"/>
            <w:tcBorders>
              <w:bottom w:val="single" w:sz="8" w:color="auto"/>
            </w:tcBorders>
          </w:tcPr>
          <w:p>
            <w:pPr>
              <w:spacing w:after="0"/>
              <w:rPr>
                <w:sz w:val="12"/>
                <w:szCs w:val="12"/>
                <w:color w:val="auto"/>
              </w:rPr>
            </w:pPr>
          </w:p>
        </w:tc>
        <w:tc>
          <w:tcPr>
            <w:tcW w:w="300" w:type="dxa"/>
            <w:vAlign w:val="bottom"/>
          </w:tcPr>
          <w:p>
            <w:pPr>
              <w:spacing w:after="0"/>
              <w:rPr>
                <w:sz w:val="12"/>
                <w:szCs w:val="12"/>
                <w:color w:val="auto"/>
              </w:rPr>
            </w:pPr>
          </w:p>
        </w:tc>
        <w:tc>
          <w:tcPr>
            <w:tcW w:w="1460" w:type="dxa"/>
            <w:vAlign w:val="bottom"/>
            <w:tcBorders>
              <w:bottom w:val="single" w:sz="8" w:color="auto"/>
            </w:tcBorders>
            <w:gridSpan w:val="3"/>
          </w:tcPr>
          <w:p>
            <w:pPr>
              <w:jc w:val="right"/>
              <w:ind w:right="40"/>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100" w:type="dxa"/>
            <w:vAlign w:val="bottom"/>
            <w:tcBorders>
              <w:bottom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7"/>
        </w:trPr>
        <w:tc>
          <w:tcPr>
            <w:tcW w:w="454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1440" w:type="dxa"/>
            <w:vAlign w:val="bottom"/>
            <w:gridSpan w:val="3"/>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100" w:type="dxa"/>
            <w:vAlign w:val="bottom"/>
          </w:tcPr>
          <w:p>
            <w:pPr>
              <w:jc w:val="center"/>
              <w:ind w:right="35"/>
              <w:spacing w:after="0" w:line="118" w:lineRule="exact"/>
              <w:rPr>
                <w:sz w:val="20"/>
                <w:szCs w:val="20"/>
                <w:color w:val="auto"/>
              </w:rPr>
            </w:pPr>
            <w:r>
              <w:rPr>
                <w:rFonts w:ascii="Times New Roman" w:cs="Times New Roman" w:eastAsia="Times New Roman" w:hAnsi="Times New Roman"/>
                <w:sz w:val="13"/>
                <w:szCs w:val="13"/>
                <w:b w:val="1"/>
                <w:bCs w:val="1"/>
                <w:color w:val="auto"/>
              </w:rPr>
              <w:t>% of Segment</w:t>
            </w:r>
          </w:p>
        </w:tc>
        <w:tc>
          <w:tcPr>
            <w:tcW w:w="300" w:type="dxa"/>
            <w:vAlign w:val="bottom"/>
          </w:tcPr>
          <w:p>
            <w:pPr>
              <w:spacing w:after="0"/>
              <w:rPr>
                <w:sz w:val="10"/>
                <w:szCs w:val="10"/>
                <w:color w:val="auto"/>
              </w:rPr>
            </w:pPr>
          </w:p>
        </w:tc>
        <w:tc>
          <w:tcPr>
            <w:tcW w:w="1460" w:type="dxa"/>
            <w:vAlign w:val="bottom"/>
            <w:gridSpan w:val="3"/>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100" w:type="dxa"/>
            <w:vAlign w:val="bottom"/>
          </w:tcPr>
          <w:p>
            <w:pPr>
              <w:jc w:val="center"/>
              <w:ind w:right="34"/>
              <w:spacing w:after="0" w:line="118" w:lineRule="exact"/>
              <w:rPr>
                <w:sz w:val="20"/>
                <w:szCs w:val="20"/>
                <w:color w:val="auto"/>
              </w:rPr>
            </w:pPr>
            <w:r>
              <w:rPr>
                <w:rFonts w:ascii="Times New Roman" w:cs="Times New Roman" w:eastAsia="Times New Roman" w:hAnsi="Times New Roman"/>
                <w:sz w:val="13"/>
                <w:szCs w:val="13"/>
                <w:b w:val="1"/>
                <w:bCs w:val="1"/>
                <w:color w:val="auto"/>
              </w:rPr>
              <w:t>% of Segment</w:t>
            </w:r>
          </w:p>
        </w:tc>
        <w:tc>
          <w:tcPr>
            <w:tcW w:w="1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45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440" w:type="dxa"/>
            <w:vAlign w:val="bottom"/>
            <w:gridSpan w:val="3"/>
            <w:vMerge w:val="continue"/>
          </w:tcPr>
          <w:p>
            <w:pPr>
              <w:spacing w:after="0"/>
              <w:rPr>
                <w:sz w:val="12"/>
                <w:szCs w:val="12"/>
                <w:color w:val="auto"/>
              </w:rPr>
            </w:pPr>
          </w:p>
        </w:tc>
        <w:tc>
          <w:tcPr>
            <w:tcW w:w="1400" w:type="dxa"/>
            <w:vAlign w:val="bottom"/>
            <w:gridSpan w:val="2"/>
          </w:tcPr>
          <w:p>
            <w:pPr>
              <w:jc w:val="center"/>
              <w:ind w:right="420"/>
              <w:spacing w:after="0" w:line="149" w:lineRule="exact"/>
              <w:rPr>
                <w:sz w:val="20"/>
                <w:szCs w:val="20"/>
                <w:color w:val="auto"/>
              </w:rPr>
            </w:pPr>
            <w:r>
              <w:rPr>
                <w:rFonts w:ascii="Times New Roman" w:cs="Times New Roman" w:eastAsia="Times New Roman" w:hAnsi="Times New Roman"/>
                <w:sz w:val="14"/>
                <w:szCs w:val="14"/>
                <w:b w:val="1"/>
                <w:bCs w:val="1"/>
                <w:color w:val="auto"/>
              </w:rPr>
              <w:t>Net Service</w:t>
            </w:r>
          </w:p>
        </w:tc>
        <w:tc>
          <w:tcPr>
            <w:tcW w:w="1460" w:type="dxa"/>
            <w:vAlign w:val="bottom"/>
            <w:gridSpan w:val="3"/>
            <w:vMerge w:val="continue"/>
          </w:tcPr>
          <w:p>
            <w:pPr>
              <w:spacing w:after="0"/>
              <w:rPr>
                <w:sz w:val="12"/>
                <w:szCs w:val="12"/>
                <w:color w:val="auto"/>
              </w:rPr>
            </w:pPr>
          </w:p>
        </w:tc>
        <w:tc>
          <w:tcPr>
            <w:tcW w:w="128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Net Service</w:t>
            </w:r>
          </w:p>
        </w:tc>
        <w:tc>
          <w:tcPr>
            <w:tcW w:w="0" w:type="dxa"/>
            <w:vAlign w:val="bottom"/>
          </w:tcPr>
          <w:p>
            <w:pPr>
              <w:spacing w:after="0"/>
              <w:rPr>
                <w:sz w:val="1"/>
                <w:szCs w:val="1"/>
                <w:color w:val="auto"/>
              </w:rPr>
            </w:pPr>
          </w:p>
        </w:tc>
      </w:tr>
      <w:tr>
        <w:trPr>
          <w:trHeight w:val="173"/>
        </w:trPr>
        <w:tc>
          <w:tcPr>
            <w:tcW w:w="45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2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center"/>
              <w:ind w:right="35"/>
              <w:spacing w:after="0"/>
              <w:rPr>
                <w:sz w:val="20"/>
                <w:szCs w:val="20"/>
                <w:color w:val="auto"/>
              </w:rPr>
            </w:pPr>
            <w:r>
              <w:rPr>
                <w:rFonts w:ascii="Times New Roman" w:cs="Times New Roman" w:eastAsia="Times New Roman" w:hAnsi="Times New Roman"/>
                <w:sz w:val="14"/>
                <w:szCs w:val="14"/>
                <w:b w:val="1"/>
                <w:bCs w:val="1"/>
                <w:color w:val="auto"/>
              </w:rPr>
              <w:t>Revenues</w:t>
            </w:r>
          </w:p>
        </w:tc>
        <w:tc>
          <w:tcPr>
            <w:tcW w:w="300" w:type="dxa"/>
            <w:vAlign w:val="bottom"/>
          </w:tcPr>
          <w:p>
            <w:pPr>
              <w:spacing w:after="0"/>
              <w:rPr>
                <w:sz w:val="15"/>
                <w:szCs w:val="15"/>
                <w:color w:val="auto"/>
              </w:rPr>
            </w:pPr>
          </w:p>
        </w:tc>
        <w:tc>
          <w:tcPr>
            <w:tcW w:w="12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center"/>
              <w:ind w:right="34"/>
              <w:spacing w:after="0"/>
              <w:rPr>
                <w:sz w:val="20"/>
                <w:szCs w:val="20"/>
                <w:color w:val="auto"/>
              </w:rPr>
            </w:pPr>
            <w:r>
              <w:rPr>
                <w:rFonts w:ascii="Times New Roman" w:cs="Times New Roman" w:eastAsia="Times New Roman" w:hAnsi="Times New Roman"/>
                <w:sz w:val="14"/>
                <w:szCs w:val="14"/>
                <w:b w:val="1"/>
                <w:bCs w:val="1"/>
                <w:color w:val="auto"/>
              </w:rPr>
              <w:t>Revenues</w:t>
            </w: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45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Medicare</w:t>
            </w:r>
          </w:p>
        </w:tc>
        <w:tc>
          <w:tcPr>
            <w:tcW w:w="2440" w:type="dxa"/>
            <w:vAlign w:val="bottom"/>
            <w:gridSpan w:val="3"/>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$56,788</w:t>
            </w:r>
          </w:p>
        </w:tc>
        <w:tc>
          <w:tcPr>
            <w:tcW w:w="120" w:type="dxa"/>
            <w:vAlign w:val="bottom"/>
            <w:shd w:val="clear" w:color="auto" w:fill="CFF0FC"/>
          </w:tcPr>
          <w:p>
            <w:pPr>
              <w:spacing w:after="0"/>
              <w:rPr>
                <w:sz w:val="18"/>
                <w:szCs w:val="18"/>
                <w:color w:val="auto"/>
              </w:rPr>
            </w:pPr>
          </w:p>
        </w:tc>
        <w:tc>
          <w:tcPr>
            <w:tcW w:w="1400" w:type="dxa"/>
            <w:vAlign w:val="bottom"/>
            <w:tcBorders>
              <w:right w:val="single" w:sz="8" w:color="CFF0FC"/>
            </w:tcBorders>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92.4%</w:t>
            </w:r>
          </w:p>
        </w:tc>
        <w:tc>
          <w:tcPr>
            <w:tcW w:w="13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$50,652</w:t>
            </w:r>
          </w:p>
        </w:tc>
        <w:tc>
          <w:tcPr>
            <w:tcW w:w="120" w:type="dxa"/>
            <w:vAlign w:val="bottom"/>
            <w:shd w:val="clear" w:color="auto" w:fill="CFF0FC"/>
          </w:tcPr>
          <w:p>
            <w:pPr>
              <w:spacing w:after="0"/>
              <w:rPr>
                <w:sz w:val="18"/>
                <w:szCs w:val="18"/>
                <w:color w:val="auto"/>
              </w:rPr>
            </w:pPr>
          </w:p>
        </w:tc>
        <w:tc>
          <w:tcPr>
            <w:tcW w:w="12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90.7%</w:t>
            </w:r>
          </w:p>
        </w:tc>
        <w:tc>
          <w:tcPr>
            <w:tcW w:w="0" w:type="dxa"/>
            <w:vAlign w:val="bottom"/>
          </w:tcPr>
          <w:p>
            <w:pPr>
              <w:spacing w:after="0"/>
              <w:rPr>
                <w:sz w:val="1"/>
                <w:szCs w:val="1"/>
                <w:color w:val="auto"/>
              </w:rPr>
            </w:pPr>
          </w:p>
        </w:tc>
      </w:tr>
      <w:tr>
        <w:trPr>
          <w:trHeight w:val="216"/>
        </w:trPr>
        <w:tc>
          <w:tcPr>
            <w:tcW w:w="4540" w:type="dxa"/>
            <w:vAlign w:val="bottom"/>
          </w:tcPr>
          <w:p>
            <w:pPr>
              <w:spacing w:after="0"/>
              <w:rPr>
                <w:sz w:val="20"/>
                <w:szCs w:val="20"/>
                <w:color w:val="auto"/>
              </w:rPr>
            </w:pPr>
            <w:r>
              <w:rPr>
                <w:rFonts w:ascii="Times New Roman" w:cs="Times New Roman" w:eastAsia="Times New Roman" w:hAnsi="Times New Roman"/>
                <w:sz w:val="18"/>
                <w:szCs w:val="18"/>
                <w:color w:val="auto"/>
              </w:rPr>
              <w:t>Commercial insurance</w:t>
            </w:r>
          </w:p>
        </w:tc>
        <w:tc>
          <w:tcPr>
            <w:tcW w:w="244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2,383</w:t>
            </w:r>
          </w:p>
        </w:tc>
        <w:tc>
          <w:tcPr>
            <w:tcW w:w="120" w:type="dxa"/>
            <w:vAlign w:val="bottom"/>
          </w:tcPr>
          <w:p>
            <w:pPr>
              <w:spacing w:after="0"/>
              <w:rPr>
                <w:sz w:val="18"/>
                <w:szCs w:val="18"/>
                <w:color w:val="auto"/>
              </w:rPr>
            </w:pPr>
          </w:p>
        </w:tc>
        <w:tc>
          <w:tcPr>
            <w:tcW w:w="14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3.9</w:t>
            </w:r>
          </w:p>
        </w:tc>
        <w:tc>
          <w:tcPr>
            <w:tcW w:w="13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3,134</w:t>
            </w:r>
          </w:p>
        </w:tc>
        <w:tc>
          <w:tcPr>
            <w:tcW w:w="120" w:type="dxa"/>
            <w:vAlign w:val="bottom"/>
          </w:tcPr>
          <w:p>
            <w:pPr>
              <w:spacing w:after="0"/>
              <w:rPr>
                <w:sz w:val="18"/>
                <w:szCs w:val="18"/>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5.6</w:t>
            </w:r>
          </w:p>
        </w:tc>
        <w:tc>
          <w:tcPr>
            <w:tcW w:w="0" w:type="dxa"/>
            <w:vAlign w:val="bottom"/>
          </w:tcPr>
          <w:p>
            <w:pPr>
              <w:spacing w:after="0"/>
              <w:rPr>
                <w:sz w:val="1"/>
                <w:szCs w:val="1"/>
                <w:color w:val="auto"/>
              </w:rPr>
            </w:pPr>
          </w:p>
        </w:tc>
      </w:tr>
      <w:tr>
        <w:trPr>
          <w:trHeight w:val="216"/>
        </w:trPr>
        <w:tc>
          <w:tcPr>
            <w:tcW w:w="45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Managed care organizations</w:t>
            </w:r>
          </w:p>
        </w:tc>
        <w:tc>
          <w:tcPr>
            <w:tcW w:w="2440" w:type="dxa"/>
            <w:vAlign w:val="bottom"/>
            <w:gridSpan w:val="3"/>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2,028</w:t>
            </w:r>
          </w:p>
        </w:tc>
        <w:tc>
          <w:tcPr>
            <w:tcW w:w="120" w:type="dxa"/>
            <w:vAlign w:val="bottom"/>
            <w:shd w:val="clear" w:color="auto" w:fill="CFF0FC"/>
          </w:tcPr>
          <w:p>
            <w:pPr>
              <w:spacing w:after="0"/>
              <w:rPr>
                <w:sz w:val="18"/>
                <w:szCs w:val="18"/>
                <w:color w:val="auto"/>
              </w:rPr>
            </w:pPr>
          </w:p>
        </w:tc>
        <w:tc>
          <w:tcPr>
            <w:tcW w:w="1400" w:type="dxa"/>
            <w:vAlign w:val="bottom"/>
            <w:tcBorders>
              <w:right w:val="single" w:sz="8" w:color="CFF0FC"/>
            </w:tcBorders>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3.3</w:t>
            </w:r>
          </w:p>
        </w:tc>
        <w:tc>
          <w:tcPr>
            <w:tcW w:w="13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1,817</w:t>
            </w:r>
          </w:p>
        </w:tc>
        <w:tc>
          <w:tcPr>
            <w:tcW w:w="120" w:type="dxa"/>
            <w:vAlign w:val="bottom"/>
            <w:shd w:val="clear" w:color="auto" w:fill="CFF0FC"/>
          </w:tcPr>
          <w:p>
            <w:pPr>
              <w:spacing w:after="0"/>
              <w:rPr>
                <w:sz w:val="18"/>
                <w:szCs w:val="18"/>
                <w:color w:val="auto"/>
              </w:rPr>
            </w:pPr>
          </w:p>
        </w:tc>
        <w:tc>
          <w:tcPr>
            <w:tcW w:w="12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3.3</w:t>
            </w:r>
          </w:p>
        </w:tc>
        <w:tc>
          <w:tcPr>
            <w:tcW w:w="0" w:type="dxa"/>
            <w:vAlign w:val="bottom"/>
          </w:tcPr>
          <w:p>
            <w:pPr>
              <w:spacing w:after="0"/>
              <w:rPr>
                <w:sz w:val="1"/>
                <w:szCs w:val="1"/>
                <w:color w:val="auto"/>
              </w:rPr>
            </w:pPr>
          </w:p>
        </w:tc>
      </w:tr>
      <w:tr>
        <w:trPr>
          <w:trHeight w:val="216"/>
        </w:trPr>
        <w:tc>
          <w:tcPr>
            <w:tcW w:w="4540" w:type="dxa"/>
            <w:vAlign w:val="bottom"/>
          </w:tcPr>
          <w:p>
            <w:pPr>
              <w:spacing w:after="0"/>
              <w:rPr>
                <w:sz w:val="20"/>
                <w:szCs w:val="20"/>
                <w:color w:val="auto"/>
              </w:rPr>
            </w:pPr>
            <w:r>
              <w:rPr>
                <w:rFonts w:ascii="Times New Roman" w:cs="Times New Roman" w:eastAsia="Times New Roman" w:hAnsi="Times New Roman"/>
                <w:sz w:val="18"/>
                <w:szCs w:val="18"/>
                <w:color w:val="auto"/>
              </w:rPr>
              <w:t>Other</w:t>
            </w:r>
          </w:p>
        </w:tc>
        <w:tc>
          <w:tcPr>
            <w:tcW w:w="1120" w:type="dxa"/>
            <w:vAlign w:val="bottom"/>
          </w:tcPr>
          <w:p>
            <w:pPr>
              <w:spacing w:after="0"/>
              <w:rPr>
                <w:sz w:val="18"/>
                <w:szCs w:val="18"/>
                <w:color w:val="auto"/>
              </w:rPr>
            </w:pPr>
          </w:p>
        </w:tc>
        <w:tc>
          <w:tcPr>
            <w:tcW w:w="13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238</w:t>
            </w:r>
          </w:p>
        </w:tc>
        <w:tc>
          <w:tcPr>
            <w:tcW w:w="120" w:type="dxa"/>
            <w:vAlign w:val="bottom"/>
          </w:tcPr>
          <w:p>
            <w:pPr>
              <w:spacing w:after="0"/>
              <w:rPr>
                <w:sz w:val="18"/>
                <w:szCs w:val="18"/>
                <w:color w:val="auto"/>
              </w:rPr>
            </w:pPr>
          </w:p>
        </w:tc>
        <w:tc>
          <w:tcPr>
            <w:tcW w:w="14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0.4</w:t>
            </w:r>
          </w:p>
        </w:tc>
        <w:tc>
          <w:tcPr>
            <w:tcW w:w="13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260</w:t>
            </w:r>
          </w:p>
        </w:tc>
        <w:tc>
          <w:tcPr>
            <w:tcW w:w="120" w:type="dxa"/>
            <w:vAlign w:val="bottom"/>
          </w:tcPr>
          <w:p>
            <w:pPr>
              <w:spacing w:after="0"/>
              <w:rPr>
                <w:sz w:val="18"/>
                <w:szCs w:val="18"/>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0.4</w:t>
            </w:r>
          </w:p>
        </w:tc>
        <w:tc>
          <w:tcPr>
            <w:tcW w:w="0" w:type="dxa"/>
            <w:vAlign w:val="bottom"/>
          </w:tcPr>
          <w:p>
            <w:pPr>
              <w:spacing w:after="0"/>
              <w:rPr>
                <w:sz w:val="1"/>
                <w:szCs w:val="1"/>
                <w:color w:val="auto"/>
              </w:rPr>
            </w:pPr>
          </w:p>
        </w:tc>
      </w:tr>
      <w:tr>
        <w:trPr>
          <w:trHeight w:val="20"/>
        </w:trPr>
        <w:tc>
          <w:tcPr>
            <w:tcW w:w="45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300" w:type="dxa"/>
            <w:vAlign w:val="bottom"/>
            <w:tcBorders>
              <w:right w:val="single" w:sz="8" w:color="auto"/>
            </w:tcBorders>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45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hospice segment net service revenues</w:t>
            </w:r>
          </w:p>
        </w:tc>
        <w:tc>
          <w:tcPr>
            <w:tcW w:w="112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$61,437</w:t>
            </w:r>
          </w:p>
        </w:tc>
        <w:tc>
          <w:tcPr>
            <w:tcW w:w="120" w:type="dxa"/>
            <w:vAlign w:val="bottom"/>
            <w:shd w:val="clear" w:color="auto" w:fill="CFF0FC"/>
          </w:tcPr>
          <w:p>
            <w:pPr>
              <w:spacing w:after="0"/>
              <w:rPr>
                <w:sz w:val="19"/>
                <w:szCs w:val="19"/>
                <w:color w:val="auto"/>
              </w:rPr>
            </w:pPr>
          </w:p>
        </w:tc>
        <w:tc>
          <w:tcPr>
            <w:tcW w:w="1400" w:type="dxa"/>
            <w:vAlign w:val="bottom"/>
            <w:tcBorders>
              <w:right w:val="single" w:sz="8" w:color="CFF0FC"/>
            </w:tcBorders>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100.0%</w:t>
            </w:r>
          </w:p>
        </w:tc>
        <w:tc>
          <w:tcPr>
            <w:tcW w:w="13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$55,863</w:t>
            </w:r>
          </w:p>
        </w:tc>
        <w:tc>
          <w:tcPr>
            <w:tcW w:w="12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100.0%</w:t>
            </w:r>
          </w:p>
        </w:tc>
        <w:tc>
          <w:tcPr>
            <w:tcW w:w="0" w:type="dxa"/>
            <w:vAlign w:val="bottom"/>
          </w:tcPr>
          <w:p>
            <w:pPr>
              <w:spacing w:after="0"/>
              <w:rPr>
                <w:sz w:val="1"/>
                <w:szCs w:val="1"/>
                <w:color w:val="auto"/>
              </w:rPr>
            </w:pPr>
          </w:p>
        </w:tc>
      </w:tr>
      <w:tr>
        <w:trPr>
          <w:trHeight w:val="20"/>
        </w:trPr>
        <w:tc>
          <w:tcPr>
            <w:tcW w:w="4540" w:type="dxa"/>
            <w:vAlign w:val="bottom"/>
            <w:tcBorders>
              <w:top w:val="single" w:sz="8" w:color="CFF0FC"/>
            </w:tcBorders>
            <w:shd w:val="clear" w:color="auto" w:fill="CFF0FC"/>
          </w:tcPr>
          <w:p>
            <w:pPr>
              <w:spacing w:after="0" w:line="20" w:lineRule="exact"/>
              <w:rPr>
                <w:sz w:val="1"/>
                <w:szCs w:val="1"/>
                <w:color w:val="auto"/>
              </w:rPr>
            </w:pPr>
          </w:p>
        </w:tc>
        <w:tc>
          <w:tcPr>
            <w:tcW w:w="1120" w:type="dxa"/>
            <w:vAlign w:val="bottom"/>
            <w:tcBorders>
              <w:top w:val="single" w:sz="8" w:color="CFF0FC"/>
            </w:tcBorders>
            <w:shd w:val="clear" w:color="auto" w:fill="CFF0FC"/>
          </w:tcPr>
          <w:p>
            <w:pPr>
              <w:spacing w:after="0" w:line="20" w:lineRule="exact"/>
              <w:rPr>
                <w:sz w:val="1"/>
                <w:szCs w:val="1"/>
                <w:color w:val="auto"/>
              </w:rPr>
            </w:pPr>
          </w:p>
        </w:tc>
        <w:tc>
          <w:tcPr>
            <w:tcW w:w="12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CFF0FC"/>
              <w:right w:val="single" w:sz="8" w:color="auto"/>
            </w:tcBorders>
            <w:shd w:val="clear" w:color="auto" w:fill="CFF0FC"/>
          </w:tcPr>
          <w:p>
            <w:pPr>
              <w:spacing w:after="0" w:line="20" w:lineRule="exact"/>
              <w:rPr>
                <w:sz w:val="1"/>
                <w:szCs w:val="1"/>
                <w:color w:val="auto"/>
              </w:rPr>
            </w:pPr>
          </w:p>
        </w:tc>
        <w:tc>
          <w:tcPr>
            <w:tcW w:w="12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5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Ohio</w:t>
            </w:r>
          </w:p>
        </w:tc>
        <w:tc>
          <w:tcPr>
            <w:tcW w:w="1120" w:type="dxa"/>
            <w:vAlign w:val="bottom"/>
          </w:tcPr>
          <w:p>
            <w:pPr>
              <w:spacing w:after="0"/>
              <w:rPr>
                <w:sz w:val="17"/>
                <w:szCs w:val="17"/>
                <w:color w:val="auto"/>
              </w:rPr>
            </w:pPr>
          </w:p>
        </w:tc>
        <w:tc>
          <w:tcPr>
            <w:tcW w:w="1320" w:type="dxa"/>
            <w:vAlign w:val="bottom"/>
            <w:gridSpan w:val="2"/>
          </w:tcPr>
          <w:p>
            <w:pPr>
              <w:jc w:val="right"/>
              <w:ind w:right="120"/>
              <w:spacing w:after="0" w:line="196" w:lineRule="exact"/>
              <w:rPr>
                <w:sz w:val="20"/>
                <w:szCs w:val="20"/>
                <w:color w:val="auto"/>
              </w:rPr>
            </w:pPr>
            <w:r>
              <w:rPr>
                <w:rFonts w:ascii="Times New Roman" w:cs="Times New Roman" w:eastAsia="Times New Roman" w:hAnsi="Times New Roman"/>
                <w:sz w:val="18"/>
                <w:szCs w:val="18"/>
                <w:color w:val="auto"/>
              </w:rPr>
              <w:t>$23,187</w:t>
            </w:r>
          </w:p>
        </w:tc>
        <w:tc>
          <w:tcPr>
            <w:tcW w:w="120" w:type="dxa"/>
            <w:vAlign w:val="bottom"/>
          </w:tcPr>
          <w:p>
            <w:pPr>
              <w:spacing w:after="0"/>
              <w:rPr>
                <w:sz w:val="17"/>
                <w:szCs w:val="17"/>
                <w:color w:val="auto"/>
              </w:rPr>
            </w:pPr>
          </w:p>
        </w:tc>
        <w:tc>
          <w:tcPr>
            <w:tcW w:w="1400" w:type="dxa"/>
            <w:vAlign w:val="bottom"/>
            <w:gridSpan w:val="2"/>
          </w:tcPr>
          <w:p>
            <w:pPr>
              <w:jc w:val="right"/>
              <w:ind w:right="140"/>
              <w:spacing w:after="0" w:line="196" w:lineRule="exact"/>
              <w:rPr>
                <w:sz w:val="20"/>
                <w:szCs w:val="20"/>
                <w:color w:val="auto"/>
              </w:rPr>
            </w:pPr>
            <w:r>
              <w:rPr>
                <w:rFonts w:ascii="Times New Roman" w:cs="Times New Roman" w:eastAsia="Times New Roman" w:hAnsi="Times New Roman"/>
                <w:sz w:val="18"/>
                <w:szCs w:val="18"/>
                <w:color w:val="auto"/>
              </w:rPr>
              <w:t>37.7%</w:t>
            </w:r>
          </w:p>
        </w:tc>
        <w:tc>
          <w:tcPr>
            <w:tcW w:w="1340" w:type="dxa"/>
            <w:vAlign w:val="bottom"/>
            <w:gridSpan w:val="2"/>
          </w:tcPr>
          <w:p>
            <w:pPr>
              <w:jc w:val="right"/>
              <w:ind w:right="120"/>
              <w:spacing w:after="0" w:line="196" w:lineRule="exact"/>
              <w:rPr>
                <w:sz w:val="20"/>
                <w:szCs w:val="20"/>
                <w:color w:val="auto"/>
              </w:rPr>
            </w:pPr>
            <w:r>
              <w:rPr>
                <w:rFonts w:ascii="Times New Roman" w:cs="Times New Roman" w:eastAsia="Times New Roman" w:hAnsi="Times New Roman"/>
                <w:sz w:val="18"/>
                <w:szCs w:val="18"/>
                <w:color w:val="auto"/>
              </w:rPr>
              <w:t>$20,236</w:t>
            </w:r>
          </w:p>
        </w:tc>
        <w:tc>
          <w:tcPr>
            <w:tcW w:w="120" w:type="dxa"/>
            <w:vAlign w:val="bottom"/>
          </w:tcPr>
          <w:p>
            <w:pPr>
              <w:spacing w:after="0"/>
              <w:rPr>
                <w:sz w:val="17"/>
                <w:szCs w:val="17"/>
                <w:color w:val="auto"/>
              </w:rPr>
            </w:pPr>
          </w:p>
        </w:tc>
        <w:tc>
          <w:tcPr>
            <w:tcW w:w="128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36.2%</w:t>
            </w:r>
          </w:p>
        </w:tc>
        <w:tc>
          <w:tcPr>
            <w:tcW w:w="0" w:type="dxa"/>
            <w:vAlign w:val="bottom"/>
          </w:tcPr>
          <w:p>
            <w:pPr>
              <w:spacing w:after="0"/>
              <w:rPr>
                <w:sz w:val="1"/>
                <w:szCs w:val="1"/>
                <w:color w:val="auto"/>
              </w:rPr>
            </w:pPr>
          </w:p>
        </w:tc>
      </w:tr>
      <w:tr>
        <w:trPr>
          <w:trHeight w:val="216"/>
        </w:trPr>
        <w:tc>
          <w:tcPr>
            <w:tcW w:w="45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Illinois</w:t>
            </w:r>
          </w:p>
        </w:tc>
        <w:tc>
          <w:tcPr>
            <w:tcW w:w="2440" w:type="dxa"/>
            <w:vAlign w:val="bottom"/>
            <w:gridSpan w:val="3"/>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14,564</w:t>
            </w:r>
          </w:p>
        </w:tc>
        <w:tc>
          <w:tcPr>
            <w:tcW w:w="120" w:type="dxa"/>
            <w:vAlign w:val="bottom"/>
            <w:shd w:val="clear" w:color="auto" w:fill="CFF0FC"/>
          </w:tcPr>
          <w:p>
            <w:pPr>
              <w:spacing w:after="0"/>
              <w:rPr>
                <w:sz w:val="18"/>
                <w:szCs w:val="18"/>
                <w:color w:val="auto"/>
              </w:rPr>
            </w:pPr>
          </w:p>
        </w:tc>
        <w:tc>
          <w:tcPr>
            <w:tcW w:w="1400" w:type="dxa"/>
            <w:vAlign w:val="bottom"/>
            <w:tcBorders>
              <w:right w:val="single" w:sz="8" w:color="CFF0FC"/>
            </w:tcBorders>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23.7</w:t>
            </w:r>
          </w:p>
        </w:tc>
        <w:tc>
          <w:tcPr>
            <w:tcW w:w="13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12,252</w:t>
            </w:r>
          </w:p>
        </w:tc>
        <w:tc>
          <w:tcPr>
            <w:tcW w:w="120" w:type="dxa"/>
            <w:vAlign w:val="bottom"/>
            <w:shd w:val="clear" w:color="auto" w:fill="CFF0FC"/>
          </w:tcPr>
          <w:p>
            <w:pPr>
              <w:spacing w:after="0"/>
              <w:rPr>
                <w:sz w:val="18"/>
                <w:szCs w:val="18"/>
                <w:color w:val="auto"/>
              </w:rPr>
            </w:pPr>
          </w:p>
        </w:tc>
        <w:tc>
          <w:tcPr>
            <w:tcW w:w="12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21.9</w:t>
            </w:r>
          </w:p>
        </w:tc>
        <w:tc>
          <w:tcPr>
            <w:tcW w:w="0" w:type="dxa"/>
            <w:vAlign w:val="bottom"/>
          </w:tcPr>
          <w:p>
            <w:pPr>
              <w:spacing w:after="0"/>
              <w:rPr>
                <w:sz w:val="1"/>
                <w:szCs w:val="1"/>
                <w:color w:val="auto"/>
              </w:rPr>
            </w:pPr>
          </w:p>
        </w:tc>
      </w:tr>
      <w:tr>
        <w:trPr>
          <w:trHeight w:val="216"/>
        </w:trPr>
        <w:tc>
          <w:tcPr>
            <w:tcW w:w="4540" w:type="dxa"/>
            <w:vAlign w:val="bottom"/>
          </w:tcPr>
          <w:p>
            <w:pPr>
              <w:spacing w:after="0"/>
              <w:rPr>
                <w:sz w:val="20"/>
                <w:szCs w:val="20"/>
                <w:color w:val="auto"/>
              </w:rPr>
            </w:pPr>
            <w:r>
              <w:rPr>
                <w:rFonts w:ascii="Times New Roman" w:cs="Times New Roman" w:eastAsia="Times New Roman" w:hAnsi="Times New Roman"/>
                <w:sz w:val="18"/>
                <w:szCs w:val="18"/>
                <w:color w:val="auto"/>
              </w:rPr>
              <w:t>New Mexico</w:t>
            </w:r>
          </w:p>
        </w:tc>
        <w:tc>
          <w:tcPr>
            <w:tcW w:w="244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7,913</w:t>
            </w:r>
          </w:p>
        </w:tc>
        <w:tc>
          <w:tcPr>
            <w:tcW w:w="120" w:type="dxa"/>
            <w:vAlign w:val="bottom"/>
          </w:tcPr>
          <w:p>
            <w:pPr>
              <w:spacing w:after="0"/>
              <w:rPr>
                <w:sz w:val="18"/>
                <w:szCs w:val="18"/>
                <w:color w:val="auto"/>
              </w:rPr>
            </w:pPr>
          </w:p>
        </w:tc>
        <w:tc>
          <w:tcPr>
            <w:tcW w:w="14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12.9</w:t>
            </w:r>
          </w:p>
        </w:tc>
        <w:tc>
          <w:tcPr>
            <w:tcW w:w="13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7,515</w:t>
            </w:r>
          </w:p>
        </w:tc>
        <w:tc>
          <w:tcPr>
            <w:tcW w:w="120" w:type="dxa"/>
            <w:vAlign w:val="bottom"/>
          </w:tcPr>
          <w:p>
            <w:pPr>
              <w:spacing w:after="0"/>
              <w:rPr>
                <w:sz w:val="18"/>
                <w:szCs w:val="18"/>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13.5</w:t>
            </w:r>
          </w:p>
        </w:tc>
        <w:tc>
          <w:tcPr>
            <w:tcW w:w="0" w:type="dxa"/>
            <w:vAlign w:val="bottom"/>
          </w:tcPr>
          <w:p>
            <w:pPr>
              <w:spacing w:after="0"/>
              <w:rPr>
                <w:sz w:val="1"/>
                <w:szCs w:val="1"/>
                <w:color w:val="auto"/>
              </w:rPr>
            </w:pPr>
          </w:p>
        </w:tc>
      </w:tr>
      <w:tr>
        <w:trPr>
          <w:trHeight w:val="216"/>
        </w:trPr>
        <w:tc>
          <w:tcPr>
            <w:tcW w:w="45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All other states</w:t>
            </w:r>
          </w:p>
        </w:tc>
        <w:tc>
          <w:tcPr>
            <w:tcW w:w="1120" w:type="dxa"/>
            <w:vAlign w:val="bottom"/>
            <w:shd w:val="clear" w:color="auto" w:fill="CFF0FC"/>
          </w:tcPr>
          <w:p>
            <w:pPr>
              <w:spacing w:after="0"/>
              <w:rPr>
                <w:sz w:val="18"/>
                <w:szCs w:val="18"/>
                <w:color w:val="auto"/>
              </w:rPr>
            </w:pPr>
          </w:p>
        </w:tc>
        <w:tc>
          <w:tcPr>
            <w:tcW w:w="13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15,773</w:t>
            </w:r>
          </w:p>
        </w:tc>
        <w:tc>
          <w:tcPr>
            <w:tcW w:w="120" w:type="dxa"/>
            <w:vAlign w:val="bottom"/>
            <w:shd w:val="clear" w:color="auto" w:fill="CFF0FC"/>
          </w:tcPr>
          <w:p>
            <w:pPr>
              <w:spacing w:after="0"/>
              <w:rPr>
                <w:sz w:val="18"/>
                <w:szCs w:val="18"/>
                <w:color w:val="auto"/>
              </w:rPr>
            </w:pPr>
          </w:p>
        </w:tc>
        <w:tc>
          <w:tcPr>
            <w:tcW w:w="1400" w:type="dxa"/>
            <w:vAlign w:val="bottom"/>
            <w:tcBorders>
              <w:right w:val="single" w:sz="8" w:color="CFF0FC"/>
            </w:tcBorders>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25.7</w:t>
            </w:r>
          </w:p>
        </w:tc>
        <w:tc>
          <w:tcPr>
            <w:tcW w:w="13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15,860</w:t>
            </w:r>
          </w:p>
        </w:tc>
        <w:tc>
          <w:tcPr>
            <w:tcW w:w="120" w:type="dxa"/>
            <w:vAlign w:val="bottom"/>
            <w:shd w:val="clear" w:color="auto" w:fill="CFF0FC"/>
          </w:tcPr>
          <w:p>
            <w:pPr>
              <w:spacing w:after="0"/>
              <w:rPr>
                <w:sz w:val="18"/>
                <w:szCs w:val="18"/>
                <w:color w:val="auto"/>
              </w:rPr>
            </w:pPr>
          </w:p>
        </w:tc>
        <w:tc>
          <w:tcPr>
            <w:tcW w:w="12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28.4</w:t>
            </w:r>
          </w:p>
        </w:tc>
        <w:tc>
          <w:tcPr>
            <w:tcW w:w="0" w:type="dxa"/>
            <w:vAlign w:val="bottom"/>
          </w:tcPr>
          <w:p>
            <w:pPr>
              <w:spacing w:after="0"/>
              <w:rPr>
                <w:sz w:val="1"/>
                <w:szCs w:val="1"/>
                <w:color w:val="auto"/>
              </w:rPr>
            </w:pPr>
          </w:p>
        </w:tc>
      </w:tr>
      <w:tr>
        <w:trPr>
          <w:trHeight w:val="20"/>
        </w:trPr>
        <w:tc>
          <w:tcPr>
            <w:tcW w:w="4540" w:type="dxa"/>
            <w:vAlign w:val="bottom"/>
            <w:shd w:val="clear" w:color="auto" w:fill="CFF0FC"/>
          </w:tcPr>
          <w:p>
            <w:pPr>
              <w:spacing w:after="0" w:line="20" w:lineRule="exact"/>
              <w:rPr>
                <w:sz w:val="1"/>
                <w:szCs w:val="1"/>
                <w:color w:val="auto"/>
              </w:rPr>
            </w:pPr>
          </w:p>
        </w:tc>
        <w:tc>
          <w:tcPr>
            <w:tcW w:w="1120" w:type="dxa"/>
            <w:vAlign w:val="bottom"/>
            <w:shd w:val="clear" w:color="auto" w:fill="CFF0FC"/>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300" w:type="dxa"/>
            <w:vAlign w:val="bottom"/>
            <w:tcBorders>
              <w:right w:val="single" w:sz="8" w:color="auto"/>
            </w:tcBorders>
            <w:shd w:val="clear" w:color="auto" w:fill="CFF0FC"/>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540" w:type="dxa"/>
            <w:vAlign w:val="bottom"/>
          </w:tcPr>
          <w:p>
            <w:pPr>
              <w:spacing w:after="0"/>
              <w:rPr>
                <w:sz w:val="20"/>
                <w:szCs w:val="20"/>
                <w:color w:val="auto"/>
              </w:rPr>
            </w:pPr>
            <w:r>
              <w:rPr>
                <w:rFonts w:ascii="Times New Roman" w:cs="Times New Roman" w:eastAsia="Times New Roman" w:hAnsi="Times New Roman"/>
                <w:sz w:val="18"/>
                <w:szCs w:val="18"/>
                <w:color w:val="auto"/>
              </w:rPr>
              <w:t>Total hospice segment net service revenues</w:t>
            </w:r>
          </w:p>
        </w:tc>
        <w:tc>
          <w:tcPr>
            <w:tcW w:w="1120" w:type="dxa"/>
            <w:vAlign w:val="bottom"/>
          </w:tcPr>
          <w:p>
            <w:pPr>
              <w:spacing w:after="0"/>
              <w:rPr>
                <w:sz w:val="18"/>
                <w:szCs w:val="18"/>
                <w:color w:val="auto"/>
              </w:rPr>
            </w:pPr>
          </w:p>
        </w:tc>
        <w:tc>
          <w:tcPr>
            <w:tcW w:w="13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$61,437</w:t>
            </w:r>
          </w:p>
        </w:tc>
        <w:tc>
          <w:tcPr>
            <w:tcW w:w="120" w:type="dxa"/>
            <w:vAlign w:val="bottom"/>
          </w:tcPr>
          <w:p>
            <w:pPr>
              <w:spacing w:after="0"/>
              <w:rPr>
                <w:sz w:val="18"/>
                <w:szCs w:val="18"/>
                <w:color w:val="auto"/>
              </w:rPr>
            </w:pPr>
          </w:p>
        </w:tc>
        <w:tc>
          <w:tcPr>
            <w:tcW w:w="14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100.0%</w:t>
            </w:r>
          </w:p>
        </w:tc>
        <w:tc>
          <w:tcPr>
            <w:tcW w:w="13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$55,863</w:t>
            </w:r>
          </w:p>
        </w:tc>
        <w:tc>
          <w:tcPr>
            <w:tcW w:w="120" w:type="dxa"/>
            <w:vAlign w:val="bottom"/>
          </w:tcPr>
          <w:p>
            <w:pPr>
              <w:spacing w:after="0"/>
              <w:rPr>
                <w:sz w:val="18"/>
                <w:szCs w:val="18"/>
                <w:color w:val="auto"/>
              </w:rPr>
            </w:pPr>
          </w:p>
        </w:tc>
        <w:tc>
          <w:tcPr>
            <w:tcW w:w="12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100.0%</w:t>
            </w:r>
          </w:p>
        </w:tc>
        <w:tc>
          <w:tcPr>
            <w:tcW w:w="0" w:type="dxa"/>
            <w:vAlign w:val="bottom"/>
          </w:tcPr>
          <w:p>
            <w:pPr>
              <w:spacing w:after="0"/>
              <w:rPr>
                <w:sz w:val="1"/>
                <w:szCs w:val="1"/>
                <w:color w:val="auto"/>
              </w:rPr>
            </w:pPr>
          </w:p>
        </w:tc>
      </w:tr>
      <w:tr>
        <w:trPr>
          <w:trHeight w:val="20"/>
        </w:trPr>
        <w:tc>
          <w:tcPr>
            <w:tcW w:w="45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30"/>
        </w:trPr>
        <w:tc>
          <w:tcPr>
            <w:tcW w:w="4540" w:type="dxa"/>
            <w:vAlign w:val="bottom"/>
          </w:tcPr>
          <w:p>
            <w:pPr>
              <w:spacing w:after="0"/>
              <w:rPr>
                <w:sz w:val="24"/>
                <w:szCs w:val="24"/>
                <w:color w:val="auto"/>
              </w:rPr>
            </w:pPr>
          </w:p>
        </w:tc>
        <w:tc>
          <w:tcPr>
            <w:tcW w:w="2320" w:type="dxa"/>
            <w:vAlign w:val="bottom"/>
            <w:gridSpan w:val="2"/>
          </w:tcPr>
          <w:p>
            <w:pPr>
              <w:jc w:val="right"/>
              <w:ind w:right="1078"/>
              <w:spacing w:after="0"/>
              <w:rPr>
                <w:sz w:val="20"/>
                <w:szCs w:val="20"/>
                <w:color w:val="auto"/>
              </w:rPr>
            </w:pPr>
            <w:r>
              <w:rPr>
                <w:rFonts w:ascii="Times New Roman" w:cs="Times New Roman" w:eastAsia="Times New Roman" w:hAnsi="Times New Roman"/>
                <w:sz w:val="16"/>
                <w:szCs w:val="16"/>
                <w:color w:val="auto"/>
              </w:rPr>
              <w:t>20</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9"/>
        </w:trPr>
        <w:tc>
          <w:tcPr>
            <w:tcW w:w="4540" w:type="dxa"/>
            <w:vAlign w:val="bottom"/>
            <w:tcBorders>
              <w:bottom w:val="single" w:sz="8" w:color="9A9A9A"/>
            </w:tcBorders>
          </w:tcPr>
          <w:p>
            <w:pPr>
              <w:spacing w:after="0"/>
              <w:rPr>
                <w:sz w:val="24"/>
                <w:szCs w:val="24"/>
                <w:color w:val="auto"/>
              </w:rPr>
            </w:pPr>
          </w:p>
        </w:tc>
        <w:tc>
          <w:tcPr>
            <w:tcW w:w="1120" w:type="dxa"/>
            <w:vAlign w:val="bottom"/>
            <w:tcBorders>
              <w:bottom w:val="single" w:sz="8" w:color="9A9A9A"/>
            </w:tcBorders>
          </w:tcPr>
          <w:p>
            <w:pPr>
              <w:spacing w:after="0"/>
              <w:rPr>
                <w:sz w:val="24"/>
                <w:szCs w:val="24"/>
                <w:color w:val="auto"/>
              </w:rPr>
            </w:pPr>
          </w:p>
        </w:tc>
        <w:tc>
          <w:tcPr>
            <w:tcW w:w="12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10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2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10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4359910</wp:posOffset>
            </wp:positionH>
            <wp:positionV relativeFrom="paragraph">
              <wp:posOffset>-4500245</wp:posOffset>
            </wp:positionV>
            <wp:extent cx="77470" cy="889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5208270</wp:posOffset>
            </wp:positionH>
            <wp:positionV relativeFrom="paragraph">
              <wp:posOffset>-4500245</wp:posOffset>
            </wp:positionV>
            <wp:extent cx="111760" cy="889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111760" cy="8890"/>
                    </a:xfrm>
                    <a:prstGeom prst="rect">
                      <a:avLst/>
                    </a:prstGeom>
                    <a:noFill/>
                  </pic:spPr>
                </pic:pic>
              </a:graphicData>
            </a:graphic>
          </wp:anchor>
        </w:drawing>
        <w:drawing>
          <wp:anchor simplePos="0" relativeHeight="251657728" behindDoc="1" locked="0" layoutInCell="0" allowOverlap="1">
            <wp:simplePos x="0" y="0"/>
            <wp:positionH relativeFrom="column">
              <wp:posOffset>6168390</wp:posOffset>
            </wp:positionH>
            <wp:positionV relativeFrom="paragraph">
              <wp:posOffset>-4500245</wp:posOffset>
            </wp:positionV>
            <wp:extent cx="77470" cy="889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7025640</wp:posOffset>
            </wp:positionH>
            <wp:positionV relativeFrom="paragraph">
              <wp:posOffset>-4500245</wp:posOffset>
            </wp:positionV>
            <wp:extent cx="111760" cy="889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111760" cy="8890"/>
                    </a:xfrm>
                    <a:prstGeom prst="rect">
                      <a:avLst/>
                    </a:prstGeom>
                    <a:noFill/>
                  </pic:spPr>
                </pic:pic>
              </a:graphicData>
            </a:graphic>
          </wp:anchor>
        </w:drawing>
        <w:drawing>
          <wp:anchor simplePos="0" relativeHeight="251657728" behindDoc="1" locked="0" layoutInCell="0" allowOverlap="1">
            <wp:simplePos x="0" y="0"/>
            <wp:positionH relativeFrom="column">
              <wp:posOffset>4359910</wp:posOffset>
            </wp:positionH>
            <wp:positionV relativeFrom="paragraph">
              <wp:posOffset>-3642360</wp:posOffset>
            </wp:positionV>
            <wp:extent cx="77470" cy="82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5208270</wp:posOffset>
            </wp:positionH>
            <wp:positionV relativeFrom="paragraph">
              <wp:posOffset>-3642360</wp:posOffset>
            </wp:positionV>
            <wp:extent cx="111760"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111760" cy="8255"/>
                    </a:xfrm>
                    <a:prstGeom prst="rect">
                      <a:avLst/>
                    </a:prstGeom>
                    <a:noFill/>
                  </pic:spPr>
                </pic:pic>
              </a:graphicData>
            </a:graphic>
          </wp:anchor>
        </w:drawing>
        <w:drawing>
          <wp:anchor simplePos="0" relativeHeight="251657728" behindDoc="1" locked="0" layoutInCell="0" allowOverlap="1">
            <wp:simplePos x="0" y="0"/>
            <wp:positionH relativeFrom="column">
              <wp:posOffset>6168390</wp:posOffset>
            </wp:positionH>
            <wp:positionV relativeFrom="paragraph">
              <wp:posOffset>-3642360</wp:posOffset>
            </wp:positionV>
            <wp:extent cx="77470"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7025640</wp:posOffset>
            </wp:positionH>
            <wp:positionV relativeFrom="paragraph">
              <wp:posOffset>-3642360</wp:posOffset>
            </wp:positionV>
            <wp:extent cx="111760" cy="82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111760" cy="8255"/>
                    </a:xfrm>
                    <a:prstGeom prst="rect">
                      <a:avLst/>
                    </a:prstGeom>
                    <a:noFill/>
                  </pic:spPr>
                </pic:pic>
              </a:graphicData>
            </a:graphic>
          </wp:anchor>
        </w:drawing>
        <w:drawing>
          <wp:anchor simplePos="0" relativeHeight="251657728" behindDoc="1" locked="0" layoutInCell="0" allowOverlap="1">
            <wp:simplePos x="0" y="0"/>
            <wp:positionH relativeFrom="column">
              <wp:posOffset>4359910</wp:posOffset>
            </wp:positionH>
            <wp:positionV relativeFrom="paragraph">
              <wp:posOffset>-1722120</wp:posOffset>
            </wp:positionV>
            <wp:extent cx="77470"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4359910</wp:posOffset>
            </wp:positionH>
            <wp:positionV relativeFrom="paragraph">
              <wp:posOffset>-1704975</wp:posOffset>
            </wp:positionV>
            <wp:extent cx="77470" cy="889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5208270</wp:posOffset>
            </wp:positionH>
            <wp:positionV relativeFrom="paragraph">
              <wp:posOffset>-1722120</wp:posOffset>
            </wp:positionV>
            <wp:extent cx="102870" cy="82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5208270</wp:posOffset>
            </wp:positionH>
            <wp:positionV relativeFrom="paragraph">
              <wp:posOffset>-1704975</wp:posOffset>
            </wp:positionV>
            <wp:extent cx="102870" cy="889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102870" cy="8890"/>
                    </a:xfrm>
                    <a:prstGeom prst="rect">
                      <a:avLst/>
                    </a:prstGeom>
                    <a:noFill/>
                  </pic:spPr>
                </pic:pic>
              </a:graphicData>
            </a:graphic>
          </wp:anchor>
        </w:drawing>
        <w:drawing>
          <wp:anchor simplePos="0" relativeHeight="251657728" behindDoc="1" locked="0" layoutInCell="0" allowOverlap="1">
            <wp:simplePos x="0" y="0"/>
            <wp:positionH relativeFrom="column">
              <wp:posOffset>6168390</wp:posOffset>
            </wp:positionH>
            <wp:positionV relativeFrom="paragraph">
              <wp:posOffset>-1722120</wp:posOffset>
            </wp:positionV>
            <wp:extent cx="77470" cy="82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6168390</wp:posOffset>
            </wp:positionH>
            <wp:positionV relativeFrom="paragraph">
              <wp:posOffset>-1704975</wp:posOffset>
            </wp:positionV>
            <wp:extent cx="77470" cy="889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7025640</wp:posOffset>
            </wp:positionH>
            <wp:positionV relativeFrom="paragraph">
              <wp:posOffset>-1722120</wp:posOffset>
            </wp:positionV>
            <wp:extent cx="111760" cy="82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111760" cy="8255"/>
                    </a:xfrm>
                    <a:prstGeom prst="rect">
                      <a:avLst/>
                    </a:prstGeom>
                    <a:noFill/>
                  </pic:spPr>
                </pic:pic>
              </a:graphicData>
            </a:graphic>
          </wp:anchor>
        </w:drawing>
        <w:drawing>
          <wp:anchor simplePos="0" relativeHeight="251657728" behindDoc="1" locked="0" layoutInCell="0" allowOverlap="1">
            <wp:simplePos x="0" y="0"/>
            <wp:positionH relativeFrom="column">
              <wp:posOffset>7025640</wp:posOffset>
            </wp:positionH>
            <wp:positionV relativeFrom="paragraph">
              <wp:posOffset>-1704975</wp:posOffset>
            </wp:positionV>
            <wp:extent cx="111760" cy="889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111760" cy="8890"/>
                    </a:xfrm>
                    <a:prstGeom prst="rect">
                      <a:avLst/>
                    </a:prstGeom>
                    <a:noFill/>
                  </pic:spPr>
                </pic:pic>
              </a:graphicData>
            </a:graphic>
          </wp:anchor>
        </w:drawing>
        <w:drawing>
          <wp:anchor simplePos="0" relativeHeight="251657728" behindDoc="1" locked="0" layoutInCell="0" allowOverlap="1">
            <wp:simplePos x="0" y="0"/>
            <wp:positionH relativeFrom="column">
              <wp:posOffset>4359910</wp:posOffset>
            </wp:positionH>
            <wp:positionV relativeFrom="paragraph">
              <wp:posOffset>-1148080</wp:posOffset>
            </wp:positionV>
            <wp:extent cx="77470" cy="889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5208270</wp:posOffset>
            </wp:positionH>
            <wp:positionV relativeFrom="paragraph">
              <wp:posOffset>-1148080</wp:posOffset>
            </wp:positionV>
            <wp:extent cx="102870" cy="889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102870" cy="8890"/>
                    </a:xfrm>
                    <a:prstGeom prst="rect">
                      <a:avLst/>
                    </a:prstGeom>
                    <a:noFill/>
                  </pic:spPr>
                </pic:pic>
              </a:graphicData>
            </a:graphic>
          </wp:anchor>
        </w:drawing>
        <w:drawing>
          <wp:anchor simplePos="0" relativeHeight="251657728" behindDoc="1" locked="0" layoutInCell="0" allowOverlap="1">
            <wp:simplePos x="0" y="0"/>
            <wp:positionH relativeFrom="column">
              <wp:posOffset>6168390</wp:posOffset>
            </wp:positionH>
            <wp:positionV relativeFrom="paragraph">
              <wp:posOffset>-1148080</wp:posOffset>
            </wp:positionV>
            <wp:extent cx="77470" cy="889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7025640</wp:posOffset>
            </wp:positionH>
            <wp:positionV relativeFrom="paragraph">
              <wp:posOffset>-1148080</wp:posOffset>
            </wp:positionV>
            <wp:extent cx="111760" cy="889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111760" cy="8890"/>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b w:val="1"/>
          <w:bCs w:val="1"/>
          <w:u w:val="single" w:color="auto"/>
          <w:color w:val="0563C1"/>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-5080</wp:posOffset>
            </wp:positionV>
            <wp:extent cx="869315" cy="825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869315" cy="8255"/>
                    </a:xfrm>
                    <a:prstGeom prst="rect">
                      <a:avLst/>
                    </a:prstGeom>
                    <a:noFill/>
                  </pic:spPr>
                </pic:pic>
              </a:graphicData>
            </a:graphic>
          </wp:anchor>
        </w:drawing>
      </w:r>
    </w:p>
    <w:p>
      <w:pPr>
        <w:spacing w:after="0" w:line="200" w:lineRule="exact"/>
        <w:rPr>
          <w:sz w:val="20"/>
          <w:szCs w:val="20"/>
          <w:color w:val="auto"/>
        </w:rPr>
      </w:pP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566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Home Health Segment</w:t>
            </w:r>
          </w:p>
        </w:tc>
        <w:tc>
          <w:tcPr>
            <w:tcW w:w="12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860" w:type="dxa"/>
            <w:vAlign w:val="bottom"/>
            <w:tcBorders>
              <w:bottom w:val="single" w:sz="8" w:color="auto"/>
            </w:tcBorders>
            <w:gridSpan w:val="5"/>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For the Three Months Ended March 31,</w:t>
            </w:r>
          </w:p>
        </w:tc>
        <w:tc>
          <w:tcPr>
            <w:tcW w:w="1100" w:type="dxa"/>
            <w:vAlign w:val="bottom"/>
            <w:tcBorders>
              <w:bottom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2"/>
        </w:trPr>
        <w:tc>
          <w:tcPr>
            <w:tcW w:w="5660" w:type="dxa"/>
            <w:vAlign w:val="bottom"/>
          </w:tcPr>
          <w:p>
            <w:pPr>
              <w:spacing w:after="0"/>
              <w:rPr>
                <w:sz w:val="12"/>
                <w:szCs w:val="12"/>
                <w:color w:val="auto"/>
              </w:rPr>
            </w:pPr>
          </w:p>
        </w:tc>
        <w:tc>
          <w:tcPr>
            <w:tcW w:w="1440" w:type="dxa"/>
            <w:vAlign w:val="bottom"/>
            <w:tcBorders>
              <w:bottom w:val="single" w:sz="8" w:color="auto"/>
            </w:tcBorders>
            <w:gridSpan w:val="3"/>
          </w:tcPr>
          <w:p>
            <w:pPr>
              <w:jc w:val="right"/>
              <w:ind w:right="40"/>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100" w:type="dxa"/>
            <w:vAlign w:val="bottom"/>
            <w:tcBorders>
              <w:bottom w:val="single" w:sz="8" w:color="auto"/>
            </w:tcBorders>
          </w:tcPr>
          <w:p>
            <w:pPr>
              <w:spacing w:after="0"/>
              <w:rPr>
                <w:sz w:val="12"/>
                <w:szCs w:val="12"/>
                <w:color w:val="auto"/>
              </w:rPr>
            </w:pPr>
          </w:p>
        </w:tc>
        <w:tc>
          <w:tcPr>
            <w:tcW w:w="300" w:type="dxa"/>
            <w:vAlign w:val="bottom"/>
          </w:tcPr>
          <w:p>
            <w:pPr>
              <w:spacing w:after="0"/>
              <w:rPr>
                <w:sz w:val="12"/>
                <w:szCs w:val="12"/>
                <w:color w:val="auto"/>
              </w:rPr>
            </w:pPr>
          </w:p>
        </w:tc>
        <w:tc>
          <w:tcPr>
            <w:tcW w:w="1460" w:type="dxa"/>
            <w:vAlign w:val="bottom"/>
            <w:tcBorders>
              <w:bottom w:val="single" w:sz="8" w:color="auto"/>
            </w:tcBorders>
            <w:gridSpan w:val="3"/>
          </w:tcPr>
          <w:p>
            <w:pPr>
              <w:jc w:val="right"/>
              <w:ind w:right="40"/>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100" w:type="dxa"/>
            <w:vAlign w:val="bottom"/>
            <w:tcBorders>
              <w:bottom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7"/>
        </w:trPr>
        <w:tc>
          <w:tcPr>
            <w:tcW w:w="5660" w:type="dxa"/>
            <w:vAlign w:val="bottom"/>
          </w:tcPr>
          <w:p>
            <w:pPr>
              <w:spacing w:after="0"/>
              <w:rPr>
                <w:sz w:val="10"/>
                <w:szCs w:val="10"/>
                <w:color w:val="auto"/>
              </w:rPr>
            </w:pPr>
          </w:p>
        </w:tc>
        <w:tc>
          <w:tcPr>
            <w:tcW w:w="1440" w:type="dxa"/>
            <w:vAlign w:val="bottom"/>
            <w:gridSpan w:val="3"/>
            <w:vMerge w:val="restart"/>
          </w:tcPr>
          <w:p>
            <w:pPr>
              <w:jc w:val="right"/>
              <w:ind w:right="60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100" w:type="dxa"/>
            <w:vAlign w:val="bottom"/>
          </w:tcPr>
          <w:p>
            <w:pPr>
              <w:jc w:val="center"/>
              <w:ind w:right="36"/>
              <w:spacing w:after="0" w:line="118" w:lineRule="exact"/>
              <w:rPr>
                <w:sz w:val="20"/>
                <w:szCs w:val="20"/>
                <w:color w:val="auto"/>
              </w:rPr>
            </w:pPr>
            <w:r>
              <w:rPr>
                <w:rFonts w:ascii="Times New Roman" w:cs="Times New Roman" w:eastAsia="Times New Roman" w:hAnsi="Times New Roman"/>
                <w:sz w:val="13"/>
                <w:szCs w:val="13"/>
                <w:b w:val="1"/>
                <w:bCs w:val="1"/>
                <w:color w:val="auto"/>
              </w:rPr>
              <w:t>% of Segment</w:t>
            </w:r>
          </w:p>
        </w:tc>
        <w:tc>
          <w:tcPr>
            <w:tcW w:w="300" w:type="dxa"/>
            <w:vAlign w:val="bottom"/>
          </w:tcPr>
          <w:p>
            <w:pPr>
              <w:spacing w:after="0"/>
              <w:rPr>
                <w:sz w:val="10"/>
                <w:szCs w:val="10"/>
                <w:color w:val="auto"/>
              </w:rPr>
            </w:pPr>
          </w:p>
        </w:tc>
        <w:tc>
          <w:tcPr>
            <w:tcW w:w="1460" w:type="dxa"/>
            <w:vAlign w:val="bottom"/>
            <w:gridSpan w:val="3"/>
            <w:vMerge w:val="restart"/>
          </w:tcPr>
          <w:p>
            <w:pPr>
              <w:jc w:val="right"/>
              <w:ind w:right="60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100" w:type="dxa"/>
            <w:vAlign w:val="bottom"/>
          </w:tcPr>
          <w:p>
            <w:pPr>
              <w:jc w:val="center"/>
              <w:ind w:right="35"/>
              <w:spacing w:after="0" w:line="118" w:lineRule="exact"/>
              <w:rPr>
                <w:sz w:val="20"/>
                <w:szCs w:val="20"/>
                <w:color w:val="auto"/>
              </w:rPr>
            </w:pPr>
            <w:r>
              <w:rPr>
                <w:rFonts w:ascii="Times New Roman" w:cs="Times New Roman" w:eastAsia="Times New Roman" w:hAnsi="Times New Roman"/>
                <w:sz w:val="13"/>
                <w:szCs w:val="13"/>
                <w:b w:val="1"/>
                <w:bCs w:val="1"/>
                <w:color w:val="auto"/>
              </w:rPr>
              <w:t>% of Segment</w:t>
            </w:r>
          </w:p>
        </w:tc>
        <w:tc>
          <w:tcPr>
            <w:tcW w:w="1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5660" w:type="dxa"/>
            <w:vAlign w:val="bottom"/>
          </w:tcPr>
          <w:p>
            <w:pPr>
              <w:spacing w:after="0"/>
              <w:rPr>
                <w:sz w:val="12"/>
                <w:szCs w:val="12"/>
                <w:color w:val="auto"/>
              </w:rPr>
            </w:pPr>
          </w:p>
        </w:tc>
        <w:tc>
          <w:tcPr>
            <w:tcW w:w="1440" w:type="dxa"/>
            <w:vAlign w:val="bottom"/>
            <w:gridSpan w:val="3"/>
            <w:vMerge w:val="continue"/>
          </w:tcPr>
          <w:p>
            <w:pPr>
              <w:spacing w:after="0"/>
              <w:rPr>
                <w:sz w:val="12"/>
                <w:szCs w:val="12"/>
                <w:color w:val="auto"/>
              </w:rPr>
            </w:pPr>
          </w:p>
        </w:tc>
        <w:tc>
          <w:tcPr>
            <w:tcW w:w="1400" w:type="dxa"/>
            <w:vAlign w:val="bottom"/>
            <w:gridSpan w:val="2"/>
          </w:tcPr>
          <w:p>
            <w:pPr>
              <w:jc w:val="center"/>
              <w:ind w:right="420"/>
              <w:spacing w:after="0" w:line="149" w:lineRule="exact"/>
              <w:rPr>
                <w:sz w:val="20"/>
                <w:szCs w:val="20"/>
                <w:color w:val="auto"/>
              </w:rPr>
            </w:pPr>
            <w:r>
              <w:rPr>
                <w:rFonts w:ascii="Times New Roman" w:cs="Times New Roman" w:eastAsia="Times New Roman" w:hAnsi="Times New Roman"/>
                <w:sz w:val="14"/>
                <w:szCs w:val="14"/>
                <w:b w:val="1"/>
                <w:bCs w:val="1"/>
                <w:color w:val="auto"/>
              </w:rPr>
              <w:t>Net Service</w:t>
            </w:r>
          </w:p>
        </w:tc>
        <w:tc>
          <w:tcPr>
            <w:tcW w:w="1460" w:type="dxa"/>
            <w:vAlign w:val="bottom"/>
            <w:gridSpan w:val="3"/>
            <w:vMerge w:val="continue"/>
          </w:tcPr>
          <w:p>
            <w:pPr>
              <w:spacing w:after="0"/>
              <w:rPr>
                <w:sz w:val="12"/>
                <w:szCs w:val="12"/>
                <w:color w:val="auto"/>
              </w:rPr>
            </w:pPr>
          </w:p>
        </w:tc>
        <w:tc>
          <w:tcPr>
            <w:tcW w:w="128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Net Service</w:t>
            </w:r>
          </w:p>
        </w:tc>
        <w:tc>
          <w:tcPr>
            <w:tcW w:w="0" w:type="dxa"/>
            <w:vAlign w:val="bottom"/>
          </w:tcPr>
          <w:p>
            <w:pPr>
              <w:spacing w:after="0"/>
              <w:rPr>
                <w:sz w:val="1"/>
                <w:szCs w:val="1"/>
                <w:color w:val="auto"/>
              </w:rPr>
            </w:pPr>
          </w:p>
        </w:tc>
      </w:tr>
      <w:tr>
        <w:trPr>
          <w:trHeight w:val="173"/>
        </w:trPr>
        <w:tc>
          <w:tcPr>
            <w:tcW w:w="56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Medicare</w:t>
            </w:r>
          </w:p>
        </w:tc>
        <w:tc>
          <w:tcPr>
            <w:tcW w:w="1200" w:type="dxa"/>
            <w:vAlign w:val="bottom"/>
            <w:tcBorders>
              <w:bottom w:val="single" w:sz="8" w:color="auto"/>
            </w:tcBorders>
          </w:tcPr>
          <w:p>
            <w:pPr>
              <w:jc w:val="right"/>
              <w:ind w:right="55"/>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center"/>
              <w:ind w:right="36"/>
              <w:spacing w:after="0"/>
              <w:rPr>
                <w:sz w:val="20"/>
                <w:szCs w:val="20"/>
                <w:color w:val="auto"/>
              </w:rPr>
            </w:pPr>
            <w:r>
              <w:rPr>
                <w:rFonts w:ascii="Times New Roman" w:cs="Times New Roman" w:eastAsia="Times New Roman" w:hAnsi="Times New Roman"/>
                <w:sz w:val="14"/>
                <w:szCs w:val="14"/>
                <w:b w:val="1"/>
                <w:bCs w:val="1"/>
                <w:color w:val="auto"/>
              </w:rPr>
              <w:t>Revenues</w:t>
            </w:r>
          </w:p>
        </w:tc>
        <w:tc>
          <w:tcPr>
            <w:tcW w:w="300" w:type="dxa"/>
            <w:vAlign w:val="bottom"/>
          </w:tcPr>
          <w:p>
            <w:pPr>
              <w:spacing w:after="0"/>
              <w:rPr>
                <w:sz w:val="15"/>
                <w:szCs w:val="15"/>
                <w:color w:val="auto"/>
              </w:rPr>
            </w:pPr>
          </w:p>
        </w:tc>
        <w:tc>
          <w:tcPr>
            <w:tcW w:w="1220" w:type="dxa"/>
            <w:vAlign w:val="bottom"/>
            <w:tcBorders>
              <w:bottom w:val="single" w:sz="8" w:color="auto"/>
            </w:tcBorders>
          </w:tcPr>
          <w:p>
            <w:pPr>
              <w:jc w:val="right"/>
              <w:ind w:right="75"/>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center"/>
              <w:ind w:right="35"/>
              <w:spacing w:after="0"/>
              <w:rPr>
                <w:sz w:val="20"/>
                <w:szCs w:val="20"/>
                <w:color w:val="auto"/>
              </w:rPr>
            </w:pPr>
            <w:r>
              <w:rPr>
                <w:rFonts w:ascii="Times New Roman" w:cs="Times New Roman" w:eastAsia="Times New Roman" w:hAnsi="Times New Roman"/>
                <w:sz w:val="14"/>
                <w:szCs w:val="14"/>
                <w:b w:val="1"/>
                <w:bCs w:val="1"/>
                <w:color w:val="auto"/>
              </w:rPr>
              <w:t>Revenues</w:t>
            </w: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5660" w:type="dxa"/>
            <w:vAlign w:val="bottom"/>
            <w:vMerge w:val="continue"/>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$12,576</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69.9%</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$11,663</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69.1%</w:t>
            </w:r>
          </w:p>
        </w:tc>
        <w:tc>
          <w:tcPr>
            <w:tcW w:w="0" w:type="dxa"/>
            <w:vAlign w:val="bottom"/>
          </w:tcPr>
          <w:p>
            <w:pPr>
              <w:spacing w:after="0"/>
              <w:rPr>
                <w:sz w:val="1"/>
                <w:szCs w:val="1"/>
                <w:color w:val="auto"/>
              </w:rPr>
            </w:pPr>
          </w:p>
        </w:tc>
      </w:tr>
      <w:tr>
        <w:trPr>
          <w:trHeight w:val="216"/>
        </w:trPr>
        <w:tc>
          <w:tcPr>
            <w:tcW w:w="56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Managed care organizations</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3,810</w:t>
            </w: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21.2</w:t>
            </w:r>
          </w:p>
        </w:tc>
        <w:tc>
          <w:tcPr>
            <w:tcW w:w="300" w:type="dxa"/>
            <w:vAlign w:val="bottom"/>
            <w:shd w:val="clear" w:color="auto" w:fill="CFF0FC"/>
          </w:tcPr>
          <w:p>
            <w:pPr>
              <w:spacing w:after="0"/>
              <w:rPr>
                <w:sz w:val="18"/>
                <w:szCs w:val="18"/>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4,400</w:t>
            </w: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26.1</w:t>
            </w:r>
          </w:p>
        </w:tc>
        <w:tc>
          <w:tcPr>
            <w:tcW w:w="1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60" w:type="dxa"/>
            <w:vAlign w:val="bottom"/>
          </w:tcPr>
          <w:p>
            <w:pPr>
              <w:spacing w:after="0"/>
              <w:rPr>
                <w:sz w:val="20"/>
                <w:szCs w:val="20"/>
                <w:color w:val="auto"/>
              </w:rPr>
            </w:pPr>
            <w:r>
              <w:rPr>
                <w:rFonts w:ascii="Times New Roman" w:cs="Times New Roman" w:eastAsia="Times New Roman" w:hAnsi="Times New Roman"/>
                <w:sz w:val="18"/>
                <w:szCs w:val="18"/>
                <w:color w:val="auto"/>
              </w:rPr>
              <w:t>State, local and other governmental programs (excluding Medicare)</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1,087</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3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w:t>
            </w: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512</w:t>
            </w:r>
          </w:p>
        </w:tc>
        <w:tc>
          <w:tcPr>
            <w:tcW w:w="12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300" w:type="dxa"/>
            <w:vAlign w:val="bottom"/>
            <w:tcBorders>
              <w:bottom w:val="single" w:sz="8" w:color="CFF0FC"/>
            </w:tcBorders>
            <w:shd w:val="clear" w:color="auto" w:fill="CFF0FC"/>
          </w:tcPr>
          <w:p>
            <w:pPr>
              <w:spacing w:after="0"/>
              <w:rPr>
                <w:sz w:val="18"/>
                <w:szCs w:val="18"/>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791</w:t>
            </w:r>
          </w:p>
        </w:tc>
        <w:tc>
          <w:tcPr>
            <w:tcW w:w="12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18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660" w:type="dxa"/>
            <w:vAlign w:val="bottom"/>
          </w:tcPr>
          <w:p>
            <w:pPr>
              <w:spacing w:after="0"/>
              <w:rPr>
                <w:sz w:val="20"/>
                <w:szCs w:val="20"/>
                <w:color w:val="auto"/>
              </w:rPr>
            </w:pPr>
            <w:r>
              <w:rPr>
                <w:rFonts w:ascii="Times New Roman" w:cs="Times New Roman" w:eastAsia="Times New Roman" w:hAnsi="Times New Roman"/>
                <w:sz w:val="18"/>
                <w:szCs w:val="18"/>
                <w:color w:val="auto"/>
              </w:rPr>
              <w:t>Total home health segment net service revenues</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$17,985</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100.0%</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$16,880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100.0%</w:t>
            </w:r>
          </w:p>
        </w:tc>
        <w:tc>
          <w:tcPr>
            <w:tcW w:w="0" w:type="dxa"/>
            <w:vAlign w:val="bottom"/>
          </w:tcPr>
          <w:p>
            <w:pPr>
              <w:spacing w:after="0"/>
              <w:rPr>
                <w:sz w:val="1"/>
                <w:szCs w:val="1"/>
                <w:color w:val="auto"/>
              </w:rPr>
            </w:pPr>
          </w:p>
        </w:tc>
      </w:tr>
      <w:tr>
        <w:trPr>
          <w:trHeight w:val="20"/>
        </w:trPr>
        <w:tc>
          <w:tcPr>
            <w:tcW w:w="5660" w:type="dxa"/>
            <w:vAlign w:val="bottom"/>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660" w:type="dxa"/>
            <w:vAlign w:val="bottom"/>
            <w:shd w:val="clear" w:color="auto" w:fill="CFF0FC"/>
          </w:tcPr>
          <w:p>
            <w:pPr>
              <w:spacing w:after="0" w:line="196" w:lineRule="exact"/>
              <w:rPr>
                <w:sz w:val="20"/>
                <w:szCs w:val="20"/>
                <w:color w:val="auto"/>
              </w:rPr>
            </w:pPr>
            <w:r>
              <w:rPr>
                <w:rFonts w:ascii="Times New Roman" w:cs="Times New Roman" w:eastAsia="Times New Roman" w:hAnsi="Times New Roman"/>
                <w:sz w:val="18"/>
                <w:szCs w:val="18"/>
                <w:color w:val="auto"/>
              </w:rPr>
              <w:t>New Mexico</w:t>
            </w:r>
          </w:p>
        </w:tc>
        <w:tc>
          <w:tcPr>
            <w:tcW w:w="1200" w:type="dxa"/>
            <w:vAlign w:val="bottom"/>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$8,555</w:t>
            </w:r>
          </w:p>
        </w:tc>
        <w:tc>
          <w:tcPr>
            <w:tcW w:w="1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400" w:type="dxa"/>
            <w:vAlign w:val="bottom"/>
            <w:gridSpan w:val="2"/>
            <w:shd w:val="clear" w:color="auto" w:fill="CFF0FC"/>
          </w:tcPr>
          <w:p>
            <w:pPr>
              <w:jc w:val="right"/>
              <w:ind w:right="140"/>
              <w:spacing w:after="0" w:line="196" w:lineRule="exact"/>
              <w:rPr>
                <w:sz w:val="20"/>
                <w:szCs w:val="20"/>
                <w:color w:val="auto"/>
              </w:rPr>
            </w:pPr>
            <w:r>
              <w:rPr>
                <w:rFonts w:ascii="Times New Roman" w:cs="Times New Roman" w:eastAsia="Times New Roman" w:hAnsi="Times New Roman"/>
                <w:sz w:val="18"/>
                <w:szCs w:val="18"/>
                <w:color w:val="auto"/>
              </w:rPr>
              <w:t>47.6%</w:t>
            </w:r>
          </w:p>
        </w:tc>
        <w:tc>
          <w:tcPr>
            <w:tcW w:w="1220" w:type="dxa"/>
            <w:vAlign w:val="bottom"/>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$7,777</w:t>
            </w:r>
          </w:p>
        </w:tc>
        <w:tc>
          <w:tcPr>
            <w:tcW w:w="1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280" w:type="dxa"/>
            <w:vAlign w:val="bottom"/>
            <w:gridSpan w:val="2"/>
            <w:shd w:val="clear" w:color="auto" w:fill="CFF0FC"/>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46.1%</w:t>
            </w:r>
          </w:p>
        </w:tc>
        <w:tc>
          <w:tcPr>
            <w:tcW w:w="0" w:type="dxa"/>
            <w:vAlign w:val="bottom"/>
          </w:tcPr>
          <w:p>
            <w:pPr>
              <w:spacing w:after="0"/>
              <w:rPr>
                <w:sz w:val="1"/>
                <w:szCs w:val="1"/>
                <w:color w:val="auto"/>
              </w:rPr>
            </w:pPr>
          </w:p>
        </w:tc>
      </w:tr>
      <w:tr>
        <w:trPr>
          <w:trHeight w:val="216"/>
        </w:trPr>
        <w:tc>
          <w:tcPr>
            <w:tcW w:w="5660" w:type="dxa"/>
            <w:vAlign w:val="bottom"/>
          </w:tcPr>
          <w:p>
            <w:pPr>
              <w:spacing w:after="0"/>
              <w:rPr>
                <w:sz w:val="20"/>
                <w:szCs w:val="20"/>
                <w:color w:val="auto"/>
              </w:rPr>
            </w:pPr>
            <w:r>
              <w:rPr>
                <w:rFonts w:ascii="Times New Roman" w:cs="Times New Roman" w:eastAsia="Times New Roman" w:hAnsi="Times New Roman"/>
                <w:sz w:val="18"/>
                <w:szCs w:val="18"/>
                <w:color w:val="auto"/>
              </w:rPr>
              <w:t>Illinois</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1,932</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w:t>
            </w:r>
          </w:p>
        </w:tc>
        <w:tc>
          <w:tcPr>
            <w:tcW w:w="3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2,942</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Tennessee</w:t>
            </w: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7,498</w:t>
            </w:r>
          </w:p>
        </w:tc>
        <w:tc>
          <w:tcPr>
            <w:tcW w:w="12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41.7</w:t>
            </w:r>
          </w:p>
        </w:tc>
        <w:tc>
          <w:tcPr>
            <w:tcW w:w="300" w:type="dxa"/>
            <w:vAlign w:val="bottom"/>
            <w:tcBorders>
              <w:bottom w:val="single" w:sz="8" w:color="CFF0FC"/>
            </w:tcBorders>
            <w:shd w:val="clear" w:color="auto" w:fill="CFF0FC"/>
          </w:tcPr>
          <w:p>
            <w:pPr>
              <w:spacing w:after="0"/>
              <w:rPr>
                <w:sz w:val="18"/>
                <w:szCs w:val="18"/>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6,161</w:t>
            </w:r>
          </w:p>
        </w:tc>
        <w:tc>
          <w:tcPr>
            <w:tcW w:w="12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36.5</w:t>
            </w:r>
          </w:p>
        </w:tc>
        <w:tc>
          <w:tcPr>
            <w:tcW w:w="18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660" w:type="dxa"/>
            <w:vAlign w:val="bottom"/>
          </w:tcPr>
          <w:p>
            <w:pPr>
              <w:spacing w:after="0"/>
              <w:rPr>
                <w:sz w:val="20"/>
                <w:szCs w:val="20"/>
                <w:color w:val="auto"/>
              </w:rPr>
            </w:pPr>
            <w:r>
              <w:rPr>
                <w:rFonts w:ascii="Times New Roman" w:cs="Times New Roman" w:eastAsia="Times New Roman" w:hAnsi="Times New Roman"/>
                <w:sz w:val="18"/>
                <w:szCs w:val="18"/>
                <w:color w:val="auto"/>
              </w:rPr>
              <w:t>Total home health segment net service revenues</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$17,985</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100.0%</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$16,880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100.0%</w:t>
            </w:r>
          </w:p>
        </w:tc>
        <w:tc>
          <w:tcPr>
            <w:tcW w:w="0" w:type="dxa"/>
            <w:vAlign w:val="bottom"/>
          </w:tcPr>
          <w:p>
            <w:pPr>
              <w:spacing w:after="0"/>
              <w:rPr>
                <w:sz w:val="1"/>
                <w:szCs w:val="1"/>
                <w:color w:val="auto"/>
              </w:rPr>
            </w:pPr>
          </w:p>
        </w:tc>
      </w:tr>
      <w:tr>
        <w:trPr>
          <w:trHeight w:val="20"/>
        </w:trPr>
        <w:tc>
          <w:tcPr>
            <w:tcW w:w="5660" w:type="dxa"/>
            <w:vAlign w:val="bottom"/>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4359910</wp:posOffset>
            </wp:positionH>
            <wp:positionV relativeFrom="paragraph">
              <wp:posOffset>-753745</wp:posOffset>
            </wp:positionV>
            <wp:extent cx="77470" cy="825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5208270</wp:posOffset>
            </wp:positionH>
            <wp:positionV relativeFrom="paragraph">
              <wp:posOffset>-753745</wp:posOffset>
            </wp:positionV>
            <wp:extent cx="111760" cy="825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111760" cy="8255"/>
                    </a:xfrm>
                    <a:prstGeom prst="rect">
                      <a:avLst/>
                    </a:prstGeom>
                    <a:noFill/>
                  </pic:spPr>
                </pic:pic>
              </a:graphicData>
            </a:graphic>
          </wp:anchor>
        </w:drawing>
        <w:drawing>
          <wp:anchor simplePos="0" relativeHeight="251657728" behindDoc="1" locked="0" layoutInCell="0" allowOverlap="1">
            <wp:simplePos x="0" y="0"/>
            <wp:positionH relativeFrom="column">
              <wp:posOffset>6168390</wp:posOffset>
            </wp:positionH>
            <wp:positionV relativeFrom="paragraph">
              <wp:posOffset>-753745</wp:posOffset>
            </wp:positionV>
            <wp:extent cx="77470" cy="825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7025640</wp:posOffset>
            </wp:positionH>
            <wp:positionV relativeFrom="paragraph">
              <wp:posOffset>-753745</wp:posOffset>
            </wp:positionV>
            <wp:extent cx="111760" cy="825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111760" cy="8255"/>
                    </a:xfrm>
                    <a:prstGeom prst="rect">
                      <a:avLst/>
                    </a:prstGeom>
                    <a:noFill/>
                  </pic:spPr>
                </pic:pic>
              </a:graphicData>
            </a:graphic>
          </wp:anchor>
        </w:drawing>
        <w:drawing>
          <wp:anchor simplePos="0" relativeHeight="251657728" behindDoc="1" locked="0" layoutInCell="0" allowOverlap="1">
            <wp:simplePos x="0" y="0"/>
            <wp:positionH relativeFrom="column">
              <wp:posOffset>4359910</wp:posOffset>
            </wp:positionH>
            <wp:positionV relativeFrom="paragraph">
              <wp:posOffset>-170815</wp:posOffset>
            </wp:positionV>
            <wp:extent cx="77470" cy="825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5208270</wp:posOffset>
            </wp:positionH>
            <wp:positionV relativeFrom="paragraph">
              <wp:posOffset>-170815</wp:posOffset>
            </wp:positionV>
            <wp:extent cx="111760" cy="825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111760" cy="8255"/>
                    </a:xfrm>
                    <a:prstGeom prst="rect">
                      <a:avLst/>
                    </a:prstGeom>
                    <a:noFill/>
                  </pic:spPr>
                </pic:pic>
              </a:graphicData>
            </a:graphic>
          </wp:anchor>
        </w:drawing>
        <w:drawing>
          <wp:anchor simplePos="0" relativeHeight="251657728" behindDoc="1" locked="0" layoutInCell="0" allowOverlap="1">
            <wp:simplePos x="0" y="0"/>
            <wp:positionH relativeFrom="column">
              <wp:posOffset>6168390</wp:posOffset>
            </wp:positionH>
            <wp:positionV relativeFrom="paragraph">
              <wp:posOffset>-170815</wp:posOffset>
            </wp:positionV>
            <wp:extent cx="77470" cy="825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7025640</wp:posOffset>
            </wp:positionH>
            <wp:positionV relativeFrom="paragraph">
              <wp:posOffset>-170815</wp:posOffset>
            </wp:positionV>
            <wp:extent cx="111760" cy="825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111760" cy="8255"/>
                    </a:xfrm>
                    <a:prstGeom prst="rect">
                      <a:avLst/>
                    </a:prstGeom>
                    <a:noFill/>
                  </pic:spPr>
                </pic:pic>
              </a:graphicData>
            </a:graphic>
          </wp:anchor>
        </w:drawing>
      </w:r>
    </w:p>
    <w:p>
      <w:pPr>
        <w:spacing w:after="0" w:line="245" w:lineRule="exact"/>
        <w:rPr>
          <w:sz w:val="20"/>
          <w:szCs w:val="20"/>
          <w:color w:val="auto"/>
        </w:rPr>
      </w:pPr>
    </w:p>
    <w:p>
      <w:pPr>
        <w:jc w:val="both"/>
        <w:ind w:right="40" w:firstLine="509"/>
        <w:spacing w:after="0" w:line="282" w:lineRule="auto"/>
        <w:rPr>
          <w:sz w:val="20"/>
          <w:szCs w:val="20"/>
          <w:color w:val="auto"/>
        </w:rPr>
      </w:pPr>
      <w:r>
        <w:rPr>
          <w:rFonts w:ascii="Times New Roman" w:cs="Times New Roman" w:eastAsia="Times New Roman" w:hAnsi="Times New Roman"/>
          <w:sz w:val="18"/>
          <w:szCs w:val="18"/>
          <w:color w:val="auto"/>
        </w:rPr>
        <w:t>The personal care segment derives a significant amount of its net service revenues in Illinois, which represented 33.0% and 38.3% of our net service revenues for the three months ended March 31, 2025 and 2024, respectively.</w:t>
      </w:r>
    </w:p>
    <w:p>
      <w:pPr>
        <w:spacing w:after="0" w:line="162" w:lineRule="exact"/>
        <w:rPr>
          <w:sz w:val="20"/>
          <w:szCs w:val="20"/>
          <w:color w:val="auto"/>
        </w:rPr>
      </w:pPr>
    </w:p>
    <w:p>
      <w:pPr>
        <w:ind w:right="140" w:firstLine="509"/>
        <w:spacing w:after="0" w:line="266" w:lineRule="auto"/>
        <w:rPr>
          <w:sz w:val="20"/>
          <w:szCs w:val="20"/>
          <w:color w:val="auto"/>
        </w:rPr>
      </w:pPr>
      <w:r>
        <w:rPr>
          <w:rFonts w:ascii="Times New Roman" w:cs="Times New Roman" w:eastAsia="Times New Roman" w:hAnsi="Times New Roman"/>
          <w:sz w:val="18"/>
          <w:szCs w:val="18"/>
          <w:color w:val="auto"/>
        </w:rPr>
        <w:t>A significant amount of our net service revenues are derived from one payor, the Illinois Department on Aging, the largest payor program for our Illinois personal care operations, which accounted for 18.5% and 20.8% of our net service revenues for the three months ended March 31, 2025 and 2024, respectively.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Illinois Reimbursement</w:t>
      </w:r>
    </w:p>
    <w:p>
      <w:pPr>
        <w:spacing w:after="0" w:line="229" w:lineRule="exact"/>
        <w:rPr>
          <w:sz w:val="20"/>
          <w:szCs w:val="20"/>
          <w:color w:val="auto"/>
        </w:rPr>
      </w:pPr>
    </w:p>
    <w:p>
      <w:pPr>
        <w:ind w:right="120" w:firstLine="509"/>
        <w:spacing w:after="0" w:line="266" w:lineRule="auto"/>
        <w:rPr>
          <w:sz w:val="20"/>
          <w:szCs w:val="20"/>
          <w:color w:val="auto"/>
        </w:rPr>
      </w:pPr>
      <w:r>
        <w:rPr>
          <w:rFonts w:ascii="Times New Roman" w:cs="Times New Roman" w:eastAsia="Times New Roman" w:hAnsi="Times New Roman"/>
          <w:sz w:val="18"/>
          <w:szCs w:val="18"/>
          <w:color w:val="auto"/>
        </w:rPr>
        <w:t>The Illinois Medicaid omnibus legislation passed in June 2023 included an increase in hourly rates for in-home care services to $28.07, which took effect on January 1, 2024 and required a minimum wage rate of $17.00 per hour. CMS approved an amendment to the Illinois HCBS Waiver for Persons Who are Elderly, which included the rate increase for in-home care services to $28.07, effective January 1, 2024.</w:t>
      </w:r>
    </w:p>
    <w:p>
      <w:pPr>
        <w:spacing w:after="0" w:line="176" w:lineRule="exact"/>
        <w:rPr>
          <w:sz w:val="20"/>
          <w:szCs w:val="20"/>
          <w:color w:val="auto"/>
        </w:rPr>
      </w:pPr>
    </w:p>
    <w:p>
      <w:pPr>
        <w:ind w:right="60" w:firstLine="509"/>
        <w:spacing w:after="0" w:line="266" w:lineRule="auto"/>
        <w:rPr>
          <w:sz w:val="20"/>
          <w:szCs w:val="20"/>
          <w:color w:val="auto"/>
        </w:rPr>
      </w:pPr>
      <w:r>
        <w:rPr>
          <w:rFonts w:ascii="Times New Roman" w:cs="Times New Roman" w:eastAsia="Times New Roman" w:hAnsi="Times New Roman"/>
          <w:sz w:val="18"/>
          <w:szCs w:val="18"/>
          <w:color w:val="auto"/>
        </w:rPr>
        <w:t>The Illinois fiscal year 2025 budget included an increase in hourly rates for in-home care services to $29.63, effective January 1, 2025, and required a minimum wage of $18.00 per hour for direct service workers. CMS approved an amendment to Illinois’ Persons Who are Elderly waiver program that included this rate increase, effective January 1, 2025.</w:t>
      </w:r>
    </w:p>
    <w:p>
      <w:pPr>
        <w:spacing w:after="0" w:line="176" w:lineRule="exact"/>
        <w:rPr>
          <w:sz w:val="20"/>
          <w:szCs w:val="20"/>
          <w:color w:val="auto"/>
        </w:rPr>
      </w:pPr>
    </w:p>
    <w:p>
      <w:pPr>
        <w:ind w:right="140" w:firstLine="509"/>
        <w:spacing w:after="0" w:line="282" w:lineRule="auto"/>
        <w:rPr>
          <w:sz w:val="20"/>
          <w:szCs w:val="20"/>
          <w:color w:val="auto"/>
        </w:rPr>
      </w:pPr>
      <w:r>
        <w:rPr>
          <w:rFonts w:ascii="Times New Roman" w:cs="Times New Roman" w:eastAsia="Times New Roman" w:hAnsi="Times New Roman"/>
          <w:sz w:val="18"/>
          <w:szCs w:val="18"/>
          <w:color w:val="auto"/>
        </w:rPr>
        <w:t>The City of Chicago requires the Chicago minimum wage to be adjusted annually based on increases in the Consumer Price Index (“CPI”), subject to a cap and other requirements. On July 1, 2024, the rate was adjusted to $16.20 based on the increase in the CPI.</w:t>
      </w:r>
    </w:p>
    <w:p>
      <w:pPr>
        <w:spacing w:after="0" w:line="162" w:lineRule="exact"/>
        <w:rPr>
          <w:sz w:val="20"/>
          <w:szCs w:val="20"/>
          <w:color w:val="auto"/>
        </w:rPr>
      </w:pPr>
    </w:p>
    <w:p>
      <w:pPr>
        <w:ind w:right="20" w:firstLine="509"/>
        <w:spacing w:after="0" w:line="266" w:lineRule="auto"/>
        <w:rPr>
          <w:sz w:val="20"/>
          <w:szCs w:val="20"/>
          <w:color w:val="auto"/>
        </w:rPr>
      </w:pPr>
      <w:r>
        <w:rPr>
          <w:rFonts w:ascii="Times New Roman" w:cs="Times New Roman" w:eastAsia="Times New Roman" w:hAnsi="Times New Roman"/>
          <w:sz w:val="18"/>
          <w:szCs w:val="18"/>
          <w:color w:val="auto"/>
        </w:rPr>
        <w:t>Our business will benefit from the rate increases noted above as planned for 2025, but there is no assurance that there will be additional rate increases in Illinois for fiscal years beyond fiscal year 2025 to offset increases to minimum wage, and our financial performance will be adversely impacted for any periods in which an additional offsetting reimbursement rate increase is not in effect.</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Impact of Changes in Medicare and Medicaid Reimbursement</w:t>
      </w:r>
    </w:p>
    <w:p>
      <w:pPr>
        <w:spacing w:after="0" w:line="11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Hospice</w:t>
      </w:r>
    </w:p>
    <w:p>
      <w:pPr>
        <w:spacing w:after="0" w:line="119" w:lineRule="exact"/>
        <w:rPr>
          <w:sz w:val="20"/>
          <w:szCs w:val="20"/>
          <w:color w:val="auto"/>
        </w:rPr>
      </w:pPr>
    </w:p>
    <w:p>
      <w:pPr>
        <w:ind w:right="140" w:firstLine="509"/>
        <w:spacing w:after="0" w:line="256" w:lineRule="auto"/>
        <w:rPr>
          <w:sz w:val="20"/>
          <w:szCs w:val="20"/>
          <w:color w:val="auto"/>
        </w:rPr>
      </w:pPr>
      <w:r>
        <w:rPr>
          <w:rFonts w:ascii="Times New Roman" w:cs="Times New Roman" w:eastAsia="Times New Roman" w:hAnsi="Times New Roman"/>
          <w:sz w:val="18"/>
          <w:szCs w:val="18"/>
          <w:color w:val="auto"/>
        </w:rPr>
        <w:t>Hospice services provided to Medicare beneficiaries are paid under the Medicare Hospice Prospective Payment System, under which CMS sets a daily rate for each day a patient is enrolled in the hospice benefit. The daily rate depends on the level of care provided to a patient (routine home care, continuous home care, inpatient respite care, or general inpatient care). Daily rates are adjusted for factors such as area wage levels. CMS updates hospice payment rates each federal fiscal year. Effective October 1, 2024, CMS increased hospice payment rates by 2.9%. This reflects a 3.4% market basket increase and a negative 0.5 percentage point productivity adjustment. Hospices that do not satisfy quality reporting requirements are subject to a 4-percentage point reduction to the market basket update.</w:t>
      </w:r>
    </w:p>
    <w:p>
      <w:pPr>
        <w:spacing w:after="0" w:line="79" w:lineRule="exact"/>
        <w:rPr>
          <w:sz w:val="20"/>
          <w:szCs w:val="20"/>
          <w:color w:val="auto"/>
        </w:rPr>
      </w:pPr>
    </w:p>
    <w:p>
      <w:pPr>
        <w:ind w:right="20" w:firstLine="509"/>
        <w:spacing w:after="0" w:line="256" w:lineRule="auto"/>
        <w:rPr>
          <w:sz w:val="20"/>
          <w:szCs w:val="20"/>
          <w:color w:val="auto"/>
        </w:rPr>
      </w:pPr>
      <w:r>
        <w:rPr>
          <w:rFonts w:ascii="Times New Roman" w:cs="Times New Roman" w:eastAsia="Times New Roman" w:hAnsi="Times New Roman"/>
          <w:sz w:val="18"/>
          <w:szCs w:val="18"/>
          <w:color w:val="auto"/>
        </w:rPr>
        <w:t>Overall payments made by Medicare to each hospice provider number are subject to an inpatient cap and an aggregate cap. The inpatient cap limits the number of days of inpatient care for which Medicare will pay to no more than 20% of total patient care days. Days in excess of the limitation are paid at the routine home care rate. The aggregate cap limits the total Medicare reimbursement that a hospice may receive in a cap year (typically the federal fiscal year) based on an annual per-beneficiary cap amount, which is set each federal fiscal year, and the number of Medicare patients served. The per-beneficiary cap amount was updated to $34,465.34 for federal fiscal year 2025. If a hospice’s Medicare payments exceed its inpatient or aggregate caps, it must repay Medicare the excess amount.</w:t>
      </w:r>
    </w:p>
    <w:p>
      <w:pPr>
        <w:sectPr>
          <w:pgSz w:w="11900" w:h="16838" w:orient="portrait"/>
          <w:cols w:equalWidth="0" w:num="1">
            <w:col w:w="11240"/>
          </w:cols>
          <w:pgMar w:left="320" w:top="765" w:right="339" w:bottom="1440" w:gutter="0" w:footer="0" w:header="0"/>
        </w:sectPr>
      </w:pP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487680</wp:posOffset>
            </wp:positionV>
            <wp:extent cx="7157720" cy="4254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type w:val="continuous"/>
        </w:sectPr>
      </w:pPr>
    </w:p>
    <w:bookmarkStart w:id="21" w:name="page22"/>
    <w:bookmarkEnd w:id="21"/>
    <w:p>
      <w:pPr>
        <w:spacing w:after="0"/>
        <w:rPr>
          <w:sz w:val="20"/>
          <w:szCs w:val="20"/>
          <w:color w:val="auto"/>
        </w:rPr>
      </w:pPr>
      <w:r>
        <w:rPr>
          <w:rFonts w:ascii="Times New Roman" w:cs="Times New Roman" w:eastAsia="Times New Roman" w:hAnsi="Times New Roman"/>
          <w:sz w:val="18"/>
          <w:szCs w:val="18"/>
          <w:b w:val="1"/>
          <w:bCs w:val="1"/>
          <w:u w:val="single" w:color="auto"/>
          <w:color w:val="0563C1"/>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-5080</wp:posOffset>
            </wp:positionV>
            <wp:extent cx="869315" cy="825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869315" cy="8255"/>
                    </a:xfrm>
                    <a:prstGeom prst="rect">
                      <a:avLst/>
                    </a:prstGeom>
                    <a:noFill/>
                  </pic:spPr>
                </pic:pic>
              </a:graphicData>
            </a:graphic>
          </wp:anchor>
        </w:drawing>
      </w:r>
    </w:p>
    <w:p>
      <w:pPr>
        <w:spacing w:after="0" w:line="31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Home Health</w:t>
      </w:r>
    </w:p>
    <w:p>
      <w:pPr>
        <w:spacing w:after="0" w:line="119"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Home health services provided to Medicare beneficiaries are paid under the Medicare Home Health Prospective Payment System (“HHPPS”), which uses national, standardized 30-day period payment rates for periods of care that meet a certain threshold of home health visits (periods of care that do not meet the visit threshold are paid a per-visit payment rate for the discipline providing care). Although payment is made for each 30-day period, the HHPPS permits continuous 60-day certification periods through which beneficiaries are verified as eligible for the home health benefit. The daily home health payment rate is adjusted for case-mix and area wage levels. CMS uses the Patient-Driven Groupings Model (“PDGM”) as the case-mix classification model to place periods of care into payment categories, classifying patients based on clinical characteristics and their resource needs. An outlier adjustment may be paid for periods of care where costs exceed a specific threshold amount.</w:t>
      </w:r>
    </w:p>
    <w:p>
      <w:pPr>
        <w:spacing w:after="0" w:line="81" w:lineRule="exact"/>
        <w:rPr>
          <w:sz w:val="20"/>
          <w:szCs w:val="20"/>
          <w:color w:val="auto"/>
        </w:rPr>
      </w:pPr>
    </w:p>
    <w:p>
      <w:pPr>
        <w:ind w:right="200" w:firstLine="509"/>
        <w:spacing w:after="0" w:line="255" w:lineRule="auto"/>
        <w:rPr>
          <w:sz w:val="20"/>
          <w:szCs w:val="20"/>
          <w:color w:val="auto"/>
        </w:rPr>
      </w:pPr>
      <w:r>
        <w:rPr>
          <w:rFonts w:ascii="Times New Roman" w:cs="Times New Roman" w:eastAsia="Times New Roman" w:hAnsi="Times New Roman"/>
          <w:sz w:val="18"/>
          <w:szCs w:val="18"/>
          <w:color w:val="auto"/>
        </w:rPr>
        <w:t>CMS updates the HHPPS payment rates each calendar year. For calendar year 2025, CMS estimates that Medicare payments to home health agencies will increase by 0.5%. This is based on a home health payment update percentage of 2.7%, which reflects a 3.2% market basket update, reduced by a productivity adjustment of 0.5 percentage points, and an estimated 1.8% decrease associated with the transition to the PDGM, among other changes. Home health providers that do not comply with quality data reporting requirements are subject to a 2-percentage point reduction to their market basket update. In addition, Medicare requires home health agencies to submit a one-time Notice of Admission (“NOA”) for each patient that establishes that the beneficiary is under a Medicare home health period of care. Failure to submit the NOA within five calendar days from the start of care will result in a reduction to the 30-day period payment amount for each day from the start of care date until the date the NOA is submitted.</w:t>
      </w:r>
    </w:p>
    <w:p>
      <w:pPr>
        <w:spacing w:after="0" w:line="81" w:lineRule="exact"/>
        <w:rPr>
          <w:sz w:val="20"/>
          <w:szCs w:val="20"/>
          <w:color w:val="auto"/>
        </w:rPr>
      </w:pPr>
    </w:p>
    <w:p>
      <w:pPr>
        <w:ind w:right="240" w:firstLine="509"/>
        <w:spacing w:after="0" w:line="261" w:lineRule="auto"/>
        <w:rPr>
          <w:sz w:val="20"/>
          <w:szCs w:val="20"/>
          <w:color w:val="auto"/>
        </w:rPr>
      </w:pPr>
      <w:r>
        <w:rPr>
          <w:rFonts w:ascii="Times New Roman" w:cs="Times New Roman" w:eastAsia="Times New Roman" w:hAnsi="Times New Roman"/>
          <w:sz w:val="18"/>
          <w:szCs w:val="18"/>
          <w:color w:val="auto"/>
        </w:rPr>
        <w:t>Under the nationwide Home Health Value-Based Purchasing (“HHVBP”) Model, home health agencies receive increases or decreases to their Medicare fee-for-service payments of up to 5% based on performance against specific quality measures relative to the performance of other home health providers. Data collected in each performance year will impact Medicare payments two years later. This program has not had a material impact on our results of operations or financial position.</w:t>
      </w:r>
    </w:p>
    <w:p>
      <w:pPr>
        <w:spacing w:after="0" w:line="72" w:lineRule="exact"/>
        <w:rPr>
          <w:sz w:val="20"/>
          <w:szCs w:val="20"/>
          <w:color w:val="auto"/>
        </w:rPr>
      </w:pPr>
    </w:p>
    <w:p>
      <w:pPr>
        <w:ind w:right="40" w:firstLine="509"/>
        <w:spacing w:after="0" w:line="256" w:lineRule="auto"/>
        <w:rPr>
          <w:sz w:val="20"/>
          <w:szCs w:val="20"/>
          <w:color w:val="auto"/>
        </w:rPr>
      </w:pPr>
      <w:r>
        <w:rPr>
          <w:rFonts w:ascii="Times New Roman" w:cs="Times New Roman" w:eastAsia="Times New Roman" w:hAnsi="Times New Roman"/>
          <w:sz w:val="18"/>
          <w:szCs w:val="18"/>
          <w:color w:val="auto"/>
        </w:rPr>
        <w:t>In certain states, payment of claims may be impacted by the Review Choice Demonstration for Home Health Services, a program intended to identify and prevent fraud, reduce the number of Medicare appeals and improve provider compliance with Medicare program requirements. The program is currently limited to home health agencies in Illinois, Ohio, Oklahoma, North Carolina, Florida, and Texas. Providers in states subject to the Review Choice Demonstration for Home Health Services may initially select either pre-claim review or post-payment review. Home health agencies that maintain high compliance levels are eligible for additional options that may be less burdensome. This program has not had a material impact on our results of operations or financial position.</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CMS Final Rule: “Ensuring Access to Medicaid Services”</w:t>
      </w:r>
    </w:p>
    <w:p>
      <w:pPr>
        <w:spacing w:after="0" w:line="229" w:lineRule="exact"/>
        <w:rPr>
          <w:sz w:val="20"/>
          <w:szCs w:val="20"/>
          <w:color w:val="auto"/>
        </w:rPr>
      </w:pPr>
    </w:p>
    <w:p>
      <w:pPr>
        <w:ind w:right="80" w:firstLine="509"/>
        <w:spacing w:after="0" w:line="254" w:lineRule="auto"/>
        <w:rPr>
          <w:sz w:val="20"/>
          <w:szCs w:val="20"/>
          <w:color w:val="auto"/>
        </w:rPr>
      </w:pPr>
      <w:r>
        <w:rPr>
          <w:rFonts w:ascii="Times New Roman" w:cs="Times New Roman" w:eastAsia="Times New Roman" w:hAnsi="Times New Roman"/>
          <w:sz w:val="18"/>
          <w:szCs w:val="18"/>
          <w:color w:val="auto"/>
        </w:rPr>
        <w:t>In May 2024, CMS finalized a rule intended to improve access to services and quality of care for Medicaid beneficiaries across fee-for-service and managed care delivery systems. The final rule includes significant provisions related to HCBS, including the “80/20” or “payment adequacy” requirement, which will require states to ensure that at least 80% of all Medicaid payments a provider receives for homemaker, home health aide, and personal care services, less certain excluded costs, under specified programs are spent on total compensation (including benefits) for direct care workers furnishing these services, rather than administrative overhead or profit, subject to limited exceptions. States are required to ensure compliance with the 80/20 requirement by mid-2030. The final rule includes several other measures intended to promote transparency and enhance quality and access to services, including a variety of reporting requirements for states. Given the very long implementation period and the likelihood of further changes as a result of litigation, administration and congressional changes, further rule-making and state changes in response to the final rule, it is premature to predict the ultimate impact of the final rule on our business.</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Developments in Public Policy</w:t>
      </w:r>
    </w:p>
    <w:p>
      <w:pPr>
        <w:spacing w:after="0" w:line="229" w:lineRule="exact"/>
        <w:rPr>
          <w:sz w:val="20"/>
          <w:szCs w:val="20"/>
          <w:color w:val="auto"/>
        </w:rPr>
      </w:pPr>
    </w:p>
    <w:p>
      <w:pPr>
        <w:ind w:right="40" w:firstLine="509"/>
        <w:spacing w:after="0" w:line="253" w:lineRule="auto"/>
        <w:rPr>
          <w:sz w:val="20"/>
          <w:szCs w:val="20"/>
          <w:color w:val="auto"/>
        </w:rPr>
      </w:pPr>
      <w:r>
        <w:rPr>
          <w:rFonts w:ascii="Times New Roman" w:cs="Times New Roman" w:eastAsia="Times New Roman" w:hAnsi="Times New Roman"/>
          <w:sz w:val="18"/>
          <w:szCs w:val="18"/>
          <w:color w:val="auto"/>
        </w:rPr>
        <w:t>The outcome of the 2024 federal election increased regulatory uncertainty and the potential for significant policy changes. President Trump has issued executive orders that impact or may impact the healthcare industry, including an order establishing a presidential advisory commission, the Department of Government Efficiency (“DOGE”), focused on restructuring and streamlining government agencies and reducing or eliminating regulations and federal government programs and other expenditures. In March 2025, the Department of Health and Human Services (“HHS”) announced a significant restructuring in accordance with the President’s DOGE Workforce Optimization Initiative. The restructuring will reduce the HHS workforce and consolidate divisions of HHS, including integrating some functions of the Administration for Community Living, which administers programs that support older adults, into other HHS agencies. HHS also announced a change in its policy on public participation in rulemaking that may negatively affect the ability of industry participants to receive advance notice of and offer feedback on some policy changes. In addition, recent actions by the presidential administration have resulted in holds on or cancellations of congressionally authorized spending as well as interruptions in the distribution of governmental funds.</w:t>
      </w:r>
    </w:p>
    <w:p>
      <w:pPr>
        <w:spacing w:after="0" w:line="1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487680</wp:posOffset>
            </wp:positionV>
            <wp:extent cx="7157720" cy="4254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b w:val="1"/>
          <w:bCs w:val="1"/>
          <w:u w:val="single" w:color="auto"/>
          <w:color w:val="0563C1"/>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-5080</wp:posOffset>
            </wp:positionV>
            <wp:extent cx="869315" cy="825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869315" cy="8255"/>
                    </a:xfrm>
                    <a:prstGeom prst="rect">
                      <a:avLst/>
                    </a:prstGeom>
                    <a:noFill/>
                  </pic:spPr>
                </pic:pic>
              </a:graphicData>
            </a:graphic>
          </wp:anchor>
        </w:drawing>
      </w:r>
    </w:p>
    <w:p>
      <w:pPr>
        <w:spacing w:after="0" w:line="200" w:lineRule="exact"/>
        <w:rPr>
          <w:sz w:val="20"/>
          <w:szCs w:val="20"/>
          <w:color w:val="auto"/>
        </w:rPr>
      </w:pPr>
    </w:p>
    <w:p>
      <w:pPr>
        <w:spacing w:after="0" w:line="225" w:lineRule="exact"/>
        <w:rPr>
          <w:sz w:val="20"/>
          <w:szCs w:val="20"/>
          <w:color w:val="auto"/>
        </w:rPr>
      </w:pPr>
    </w:p>
    <w:p>
      <w:pPr>
        <w:ind w:right="20" w:firstLine="509"/>
        <w:spacing w:after="0" w:line="254" w:lineRule="auto"/>
        <w:rPr>
          <w:sz w:val="20"/>
          <w:szCs w:val="20"/>
          <w:color w:val="auto"/>
        </w:rPr>
      </w:pPr>
      <w:r>
        <w:rPr>
          <w:rFonts w:ascii="Times New Roman" w:cs="Times New Roman" w:eastAsia="Times New Roman" w:hAnsi="Times New Roman"/>
          <w:sz w:val="18"/>
          <w:szCs w:val="18"/>
          <w:color w:val="auto"/>
        </w:rPr>
        <w:t>Home care and other healthcare providers may be significantly impacted by changes to the Medicaid program, including changes resulting from legislation and administrative actions at the federal and state levels. Federal actions may impact funding for, or the structure of, the Medicaid program, including through changes to Medicaid waiver programs, and may shape provider reimbursement rates, eligibility and coverage policies, and other aspects of state Medicaid programs. Currently, the federal government pays a percentage match for state Medicaid expenditures that varies by state and other factors, with no pre-set limit on federal spending. However, some members of Congress and the presidential administration have raised, and Congress may in the future adopt, proposals to reduce and restructure Medicaid expenditures. Reduced funding for Medicaid or changes to Medicaid waiver programs could put pressure on state budgets and result in reductions to Medicaid payments, scope of coverage and enrollment. Such reductions could, in turn, affect our reimbursements for services rendered.</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Components of our Statements of Income</w:t>
      </w:r>
    </w:p>
    <w:p>
      <w:pPr>
        <w:spacing w:after="0" w:line="11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Net Service Revenues</w:t>
      </w:r>
    </w:p>
    <w:p>
      <w:pPr>
        <w:spacing w:after="0" w:line="119" w:lineRule="exact"/>
        <w:rPr>
          <w:sz w:val="20"/>
          <w:szCs w:val="20"/>
          <w:color w:val="auto"/>
        </w:rPr>
      </w:pPr>
    </w:p>
    <w:p>
      <w:pPr>
        <w:ind w:right="40" w:firstLine="509"/>
        <w:spacing w:after="0" w:line="266" w:lineRule="auto"/>
        <w:rPr>
          <w:sz w:val="20"/>
          <w:szCs w:val="20"/>
          <w:color w:val="auto"/>
        </w:rPr>
      </w:pPr>
      <w:r>
        <w:rPr>
          <w:rFonts w:ascii="Times New Roman" w:cs="Times New Roman" w:eastAsia="Times New Roman" w:hAnsi="Times New Roman"/>
          <w:sz w:val="18"/>
          <w:szCs w:val="18"/>
          <w:color w:val="auto"/>
        </w:rPr>
        <w:t>We generate net service revenues by providing our services directly to consumers and primarily on an hourly basis in our personal care segment, on a daily basis in our hospice segment, and on an episodic basis in our home health segment. We receive payment for providing such services from our private consumers and payors, including federal, state, and local governmental agencies, managed care organizations, and commercial insurers.</w:t>
      </w:r>
    </w:p>
    <w:p>
      <w:pPr>
        <w:spacing w:after="0" w:line="68" w:lineRule="exact"/>
        <w:rPr>
          <w:sz w:val="20"/>
          <w:szCs w:val="20"/>
          <w:color w:val="auto"/>
        </w:rPr>
      </w:pPr>
    </w:p>
    <w:p>
      <w:pPr>
        <w:ind w:right="60" w:firstLine="509"/>
        <w:spacing w:after="0" w:line="256" w:lineRule="auto"/>
        <w:rPr>
          <w:sz w:val="20"/>
          <w:szCs w:val="20"/>
          <w:color w:val="auto"/>
        </w:rPr>
      </w:pPr>
      <w:r>
        <w:rPr>
          <w:rFonts w:ascii="Times New Roman" w:cs="Times New Roman" w:eastAsia="Times New Roman" w:hAnsi="Times New Roman"/>
          <w:sz w:val="18"/>
          <w:szCs w:val="18"/>
          <w:color w:val="auto"/>
        </w:rPr>
        <w:t>In our personal care segment, net service revenues are principally provided based on authorized hours, determined by the relevant agency, at an hourly rate, which is either contractual or fixed by legislation, and are recognized at the time services are rendered. In our hospice segment, net service revenues are provided based on daily rates for each of the levels of care and are recognized as services are provided. In our home health segment, net service revenues are based on an episodic basis at a stated rate and recognized based on the number of days elapsed during a period of care within the reporting period. We also record estimated implicit price concessions (based primarily on historical collection experience) related to uninsured accounts to record revenues.</w:t>
      </w:r>
    </w:p>
    <w:p>
      <w:pPr>
        <w:spacing w:after="0" w:line="29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Cost of Service Revenues</w:t>
      </w:r>
    </w:p>
    <w:p>
      <w:pPr>
        <w:spacing w:after="0" w:line="119" w:lineRule="exact"/>
        <w:rPr>
          <w:sz w:val="20"/>
          <w:szCs w:val="20"/>
          <w:color w:val="auto"/>
        </w:rPr>
      </w:pPr>
    </w:p>
    <w:p>
      <w:pPr>
        <w:ind w:right="460" w:firstLine="509"/>
        <w:spacing w:after="0" w:line="266" w:lineRule="auto"/>
        <w:rPr>
          <w:sz w:val="20"/>
          <w:szCs w:val="20"/>
          <w:color w:val="auto"/>
        </w:rPr>
      </w:pPr>
      <w:r>
        <w:rPr>
          <w:rFonts w:ascii="Times New Roman" w:cs="Times New Roman" w:eastAsia="Times New Roman" w:hAnsi="Times New Roman"/>
          <w:sz w:val="18"/>
          <w:szCs w:val="18"/>
          <w:color w:val="auto"/>
        </w:rPr>
        <w:t>We incur direct care wages, payroll taxes, and benefit-related costs in connection with providing our services. We also provide workers’ compensation and general liability coverage for our employees. Employees are also reimbursed for their travel time and related travel costs in certain instances.</w:t>
      </w:r>
    </w:p>
    <w:p>
      <w:pPr>
        <w:spacing w:after="0" w:line="28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General and Administrative Expenses</w:t>
      </w:r>
    </w:p>
    <w:p>
      <w:pPr>
        <w:spacing w:after="0" w:line="119" w:lineRule="exact"/>
        <w:rPr>
          <w:sz w:val="20"/>
          <w:szCs w:val="20"/>
          <w:color w:val="auto"/>
        </w:rPr>
      </w:pPr>
    </w:p>
    <w:p>
      <w:pPr>
        <w:ind w:right="200" w:firstLine="509"/>
        <w:spacing w:after="0" w:line="254" w:lineRule="auto"/>
        <w:rPr>
          <w:sz w:val="20"/>
          <w:szCs w:val="20"/>
          <w:color w:val="auto"/>
        </w:rPr>
      </w:pPr>
      <w:r>
        <w:rPr>
          <w:rFonts w:ascii="Times New Roman" w:cs="Times New Roman" w:eastAsia="Times New Roman" w:hAnsi="Times New Roman"/>
          <w:sz w:val="18"/>
          <w:szCs w:val="18"/>
          <w:color w:val="auto"/>
        </w:rPr>
        <w:t>Our general and administrative expenses include our costs for operating our network of local agencies and our administrative offices. Our agency expenses consist of costs for supervisory personnel, our community care supervisors, and office administrative costs. Personnel costs include wages, payroll taxes, and employee benefits. Facility costs include rents, utilities, and postage, telephone, and office expenses. Our corporate and support center expenses include costs for accounting, information systems, human resources, billing and collections, contracting, marketing, and executive leadership. These expenses consist of compensation, including stock-based compensation, payroll taxes, employee benefits, legal, accounting and other professional fees, travel, general insurance, rents, provision for doubtful accounts, and related facility costs. Expenses related to streamlining our operations such as costs related to terminated employees, termination of professional services relationships, other contract termination costs, and asset write-offs are also included in general and administrative expenses.</w:t>
      </w:r>
    </w:p>
    <w:p>
      <w:pPr>
        <w:spacing w:after="0" w:line="298"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Depreciation and Amortization Expenses</w:t>
      </w:r>
    </w:p>
    <w:p>
      <w:pPr>
        <w:spacing w:after="0" w:line="119"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Depreciable assets consist principally of furniture and equipment, network administration and telephone equipment, and operating system software. Depreciable and leasehold assets are depreciated or amortized on a straight-line method over their useful lives or, if less and if applicable, their lease terms. We amortize our intangible assets with finite lives, consisting of customer and referral relationships, trade names, trademarks, and non-competition agreements, using straight line or accelerated methods based upon their estimated useful lives.</w:t>
      </w:r>
    </w:p>
    <w:p>
      <w:pPr>
        <w:spacing w:after="0" w:line="28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Interest Expense</w:t>
      </w:r>
    </w:p>
    <w:p>
      <w:pPr>
        <w:spacing w:after="0" w:line="11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Interest expense is reported when incurred and principally consists of interest and unused credit line fees on the credit facility.</w:t>
      </w:r>
    </w:p>
    <w:p>
      <w:pPr>
        <w:spacing w:after="0" w:line="33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Income Tax Expense</w:t>
      </w:r>
    </w:p>
    <w:p>
      <w:pPr>
        <w:spacing w:after="0" w:line="119" w:lineRule="exact"/>
        <w:rPr>
          <w:sz w:val="20"/>
          <w:szCs w:val="20"/>
          <w:color w:val="auto"/>
        </w:rPr>
      </w:pPr>
    </w:p>
    <w:p>
      <w:pPr>
        <w:ind w:right="20" w:firstLine="509"/>
        <w:spacing w:after="0" w:line="261" w:lineRule="auto"/>
        <w:rPr>
          <w:sz w:val="20"/>
          <w:szCs w:val="20"/>
          <w:color w:val="auto"/>
        </w:rPr>
      </w:pPr>
      <w:r>
        <w:rPr>
          <w:rFonts w:ascii="Times New Roman" w:cs="Times New Roman" w:eastAsia="Times New Roman" w:hAnsi="Times New Roman"/>
          <w:sz w:val="18"/>
          <w:szCs w:val="18"/>
          <w:color w:val="auto"/>
        </w:rPr>
        <w:t>All of our income is from domestic sources. We incur state and local taxes in states in which we operate. The effective income tax rate was 21.4% and 25.7% for the three months ended March 31, 2025 and 2024, respectively, compared to our federal statutory rate of 21%. The difference between our federal statutory and effective income tax rates was principally due to the inclusion of state taxes, non-deductible compensation, excess tax expense/benefit and the use of federal employment tax credits.</w:t>
      </w:r>
    </w:p>
    <w:p>
      <w:pPr>
        <w:sectPr>
          <w:pgSz w:w="11900" w:h="16838" w:orient="portrait"/>
          <w:cols w:equalWidth="0" w:num="1">
            <w:col w:w="11200"/>
          </w:cols>
          <w:pgMar w:left="320" w:top="765" w:right="379" w:bottom="1440" w:gutter="0" w:footer="0" w:header="0"/>
        </w:sectPr>
      </w:pPr>
    </w:p>
    <w:p>
      <w:pPr>
        <w:spacing w:after="0" w:line="18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487680</wp:posOffset>
            </wp:positionV>
            <wp:extent cx="7157720" cy="4254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765" w:right="379" w:bottom="1440" w:gutter="0" w:footer="0" w:header="0"/>
          <w:type w:val="continuous"/>
        </w:sectPr>
      </w:pPr>
    </w:p>
    <w:bookmarkStart w:id="23" w:name="page24"/>
    <w:bookmarkEnd w:id="23"/>
    <w:p>
      <w:pPr>
        <w:spacing w:after="0"/>
        <w:rPr>
          <w:sz w:val="20"/>
          <w:szCs w:val="20"/>
          <w:color w:val="auto"/>
        </w:rPr>
      </w:pPr>
      <w:r>
        <w:rPr>
          <w:rFonts w:ascii="Times New Roman" w:cs="Times New Roman" w:eastAsia="Times New Roman" w:hAnsi="Times New Roman"/>
          <w:sz w:val="18"/>
          <w:szCs w:val="18"/>
          <w:b w:val="1"/>
          <w:bCs w:val="1"/>
          <w:u w:val="single" w:color="auto"/>
          <w:color w:val="0563C1"/>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-5080</wp:posOffset>
            </wp:positionV>
            <wp:extent cx="869315" cy="825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869315" cy="8255"/>
                    </a:xfrm>
                    <a:prstGeom prst="rect">
                      <a:avLst/>
                    </a:prstGeom>
                    <a:noFill/>
                  </pic:spPr>
                </pic:pic>
              </a:graphicData>
            </a:graphic>
          </wp:anchor>
        </w:drawing>
      </w: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Results of Operations — Consolidated</w:t>
      </w:r>
    </w:p>
    <w:p>
      <w:pPr>
        <w:spacing w:after="0" w:line="11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Three Months Ended March 31, 2025 Compared to Three Months Ended March 31, 2024</w:t>
      </w:r>
    </w:p>
    <w:p>
      <w:pPr>
        <w:spacing w:after="0" w:line="11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sets forth our unaudited condensed consolidated results of operations.</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46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2620" w:type="dxa"/>
            <w:vAlign w:val="bottom"/>
            <w:tcBorders>
              <w:bottom w:val="single" w:sz="8" w:color="auto"/>
            </w:tcBorders>
            <w:gridSpan w:val="9"/>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For the Three Months Ended March 31,</w:t>
            </w:r>
          </w:p>
        </w:tc>
        <w:tc>
          <w:tcPr>
            <w:tcW w:w="80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60" w:type="dxa"/>
            <w:vAlign w:val="bottom"/>
            <w:gridSpan w:val="3"/>
            <w:vMerge w:val="restart"/>
          </w:tcPr>
          <w:p>
            <w:pPr>
              <w:ind w:left="58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446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gridSpan w:val="3"/>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840" w:type="dxa"/>
            <w:vAlign w:val="bottom"/>
            <w:tcBorders>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gridSpan w:val="3"/>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800" w:type="dxa"/>
            <w:vAlign w:val="bottom"/>
            <w:tcBorders>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160" w:type="dxa"/>
            <w:vAlign w:val="bottom"/>
            <w:tcBorders>
              <w:bottom w:val="single" w:sz="8" w:color="auto"/>
            </w:tcBorders>
            <w:gridSpan w:val="3"/>
            <w:vMerge w:val="continue"/>
          </w:tcPr>
          <w:p>
            <w:pPr>
              <w:spacing w:after="0"/>
              <w:rPr>
                <w:sz w:val="12"/>
                <w:szCs w:val="12"/>
                <w:color w:val="auto"/>
              </w:rPr>
            </w:pPr>
          </w:p>
        </w:tc>
        <w:tc>
          <w:tcPr>
            <w:tcW w:w="600" w:type="dxa"/>
            <w:vAlign w:val="bottom"/>
            <w:tcBorders>
              <w:bottom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1"/>
        </w:trPr>
        <w:tc>
          <w:tcPr>
            <w:tcW w:w="44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jc w:val="center"/>
              <w:ind w:right="13"/>
              <w:spacing w:after="0" w:line="131" w:lineRule="exact"/>
              <w:rPr>
                <w:sz w:val="20"/>
                <w:szCs w:val="20"/>
                <w:color w:val="auto"/>
              </w:rPr>
            </w:pPr>
            <w:r>
              <w:rPr>
                <w:rFonts w:ascii="Times New Roman" w:cs="Times New Roman" w:eastAsia="Times New Roman" w:hAnsi="Times New Roman"/>
                <w:sz w:val="14"/>
                <w:szCs w:val="14"/>
                <w:b w:val="1"/>
                <w:bCs w:val="1"/>
                <w:color w:val="auto"/>
              </w:rPr>
              <w:t>% Of</w:t>
            </w: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jc w:val="center"/>
              <w:ind w:right="13"/>
              <w:spacing w:after="0" w:line="131" w:lineRule="exact"/>
              <w:rPr>
                <w:sz w:val="20"/>
                <w:szCs w:val="20"/>
                <w:color w:val="auto"/>
              </w:rPr>
            </w:pPr>
            <w:r>
              <w:rPr>
                <w:rFonts w:ascii="Times New Roman" w:cs="Times New Roman" w:eastAsia="Times New Roman" w:hAnsi="Times New Roman"/>
                <w:sz w:val="14"/>
                <w:szCs w:val="14"/>
                <w:b w:val="1"/>
                <w:bCs w:val="1"/>
                <w:color w:val="auto"/>
              </w:rPr>
              <w:t>% Of</w:t>
            </w: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4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vMerge w:val="restart"/>
          </w:tcPr>
          <w:p>
            <w:pPr>
              <w:jc w:val="right"/>
              <w:ind w:right="72"/>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40" w:type="dxa"/>
            <w:vAlign w:val="bottom"/>
            <w:vMerge w:val="restart"/>
          </w:tcPr>
          <w:p>
            <w:pPr>
              <w:spacing w:after="0"/>
              <w:rPr>
                <w:sz w:val="12"/>
                <w:szCs w:val="12"/>
                <w:color w:val="auto"/>
              </w:rPr>
            </w:pPr>
          </w:p>
        </w:tc>
        <w:tc>
          <w:tcPr>
            <w:tcW w:w="80" w:type="dxa"/>
            <w:vAlign w:val="bottom"/>
            <w:vMerge w:val="restart"/>
          </w:tcPr>
          <w:p>
            <w:pPr>
              <w:spacing w:after="0"/>
              <w:rPr>
                <w:sz w:val="12"/>
                <w:szCs w:val="12"/>
                <w:color w:val="auto"/>
              </w:rPr>
            </w:pPr>
          </w:p>
        </w:tc>
        <w:tc>
          <w:tcPr>
            <w:tcW w:w="920" w:type="dxa"/>
            <w:vAlign w:val="bottom"/>
            <w:gridSpan w:val="2"/>
          </w:tcPr>
          <w:p>
            <w:pPr>
              <w:jc w:val="center"/>
              <w:ind w:right="108"/>
              <w:spacing w:after="0" w:line="149" w:lineRule="exact"/>
              <w:rPr>
                <w:sz w:val="20"/>
                <w:szCs w:val="20"/>
                <w:color w:val="auto"/>
              </w:rPr>
            </w:pPr>
            <w:r>
              <w:rPr>
                <w:rFonts w:ascii="Times New Roman" w:cs="Times New Roman" w:eastAsia="Times New Roman" w:hAnsi="Times New Roman"/>
                <w:sz w:val="14"/>
                <w:szCs w:val="14"/>
                <w:b w:val="1"/>
                <w:bCs w:val="1"/>
                <w:color w:val="auto"/>
              </w:rPr>
              <w:t>Net Service</w:t>
            </w: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vMerge w:val="restart"/>
          </w:tcPr>
          <w:p>
            <w:pPr>
              <w:jc w:val="right"/>
              <w:ind w:right="52"/>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20" w:type="dxa"/>
            <w:vAlign w:val="bottom"/>
            <w:vMerge w:val="restart"/>
          </w:tcPr>
          <w:p>
            <w:pPr>
              <w:spacing w:after="0"/>
              <w:rPr>
                <w:sz w:val="12"/>
                <w:szCs w:val="12"/>
                <w:color w:val="auto"/>
              </w:rPr>
            </w:pPr>
          </w:p>
        </w:tc>
        <w:tc>
          <w:tcPr>
            <w:tcW w:w="80" w:type="dxa"/>
            <w:vAlign w:val="bottom"/>
            <w:vMerge w:val="restart"/>
          </w:tcPr>
          <w:p>
            <w:pPr>
              <w:spacing w:after="0"/>
              <w:rPr>
                <w:sz w:val="12"/>
                <w:szCs w:val="12"/>
                <w:color w:val="auto"/>
              </w:rPr>
            </w:pPr>
          </w:p>
        </w:tc>
        <w:tc>
          <w:tcPr>
            <w:tcW w:w="880" w:type="dxa"/>
            <w:vAlign w:val="bottom"/>
            <w:gridSpan w:val="2"/>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Net Service</w:t>
            </w: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20" w:type="dxa"/>
            <w:vAlign w:val="bottom"/>
            <w:vMerge w:val="restart"/>
          </w:tcPr>
          <w:p>
            <w:pPr>
              <w:spacing w:after="0"/>
              <w:rPr>
                <w:sz w:val="12"/>
                <w:szCs w:val="12"/>
                <w:color w:val="auto"/>
              </w:rPr>
            </w:pPr>
          </w:p>
        </w:tc>
        <w:tc>
          <w:tcPr>
            <w:tcW w:w="280" w:type="dxa"/>
            <w:vAlign w:val="bottom"/>
            <w:vMerge w:val="restart"/>
          </w:tcPr>
          <w:p>
            <w:pPr>
              <w:spacing w:after="0"/>
              <w:rPr>
                <w:sz w:val="12"/>
                <w:szCs w:val="12"/>
                <w:color w:val="auto"/>
              </w:rPr>
            </w:pPr>
          </w:p>
        </w:tc>
        <w:tc>
          <w:tcPr>
            <w:tcW w:w="600" w:type="dxa"/>
            <w:vAlign w:val="bottom"/>
            <w:vMerge w:val="restart"/>
          </w:tcPr>
          <w:p>
            <w:pPr>
              <w:jc w:val="right"/>
              <w:ind w:right="271"/>
              <w:spacing w:after="0"/>
              <w:rPr>
                <w:sz w:val="20"/>
                <w:szCs w:val="20"/>
                <w:color w:val="auto"/>
              </w:rPr>
            </w:pPr>
            <w:r>
              <w:rPr>
                <w:rFonts w:ascii="Times New Roman" w:cs="Times New Roman" w:eastAsia="Times New Roman" w:hAnsi="Times New Roman"/>
                <w:sz w:val="14"/>
                <w:szCs w:val="14"/>
                <w:b w:val="1"/>
                <w:bCs w:val="1"/>
                <w:color w:val="auto"/>
              </w:rPr>
              <w:t>%</w:t>
            </w:r>
          </w:p>
        </w:tc>
        <w:tc>
          <w:tcPr>
            <w:tcW w:w="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446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vMerge w:val="continue"/>
          </w:tcPr>
          <w:p>
            <w:pPr>
              <w:spacing w:after="0"/>
              <w:rPr>
                <w:sz w:val="15"/>
                <w:szCs w:val="15"/>
                <w:color w:val="auto"/>
              </w:rPr>
            </w:pPr>
          </w:p>
        </w:tc>
        <w:tc>
          <w:tcPr>
            <w:tcW w:w="240" w:type="dxa"/>
            <w:vAlign w:val="bottom"/>
            <w:vMerge w:val="continue"/>
          </w:tcPr>
          <w:p>
            <w:pPr>
              <w:spacing w:after="0"/>
              <w:rPr>
                <w:sz w:val="15"/>
                <w:szCs w:val="15"/>
                <w:color w:val="auto"/>
              </w:rPr>
            </w:pPr>
          </w:p>
        </w:tc>
        <w:tc>
          <w:tcPr>
            <w:tcW w:w="80" w:type="dxa"/>
            <w:vAlign w:val="bottom"/>
            <w:tcBorders>
              <w:bottom w:val="single" w:sz="8" w:color="auto"/>
            </w:tcBorders>
            <w:vMerge w:val="continue"/>
          </w:tcPr>
          <w:p>
            <w:pPr>
              <w:spacing w:after="0"/>
              <w:rPr>
                <w:sz w:val="15"/>
                <w:szCs w:val="15"/>
                <w:color w:val="auto"/>
              </w:rPr>
            </w:pPr>
          </w:p>
        </w:tc>
        <w:tc>
          <w:tcPr>
            <w:tcW w:w="840" w:type="dxa"/>
            <w:vAlign w:val="bottom"/>
            <w:tcBorders>
              <w:bottom w:val="single" w:sz="8" w:color="auto"/>
            </w:tcBorders>
          </w:tcPr>
          <w:p>
            <w:pPr>
              <w:jc w:val="center"/>
              <w:ind w:right="13"/>
              <w:spacing w:after="0"/>
              <w:rPr>
                <w:sz w:val="20"/>
                <w:szCs w:val="20"/>
                <w:color w:val="auto"/>
              </w:rPr>
            </w:pPr>
            <w:r>
              <w:rPr>
                <w:rFonts w:ascii="Times New Roman" w:cs="Times New Roman" w:eastAsia="Times New Roman" w:hAnsi="Times New Roman"/>
                <w:sz w:val="14"/>
                <w:szCs w:val="14"/>
                <w:b w:val="1"/>
                <w:bCs w:val="1"/>
                <w:color w:val="auto"/>
              </w:rPr>
              <w:t>Revenues</w:t>
            </w: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vMerge w:val="continue"/>
          </w:tcPr>
          <w:p>
            <w:pPr>
              <w:spacing w:after="0"/>
              <w:rPr>
                <w:sz w:val="15"/>
                <w:szCs w:val="15"/>
                <w:color w:val="auto"/>
              </w:rPr>
            </w:pPr>
          </w:p>
        </w:tc>
        <w:tc>
          <w:tcPr>
            <w:tcW w:w="220" w:type="dxa"/>
            <w:vAlign w:val="bottom"/>
            <w:vMerge w:val="continue"/>
          </w:tcPr>
          <w:p>
            <w:pPr>
              <w:spacing w:after="0"/>
              <w:rPr>
                <w:sz w:val="15"/>
                <w:szCs w:val="15"/>
                <w:color w:val="auto"/>
              </w:rPr>
            </w:pPr>
          </w:p>
        </w:tc>
        <w:tc>
          <w:tcPr>
            <w:tcW w:w="80" w:type="dxa"/>
            <w:vAlign w:val="bottom"/>
            <w:tcBorders>
              <w:bottom w:val="single" w:sz="8" w:color="auto"/>
            </w:tcBorders>
            <w:vMerge w:val="continue"/>
          </w:tcPr>
          <w:p>
            <w:pPr>
              <w:spacing w:after="0"/>
              <w:rPr>
                <w:sz w:val="15"/>
                <w:szCs w:val="15"/>
                <w:color w:val="auto"/>
              </w:rPr>
            </w:pPr>
          </w:p>
        </w:tc>
        <w:tc>
          <w:tcPr>
            <w:tcW w:w="800" w:type="dxa"/>
            <w:vAlign w:val="bottom"/>
            <w:tcBorders>
              <w:bottom w:val="single" w:sz="8" w:color="auto"/>
            </w:tcBorders>
          </w:tcPr>
          <w:p>
            <w:pPr>
              <w:jc w:val="center"/>
              <w:ind w:right="13"/>
              <w:spacing w:after="0"/>
              <w:rPr>
                <w:sz w:val="20"/>
                <w:szCs w:val="20"/>
                <w:color w:val="auto"/>
              </w:rPr>
            </w:pPr>
            <w:r>
              <w:rPr>
                <w:rFonts w:ascii="Times New Roman" w:cs="Times New Roman" w:eastAsia="Times New Roman" w:hAnsi="Times New Roman"/>
                <w:sz w:val="14"/>
                <w:szCs w:val="14"/>
                <w:b w:val="1"/>
                <w:bCs w:val="1"/>
                <w:color w:val="auto"/>
              </w:rPr>
              <w:t>Revenues</w:t>
            </w: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vMerge w:val="continue"/>
          </w:tcPr>
          <w:p>
            <w:pPr>
              <w:spacing w:after="0"/>
              <w:rPr>
                <w:sz w:val="15"/>
                <w:szCs w:val="15"/>
                <w:color w:val="auto"/>
              </w:rPr>
            </w:pPr>
          </w:p>
        </w:tc>
        <w:tc>
          <w:tcPr>
            <w:tcW w:w="220" w:type="dxa"/>
            <w:vAlign w:val="bottom"/>
            <w:vMerge w:val="continue"/>
          </w:tcPr>
          <w:p>
            <w:pPr>
              <w:spacing w:after="0"/>
              <w:rPr>
                <w:sz w:val="15"/>
                <w:szCs w:val="15"/>
                <w:color w:val="auto"/>
              </w:rPr>
            </w:pPr>
          </w:p>
        </w:tc>
        <w:tc>
          <w:tcPr>
            <w:tcW w:w="280" w:type="dxa"/>
            <w:vAlign w:val="bottom"/>
            <w:tcBorders>
              <w:bottom w:val="single" w:sz="8" w:color="auto"/>
            </w:tcBorders>
            <w:vMerge w:val="continue"/>
          </w:tcPr>
          <w:p>
            <w:pPr>
              <w:spacing w:after="0"/>
              <w:rPr>
                <w:sz w:val="15"/>
                <w:szCs w:val="15"/>
                <w:color w:val="auto"/>
              </w:rPr>
            </w:pPr>
          </w:p>
        </w:tc>
        <w:tc>
          <w:tcPr>
            <w:tcW w:w="600" w:type="dxa"/>
            <w:vAlign w:val="bottom"/>
            <w:tcBorders>
              <w:bottom w:val="single" w:sz="8" w:color="auto"/>
            </w:tcBorders>
            <w:vMerge w:val="continue"/>
          </w:tcPr>
          <w:p>
            <w:pPr>
              <w:spacing w:after="0"/>
              <w:rPr>
                <w:sz w:val="15"/>
                <w:szCs w:val="15"/>
                <w:color w:val="auto"/>
              </w:rPr>
            </w:pPr>
          </w:p>
        </w:tc>
        <w:tc>
          <w:tcPr>
            <w:tcW w:w="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4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760" w:type="dxa"/>
            <w:vAlign w:val="bottom"/>
            <w:gridSpan w:val="10"/>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(Amounts in Thousands, Except Percentages)</w:t>
            </w: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4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service revenues</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shd w:val="clear" w:color="auto" w:fill="CFF0FC"/>
          </w:tcPr>
          <w:p>
            <w:pPr>
              <w:jc w:val="right"/>
              <w:ind w:right="168"/>
              <w:spacing w:after="0"/>
              <w:rPr>
                <w:sz w:val="20"/>
                <w:szCs w:val="20"/>
                <w:color w:val="auto"/>
              </w:rPr>
            </w:pPr>
            <w:r>
              <w:rPr>
                <w:rFonts w:ascii="Times New Roman" w:cs="Times New Roman" w:eastAsia="Times New Roman" w:hAnsi="Times New Roman"/>
                <w:sz w:val="18"/>
                <w:szCs w:val="18"/>
                <w:color w:val="auto"/>
              </w:rPr>
              <w:t>337,708</w:t>
            </w:r>
          </w:p>
        </w:tc>
        <w:tc>
          <w:tcPr>
            <w:tcW w:w="80" w:type="dxa"/>
            <w:vAlign w:val="bottom"/>
            <w:shd w:val="clear" w:color="auto" w:fill="CFF0FC"/>
          </w:tcPr>
          <w:p>
            <w:pPr>
              <w:spacing w:after="0"/>
              <w:rPr>
                <w:sz w:val="18"/>
                <w:szCs w:val="18"/>
                <w:color w:val="auto"/>
              </w:rPr>
            </w:pPr>
          </w:p>
        </w:tc>
        <w:tc>
          <w:tcPr>
            <w:tcW w:w="920" w:type="dxa"/>
            <w:vAlign w:val="bottom"/>
            <w:gridSpan w:val="2"/>
            <w:shd w:val="clear" w:color="auto" w:fill="CFF0FC"/>
          </w:tcPr>
          <w:p>
            <w:pPr>
              <w:jc w:val="right"/>
              <w:ind w:right="8"/>
              <w:spacing w:after="0"/>
              <w:rPr>
                <w:sz w:val="20"/>
                <w:szCs w:val="20"/>
                <w:color w:val="auto"/>
              </w:rPr>
            </w:pPr>
            <w:r>
              <w:rPr>
                <w:rFonts w:ascii="Times New Roman" w:cs="Times New Roman" w:eastAsia="Times New Roman" w:hAnsi="Times New Roman"/>
                <w:sz w:val="18"/>
                <w:szCs w:val="18"/>
                <w:color w:val="auto"/>
              </w:rPr>
              <w:t>100.0</w:t>
            </w:r>
          </w:p>
        </w:tc>
        <w:tc>
          <w:tcPr>
            <w:tcW w:w="3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280,746</w:t>
            </w:r>
          </w:p>
        </w:tc>
        <w:tc>
          <w:tcPr>
            <w:tcW w:w="80" w:type="dxa"/>
            <w:vAlign w:val="bottom"/>
            <w:shd w:val="clear" w:color="auto" w:fill="CFF0FC"/>
          </w:tcPr>
          <w:p>
            <w:pPr>
              <w:spacing w:after="0"/>
              <w:rPr>
                <w:sz w:val="18"/>
                <w:szCs w:val="18"/>
                <w:color w:val="auto"/>
              </w:rPr>
            </w:pPr>
          </w:p>
        </w:tc>
        <w:tc>
          <w:tcPr>
            <w:tcW w:w="8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100.0</w:t>
            </w:r>
          </w:p>
        </w:tc>
        <w:tc>
          <w:tcPr>
            <w:tcW w:w="3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56,962</w:t>
            </w:r>
          </w:p>
        </w:tc>
        <w:tc>
          <w:tcPr>
            <w:tcW w:w="280" w:type="dxa"/>
            <w:vAlign w:val="bottom"/>
            <w:shd w:val="clear" w:color="auto" w:fill="CFF0FC"/>
          </w:tcPr>
          <w:p>
            <w:pPr>
              <w:spacing w:after="0"/>
              <w:rPr>
                <w:sz w:val="18"/>
                <w:szCs w:val="18"/>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20.3</w:t>
            </w:r>
          </w:p>
        </w:tc>
        <w:tc>
          <w:tcPr>
            <w:tcW w:w="280" w:type="dxa"/>
            <w:vAlign w:val="bottom"/>
            <w:tcBorders>
              <w:lef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460" w:type="dxa"/>
            <w:vAlign w:val="bottom"/>
          </w:tcPr>
          <w:p>
            <w:pPr>
              <w:spacing w:after="0"/>
              <w:rPr>
                <w:sz w:val="20"/>
                <w:szCs w:val="20"/>
                <w:color w:val="auto"/>
              </w:rPr>
            </w:pPr>
            <w:r>
              <w:rPr>
                <w:rFonts w:ascii="Times New Roman" w:cs="Times New Roman" w:eastAsia="Times New Roman" w:hAnsi="Times New Roman"/>
                <w:sz w:val="18"/>
                <w:szCs w:val="18"/>
                <w:color w:val="auto"/>
              </w:rPr>
              <w:t>Cost of service revenues</w:t>
            </w: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230,031</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68.1</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192,569</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68.6</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37,462</w:t>
            </w:r>
          </w:p>
        </w:tc>
        <w:tc>
          <w:tcPr>
            <w:tcW w:w="2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4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4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120" w:type="dxa"/>
            <w:vAlign w:val="bottom"/>
            <w:shd w:val="clear" w:color="auto" w:fill="CFF0FC"/>
          </w:tcPr>
          <w:p>
            <w:pPr>
              <w:spacing w:after="0"/>
              <w:rPr>
                <w:sz w:val="18"/>
                <w:szCs w:val="18"/>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107,677</w:t>
            </w:r>
          </w:p>
        </w:tc>
        <w:tc>
          <w:tcPr>
            <w:tcW w:w="2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31.9</w:t>
            </w:r>
          </w:p>
        </w:tc>
        <w:tc>
          <w:tcPr>
            <w:tcW w:w="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88,177</w:t>
            </w:r>
          </w:p>
        </w:tc>
        <w:tc>
          <w:tcPr>
            <w:tcW w:w="2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8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31.4</w:t>
            </w:r>
          </w:p>
        </w:tc>
        <w:tc>
          <w:tcPr>
            <w:tcW w:w="3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19,500</w:t>
            </w:r>
          </w:p>
        </w:tc>
        <w:tc>
          <w:tcPr>
            <w:tcW w:w="280" w:type="dxa"/>
            <w:vAlign w:val="bottom"/>
            <w:shd w:val="clear" w:color="auto" w:fill="CFF0FC"/>
          </w:tcPr>
          <w:p>
            <w:pPr>
              <w:spacing w:after="0"/>
              <w:rPr>
                <w:sz w:val="18"/>
                <w:szCs w:val="18"/>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22.1</w:t>
            </w:r>
          </w:p>
        </w:tc>
        <w:tc>
          <w:tcPr>
            <w:tcW w:w="280" w:type="dxa"/>
            <w:vAlign w:val="bottom"/>
            <w:tcBorders>
              <w:left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60" w:type="dxa"/>
            <w:vAlign w:val="bottom"/>
          </w:tcPr>
          <w:p>
            <w:pPr>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120" w:type="dxa"/>
            <w:vAlign w:val="bottom"/>
          </w:tcPr>
          <w:p>
            <w:pPr>
              <w:spacing w:after="0"/>
              <w:rPr>
                <w:sz w:val="18"/>
                <w:szCs w:val="18"/>
                <w:color w:val="auto"/>
              </w:rPr>
            </w:pPr>
          </w:p>
        </w:tc>
        <w:tc>
          <w:tcPr>
            <w:tcW w:w="940" w:type="dxa"/>
            <w:vAlign w:val="bottom"/>
            <w:gridSpan w:val="2"/>
          </w:tcPr>
          <w:p>
            <w:pPr>
              <w:jc w:val="right"/>
              <w:ind w:right="168"/>
              <w:spacing w:after="0"/>
              <w:rPr>
                <w:sz w:val="20"/>
                <w:szCs w:val="20"/>
                <w:color w:val="auto"/>
              </w:rPr>
            </w:pPr>
            <w:r>
              <w:rPr>
                <w:rFonts w:ascii="Times New Roman" w:cs="Times New Roman" w:eastAsia="Times New Roman" w:hAnsi="Times New Roman"/>
                <w:sz w:val="18"/>
                <w:szCs w:val="18"/>
                <w:color w:val="auto"/>
              </w:rPr>
              <w:t>73,220</w:t>
            </w:r>
          </w:p>
        </w:tc>
        <w:tc>
          <w:tcPr>
            <w:tcW w:w="80" w:type="dxa"/>
            <w:vAlign w:val="bottom"/>
          </w:tcPr>
          <w:p>
            <w:pPr>
              <w:spacing w:after="0"/>
              <w:rPr>
                <w:sz w:val="18"/>
                <w:szCs w:val="18"/>
                <w:color w:val="auto"/>
              </w:rPr>
            </w:pPr>
          </w:p>
        </w:tc>
        <w:tc>
          <w:tcPr>
            <w:tcW w:w="920" w:type="dxa"/>
            <w:vAlign w:val="bottom"/>
            <w:gridSpan w:val="2"/>
          </w:tcPr>
          <w:p>
            <w:pPr>
              <w:jc w:val="right"/>
              <w:ind w:right="8"/>
              <w:spacing w:after="0"/>
              <w:rPr>
                <w:sz w:val="20"/>
                <w:szCs w:val="20"/>
                <w:color w:val="auto"/>
              </w:rPr>
            </w:pPr>
            <w:r>
              <w:rPr>
                <w:rFonts w:ascii="Times New Roman" w:cs="Times New Roman" w:eastAsia="Times New Roman" w:hAnsi="Times New Roman"/>
                <w:sz w:val="18"/>
                <w:szCs w:val="18"/>
                <w:color w:val="auto"/>
              </w:rPr>
              <w:t>21.7</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61,063</w:t>
            </w:r>
          </w:p>
        </w:tc>
        <w:tc>
          <w:tcPr>
            <w:tcW w:w="80" w:type="dxa"/>
            <w:vAlign w:val="bottom"/>
          </w:tcPr>
          <w:p>
            <w:pPr>
              <w:spacing w:after="0"/>
              <w:rPr>
                <w:sz w:val="18"/>
                <w:szCs w:val="18"/>
                <w:color w:val="auto"/>
              </w:rPr>
            </w:pPr>
          </w:p>
        </w:tc>
        <w:tc>
          <w:tcPr>
            <w:tcW w:w="8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21.8</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12,157</w:t>
            </w:r>
          </w:p>
        </w:tc>
        <w:tc>
          <w:tcPr>
            <w:tcW w:w="2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20" w:type="dxa"/>
            <w:vAlign w:val="bottom"/>
            <w:shd w:val="clear" w:color="auto" w:fill="CFF0FC"/>
          </w:tcPr>
          <w:p>
            <w:pPr>
              <w:spacing w:after="0"/>
              <w:rPr>
                <w:sz w:val="18"/>
                <w:szCs w:val="18"/>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3,943</w:t>
            </w:r>
          </w:p>
        </w:tc>
        <w:tc>
          <w:tcPr>
            <w:tcW w:w="2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3,469</w:t>
            </w:r>
          </w:p>
        </w:tc>
        <w:tc>
          <w:tcPr>
            <w:tcW w:w="2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8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1.2</w:t>
            </w:r>
          </w:p>
        </w:tc>
        <w:tc>
          <w:tcPr>
            <w:tcW w:w="3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474</w:t>
            </w:r>
          </w:p>
        </w:tc>
        <w:tc>
          <w:tcPr>
            <w:tcW w:w="280" w:type="dxa"/>
            <w:vAlign w:val="bottom"/>
            <w:shd w:val="clear" w:color="auto" w:fill="CFF0FC"/>
          </w:tcPr>
          <w:p>
            <w:pPr>
              <w:spacing w:after="0"/>
              <w:rPr>
                <w:sz w:val="18"/>
                <w:szCs w:val="18"/>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13.7</w:t>
            </w:r>
          </w:p>
        </w:tc>
        <w:tc>
          <w:tcPr>
            <w:tcW w:w="280" w:type="dxa"/>
            <w:vAlign w:val="bottom"/>
            <w:tcBorders>
              <w:left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46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80" w:type="dxa"/>
            <w:vAlign w:val="bottom"/>
            <w:tcBorders>
              <w:left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460" w:type="dxa"/>
            <w:vAlign w:val="bottom"/>
          </w:tcPr>
          <w:p>
            <w:pPr>
              <w:spacing w:after="0"/>
              <w:rPr>
                <w:sz w:val="20"/>
                <w:szCs w:val="20"/>
                <w:color w:val="auto"/>
              </w:rPr>
            </w:pPr>
            <w:r>
              <w:rPr>
                <w:rFonts w:ascii="Times New Roman" w:cs="Times New Roman" w:eastAsia="Times New Roman" w:hAnsi="Times New Roman"/>
                <w:sz w:val="18"/>
                <w:szCs w:val="18"/>
                <w:color w:val="auto"/>
              </w:rPr>
              <w:t>Total operating expenses</w:t>
            </w: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77,163</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22.9</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64,532</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23.0</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12,631</w:t>
            </w:r>
          </w:p>
        </w:tc>
        <w:tc>
          <w:tcPr>
            <w:tcW w:w="2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4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4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income</w:t>
            </w:r>
          </w:p>
        </w:tc>
        <w:tc>
          <w:tcPr>
            <w:tcW w:w="120" w:type="dxa"/>
            <w:vAlign w:val="bottom"/>
            <w:shd w:val="clear" w:color="auto" w:fill="CFF0FC"/>
          </w:tcPr>
          <w:p>
            <w:pPr>
              <w:spacing w:after="0"/>
              <w:rPr>
                <w:sz w:val="18"/>
                <w:szCs w:val="18"/>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30,514</w:t>
            </w:r>
          </w:p>
        </w:tc>
        <w:tc>
          <w:tcPr>
            <w:tcW w:w="2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23,645</w:t>
            </w:r>
          </w:p>
        </w:tc>
        <w:tc>
          <w:tcPr>
            <w:tcW w:w="2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8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8.4</w:t>
            </w:r>
          </w:p>
        </w:tc>
        <w:tc>
          <w:tcPr>
            <w:tcW w:w="3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6,869</w:t>
            </w:r>
          </w:p>
        </w:tc>
        <w:tc>
          <w:tcPr>
            <w:tcW w:w="280" w:type="dxa"/>
            <w:vAlign w:val="bottom"/>
            <w:shd w:val="clear" w:color="auto" w:fill="CFF0FC"/>
          </w:tcPr>
          <w:p>
            <w:pPr>
              <w:spacing w:after="0"/>
              <w:rPr>
                <w:sz w:val="18"/>
                <w:szCs w:val="18"/>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29.1</w:t>
            </w:r>
          </w:p>
        </w:tc>
        <w:tc>
          <w:tcPr>
            <w:tcW w:w="280" w:type="dxa"/>
            <w:vAlign w:val="bottom"/>
            <w:tcBorders>
              <w:left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46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80" w:type="dxa"/>
            <w:vAlign w:val="bottom"/>
            <w:tcBorders>
              <w:left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460" w:type="dxa"/>
            <w:vAlign w:val="bottom"/>
          </w:tcPr>
          <w:p>
            <w:pPr>
              <w:spacing w:after="0"/>
              <w:rPr>
                <w:sz w:val="20"/>
                <w:szCs w:val="20"/>
                <w:color w:val="auto"/>
              </w:rPr>
            </w:pPr>
            <w:r>
              <w:rPr>
                <w:rFonts w:ascii="Times New Roman" w:cs="Times New Roman" w:eastAsia="Times New Roman" w:hAnsi="Times New Roman"/>
                <w:sz w:val="18"/>
                <w:szCs w:val="18"/>
                <w:color w:val="auto"/>
              </w:rPr>
              <w:t>Interest income</w:t>
            </w:r>
          </w:p>
        </w:tc>
        <w:tc>
          <w:tcPr>
            <w:tcW w:w="120" w:type="dxa"/>
            <w:vAlign w:val="bottom"/>
          </w:tcPr>
          <w:p>
            <w:pPr>
              <w:spacing w:after="0"/>
              <w:rPr>
                <w:sz w:val="18"/>
                <w:szCs w:val="18"/>
                <w:color w:val="auto"/>
              </w:rPr>
            </w:pPr>
          </w:p>
        </w:tc>
        <w:tc>
          <w:tcPr>
            <w:tcW w:w="940" w:type="dxa"/>
            <w:vAlign w:val="bottom"/>
            <w:gridSpan w:val="2"/>
          </w:tcPr>
          <w:p>
            <w:pPr>
              <w:jc w:val="right"/>
              <w:ind w:right="108"/>
              <w:spacing w:after="0"/>
              <w:rPr>
                <w:sz w:val="20"/>
                <w:szCs w:val="20"/>
                <w:color w:val="auto"/>
              </w:rPr>
            </w:pPr>
            <w:r>
              <w:rPr>
                <w:rFonts w:ascii="Times New Roman" w:cs="Times New Roman" w:eastAsia="Times New Roman" w:hAnsi="Times New Roman"/>
                <w:sz w:val="18"/>
                <w:szCs w:val="18"/>
                <w:color w:val="auto"/>
              </w:rPr>
              <w:t>(502)</w:t>
            </w:r>
          </w:p>
        </w:tc>
        <w:tc>
          <w:tcPr>
            <w:tcW w:w="8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(423)</w:t>
            </w:r>
          </w:p>
        </w:tc>
        <w:tc>
          <w:tcPr>
            <w:tcW w:w="80" w:type="dxa"/>
            <w:vAlign w:val="bottom"/>
          </w:tcPr>
          <w:p>
            <w:pPr>
              <w:spacing w:after="0"/>
              <w:rPr>
                <w:sz w:val="18"/>
                <w:szCs w:val="18"/>
                <w:color w:val="auto"/>
              </w:rPr>
            </w:pPr>
          </w:p>
        </w:tc>
        <w:tc>
          <w:tcPr>
            <w:tcW w:w="8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(0.2)</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(79)</w:t>
            </w:r>
          </w:p>
        </w:tc>
        <w:tc>
          <w:tcPr>
            <w:tcW w:w="2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120" w:type="dxa"/>
            <w:vAlign w:val="bottom"/>
            <w:shd w:val="clear" w:color="auto" w:fill="CFF0FC"/>
          </w:tcPr>
          <w:p>
            <w:pPr>
              <w:spacing w:after="0"/>
              <w:rPr>
                <w:sz w:val="18"/>
                <w:szCs w:val="18"/>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4,018</w:t>
            </w:r>
          </w:p>
        </w:tc>
        <w:tc>
          <w:tcPr>
            <w:tcW w:w="2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2,758</w:t>
            </w:r>
          </w:p>
        </w:tc>
        <w:tc>
          <w:tcPr>
            <w:tcW w:w="2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8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1.0</w:t>
            </w:r>
          </w:p>
        </w:tc>
        <w:tc>
          <w:tcPr>
            <w:tcW w:w="3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1,260</w:t>
            </w:r>
          </w:p>
        </w:tc>
        <w:tc>
          <w:tcPr>
            <w:tcW w:w="280" w:type="dxa"/>
            <w:vAlign w:val="bottom"/>
            <w:shd w:val="clear" w:color="auto" w:fill="CFF0FC"/>
          </w:tcPr>
          <w:p>
            <w:pPr>
              <w:spacing w:after="0"/>
              <w:rPr>
                <w:sz w:val="18"/>
                <w:szCs w:val="18"/>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45.7</w:t>
            </w:r>
          </w:p>
        </w:tc>
        <w:tc>
          <w:tcPr>
            <w:tcW w:w="280" w:type="dxa"/>
            <w:vAlign w:val="bottom"/>
            <w:tcBorders>
              <w:left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46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80" w:type="dxa"/>
            <w:vAlign w:val="bottom"/>
            <w:tcBorders>
              <w:left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460" w:type="dxa"/>
            <w:vAlign w:val="bottom"/>
          </w:tcPr>
          <w:p>
            <w:pPr>
              <w:spacing w:after="0"/>
              <w:rPr>
                <w:sz w:val="20"/>
                <w:szCs w:val="20"/>
                <w:color w:val="auto"/>
              </w:rPr>
            </w:pPr>
            <w:r>
              <w:rPr>
                <w:rFonts w:ascii="Times New Roman" w:cs="Times New Roman" w:eastAsia="Times New Roman" w:hAnsi="Times New Roman"/>
                <w:sz w:val="18"/>
                <w:szCs w:val="18"/>
                <w:color w:val="auto"/>
              </w:rPr>
              <w:t>Total interest expense, net</w:t>
            </w: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3,516</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2,335</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0.8</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1,181</w:t>
            </w:r>
          </w:p>
        </w:tc>
        <w:tc>
          <w:tcPr>
            <w:tcW w:w="2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50.6</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120" w:type="dxa"/>
            <w:vAlign w:val="bottom"/>
            <w:shd w:val="clear" w:color="auto" w:fill="CFF0FC"/>
          </w:tcPr>
          <w:p>
            <w:pPr>
              <w:spacing w:after="0"/>
              <w:rPr>
                <w:sz w:val="18"/>
                <w:szCs w:val="18"/>
                <w:color w:val="auto"/>
              </w:rPr>
            </w:pPr>
          </w:p>
        </w:tc>
        <w:tc>
          <w:tcPr>
            <w:tcW w:w="940" w:type="dxa"/>
            <w:vAlign w:val="bottom"/>
            <w:gridSpan w:val="2"/>
            <w:shd w:val="clear" w:color="auto" w:fill="CFF0FC"/>
          </w:tcPr>
          <w:p>
            <w:pPr>
              <w:jc w:val="right"/>
              <w:ind w:right="168"/>
              <w:spacing w:after="0"/>
              <w:rPr>
                <w:sz w:val="20"/>
                <w:szCs w:val="20"/>
                <w:color w:val="auto"/>
              </w:rPr>
            </w:pPr>
            <w:r>
              <w:rPr>
                <w:rFonts w:ascii="Times New Roman" w:cs="Times New Roman" w:eastAsia="Times New Roman" w:hAnsi="Times New Roman"/>
                <w:sz w:val="18"/>
                <w:szCs w:val="18"/>
                <w:color w:val="auto"/>
              </w:rPr>
              <w:t>26,998</w:t>
            </w:r>
          </w:p>
        </w:tc>
        <w:tc>
          <w:tcPr>
            <w:tcW w:w="80" w:type="dxa"/>
            <w:vAlign w:val="bottom"/>
            <w:shd w:val="clear" w:color="auto" w:fill="CFF0FC"/>
          </w:tcPr>
          <w:p>
            <w:pPr>
              <w:spacing w:after="0"/>
              <w:rPr>
                <w:sz w:val="18"/>
                <w:szCs w:val="18"/>
                <w:color w:val="auto"/>
              </w:rPr>
            </w:pPr>
          </w:p>
        </w:tc>
        <w:tc>
          <w:tcPr>
            <w:tcW w:w="920" w:type="dxa"/>
            <w:vAlign w:val="bottom"/>
            <w:gridSpan w:val="2"/>
            <w:shd w:val="clear" w:color="auto" w:fill="CFF0FC"/>
          </w:tcPr>
          <w:p>
            <w:pPr>
              <w:jc w:val="right"/>
              <w:ind w:right="8"/>
              <w:spacing w:after="0"/>
              <w:rPr>
                <w:sz w:val="20"/>
                <w:szCs w:val="20"/>
                <w:color w:val="auto"/>
              </w:rPr>
            </w:pPr>
            <w:r>
              <w:rPr>
                <w:rFonts w:ascii="Times New Roman" w:cs="Times New Roman" w:eastAsia="Times New Roman" w:hAnsi="Times New Roman"/>
                <w:sz w:val="18"/>
                <w:szCs w:val="18"/>
                <w:color w:val="auto"/>
              </w:rPr>
              <w:t>8.0</w:t>
            </w:r>
          </w:p>
        </w:tc>
        <w:tc>
          <w:tcPr>
            <w:tcW w:w="3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21,310</w:t>
            </w:r>
          </w:p>
        </w:tc>
        <w:tc>
          <w:tcPr>
            <w:tcW w:w="80" w:type="dxa"/>
            <w:vAlign w:val="bottom"/>
            <w:shd w:val="clear" w:color="auto" w:fill="CFF0FC"/>
          </w:tcPr>
          <w:p>
            <w:pPr>
              <w:spacing w:after="0"/>
              <w:rPr>
                <w:sz w:val="18"/>
                <w:szCs w:val="18"/>
                <w:color w:val="auto"/>
              </w:rPr>
            </w:pPr>
          </w:p>
        </w:tc>
        <w:tc>
          <w:tcPr>
            <w:tcW w:w="8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7.6</w:t>
            </w:r>
          </w:p>
        </w:tc>
        <w:tc>
          <w:tcPr>
            <w:tcW w:w="3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5,688</w:t>
            </w:r>
          </w:p>
        </w:tc>
        <w:tc>
          <w:tcPr>
            <w:tcW w:w="280" w:type="dxa"/>
            <w:vAlign w:val="bottom"/>
            <w:shd w:val="clear" w:color="auto" w:fill="CFF0FC"/>
          </w:tcPr>
          <w:p>
            <w:pPr>
              <w:spacing w:after="0"/>
              <w:rPr>
                <w:sz w:val="18"/>
                <w:szCs w:val="18"/>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26.7</w:t>
            </w:r>
          </w:p>
        </w:tc>
        <w:tc>
          <w:tcPr>
            <w:tcW w:w="280" w:type="dxa"/>
            <w:vAlign w:val="bottom"/>
            <w:tcBorders>
              <w:left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60" w:type="dxa"/>
            <w:vAlign w:val="bottom"/>
          </w:tcPr>
          <w:p>
            <w:pPr>
              <w:spacing w:after="0"/>
              <w:rPr>
                <w:sz w:val="20"/>
                <w:szCs w:val="20"/>
                <w:color w:val="auto"/>
              </w:rPr>
            </w:pPr>
            <w:r>
              <w:rPr>
                <w:rFonts w:ascii="Times New Roman" w:cs="Times New Roman" w:eastAsia="Times New Roman" w:hAnsi="Times New Roman"/>
                <w:sz w:val="18"/>
                <w:szCs w:val="18"/>
                <w:color w:val="auto"/>
              </w:rPr>
              <w:t>Income tax expense</w:t>
            </w: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5,770</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5,480</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2.0</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290</w:t>
            </w:r>
          </w:p>
        </w:tc>
        <w:tc>
          <w:tcPr>
            <w:tcW w:w="2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4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44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income</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21,228</w:t>
            </w:r>
          </w:p>
        </w:tc>
        <w:tc>
          <w:tcPr>
            <w:tcW w:w="2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8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15,830</w:t>
            </w: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5.6</w:t>
            </w:r>
          </w:p>
        </w:tc>
        <w:tc>
          <w:tcPr>
            <w:tcW w:w="3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5,398</w:t>
            </w:r>
          </w:p>
        </w:tc>
        <w:tc>
          <w:tcPr>
            <w:tcW w:w="28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34.1</w:t>
            </w:r>
          </w:p>
        </w:tc>
        <w:tc>
          <w:tcPr>
            <w:tcW w:w="280" w:type="dxa"/>
            <w:vAlign w:val="bottom"/>
            <w:tcBorders>
              <w:lef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446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30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6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30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6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60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FF0FC"/>
              <w:left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3348355</wp:posOffset>
            </wp:positionH>
            <wp:positionV relativeFrom="paragraph">
              <wp:posOffset>-1165225</wp:posOffset>
            </wp:positionV>
            <wp:extent cx="77470" cy="825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4085590</wp:posOffset>
            </wp:positionH>
            <wp:positionV relativeFrom="paragraph">
              <wp:posOffset>-1165225</wp:posOffset>
            </wp:positionV>
            <wp:extent cx="68580" cy="825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4822825</wp:posOffset>
            </wp:positionH>
            <wp:positionV relativeFrom="paragraph">
              <wp:posOffset>-1165225</wp:posOffset>
            </wp:positionV>
            <wp:extent cx="68580" cy="825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5525770</wp:posOffset>
            </wp:positionH>
            <wp:positionV relativeFrom="paragraph">
              <wp:posOffset>-1165225</wp:posOffset>
            </wp:positionV>
            <wp:extent cx="68580" cy="825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6263005</wp:posOffset>
            </wp:positionH>
            <wp:positionV relativeFrom="paragraph">
              <wp:posOffset>-1165225</wp:posOffset>
            </wp:positionV>
            <wp:extent cx="68580" cy="825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-1165225</wp:posOffset>
            </wp:positionV>
            <wp:extent cx="68580" cy="825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3348355</wp:posOffset>
            </wp:positionH>
            <wp:positionV relativeFrom="paragraph">
              <wp:posOffset>-873760</wp:posOffset>
            </wp:positionV>
            <wp:extent cx="77470" cy="825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4085590</wp:posOffset>
            </wp:positionH>
            <wp:positionV relativeFrom="paragraph">
              <wp:posOffset>-873760</wp:posOffset>
            </wp:positionV>
            <wp:extent cx="68580" cy="825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4822825</wp:posOffset>
            </wp:positionH>
            <wp:positionV relativeFrom="paragraph">
              <wp:posOffset>-873760</wp:posOffset>
            </wp:positionV>
            <wp:extent cx="68580" cy="825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5525770</wp:posOffset>
            </wp:positionH>
            <wp:positionV relativeFrom="paragraph">
              <wp:posOffset>-873760</wp:posOffset>
            </wp:positionV>
            <wp:extent cx="68580" cy="825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6263005</wp:posOffset>
            </wp:positionH>
            <wp:positionV relativeFrom="paragraph">
              <wp:posOffset>-873760</wp:posOffset>
            </wp:positionV>
            <wp:extent cx="68580" cy="825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-873760</wp:posOffset>
            </wp:positionV>
            <wp:extent cx="68580" cy="825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3348355</wp:posOffset>
            </wp:positionH>
            <wp:positionV relativeFrom="paragraph">
              <wp:posOffset>-590550</wp:posOffset>
            </wp:positionV>
            <wp:extent cx="77470" cy="825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4085590</wp:posOffset>
            </wp:positionH>
            <wp:positionV relativeFrom="paragraph">
              <wp:posOffset>-590550</wp:posOffset>
            </wp:positionV>
            <wp:extent cx="68580" cy="825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4822825</wp:posOffset>
            </wp:positionH>
            <wp:positionV relativeFrom="paragraph">
              <wp:posOffset>-590550</wp:posOffset>
            </wp:positionV>
            <wp:extent cx="68580" cy="825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5525770</wp:posOffset>
            </wp:positionH>
            <wp:positionV relativeFrom="paragraph">
              <wp:posOffset>-590550</wp:posOffset>
            </wp:positionV>
            <wp:extent cx="68580" cy="825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6263005</wp:posOffset>
            </wp:positionH>
            <wp:positionV relativeFrom="paragraph">
              <wp:posOffset>-590550</wp:posOffset>
            </wp:positionV>
            <wp:extent cx="68580" cy="825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-590550</wp:posOffset>
            </wp:positionV>
            <wp:extent cx="68580" cy="825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3348355</wp:posOffset>
            </wp:positionH>
            <wp:positionV relativeFrom="paragraph">
              <wp:posOffset>-24765</wp:posOffset>
            </wp:positionV>
            <wp:extent cx="77470" cy="825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3348355</wp:posOffset>
            </wp:positionH>
            <wp:positionV relativeFrom="paragraph">
              <wp:posOffset>-7620</wp:posOffset>
            </wp:positionV>
            <wp:extent cx="77470" cy="825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4085590</wp:posOffset>
            </wp:positionH>
            <wp:positionV relativeFrom="paragraph">
              <wp:posOffset>-24765</wp:posOffset>
            </wp:positionV>
            <wp:extent cx="68580" cy="825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4085590</wp:posOffset>
            </wp:positionH>
            <wp:positionV relativeFrom="paragraph">
              <wp:posOffset>-7620</wp:posOffset>
            </wp:positionV>
            <wp:extent cx="68580" cy="825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4822825</wp:posOffset>
            </wp:positionH>
            <wp:positionV relativeFrom="paragraph">
              <wp:posOffset>-24765</wp:posOffset>
            </wp:positionV>
            <wp:extent cx="68580" cy="825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4822825</wp:posOffset>
            </wp:positionH>
            <wp:positionV relativeFrom="paragraph">
              <wp:posOffset>-7620</wp:posOffset>
            </wp:positionV>
            <wp:extent cx="68580" cy="825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5525770</wp:posOffset>
            </wp:positionH>
            <wp:positionV relativeFrom="paragraph">
              <wp:posOffset>-24765</wp:posOffset>
            </wp:positionV>
            <wp:extent cx="68580" cy="825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5525770</wp:posOffset>
            </wp:positionH>
            <wp:positionV relativeFrom="paragraph">
              <wp:posOffset>-7620</wp:posOffset>
            </wp:positionV>
            <wp:extent cx="68580" cy="825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6263005</wp:posOffset>
            </wp:positionH>
            <wp:positionV relativeFrom="paragraph">
              <wp:posOffset>-24765</wp:posOffset>
            </wp:positionV>
            <wp:extent cx="68580" cy="825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6263005</wp:posOffset>
            </wp:positionH>
            <wp:positionV relativeFrom="paragraph">
              <wp:posOffset>-7620</wp:posOffset>
            </wp:positionV>
            <wp:extent cx="68580" cy="825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-24765</wp:posOffset>
            </wp:positionV>
            <wp:extent cx="68580" cy="825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-7620</wp:posOffset>
            </wp:positionV>
            <wp:extent cx="68580" cy="825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ind w:right="20" w:firstLine="509"/>
        <w:spacing w:after="0" w:line="258" w:lineRule="auto"/>
        <w:rPr>
          <w:sz w:val="20"/>
          <w:szCs w:val="20"/>
          <w:color w:val="auto"/>
        </w:rPr>
      </w:pPr>
      <w:r>
        <w:rPr>
          <w:rFonts w:ascii="Times New Roman" w:cs="Times New Roman" w:eastAsia="Times New Roman" w:hAnsi="Times New Roman"/>
          <w:sz w:val="18"/>
          <w:szCs w:val="18"/>
          <w:color w:val="auto"/>
        </w:rPr>
        <w:t>Net service revenues increased by 20.3% to $337.7 million for the three months ended March 31, 2025 compared to $280.7 million for the three months ended March 31, 2024. Revenue increased by $50.3 million in our personal care segment, by $5.6 million in our hospice segment and by $1.1 million in our home health segment during the three months ended March 31, 2025, compared to the same period in 2024. The increase in our personal care and home health segments was primarily due to the completion of the Gentiva Acquisition on December 2, 2024, as well as the same store growth in our home health segment. The increase in our hospice segment revenue was due to organic growth.</w:t>
      </w:r>
    </w:p>
    <w:p>
      <w:pPr>
        <w:spacing w:after="0" w:line="183" w:lineRule="exact"/>
        <w:rPr>
          <w:sz w:val="20"/>
          <w:szCs w:val="20"/>
          <w:color w:val="auto"/>
        </w:rPr>
      </w:pPr>
    </w:p>
    <w:p>
      <w:pPr>
        <w:ind w:right="100" w:firstLine="509"/>
        <w:spacing w:after="0" w:line="282" w:lineRule="auto"/>
        <w:rPr>
          <w:sz w:val="20"/>
          <w:szCs w:val="20"/>
          <w:color w:val="auto"/>
        </w:rPr>
      </w:pPr>
      <w:r>
        <w:rPr>
          <w:rFonts w:ascii="Times New Roman" w:cs="Times New Roman" w:eastAsia="Times New Roman" w:hAnsi="Times New Roman"/>
          <w:sz w:val="18"/>
          <w:szCs w:val="18"/>
          <w:color w:val="auto"/>
        </w:rPr>
        <w:t>Gross profit, expressed as a percentage of net service revenues, increased to 31.9% for the three months ended March 31, 2025, compared to 31.4% for the same period in 2024 due to growth in our higher margin hospice segment, the New York Asset Sale and the Gentiva Acquisition.</w:t>
      </w:r>
    </w:p>
    <w:p>
      <w:pPr>
        <w:spacing w:after="0" w:line="162" w:lineRule="exact"/>
        <w:rPr>
          <w:sz w:val="20"/>
          <w:szCs w:val="20"/>
          <w:color w:val="auto"/>
        </w:rPr>
      </w:pPr>
    </w:p>
    <w:p>
      <w:pPr>
        <w:ind w:right="100" w:firstLine="509"/>
        <w:spacing w:after="0" w:line="261" w:lineRule="auto"/>
        <w:rPr>
          <w:sz w:val="20"/>
          <w:szCs w:val="20"/>
          <w:color w:val="auto"/>
        </w:rPr>
      </w:pPr>
      <w:r>
        <w:rPr>
          <w:rFonts w:ascii="Times New Roman" w:cs="Times New Roman" w:eastAsia="Times New Roman" w:hAnsi="Times New Roman"/>
          <w:sz w:val="18"/>
          <w:szCs w:val="18"/>
          <w:color w:val="auto"/>
        </w:rPr>
        <w:t>General and administrative expenses increased to $73.2 million for the three months ended March 31, 2025, as compared to $61.1 million for the three months ended March 31, 2024. The increase in general and administrative expenses was primarily due to the Gentiva Acquisition that resulted in an increase in administrative employee wage, bonus, tax, and benefit costs of $9.4 million. General and administrative expenses, expressed as a percentage of net service revenues, decreased to 21.7% for the three months ended March 31, 2025, from 21.8% for the three months ended March 31, 2024.</w:t>
      </w:r>
    </w:p>
    <w:p>
      <w:pPr>
        <w:spacing w:after="0" w:line="18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Interest expense increased to $4.0 million for the three months ended March 31, 2025 from $2.8 million for the three months ended March 31, 2024.</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increase in interest expense was primarily due to higher average outstanding borrowings held under our credit facility for the three months ended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31, 2025 compared to the three months ended March 31, 2024.</w:t>
      </w: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487680</wp:posOffset>
            </wp:positionV>
            <wp:extent cx="7157720" cy="4254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b w:val="1"/>
          <w:bCs w:val="1"/>
          <w:u w:val="single" w:color="auto"/>
          <w:color w:val="0563C1"/>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-5080</wp:posOffset>
            </wp:positionV>
            <wp:extent cx="869315" cy="825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869315" cy="8255"/>
                    </a:xfrm>
                    <a:prstGeom prst="rect">
                      <a:avLst/>
                    </a:prstGeom>
                    <a:noFill/>
                  </pic:spPr>
                </pic:pic>
              </a:graphicData>
            </a:graphic>
          </wp:anchor>
        </w:drawing>
      </w:r>
    </w:p>
    <w:p>
      <w:pPr>
        <w:spacing w:after="0" w:line="200" w:lineRule="exact"/>
        <w:rPr>
          <w:sz w:val="20"/>
          <w:szCs w:val="20"/>
          <w:color w:val="auto"/>
        </w:rPr>
      </w:pPr>
    </w:p>
    <w:p>
      <w:pPr>
        <w:spacing w:after="0" w:line="225" w:lineRule="exact"/>
        <w:rPr>
          <w:sz w:val="20"/>
          <w:szCs w:val="20"/>
          <w:color w:val="auto"/>
        </w:rPr>
      </w:pPr>
    </w:p>
    <w:p>
      <w:pPr>
        <w:ind w:right="200" w:firstLine="509"/>
        <w:spacing w:after="0" w:line="261" w:lineRule="auto"/>
        <w:rPr>
          <w:sz w:val="20"/>
          <w:szCs w:val="20"/>
          <w:color w:val="auto"/>
        </w:rPr>
      </w:pPr>
      <w:r>
        <w:rPr>
          <w:rFonts w:ascii="Times New Roman" w:cs="Times New Roman" w:eastAsia="Times New Roman" w:hAnsi="Times New Roman"/>
          <w:sz w:val="18"/>
          <w:szCs w:val="18"/>
          <w:color w:val="auto"/>
        </w:rPr>
        <w:t>All of our income is from domestic sources. We incur state and local taxes in states in which we operate. The effective income tax rate was 21.4% and 25.7% for the three months ended March 31, 2025 and 2024, respectively. Our lower effective income tax rate for the three months ended March 31, 2025 was principally due to a higher excess tax benefit with a lower benefit from the use of federal employment tax credits. For the three months ended March 31, 2025 and 2024, the excess tax benefit and federal employment tax credits were 7.2% and 3.5%, respectively.</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Results of Operations – Segments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tables and related analysis summarize our operating results and business metrics by segment:</w:t>
      </w:r>
    </w:p>
    <w:p>
      <w:pPr>
        <w:spacing w:after="0" w:line="32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Personal Care Segment</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400" w:type="dxa"/>
            <w:vAlign w:val="bottom"/>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2760" w:type="dxa"/>
            <w:vAlign w:val="bottom"/>
            <w:tcBorders>
              <w:bottom w:val="single" w:sz="8" w:color="auto"/>
            </w:tcBorders>
            <w:gridSpan w:val="7"/>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For the Three Months Ended March 31,</w:t>
            </w:r>
          </w:p>
        </w:tc>
        <w:tc>
          <w:tcPr>
            <w:tcW w:w="8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4400" w:type="dxa"/>
            <w:vAlign w:val="bottom"/>
          </w:tcPr>
          <w:p>
            <w:pPr>
              <w:spacing w:after="0"/>
              <w:rPr>
                <w:sz w:val="12"/>
                <w:szCs w:val="12"/>
                <w:color w:val="auto"/>
              </w:rPr>
            </w:pPr>
          </w:p>
        </w:tc>
        <w:tc>
          <w:tcPr>
            <w:tcW w:w="1200" w:type="dxa"/>
            <w:vAlign w:val="bottom"/>
            <w:tcBorders>
              <w:bottom w:val="single" w:sz="8" w:color="auto"/>
            </w:tcBorders>
            <w:gridSpan w:val="3"/>
          </w:tcPr>
          <w:p>
            <w:pPr>
              <w:jc w:val="right"/>
              <w:ind w:right="40"/>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840" w:type="dxa"/>
            <w:vAlign w:val="bottom"/>
            <w:tcBorders>
              <w:bottom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1200" w:type="dxa"/>
            <w:vAlign w:val="bottom"/>
            <w:tcBorders>
              <w:bottom w:val="single" w:sz="8" w:color="auto"/>
            </w:tcBorders>
            <w:gridSpan w:val="3"/>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860" w:type="dxa"/>
            <w:vAlign w:val="bottom"/>
            <w:tcBorders>
              <w:bottom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220" w:type="dxa"/>
            <w:vAlign w:val="bottom"/>
            <w:tcBorders>
              <w:bottom w:val="single" w:sz="8" w:color="auto"/>
            </w:tcBorders>
            <w:gridSpan w:val="3"/>
          </w:tcPr>
          <w:p>
            <w:pPr>
              <w:ind w:left="620"/>
              <w:spacing w:after="0" w:line="142" w:lineRule="exact"/>
              <w:rPr>
                <w:sz w:val="20"/>
                <w:szCs w:val="20"/>
                <w:color w:val="auto"/>
              </w:rPr>
            </w:pPr>
            <w:r>
              <w:rPr>
                <w:rFonts w:ascii="Times New Roman" w:cs="Times New Roman" w:eastAsia="Times New Roman" w:hAnsi="Times New Roman"/>
                <w:sz w:val="14"/>
                <w:szCs w:val="14"/>
                <w:b w:val="1"/>
                <w:bCs w:val="1"/>
                <w:color w:val="auto"/>
              </w:rPr>
              <w:t>Change</w:t>
            </w:r>
          </w:p>
        </w:tc>
        <w:tc>
          <w:tcPr>
            <w:tcW w:w="660" w:type="dxa"/>
            <w:vAlign w:val="bottom"/>
            <w:tcBorders>
              <w:bottom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7"/>
        </w:trPr>
        <w:tc>
          <w:tcPr>
            <w:tcW w:w="440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40" w:type="dxa"/>
            <w:vAlign w:val="bottom"/>
          </w:tcPr>
          <w:p>
            <w:pPr>
              <w:jc w:val="center"/>
              <w:ind w:right="19"/>
              <w:spacing w:after="0" w:line="118" w:lineRule="exact"/>
              <w:rPr>
                <w:sz w:val="20"/>
                <w:szCs w:val="20"/>
                <w:color w:val="auto"/>
              </w:rPr>
            </w:pPr>
            <w:r>
              <w:rPr>
                <w:rFonts w:ascii="Times New Roman" w:cs="Times New Roman" w:eastAsia="Times New Roman" w:hAnsi="Times New Roman"/>
                <w:sz w:val="13"/>
                <w:szCs w:val="13"/>
                <w:b w:val="1"/>
                <w:bCs w:val="1"/>
                <w:color w:val="auto"/>
              </w:rPr>
              <w:t>% of</w:t>
            </w:r>
          </w:p>
        </w:tc>
        <w:tc>
          <w:tcPr>
            <w:tcW w:w="28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60" w:type="dxa"/>
            <w:vAlign w:val="bottom"/>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 of</w:t>
            </w:r>
          </w:p>
        </w:tc>
        <w:tc>
          <w:tcPr>
            <w:tcW w:w="2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44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gridSpan w:val="2"/>
          </w:tcPr>
          <w:p>
            <w:pPr>
              <w:jc w:val="center"/>
              <w:ind w:right="288"/>
              <w:spacing w:after="0" w:line="149" w:lineRule="exact"/>
              <w:rPr>
                <w:sz w:val="20"/>
                <w:szCs w:val="20"/>
                <w:color w:val="auto"/>
              </w:rPr>
            </w:pPr>
            <w:r>
              <w:rPr>
                <w:rFonts w:ascii="Times New Roman" w:cs="Times New Roman" w:eastAsia="Times New Roman" w:hAnsi="Times New Roman"/>
                <w:sz w:val="14"/>
                <w:szCs w:val="14"/>
                <w:b w:val="1"/>
                <w:bCs w:val="1"/>
                <w:color w:val="auto"/>
              </w:rPr>
              <w:t>Segment</w:t>
            </w:r>
          </w:p>
        </w:tc>
        <w:tc>
          <w:tcPr>
            <w:tcW w:w="9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80" w:type="dxa"/>
            <w:vAlign w:val="bottom"/>
            <w:gridSpan w:val="3"/>
          </w:tcPr>
          <w:p>
            <w:pPr>
              <w:jc w:val="center"/>
              <w:ind w:right="500"/>
              <w:spacing w:after="0" w:line="149" w:lineRule="exact"/>
              <w:rPr>
                <w:sz w:val="20"/>
                <w:szCs w:val="20"/>
                <w:color w:val="auto"/>
              </w:rPr>
            </w:pPr>
            <w:r>
              <w:rPr>
                <w:rFonts w:ascii="Times New Roman" w:cs="Times New Roman" w:eastAsia="Times New Roman" w:hAnsi="Times New Roman"/>
                <w:sz w:val="14"/>
                <w:szCs w:val="14"/>
                <w:b w:val="1"/>
                <w:bCs w:val="1"/>
                <w:color w:val="auto"/>
              </w:rPr>
              <w:t>Segment</w:t>
            </w: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400" w:type="dxa"/>
            <w:vAlign w:val="bottom"/>
          </w:tcPr>
          <w:p>
            <w:pPr>
              <w:spacing w:after="0"/>
              <w:rPr>
                <w:sz w:val="12"/>
                <w:szCs w:val="12"/>
                <w:color w:val="auto"/>
              </w:rPr>
            </w:pPr>
          </w:p>
        </w:tc>
        <w:tc>
          <w:tcPr>
            <w:tcW w:w="940" w:type="dxa"/>
            <w:vAlign w:val="bottom"/>
            <w:vMerge w:val="restart"/>
          </w:tcPr>
          <w:p>
            <w:pPr>
              <w:ind w:left="22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60" w:type="dxa"/>
            <w:vAlign w:val="bottom"/>
            <w:vMerge w:val="restart"/>
          </w:tcPr>
          <w:p>
            <w:pPr>
              <w:spacing w:after="0"/>
              <w:rPr>
                <w:sz w:val="12"/>
                <w:szCs w:val="12"/>
                <w:color w:val="auto"/>
              </w:rPr>
            </w:pPr>
          </w:p>
        </w:tc>
        <w:tc>
          <w:tcPr>
            <w:tcW w:w="100" w:type="dxa"/>
            <w:vAlign w:val="bottom"/>
            <w:vMerge w:val="restart"/>
          </w:tcPr>
          <w:p>
            <w:pPr>
              <w:spacing w:after="0"/>
              <w:rPr>
                <w:sz w:val="12"/>
                <w:szCs w:val="12"/>
                <w:color w:val="auto"/>
              </w:rPr>
            </w:pPr>
          </w:p>
        </w:tc>
        <w:tc>
          <w:tcPr>
            <w:tcW w:w="1120" w:type="dxa"/>
            <w:vAlign w:val="bottom"/>
            <w:gridSpan w:val="2"/>
          </w:tcPr>
          <w:p>
            <w:pPr>
              <w:jc w:val="center"/>
              <w:ind w:right="308"/>
              <w:spacing w:after="0" w:line="149" w:lineRule="exact"/>
              <w:rPr>
                <w:sz w:val="20"/>
                <w:szCs w:val="20"/>
                <w:color w:val="auto"/>
              </w:rPr>
            </w:pPr>
            <w:r>
              <w:rPr>
                <w:rFonts w:ascii="Times New Roman" w:cs="Times New Roman" w:eastAsia="Times New Roman" w:hAnsi="Times New Roman"/>
                <w:sz w:val="14"/>
                <w:szCs w:val="14"/>
                <w:b w:val="1"/>
                <w:bCs w:val="1"/>
                <w:color w:val="auto"/>
              </w:rPr>
              <w:t>Net Service</w:t>
            </w:r>
          </w:p>
        </w:tc>
        <w:tc>
          <w:tcPr>
            <w:tcW w:w="960" w:type="dxa"/>
            <w:vAlign w:val="bottom"/>
            <w:vMerge w:val="restart"/>
          </w:tcPr>
          <w:p>
            <w:pPr>
              <w:jc w:val="right"/>
              <w:ind w:right="153"/>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60" w:type="dxa"/>
            <w:vAlign w:val="bottom"/>
            <w:vMerge w:val="restart"/>
          </w:tcPr>
          <w:p>
            <w:pPr>
              <w:spacing w:after="0"/>
              <w:rPr>
                <w:sz w:val="12"/>
                <w:szCs w:val="12"/>
                <w:color w:val="auto"/>
              </w:rPr>
            </w:pPr>
          </w:p>
        </w:tc>
        <w:tc>
          <w:tcPr>
            <w:tcW w:w="80" w:type="dxa"/>
            <w:vAlign w:val="bottom"/>
            <w:vMerge w:val="restart"/>
          </w:tcPr>
          <w:p>
            <w:pPr>
              <w:spacing w:after="0"/>
              <w:rPr>
                <w:sz w:val="12"/>
                <w:szCs w:val="12"/>
                <w:color w:val="auto"/>
              </w:rPr>
            </w:pPr>
          </w:p>
        </w:tc>
        <w:tc>
          <w:tcPr>
            <w:tcW w:w="1280" w:type="dxa"/>
            <w:vAlign w:val="bottom"/>
            <w:gridSpan w:val="3"/>
          </w:tcPr>
          <w:p>
            <w:pPr>
              <w:jc w:val="center"/>
              <w:ind w:right="500"/>
              <w:spacing w:after="0" w:line="149" w:lineRule="exact"/>
              <w:rPr>
                <w:sz w:val="20"/>
                <w:szCs w:val="20"/>
                <w:color w:val="auto"/>
              </w:rPr>
            </w:pPr>
            <w:r>
              <w:rPr>
                <w:rFonts w:ascii="Times New Roman" w:cs="Times New Roman" w:eastAsia="Times New Roman" w:hAnsi="Times New Roman"/>
                <w:sz w:val="14"/>
                <w:szCs w:val="14"/>
                <w:b w:val="1"/>
                <w:bCs w:val="1"/>
                <w:color w:val="auto"/>
              </w:rPr>
              <w:t>Net Service</w:t>
            </w:r>
          </w:p>
        </w:tc>
        <w:tc>
          <w:tcPr>
            <w:tcW w:w="820" w:type="dxa"/>
            <w:vAlign w:val="bottom"/>
            <w:vMerge w:val="restart"/>
          </w:tcPr>
          <w:p>
            <w:pPr>
              <w:jc w:val="right"/>
              <w:ind w:right="153"/>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00" w:type="dxa"/>
            <w:vAlign w:val="bottom"/>
            <w:vMerge w:val="restart"/>
          </w:tcPr>
          <w:p>
            <w:pPr>
              <w:spacing w:after="0"/>
              <w:rPr>
                <w:sz w:val="12"/>
                <w:szCs w:val="12"/>
                <w:color w:val="auto"/>
              </w:rPr>
            </w:pPr>
          </w:p>
        </w:tc>
        <w:tc>
          <w:tcPr>
            <w:tcW w:w="300" w:type="dxa"/>
            <w:vAlign w:val="bottom"/>
            <w:vMerge w:val="restart"/>
          </w:tcPr>
          <w:p>
            <w:pPr>
              <w:spacing w:after="0"/>
              <w:rPr>
                <w:sz w:val="12"/>
                <w:szCs w:val="12"/>
                <w:color w:val="auto"/>
              </w:rPr>
            </w:pPr>
          </w:p>
        </w:tc>
        <w:tc>
          <w:tcPr>
            <w:tcW w:w="660" w:type="dxa"/>
            <w:vAlign w:val="bottom"/>
            <w:vMerge w:val="restart"/>
          </w:tcPr>
          <w:p>
            <w:pPr>
              <w:jc w:val="right"/>
              <w:ind w:right="312"/>
              <w:spacing w:after="0"/>
              <w:rPr>
                <w:sz w:val="20"/>
                <w:szCs w:val="20"/>
                <w:color w:val="auto"/>
              </w:rPr>
            </w:pPr>
            <w:r>
              <w:rPr>
                <w:rFonts w:ascii="Times New Roman" w:cs="Times New Roman" w:eastAsia="Times New Roman" w:hAnsi="Times New Roman"/>
                <w:sz w:val="14"/>
                <w:szCs w:val="14"/>
                <w:b w:val="1"/>
                <w:bCs w:val="1"/>
                <w:color w:val="auto"/>
              </w:rPr>
              <w:t>%</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4400" w:type="dxa"/>
            <w:vAlign w:val="bottom"/>
          </w:tcPr>
          <w:p>
            <w:pPr>
              <w:spacing w:after="0"/>
              <w:rPr>
                <w:sz w:val="15"/>
                <w:szCs w:val="15"/>
                <w:color w:val="auto"/>
              </w:rPr>
            </w:pPr>
          </w:p>
        </w:tc>
        <w:tc>
          <w:tcPr>
            <w:tcW w:w="940" w:type="dxa"/>
            <w:vAlign w:val="bottom"/>
            <w:tcBorders>
              <w:bottom w:val="single" w:sz="8" w:color="auto"/>
            </w:tcBorders>
            <w:vMerge w:val="continue"/>
          </w:tcPr>
          <w:p>
            <w:pPr>
              <w:spacing w:after="0"/>
              <w:rPr>
                <w:sz w:val="15"/>
                <w:szCs w:val="15"/>
                <w:color w:val="auto"/>
              </w:rPr>
            </w:pPr>
          </w:p>
        </w:tc>
        <w:tc>
          <w:tcPr>
            <w:tcW w:w="160" w:type="dxa"/>
            <w:vAlign w:val="bottom"/>
            <w:vMerge w:val="continue"/>
          </w:tcPr>
          <w:p>
            <w:pPr>
              <w:spacing w:after="0"/>
              <w:rPr>
                <w:sz w:val="15"/>
                <w:szCs w:val="15"/>
                <w:color w:val="auto"/>
              </w:rPr>
            </w:pPr>
          </w:p>
        </w:tc>
        <w:tc>
          <w:tcPr>
            <w:tcW w:w="100" w:type="dxa"/>
            <w:vAlign w:val="bottom"/>
            <w:tcBorders>
              <w:bottom w:val="single" w:sz="8" w:color="auto"/>
            </w:tcBorders>
            <w:vMerge w:val="continue"/>
          </w:tcPr>
          <w:p>
            <w:pPr>
              <w:spacing w:after="0"/>
              <w:rPr>
                <w:sz w:val="15"/>
                <w:szCs w:val="15"/>
                <w:color w:val="auto"/>
              </w:rPr>
            </w:pPr>
          </w:p>
        </w:tc>
        <w:tc>
          <w:tcPr>
            <w:tcW w:w="840" w:type="dxa"/>
            <w:vAlign w:val="bottom"/>
            <w:tcBorders>
              <w:bottom w:val="single" w:sz="8" w:color="auto"/>
            </w:tcBorders>
          </w:tcPr>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Revenues</w:t>
            </w:r>
          </w:p>
        </w:tc>
        <w:tc>
          <w:tcPr>
            <w:tcW w:w="280" w:type="dxa"/>
            <w:vAlign w:val="bottom"/>
          </w:tcPr>
          <w:p>
            <w:pPr>
              <w:spacing w:after="0"/>
              <w:rPr>
                <w:sz w:val="15"/>
                <w:szCs w:val="15"/>
                <w:color w:val="auto"/>
              </w:rPr>
            </w:pPr>
          </w:p>
        </w:tc>
        <w:tc>
          <w:tcPr>
            <w:tcW w:w="960" w:type="dxa"/>
            <w:vAlign w:val="bottom"/>
            <w:tcBorders>
              <w:bottom w:val="single" w:sz="8" w:color="auto"/>
            </w:tcBorders>
            <w:vMerge w:val="continue"/>
          </w:tcPr>
          <w:p>
            <w:pPr>
              <w:spacing w:after="0"/>
              <w:rPr>
                <w:sz w:val="15"/>
                <w:szCs w:val="15"/>
                <w:color w:val="auto"/>
              </w:rPr>
            </w:pPr>
          </w:p>
        </w:tc>
        <w:tc>
          <w:tcPr>
            <w:tcW w:w="160" w:type="dxa"/>
            <w:vAlign w:val="bottom"/>
            <w:vMerge w:val="continue"/>
          </w:tcPr>
          <w:p>
            <w:pPr>
              <w:spacing w:after="0"/>
              <w:rPr>
                <w:sz w:val="15"/>
                <w:szCs w:val="15"/>
                <w:color w:val="auto"/>
              </w:rPr>
            </w:pPr>
          </w:p>
        </w:tc>
        <w:tc>
          <w:tcPr>
            <w:tcW w:w="80" w:type="dxa"/>
            <w:vAlign w:val="bottom"/>
            <w:tcBorders>
              <w:bottom w:val="single" w:sz="8" w:color="auto"/>
            </w:tcBorders>
            <w:vMerge w:val="continue"/>
          </w:tcPr>
          <w:p>
            <w:pPr>
              <w:spacing w:after="0"/>
              <w:rPr>
                <w:sz w:val="15"/>
                <w:szCs w:val="15"/>
                <w:color w:val="auto"/>
              </w:rPr>
            </w:pPr>
          </w:p>
        </w:tc>
        <w:tc>
          <w:tcPr>
            <w:tcW w:w="8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Revenues</w:t>
            </w:r>
          </w:p>
        </w:tc>
        <w:tc>
          <w:tcPr>
            <w:tcW w:w="28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vMerge w:val="continue"/>
          </w:tcPr>
          <w:p>
            <w:pPr>
              <w:spacing w:after="0"/>
              <w:rPr>
                <w:sz w:val="15"/>
                <w:szCs w:val="15"/>
                <w:color w:val="auto"/>
              </w:rPr>
            </w:pPr>
          </w:p>
        </w:tc>
        <w:tc>
          <w:tcPr>
            <w:tcW w:w="100" w:type="dxa"/>
            <w:vAlign w:val="bottom"/>
            <w:vMerge w:val="continue"/>
          </w:tcPr>
          <w:p>
            <w:pPr>
              <w:spacing w:after="0"/>
              <w:rPr>
                <w:sz w:val="15"/>
                <w:szCs w:val="15"/>
                <w:color w:val="auto"/>
              </w:rPr>
            </w:pPr>
          </w:p>
        </w:tc>
        <w:tc>
          <w:tcPr>
            <w:tcW w:w="300" w:type="dxa"/>
            <w:vAlign w:val="bottom"/>
            <w:tcBorders>
              <w:bottom w:val="single" w:sz="8" w:color="auto"/>
            </w:tcBorders>
            <w:vMerge w:val="continue"/>
          </w:tcPr>
          <w:p>
            <w:pPr>
              <w:spacing w:after="0"/>
              <w:rPr>
                <w:sz w:val="15"/>
                <w:szCs w:val="15"/>
                <w:color w:val="auto"/>
              </w:rPr>
            </w:pPr>
          </w:p>
        </w:tc>
        <w:tc>
          <w:tcPr>
            <w:tcW w:w="660" w:type="dxa"/>
            <w:vAlign w:val="bottom"/>
            <w:tcBorders>
              <w:bottom w:val="single" w:sz="8" w:color="auto"/>
            </w:tcBorders>
            <w:vMerge w:val="continue"/>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44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40" w:type="dxa"/>
            <w:vAlign w:val="bottom"/>
            <w:gridSpan w:val="2"/>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w w:val="83"/>
              </w:rPr>
              <w:t>(Amounts in Thousands,</w:t>
            </w:r>
          </w:p>
        </w:tc>
        <w:tc>
          <w:tcPr>
            <w:tcW w:w="160" w:type="dxa"/>
            <w:vAlign w:val="bottom"/>
          </w:tcPr>
          <w:p>
            <w:pPr>
              <w:spacing w:after="0"/>
              <w:rPr>
                <w:sz w:val="12"/>
                <w:szCs w:val="12"/>
                <w:color w:val="auto"/>
              </w:rPr>
            </w:pPr>
          </w:p>
        </w:tc>
        <w:tc>
          <w:tcPr>
            <w:tcW w:w="1360" w:type="dxa"/>
            <w:vAlign w:val="bottom"/>
            <w:gridSpan w:val="4"/>
          </w:tcPr>
          <w:p>
            <w:pPr>
              <w:ind w:left="40"/>
              <w:spacing w:after="0" w:line="142" w:lineRule="exact"/>
              <w:rPr>
                <w:sz w:val="20"/>
                <w:szCs w:val="20"/>
                <w:color w:val="auto"/>
              </w:rPr>
            </w:pPr>
            <w:r>
              <w:rPr>
                <w:rFonts w:ascii="Times New Roman" w:cs="Times New Roman" w:eastAsia="Times New Roman" w:hAnsi="Times New Roman"/>
                <w:sz w:val="14"/>
                <w:szCs w:val="14"/>
                <w:b w:val="1"/>
                <w:bCs w:val="1"/>
                <w:color w:val="auto"/>
              </w:rPr>
              <w:t>Except Percentages)</w:t>
            </w: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4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Operating Results</w:t>
            </w:r>
          </w:p>
        </w:tc>
        <w:tc>
          <w:tcPr>
            <w:tcW w:w="9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0" w:type="dxa"/>
            <w:vAlign w:val="bottom"/>
          </w:tcPr>
          <w:p>
            <w:pPr>
              <w:spacing w:after="0"/>
              <w:rPr>
                <w:sz w:val="20"/>
                <w:szCs w:val="20"/>
                <w:color w:val="auto"/>
              </w:rPr>
            </w:pPr>
            <w:r>
              <w:rPr>
                <w:rFonts w:ascii="Times New Roman" w:cs="Times New Roman" w:eastAsia="Times New Roman" w:hAnsi="Times New Roman"/>
                <w:sz w:val="18"/>
                <w:szCs w:val="18"/>
                <w:color w:val="auto"/>
              </w:rPr>
              <w:t>Net service revenues</w:t>
            </w: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$258,286</w:t>
            </w:r>
          </w:p>
        </w:tc>
        <w:tc>
          <w:tcPr>
            <w:tcW w:w="100" w:type="dxa"/>
            <w:vAlign w:val="bottom"/>
          </w:tcPr>
          <w:p>
            <w:pPr>
              <w:spacing w:after="0"/>
              <w:rPr>
                <w:sz w:val="18"/>
                <w:szCs w:val="18"/>
                <w:color w:val="auto"/>
              </w:rPr>
            </w:pPr>
          </w:p>
        </w:tc>
        <w:tc>
          <w:tcPr>
            <w:tcW w:w="1120" w:type="dxa"/>
            <w:vAlign w:val="bottom"/>
            <w:gridSpan w:val="2"/>
          </w:tcPr>
          <w:p>
            <w:pPr>
              <w:jc w:val="right"/>
              <w:ind w:right="48"/>
              <w:spacing w:after="0"/>
              <w:rPr>
                <w:sz w:val="20"/>
                <w:szCs w:val="20"/>
                <w:color w:val="auto"/>
              </w:rPr>
            </w:pPr>
            <w:r>
              <w:rPr>
                <w:rFonts w:ascii="Times New Roman" w:cs="Times New Roman" w:eastAsia="Times New Roman" w:hAnsi="Times New Roman"/>
                <w:sz w:val="18"/>
                <w:szCs w:val="18"/>
                <w:color w:val="auto"/>
              </w:rPr>
              <w:t>100.0%</w:t>
            </w: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$208,003</w:t>
            </w:r>
          </w:p>
        </w:tc>
        <w:tc>
          <w:tcPr>
            <w:tcW w:w="8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100.0%</w:t>
            </w:r>
          </w:p>
        </w:tc>
        <w:tc>
          <w:tcPr>
            <w:tcW w:w="14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$50,283</w:t>
            </w:r>
          </w:p>
        </w:tc>
        <w:tc>
          <w:tcPr>
            <w:tcW w:w="300" w:type="dxa"/>
            <w:vAlign w:val="bottom"/>
          </w:tcPr>
          <w:p>
            <w:pPr>
              <w:spacing w:after="0"/>
              <w:rPr>
                <w:sz w:val="18"/>
                <w:szCs w:val="18"/>
                <w:color w:val="auto"/>
              </w:rPr>
            </w:pPr>
          </w:p>
        </w:tc>
        <w:tc>
          <w:tcPr>
            <w:tcW w:w="8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24.2%</w:t>
            </w:r>
          </w:p>
        </w:tc>
        <w:tc>
          <w:tcPr>
            <w:tcW w:w="0" w:type="dxa"/>
            <w:vAlign w:val="bottom"/>
          </w:tcPr>
          <w:p>
            <w:pPr>
              <w:spacing w:after="0"/>
              <w:rPr>
                <w:sz w:val="1"/>
                <w:szCs w:val="1"/>
                <w:color w:val="auto"/>
              </w:rPr>
            </w:pPr>
          </w:p>
        </w:tc>
      </w:tr>
      <w:tr>
        <w:trPr>
          <w:trHeight w:val="216"/>
        </w:trPr>
        <w:tc>
          <w:tcPr>
            <w:tcW w:w="44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Cost of services revenues</w:t>
            </w:r>
          </w:p>
        </w:tc>
        <w:tc>
          <w:tcPr>
            <w:tcW w:w="11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186,964</w:t>
            </w:r>
          </w:p>
        </w:tc>
        <w:tc>
          <w:tcPr>
            <w:tcW w:w="10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208"/>
              <w:spacing w:after="0"/>
              <w:rPr>
                <w:sz w:val="20"/>
                <w:szCs w:val="20"/>
                <w:color w:val="auto"/>
              </w:rPr>
            </w:pPr>
            <w:r>
              <w:rPr>
                <w:rFonts w:ascii="Times New Roman" w:cs="Times New Roman" w:eastAsia="Times New Roman" w:hAnsi="Times New Roman"/>
                <w:sz w:val="18"/>
                <w:szCs w:val="18"/>
                <w:color w:val="auto"/>
              </w:rPr>
              <w:t>72.4</w:t>
            </w:r>
          </w:p>
        </w:tc>
        <w:tc>
          <w:tcPr>
            <w:tcW w:w="11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152,536</w:t>
            </w:r>
          </w:p>
        </w:tc>
        <w:tc>
          <w:tcPr>
            <w:tcW w:w="80" w:type="dxa"/>
            <w:vAlign w:val="bottom"/>
            <w:shd w:val="clear" w:color="auto" w:fill="CFF0FC"/>
          </w:tcPr>
          <w:p>
            <w:pPr>
              <w:spacing w:after="0"/>
              <w:rPr>
                <w:sz w:val="18"/>
                <w:szCs w:val="18"/>
                <w:color w:val="auto"/>
              </w:rPr>
            </w:pPr>
          </w:p>
        </w:tc>
        <w:tc>
          <w:tcPr>
            <w:tcW w:w="114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73.3</w:t>
            </w:r>
          </w:p>
        </w:tc>
        <w:tc>
          <w:tcPr>
            <w:tcW w:w="140" w:type="dxa"/>
            <w:vAlign w:val="bottom"/>
            <w:shd w:val="clear" w:color="auto" w:fill="CFF0FC"/>
          </w:tcPr>
          <w:p>
            <w:pPr>
              <w:spacing w:after="0"/>
              <w:rPr>
                <w:sz w:val="18"/>
                <w:szCs w:val="18"/>
                <w:color w:val="auto"/>
              </w:rPr>
            </w:pPr>
          </w:p>
        </w:tc>
        <w:tc>
          <w:tcPr>
            <w:tcW w:w="9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34,428</w:t>
            </w:r>
          </w:p>
        </w:tc>
        <w:tc>
          <w:tcPr>
            <w:tcW w:w="300" w:type="dxa"/>
            <w:vAlign w:val="bottom"/>
            <w:shd w:val="clear" w:color="auto" w:fill="CFF0FC"/>
          </w:tcPr>
          <w:p>
            <w:pPr>
              <w:spacing w:after="0"/>
              <w:rPr>
                <w:sz w:val="18"/>
                <w:szCs w:val="18"/>
                <w:color w:val="auto"/>
              </w:rPr>
            </w:pPr>
          </w:p>
        </w:tc>
        <w:tc>
          <w:tcPr>
            <w:tcW w:w="8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22.6</w:t>
            </w:r>
          </w:p>
        </w:tc>
        <w:tc>
          <w:tcPr>
            <w:tcW w:w="0" w:type="dxa"/>
            <w:vAlign w:val="bottom"/>
          </w:tcPr>
          <w:p>
            <w:pPr>
              <w:spacing w:after="0"/>
              <w:rPr>
                <w:sz w:val="1"/>
                <w:szCs w:val="1"/>
                <w:color w:val="auto"/>
              </w:rPr>
            </w:pPr>
          </w:p>
        </w:tc>
      </w:tr>
      <w:tr>
        <w:trPr>
          <w:trHeight w:val="20"/>
        </w:trPr>
        <w:tc>
          <w:tcPr>
            <w:tcW w:w="4400" w:type="dxa"/>
            <w:vAlign w:val="bottom"/>
            <w:shd w:val="clear" w:color="auto" w:fill="CFF0FC"/>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400" w:type="dxa"/>
            <w:vAlign w:val="bottom"/>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71,322</w:t>
            </w:r>
          </w:p>
        </w:tc>
        <w:tc>
          <w:tcPr>
            <w:tcW w:w="100" w:type="dxa"/>
            <w:vAlign w:val="bottom"/>
          </w:tcPr>
          <w:p>
            <w:pPr>
              <w:spacing w:after="0"/>
              <w:rPr>
                <w:sz w:val="18"/>
                <w:szCs w:val="18"/>
                <w:color w:val="auto"/>
              </w:rPr>
            </w:pPr>
          </w:p>
        </w:tc>
        <w:tc>
          <w:tcPr>
            <w:tcW w:w="1120" w:type="dxa"/>
            <w:vAlign w:val="bottom"/>
            <w:gridSpan w:val="2"/>
          </w:tcPr>
          <w:p>
            <w:pPr>
              <w:jc w:val="right"/>
              <w:ind w:right="208"/>
              <w:spacing w:after="0"/>
              <w:rPr>
                <w:sz w:val="20"/>
                <w:szCs w:val="20"/>
                <w:color w:val="auto"/>
              </w:rPr>
            </w:pPr>
            <w:r>
              <w:rPr>
                <w:rFonts w:ascii="Times New Roman" w:cs="Times New Roman" w:eastAsia="Times New Roman" w:hAnsi="Times New Roman"/>
                <w:sz w:val="18"/>
                <w:szCs w:val="18"/>
                <w:color w:val="auto"/>
              </w:rPr>
              <w:t>27.6</w:t>
            </w: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55,467</w:t>
            </w:r>
          </w:p>
        </w:tc>
        <w:tc>
          <w:tcPr>
            <w:tcW w:w="80" w:type="dxa"/>
            <w:vAlign w:val="bottom"/>
          </w:tcPr>
          <w:p>
            <w:pPr>
              <w:spacing w:after="0"/>
              <w:rPr>
                <w:sz w:val="18"/>
                <w:szCs w:val="18"/>
                <w:color w:val="auto"/>
              </w:rPr>
            </w:pPr>
          </w:p>
        </w:tc>
        <w:tc>
          <w:tcPr>
            <w:tcW w:w="11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26.7</w:t>
            </w:r>
          </w:p>
        </w:tc>
        <w:tc>
          <w:tcPr>
            <w:tcW w:w="14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15,855</w:t>
            </w:r>
          </w:p>
        </w:tc>
        <w:tc>
          <w:tcPr>
            <w:tcW w:w="300" w:type="dxa"/>
            <w:vAlign w:val="bottom"/>
          </w:tcPr>
          <w:p>
            <w:pPr>
              <w:spacing w:after="0"/>
              <w:rPr>
                <w:sz w:val="18"/>
                <w:szCs w:val="18"/>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28.6</w:t>
            </w:r>
          </w:p>
        </w:tc>
        <w:tc>
          <w:tcPr>
            <w:tcW w:w="0" w:type="dxa"/>
            <w:vAlign w:val="bottom"/>
          </w:tcPr>
          <w:p>
            <w:pPr>
              <w:spacing w:after="0"/>
              <w:rPr>
                <w:sz w:val="1"/>
                <w:szCs w:val="1"/>
                <w:color w:val="auto"/>
              </w:rPr>
            </w:pPr>
          </w:p>
        </w:tc>
      </w:tr>
      <w:tr>
        <w:trPr>
          <w:trHeight w:val="216"/>
        </w:trPr>
        <w:tc>
          <w:tcPr>
            <w:tcW w:w="44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11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23,730</w:t>
            </w:r>
          </w:p>
        </w:tc>
        <w:tc>
          <w:tcPr>
            <w:tcW w:w="10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208"/>
              <w:spacing w:after="0"/>
              <w:rPr>
                <w:sz w:val="20"/>
                <w:szCs w:val="20"/>
                <w:color w:val="auto"/>
              </w:rPr>
            </w:pPr>
            <w:r>
              <w:rPr>
                <w:rFonts w:ascii="Times New Roman" w:cs="Times New Roman" w:eastAsia="Times New Roman" w:hAnsi="Times New Roman"/>
                <w:sz w:val="18"/>
                <w:szCs w:val="18"/>
                <w:color w:val="auto"/>
              </w:rPr>
              <w:t>9.2</w:t>
            </w:r>
          </w:p>
        </w:tc>
        <w:tc>
          <w:tcPr>
            <w:tcW w:w="11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15,445</w:t>
            </w:r>
          </w:p>
        </w:tc>
        <w:tc>
          <w:tcPr>
            <w:tcW w:w="80" w:type="dxa"/>
            <w:vAlign w:val="bottom"/>
            <w:shd w:val="clear" w:color="auto" w:fill="CFF0FC"/>
          </w:tcPr>
          <w:p>
            <w:pPr>
              <w:spacing w:after="0"/>
              <w:rPr>
                <w:sz w:val="18"/>
                <w:szCs w:val="18"/>
                <w:color w:val="auto"/>
              </w:rPr>
            </w:pPr>
          </w:p>
        </w:tc>
        <w:tc>
          <w:tcPr>
            <w:tcW w:w="114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7.4</w:t>
            </w:r>
          </w:p>
        </w:tc>
        <w:tc>
          <w:tcPr>
            <w:tcW w:w="140" w:type="dxa"/>
            <w:vAlign w:val="bottom"/>
            <w:shd w:val="clear" w:color="auto" w:fill="CFF0FC"/>
          </w:tcPr>
          <w:p>
            <w:pPr>
              <w:spacing w:after="0"/>
              <w:rPr>
                <w:sz w:val="18"/>
                <w:szCs w:val="18"/>
                <w:color w:val="auto"/>
              </w:rPr>
            </w:pPr>
          </w:p>
        </w:tc>
        <w:tc>
          <w:tcPr>
            <w:tcW w:w="9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8,285</w:t>
            </w:r>
          </w:p>
        </w:tc>
        <w:tc>
          <w:tcPr>
            <w:tcW w:w="300" w:type="dxa"/>
            <w:vAlign w:val="bottom"/>
            <w:shd w:val="clear" w:color="auto" w:fill="CFF0FC"/>
          </w:tcPr>
          <w:p>
            <w:pPr>
              <w:spacing w:after="0"/>
              <w:rPr>
                <w:sz w:val="18"/>
                <w:szCs w:val="18"/>
                <w:color w:val="auto"/>
              </w:rPr>
            </w:pPr>
          </w:p>
        </w:tc>
        <w:tc>
          <w:tcPr>
            <w:tcW w:w="8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53.6</w:t>
            </w:r>
          </w:p>
        </w:tc>
        <w:tc>
          <w:tcPr>
            <w:tcW w:w="0" w:type="dxa"/>
            <w:vAlign w:val="bottom"/>
          </w:tcPr>
          <w:p>
            <w:pPr>
              <w:spacing w:after="0"/>
              <w:rPr>
                <w:sz w:val="1"/>
                <w:szCs w:val="1"/>
                <w:color w:val="auto"/>
              </w:rPr>
            </w:pPr>
          </w:p>
        </w:tc>
      </w:tr>
      <w:tr>
        <w:trPr>
          <w:trHeight w:val="20"/>
        </w:trPr>
        <w:tc>
          <w:tcPr>
            <w:tcW w:w="4400" w:type="dxa"/>
            <w:vAlign w:val="bottom"/>
            <w:shd w:val="clear" w:color="auto" w:fill="CFF0FC"/>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400" w:type="dxa"/>
            <w:vAlign w:val="bottom"/>
          </w:tcPr>
          <w:p>
            <w:pPr>
              <w:spacing w:after="0"/>
              <w:rPr>
                <w:sz w:val="20"/>
                <w:szCs w:val="20"/>
                <w:color w:val="auto"/>
              </w:rPr>
            </w:pPr>
            <w:r>
              <w:rPr>
                <w:rFonts w:ascii="Times New Roman" w:cs="Times New Roman" w:eastAsia="Times New Roman" w:hAnsi="Times New Roman"/>
                <w:sz w:val="18"/>
                <w:szCs w:val="18"/>
                <w:color w:val="auto"/>
              </w:rPr>
              <w:t>Segment operating income</w:t>
            </w: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$47,592</w:t>
            </w:r>
          </w:p>
        </w:tc>
        <w:tc>
          <w:tcPr>
            <w:tcW w:w="100" w:type="dxa"/>
            <w:vAlign w:val="bottom"/>
          </w:tcPr>
          <w:p>
            <w:pPr>
              <w:spacing w:after="0"/>
              <w:rPr>
                <w:sz w:val="18"/>
                <w:szCs w:val="18"/>
                <w:color w:val="auto"/>
              </w:rPr>
            </w:pPr>
          </w:p>
        </w:tc>
        <w:tc>
          <w:tcPr>
            <w:tcW w:w="1120" w:type="dxa"/>
            <w:vAlign w:val="bottom"/>
            <w:gridSpan w:val="2"/>
          </w:tcPr>
          <w:p>
            <w:pPr>
              <w:jc w:val="right"/>
              <w:ind w:right="48"/>
              <w:spacing w:after="0"/>
              <w:rPr>
                <w:sz w:val="20"/>
                <w:szCs w:val="20"/>
                <w:color w:val="auto"/>
              </w:rPr>
            </w:pPr>
            <w:r>
              <w:rPr>
                <w:rFonts w:ascii="Times New Roman" w:cs="Times New Roman" w:eastAsia="Times New Roman" w:hAnsi="Times New Roman"/>
                <w:sz w:val="18"/>
                <w:szCs w:val="18"/>
                <w:color w:val="auto"/>
              </w:rPr>
              <w:t>18.4%</w:t>
            </w: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$40,022</w:t>
            </w:r>
          </w:p>
        </w:tc>
        <w:tc>
          <w:tcPr>
            <w:tcW w:w="8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19.3%</w:t>
            </w:r>
          </w:p>
        </w:tc>
        <w:tc>
          <w:tcPr>
            <w:tcW w:w="14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$7,570</w:t>
            </w:r>
          </w:p>
        </w:tc>
        <w:tc>
          <w:tcPr>
            <w:tcW w:w="300" w:type="dxa"/>
            <w:vAlign w:val="bottom"/>
          </w:tcPr>
          <w:p>
            <w:pPr>
              <w:spacing w:after="0"/>
              <w:rPr>
                <w:sz w:val="18"/>
                <w:szCs w:val="18"/>
                <w:color w:val="auto"/>
              </w:rPr>
            </w:pPr>
          </w:p>
        </w:tc>
        <w:tc>
          <w:tcPr>
            <w:tcW w:w="8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18.9%</w:t>
            </w:r>
          </w:p>
        </w:tc>
        <w:tc>
          <w:tcPr>
            <w:tcW w:w="0" w:type="dxa"/>
            <w:vAlign w:val="bottom"/>
          </w:tcPr>
          <w:p>
            <w:pPr>
              <w:spacing w:after="0"/>
              <w:rPr>
                <w:sz w:val="1"/>
                <w:szCs w:val="1"/>
                <w:color w:val="auto"/>
              </w:rPr>
            </w:pPr>
          </w:p>
        </w:tc>
      </w:tr>
      <w:tr>
        <w:trPr>
          <w:trHeight w:val="20"/>
        </w:trPr>
        <w:tc>
          <w:tcPr>
            <w:tcW w:w="440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4"/>
        </w:trPr>
        <w:tc>
          <w:tcPr>
            <w:tcW w:w="4400" w:type="dxa"/>
            <w:vAlign w:val="bottom"/>
            <w:shd w:val="clear" w:color="auto" w:fill="CFF0FC"/>
          </w:tcPr>
          <w:p>
            <w:pPr>
              <w:spacing w:after="0" w:line="174" w:lineRule="exact"/>
              <w:rPr>
                <w:sz w:val="20"/>
                <w:szCs w:val="20"/>
                <w:color w:val="auto"/>
              </w:rPr>
            </w:pPr>
            <w:r>
              <w:rPr>
                <w:rFonts w:ascii="Times New Roman" w:cs="Times New Roman" w:eastAsia="Times New Roman" w:hAnsi="Times New Roman"/>
                <w:sz w:val="18"/>
                <w:szCs w:val="18"/>
                <w:b w:val="1"/>
                <w:bCs w:val="1"/>
                <w:color w:val="auto"/>
              </w:rPr>
              <w:t>Business Metrics (Actual Numbers,</w:t>
            </w:r>
          </w:p>
        </w:tc>
        <w:tc>
          <w:tcPr>
            <w:tcW w:w="94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84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96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86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8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66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44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Except Billable Hours in Thousands)</w:t>
            </w:r>
          </w:p>
        </w:tc>
        <w:tc>
          <w:tcPr>
            <w:tcW w:w="94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84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96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86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8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66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400" w:type="dxa"/>
            <w:vAlign w:val="bottom"/>
          </w:tcPr>
          <w:p>
            <w:pPr>
              <w:spacing w:after="0"/>
              <w:rPr>
                <w:sz w:val="20"/>
                <w:szCs w:val="20"/>
                <w:color w:val="auto"/>
              </w:rPr>
            </w:pPr>
            <w:r>
              <w:rPr>
                <w:rFonts w:ascii="Times New Roman" w:cs="Times New Roman" w:eastAsia="Times New Roman" w:hAnsi="Times New Roman"/>
                <w:sz w:val="18"/>
                <w:szCs w:val="18"/>
                <w:color w:val="auto"/>
              </w:rPr>
              <w:t>Locations at period end</w:t>
            </w: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199</w:t>
            </w: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153</w:t>
            </w: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0" w:type="dxa"/>
            <w:vAlign w:val="bottom"/>
            <w:shd w:val="clear" w:color="auto" w:fill="CFF0FC"/>
          </w:tcPr>
          <w:p>
            <w:pPr>
              <w:spacing w:after="0" w:line="216" w:lineRule="exact"/>
              <w:rPr>
                <w:sz w:val="20"/>
                <w:szCs w:val="20"/>
                <w:color w:val="auto"/>
              </w:rPr>
            </w:pPr>
            <w:r>
              <w:rPr>
                <w:rFonts w:ascii="Times New Roman" w:cs="Times New Roman" w:eastAsia="Times New Roman" w:hAnsi="Times New Roman"/>
                <w:sz w:val="18"/>
                <w:szCs w:val="18"/>
                <w:color w:val="auto"/>
              </w:rPr>
              <w:t xml:space="preserve">Average billable census * </w:t>
            </w:r>
            <w:r>
              <w:rPr>
                <w:rFonts w:ascii="Times New Roman" w:cs="Times New Roman" w:eastAsia="Times New Roman" w:hAnsi="Times New Roman"/>
                <w:sz w:val="24"/>
                <w:szCs w:val="24"/>
                <w:color w:val="auto"/>
                <w:vertAlign w:val="superscript"/>
              </w:rPr>
              <w:t>(1)</w:t>
            </w:r>
          </w:p>
        </w:tc>
        <w:tc>
          <w:tcPr>
            <w:tcW w:w="11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50,478</w:t>
            </w:r>
          </w:p>
        </w:tc>
        <w:tc>
          <w:tcPr>
            <w:tcW w:w="10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37,715</w:t>
            </w:r>
          </w:p>
        </w:tc>
        <w:tc>
          <w:tcPr>
            <w:tcW w:w="8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12,763</w:t>
            </w:r>
          </w:p>
        </w:tc>
        <w:tc>
          <w:tcPr>
            <w:tcW w:w="300" w:type="dxa"/>
            <w:vAlign w:val="bottom"/>
            <w:shd w:val="clear" w:color="auto" w:fill="CFF0FC"/>
          </w:tcPr>
          <w:p>
            <w:pPr>
              <w:spacing w:after="0"/>
              <w:rPr>
                <w:sz w:val="18"/>
                <w:szCs w:val="18"/>
                <w:color w:val="auto"/>
              </w:rPr>
            </w:pPr>
          </w:p>
        </w:tc>
        <w:tc>
          <w:tcPr>
            <w:tcW w:w="8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33.8%</w:t>
            </w:r>
          </w:p>
        </w:tc>
        <w:tc>
          <w:tcPr>
            <w:tcW w:w="0" w:type="dxa"/>
            <w:vAlign w:val="bottom"/>
          </w:tcPr>
          <w:p>
            <w:pPr>
              <w:spacing w:after="0"/>
              <w:rPr>
                <w:sz w:val="1"/>
                <w:szCs w:val="1"/>
                <w:color w:val="auto"/>
              </w:rPr>
            </w:pPr>
          </w:p>
        </w:tc>
      </w:tr>
      <w:tr>
        <w:trPr>
          <w:trHeight w:val="216"/>
        </w:trPr>
        <w:tc>
          <w:tcPr>
            <w:tcW w:w="4400" w:type="dxa"/>
            <w:vAlign w:val="bottom"/>
          </w:tcPr>
          <w:p>
            <w:pPr>
              <w:spacing w:after="0" w:line="216" w:lineRule="exact"/>
              <w:rPr>
                <w:sz w:val="20"/>
                <w:szCs w:val="20"/>
                <w:color w:val="auto"/>
              </w:rPr>
            </w:pPr>
            <w:r>
              <w:rPr>
                <w:rFonts w:ascii="Times New Roman" w:cs="Times New Roman" w:eastAsia="Times New Roman" w:hAnsi="Times New Roman"/>
                <w:sz w:val="18"/>
                <w:szCs w:val="18"/>
                <w:color w:val="auto"/>
              </w:rPr>
              <w:t xml:space="preserve">Billable hours * </w:t>
            </w:r>
            <w:r>
              <w:rPr>
                <w:rFonts w:ascii="Times New Roman" w:cs="Times New Roman" w:eastAsia="Times New Roman" w:hAnsi="Times New Roman"/>
                <w:sz w:val="24"/>
                <w:szCs w:val="24"/>
                <w:color w:val="auto"/>
                <w:vertAlign w:val="superscript"/>
              </w:rPr>
              <w:t>(2)</w:t>
            </w: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10,201</w:t>
            </w: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7,590</w:t>
            </w: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2,611</w:t>
            </w:r>
          </w:p>
        </w:tc>
        <w:tc>
          <w:tcPr>
            <w:tcW w:w="300" w:type="dxa"/>
            <w:vAlign w:val="bottom"/>
          </w:tcPr>
          <w:p>
            <w:pPr>
              <w:spacing w:after="0"/>
              <w:rPr>
                <w:sz w:val="18"/>
                <w:szCs w:val="18"/>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34.4</w:t>
            </w:r>
          </w:p>
        </w:tc>
        <w:tc>
          <w:tcPr>
            <w:tcW w:w="0" w:type="dxa"/>
            <w:vAlign w:val="bottom"/>
          </w:tcPr>
          <w:p>
            <w:pPr>
              <w:spacing w:after="0"/>
              <w:rPr>
                <w:sz w:val="1"/>
                <w:szCs w:val="1"/>
                <w:color w:val="auto"/>
              </w:rPr>
            </w:pPr>
          </w:p>
        </w:tc>
      </w:tr>
      <w:tr>
        <w:trPr>
          <w:trHeight w:val="216"/>
        </w:trPr>
        <w:tc>
          <w:tcPr>
            <w:tcW w:w="4400" w:type="dxa"/>
            <w:vAlign w:val="bottom"/>
            <w:shd w:val="clear" w:color="auto" w:fill="CFF0FC"/>
          </w:tcPr>
          <w:p>
            <w:pPr>
              <w:spacing w:after="0" w:line="216" w:lineRule="exact"/>
              <w:rPr>
                <w:sz w:val="20"/>
                <w:szCs w:val="20"/>
                <w:color w:val="auto"/>
              </w:rPr>
            </w:pPr>
            <w:r>
              <w:rPr>
                <w:rFonts w:ascii="Times New Roman" w:cs="Times New Roman" w:eastAsia="Times New Roman" w:hAnsi="Times New Roman"/>
                <w:sz w:val="18"/>
                <w:szCs w:val="18"/>
                <w:color w:val="auto"/>
              </w:rPr>
              <w:t xml:space="preserve">Average billable hours per census per month * </w:t>
            </w:r>
            <w:r>
              <w:rPr>
                <w:rFonts w:ascii="Times New Roman" w:cs="Times New Roman" w:eastAsia="Times New Roman" w:hAnsi="Times New Roman"/>
                <w:sz w:val="24"/>
                <w:szCs w:val="24"/>
                <w:color w:val="auto"/>
                <w:vertAlign w:val="superscript"/>
              </w:rPr>
              <w:t>(2)</w:t>
            </w:r>
          </w:p>
        </w:tc>
        <w:tc>
          <w:tcPr>
            <w:tcW w:w="11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67.4</w:t>
            </w:r>
          </w:p>
        </w:tc>
        <w:tc>
          <w:tcPr>
            <w:tcW w:w="10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67.0</w:t>
            </w:r>
          </w:p>
        </w:tc>
        <w:tc>
          <w:tcPr>
            <w:tcW w:w="8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0.4</w:t>
            </w:r>
          </w:p>
        </w:tc>
        <w:tc>
          <w:tcPr>
            <w:tcW w:w="300" w:type="dxa"/>
            <w:vAlign w:val="bottom"/>
            <w:shd w:val="clear" w:color="auto" w:fill="CFF0FC"/>
          </w:tcPr>
          <w:p>
            <w:pPr>
              <w:spacing w:after="0"/>
              <w:rPr>
                <w:sz w:val="18"/>
                <w:szCs w:val="18"/>
                <w:color w:val="auto"/>
              </w:rPr>
            </w:pPr>
          </w:p>
        </w:tc>
        <w:tc>
          <w:tcPr>
            <w:tcW w:w="8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0.6</w:t>
            </w:r>
          </w:p>
        </w:tc>
        <w:tc>
          <w:tcPr>
            <w:tcW w:w="0" w:type="dxa"/>
            <w:vAlign w:val="bottom"/>
          </w:tcPr>
          <w:p>
            <w:pPr>
              <w:spacing w:after="0"/>
              <w:rPr>
                <w:sz w:val="1"/>
                <w:szCs w:val="1"/>
                <w:color w:val="auto"/>
              </w:rPr>
            </w:pPr>
          </w:p>
        </w:tc>
      </w:tr>
      <w:tr>
        <w:trPr>
          <w:trHeight w:val="216"/>
        </w:trPr>
        <w:tc>
          <w:tcPr>
            <w:tcW w:w="4400" w:type="dxa"/>
            <w:vAlign w:val="bottom"/>
          </w:tcPr>
          <w:p>
            <w:pPr>
              <w:spacing w:after="0" w:line="216" w:lineRule="exact"/>
              <w:rPr>
                <w:sz w:val="20"/>
                <w:szCs w:val="20"/>
                <w:color w:val="auto"/>
              </w:rPr>
            </w:pPr>
            <w:r>
              <w:rPr>
                <w:rFonts w:ascii="Times New Roman" w:cs="Times New Roman" w:eastAsia="Times New Roman" w:hAnsi="Times New Roman"/>
                <w:sz w:val="18"/>
                <w:szCs w:val="18"/>
                <w:color w:val="auto"/>
              </w:rPr>
              <w:t xml:space="preserve">Billable hours per business day * </w:t>
            </w:r>
            <w:r>
              <w:rPr>
                <w:rFonts w:ascii="Times New Roman" w:cs="Times New Roman" w:eastAsia="Times New Roman" w:hAnsi="Times New Roman"/>
                <w:sz w:val="24"/>
                <w:szCs w:val="24"/>
                <w:color w:val="auto"/>
                <w:vertAlign w:val="superscript"/>
              </w:rPr>
              <w:t>(2)</w:t>
            </w: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159,395</w:t>
            </w: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116,769</w:t>
            </w: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42,626</w:t>
            </w:r>
          </w:p>
        </w:tc>
        <w:tc>
          <w:tcPr>
            <w:tcW w:w="300" w:type="dxa"/>
            <w:vAlign w:val="bottom"/>
          </w:tcPr>
          <w:p>
            <w:pPr>
              <w:spacing w:after="0"/>
              <w:rPr>
                <w:sz w:val="18"/>
                <w:szCs w:val="18"/>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36.5</w:t>
            </w:r>
          </w:p>
        </w:tc>
        <w:tc>
          <w:tcPr>
            <w:tcW w:w="0" w:type="dxa"/>
            <w:vAlign w:val="bottom"/>
          </w:tcPr>
          <w:p>
            <w:pPr>
              <w:spacing w:after="0"/>
              <w:rPr>
                <w:sz w:val="1"/>
                <w:szCs w:val="1"/>
                <w:color w:val="auto"/>
              </w:rPr>
            </w:pPr>
          </w:p>
        </w:tc>
      </w:tr>
      <w:tr>
        <w:trPr>
          <w:trHeight w:val="216"/>
        </w:trPr>
        <w:tc>
          <w:tcPr>
            <w:tcW w:w="4400" w:type="dxa"/>
            <w:vAlign w:val="bottom"/>
            <w:shd w:val="clear" w:color="auto" w:fill="CFF0FC"/>
          </w:tcPr>
          <w:p>
            <w:pPr>
              <w:spacing w:after="0" w:line="216" w:lineRule="exact"/>
              <w:rPr>
                <w:sz w:val="20"/>
                <w:szCs w:val="20"/>
                <w:color w:val="auto"/>
              </w:rPr>
            </w:pPr>
            <w:r>
              <w:rPr>
                <w:rFonts w:ascii="Times New Roman" w:cs="Times New Roman" w:eastAsia="Times New Roman" w:hAnsi="Times New Roman"/>
                <w:sz w:val="18"/>
                <w:szCs w:val="18"/>
                <w:color w:val="auto"/>
              </w:rPr>
              <w:t xml:space="preserve">Revenues per billable hour * </w:t>
            </w:r>
            <w:r>
              <w:rPr>
                <w:rFonts w:ascii="Times New Roman" w:cs="Times New Roman" w:eastAsia="Times New Roman" w:hAnsi="Times New Roman"/>
                <w:sz w:val="24"/>
                <w:szCs w:val="24"/>
                <w:color w:val="auto"/>
                <w:vertAlign w:val="superscript"/>
              </w:rPr>
              <w:t>(2)</w:t>
            </w:r>
          </w:p>
        </w:tc>
        <w:tc>
          <w:tcPr>
            <w:tcW w:w="11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$25.32</w:t>
            </w:r>
          </w:p>
        </w:tc>
        <w:tc>
          <w:tcPr>
            <w:tcW w:w="10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$27.35</w:t>
            </w:r>
          </w:p>
        </w:tc>
        <w:tc>
          <w:tcPr>
            <w:tcW w:w="8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$(2.03)</w:t>
            </w:r>
          </w:p>
        </w:tc>
        <w:tc>
          <w:tcPr>
            <w:tcW w:w="300" w:type="dxa"/>
            <w:vAlign w:val="bottom"/>
            <w:shd w:val="clear" w:color="auto" w:fill="CFF0FC"/>
          </w:tcPr>
          <w:p>
            <w:pPr>
              <w:spacing w:after="0"/>
              <w:rPr>
                <w:sz w:val="18"/>
                <w:szCs w:val="18"/>
                <w:color w:val="auto"/>
              </w:rPr>
            </w:pPr>
          </w:p>
        </w:tc>
        <w:tc>
          <w:tcPr>
            <w:tcW w:w="8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0" w:type="dxa"/>
            <w:vAlign w:val="bottom"/>
          </w:tcPr>
          <w:p>
            <w:pPr>
              <w:spacing w:after="0"/>
              <w:rPr>
                <w:sz w:val="1"/>
                <w:szCs w:val="1"/>
                <w:color w:val="auto"/>
              </w:rPr>
            </w:pPr>
          </w:p>
        </w:tc>
      </w:tr>
      <w:tr>
        <w:trPr>
          <w:trHeight w:val="317"/>
        </w:trPr>
        <w:tc>
          <w:tcPr>
            <w:tcW w:w="440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Same store growth revenue % * </w:t>
            </w:r>
            <w:r>
              <w:rPr>
                <w:rFonts w:ascii="Times New Roman" w:cs="Times New Roman" w:eastAsia="Times New Roman" w:hAnsi="Times New Roman"/>
                <w:sz w:val="24"/>
                <w:szCs w:val="24"/>
                <w:color w:val="auto"/>
                <w:vertAlign w:val="superscript"/>
              </w:rPr>
              <w:t>(3)</w:t>
            </w:r>
          </w:p>
        </w:tc>
        <w:tc>
          <w:tcPr>
            <w:tcW w:w="12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7.4%</w:t>
            </w:r>
          </w:p>
        </w:tc>
        <w:tc>
          <w:tcPr>
            <w:tcW w:w="8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0" w:type="dxa"/>
            <w:vAlign w:val="bottom"/>
            <w:gridSpan w:val="3"/>
          </w:tcPr>
          <w:p>
            <w:pPr>
              <w:jc w:val="right"/>
              <w:ind w:right="8"/>
              <w:spacing w:after="0"/>
              <w:rPr>
                <w:sz w:val="20"/>
                <w:szCs w:val="20"/>
                <w:color w:val="auto"/>
              </w:rPr>
            </w:pPr>
            <w:r>
              <w:rPr>
                <w:rFonts w:ascii="Times New Roman" w:cs="Times New Roman" w:eastAsia="Times New Roman" w:hAnsi="Times New Roman"/>
                <w:sz w:val="18"/>
                <w:szCs w:val="18"/>
                <w:color w:val="auto"/>
              </w:rPr>
              <w:t>9.3%</w:t>
            </w:r>
          </w:p>
        </w:tc>
        <w:tc>
          <w:tcPr>
            <w:tcW w:w="8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(1.9)</w:t>
            </w:r>
          </w:p>
        </w:tc>
        <w:tc>
          <w:tcPr>
            <w:tcW w:w="300" w:type="dxa"/>
            <w:vAlign w:val="bottom"/>
          </w:tcPr>
          <w:p>
            <w:pPr>
              <w:spacing w:after="0"/>
              <w:rPr>
                <w:sz w:val="24"/>
                <w:szCs w:val="24"/>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(20.4)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3390900</wp:posOffset>
            </wp:positionH>
            <wp:positionV relativeFrom="paragraph">
              <wp:posOffset>-1751965</wp:posOffset>
            </wp:positionV>
            <wp:extent cx="102870" cy="825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4093845</wp:posOffset>
            </wp:positionH>
            <wp:positionV relativeFrom="paragraph">
              <wp:posOffset>-1751965</wp:posOffset>
            </wp:positionV>
            <wp:extent cx="102870" cy="825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4874260</wp:posOffset>
            </wp:positionH>
            <wp:positionV relativeFrom="paragraph">
              <wp:posOffset>-1751965</wp:posOffset>
            </wp:positionV>
            <wp:extent cx="102870" cy="825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5577205</wp:posOffset>
            </wp:positionH>
            <wp:positionV relativeFrom="paragraph">
              <wp:posOffset>-1751965</wp:posOffset>
            </wp:positionV>
            <wp:extent cx="102870" cy="825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6356985</wp:posOffset>
            </wp:positionH>
            <wp:positionV relativeFrom="paragraph">
              <wp:posOffset>-1751965</wp:posOffset>
            </wp:positionV>
            <wp:extent cx="68580" cy="825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7034530</wp:posOffset>
            </wp:positionH>
            <wp:positionV relativeFrom="paragraph">
              <wp:posOffset>-1751965</wp:posOffset>
            </wp:positionV>
            <wp:extent cx="102870" cy="825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3390900</wp:posOffset>
            </wp:positionH>
            <wp:positionV relativeFrom="paragraph">
              <wp:posOffset>-1469390</wp:posOffset>
            </wp:positionV>
            <wp:extent cx="102870" cy="825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4093845</wp:posOffset>
            </wp:positionH>
            <wp:positionV relativeFrom="paragraph">
              <wp:posOffset>-1469390</wp:posOffset>
            </wp:positionV>
            <wp:extent cx="102870" cy="825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4874260</wp:posOffset>
            </wp:positionH>
            <wp:positionV relativeFrom="paragraph">
              <wp:posOffset>-1469390</wp:posOffset>
            </wp:positionV>
            <wp:extent cx="102870" cy="825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5577205</wp:posOffset>
            </wp:positionH>
            <wp:positionV relativeFrom="paragraph">
              <wp:posOffset>-1469390</wp:posOffset>
            </wp:positionV>
            <wp:extent cx="102870" cy="825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6356985</wp:posOffset>
            </wp:positionH>
            <wp:positionV relativeFrom="paragraph">
              <wp:posOffset>-1469390</wp:posOffset>
            </wp:positionV>
            <wp:extent cx="68580" cy="825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7034530</wp:posOffset>
            </wp:positionH>
            <wp:positionV relativeFrom="paragraph">
              <wp:posOffset>-1469390</wp:posOffset>
            </wp:positionV>
            <wp:extent cx="102870" cy="825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102870" cy="8255"/>
                    </a:xfrm>
                    <a:prstGeom prst="rect">
                      <a:avLst/>
                    </a:prstGeom>
                    <a:noFill/>
                  </pic:spPr>
                </pic:pic>
              </a:graphicData>
            </a:graphic>
          </wp:anchor>
        </w:drawing>
      </w:r>
    </w:p>
    <w:p>
      <w:pPr>
        <w:spacing w:after="0" w:line="68" w:lineRule="exact"/>
        <w:rPr>
          <w:sz w:val="20"/>
          <w:szCs w:val="20"/>
          <w:color w:val="auto"/>
        </w:rPr>
      </w:pPr>
    </w:p>
    <w:p>
      <w:pPr>
        <w:ind w:left="520" w:right="100" w:hanging="512"/>
        <w:spacing w:after="0" w:line="298" w:lineRule="auto"/>
        <w:tabs>
          <w:tab w:leader="none" w:pos="520" w:val="left"/>
        </w:tabs>
        <w:numPr>
          <w:ilvl w:val="0"/>
          <w:numId w:val="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Average billable census is the number of unique clients receiving a billable service during the year and is the total census divided by months in operation during the period.</w:t>
      </w:r>
    </w:p>
    <w:p>
      <w:pPr>
        <w:spacing w:after="0" w:line="29" w:lineRule="exact"/>
        <w:rPr>
          <w:rFonts w:ascii="Times New Roman" w:cs="Times New Roman" w:eastAsia="Times New Roman" w:hAnsi="Times New Roman"/>
          <w:sz w:val="16"/>
          <w:szCs w:val="16"/>
          <w:color w:val="auto"/>
        </w:rPr>
      </w:pPr>
    </w:p>
    <w:p>
      <w:pPr>
        <w:ind w:left="520" w:right="160" w:hanging="512"/>
        <w:spacing w:after="0" w:line="281" w:lineRule="auto"/>
        <w:tabs>
          <w:tab w:leader="none" w:pos="520" w:val="left"/>
        </w:tabs>
        <w:numPr>
          <w:ilvl w:val="0"/>
          <w:numId w:val="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Billable hours is the total number of hours served to clients during the period. Average billable hours per census per month is billable hours divided by average billable census. Billable hours per day is total billable hours divided by the number of business days in the period. Revenues per billable hour is revenue, attributed to billable bonus hours, divided by billable hours.</w:t>
      </w:r>
    </w:p>
    <w:p>
      <w:pPr>
        <w:spacing w:after="0" w:line="42" w:lineRule="exact"/>
        <w:rPr>
          <w:rFonts w:ascii="Times New Roman" w:cs="Times New Roman" w:eastAsia="Times New Roman" w:hAnsi="Times New Roman"/>
          <w:sz w:val="16"/>
          <w:szCs w:val="16"/>
          <w:color w:val="auto"/>
        </w:rPr>
      </w:pPr>
    </w:p>
    <w:p>
      <w:pPr>
        <w:ind w:left="520" w:right="200" w:hanging="512"/>
        <w:spacing w:after="0" w:line="281" w:lineRule="auto"/>
        <w:tabs>
          <w:tab w:leader="none" w:pos="520" w:val="left"/>
        </w:tabs>
        <w:numPr>
          <w:ilvl w:val="0"/>
          <w:numId w:val="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Same store growth reflects the change in year-over-year revenue for the same store base. We define the same store base to include those stores open for at least 52 full weeks. This measure highlights the performance of existing stores, while excluding the impact of acquisitions, new store openings and closures and ARPA associated revenue from this calculation.</w:t>
      </w:r>
    </w:p>
    <w:p>
      <w:pPr>
        <w:spacing w:after="0" w:line="42" w:lineRule="exact"/>
        <w:rPr>
          <w:sz w:val="20"/>
          <w:szCs w:val="20"/>
          <w:color w:val="auto"/>
        </w:rPr>
      </w:pPr>
    </w:p>
    <w:p>
      <w:pPr>
        <w:ind w:right="60" w:firstLine="8"/>
        <w:spacing w:after="0" w:line="269" w:lineRule="auto"/>
        <w:tabs>
          <w:tab w:leader="none" w:pos="121" w:val="left"/>
        </w:tabs>
        <w:numPr>
          <w:ilvl w:val="0"/>
          <w:numId w:val="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Management deems these metrics to be key performance indicators. Management uses these metrics to monitor our performance, both in our existing operations and acquisitions. Many of these metrics serve as the basis of reported revenues and assessment of these provide direct correlation to the results of operations from period to period and facilitate comparison with the results of our peers. Historical trends established in these metrics can be used to evaluate current operating results, identify trends affecting our business, determine the allocation of resources and assess the quality and potential variability of our cash flows and earnings. We believe they are useful to investors in evaluating and understanding our business but should not be used solely in assessing the Company’s performance. These key performance indicators should not be considered superior to, as a substitute for or as an alternative to, and should be considered in conjunction with, the GAAP financial measures presented herein to fully evaluate and understand the business as a whole. These measures may not be comparable to similarly titled performance indicators used by other companies.</w:t>
      </w:r>
    </w:p>
    <w:p>
      <w:pPr>
        <w:spacing w:after="0" w:line="185" w:lineRule="exact"/>
        <w:rPr>
          <w:sz w:val="20"/>
          <w:szCs w:val="20"/>
          <w:color w:val="auto"/>
        </w:rPr>
      </w:pPr>
    </w:p>
    <w:p>
      <w:pPr>
        <w:jc w:val="both"/>
        <w:ind w:right="60" w:firstLine="509"/>
        <w:spacing w:after="0" w:line="266" w:lineRule="auto"/>
        <w:rPr>
          <w:sz w:val="20"/>
          <w:szCs w:val="20"/>
          <w:color w:val="auto"/>
        </w:rPr>
      </w:pPr>
      <w:r>
        <w:rPr>
          <w:rFonts w:ascii="Times New Roman" w:cs="Times New Roman" w:eastAsia="Times New Roman" w:hAnsi="Times New Roman"/>
          <w:sz w:val="18"/>
          <w:szCs w:val="18"/>
          <w:color w:val="auto"/>
        </w:rPr>
        <w:t>The personal care segment derives a significant amount of its net service revenues from operations in Illinois, which represented 33.0% and 38.3% of our net service revenues for the three months ended March 31, 2025 and 2024, respectively. One payor, the Illinois Department on Aging, accounted for 18.5% and 20.8% of net service revenues for the three months ended March 31, 2025 and 2024, respectively.</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487680</wp:posOffset>
            </wp:positionV>
            <wp:extent cx="7157720" cy="4254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b w:val="1"/>
          <w:bCs w:val="1"/>
          <w:u w:val="single" w:color="auto"/>
          <w:color w:val="0563C1"/>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-5080</wp:posOffset>
            </wp:positionV>
            <wp:extent cx="869315" cy="825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869315" cy="8255"/>
                    </a:xfrm>
                    <a:prstGeom prst="rect">
                      <a:avLst/>
                    </a:prstGeom>
                    <a:noFill/>
                  </pic:spPr>
                </pic:pic>
              </a:graphicData>
            </a:graphic>
          </wp:anchor>
        </w:drawing>
      </w:r>
    </w:p>
    <w:p>
      <w:pPr>
        <w:spacing w:after="0" w:line="200" w:lineRule="exact"/>
        <w:rPr>
          <w:sz w:val="20"/>
          <w:szCs w:val="20"/>
          <w:color w:val="auto"/>
        </w:rPr>
      </w:pPr>
    </w:p>
    <w:p>
      <w:pPr>
        <w:spacing w:after="0" w:line="225" w:lineRule="exact"/>
        <w:rPr>
          <w:sz w:val="20"/>
          <w:szCs w:val="20"/>
          <w:color w:val="auto"/>
        </w:rPr>
      </w:pPr>
    </w:p>
    <w:p>
      <w:pPr>
        <w:ind w:right="140" w:firstLine="509"/>
        <w:spacing w:after="0" w:line="266" w:lineRule="auto"/>
        <w:rPr>
          <w:sz w:val="20"/>
          <w:szCs w:val="20"/>
          <w:color w:val="auto"/>
        </w:rPr>
      </w:pPr>
      <w:r>
        <w:rPr>
          <w:rFonts w:ascii="Times New Roman" w:cs="Times New Roman" w:eastAsia="Times New Roman" w:hAnsi="Times New Roman"/>
          <w:sz w:val="18"/>
          <w:szCs w:val="18"/>
          <w:color w:val="auto"/>
        </w:rPr>
        <w:t>Net service revenues from state, local, and other governmental programs accounted for 51.5% and 51.8% of net service revenues for the three months ended March 31, 2025 and 2024, respectively. Managed care organizations accounted for 45.3% of net service revenues for both the three months ended March 31, 2025 and 2024, with commercial insurance, private pay, and other payors accounting for the remainder of net service revenues.</w:t>
      </w:r>
    </w:p>
    <w:p>
      <w:pPr>
        <w:spacing w:after="0" w:line="176" w:lineRule="exact"/>
        <w:rPr>
          <w:sz w:val="20"/>
          <w:szCs w:val="20"/>
          <w:color w:val="auto"/>
        </w:rPr>
      </w:pPr>
    </w:p>
    <w:p>
      <w:pPr>
        <w:jc w:val="both"/>
        <w:ind w:right="400" w:firstLine="509"/>
        <w:spacing w:after="0" w:line="266" w:lineRule="auto"/>
        <w:rPr>
          <w:sz w:val="20"/>
          <w:szCs w:val="20"/>
          <w:color w:val="auto"/>
        </w:rPr>
      </w:pPr>
      <w:r>
        <w:rPr>
          <w:rFonts w:ascii="Times New Roman" w:cs="Times New Roman" w:eastAsia="Times New Roman" w:hAnsi="Times New Roman"/>
          <w:sz w:val="18"/>
          <w:szCs w:val="18"/>
          <w:color w:val="auto"/>
        </w:rPr>
        <w:t>Net service revenues increased by 24.2% for the three months ended March 31, 2025 compared to the three months ended March 31, 2024. Net service revenues included a 7.4% decrease in revenues per billable hour for the three months ended March 31, 2025, due to lower reimbursement rates attributable to the Gentiva Acquisition, as well as the New York Asset Sale, compared to the three months ended March 31, 2024.</w:t>
      </w:r>
    </w:p>
    <w:p>
      <w:pPr>
        <w:spacing w:after="0" w:line="176" w:lineRule="exact"/>
        <w:rPr>
          <w:sz w:val="20"/>
          <w:szCs w:val="20"/>
          <w:color w:val="auto"/>
        </w:rPr>
      </w:pPr>
    </w:p>
    <w:p>
      <w:pPr>
        <w:ind w:right="160" w:firstLine="509"/>
        <w:spacing w:after="0" w:line="266" w:lineRule="auto"/>
        <w:rPr>
          <w:sz w:val="20"/>
          <w:szCs w:val="20"/>
          <w:color w:val="auto"/>
        </w:rPr>
      </w:pPr>
      <w:r>
        <w:rPr>
          <w:rFonts w:ascii="Times New Roman" w:cs="Times New Roman" w:eastAsia="Times New Roman" w:hAnsi="Times New Roman"/>
          <w:sz w:val="18"/>
          <w:szCs w:val="18"/>
          <w:color w:val="auto"/>
        </w:rPr>
        <w:t>Gross profit, expressed as a percentage of net service revenues, increased to 27.6% for the three months ended March 31, 2025 from 26.7% for the three months ended March 31, 2024. This increase was due to decreases in direct payroll and benefits expenses as a percentage of revenue for the three months ended March 31, 2025 primarily related to the New York Asset Sale.</w:t>
      </w:r>
    </w:p>
    <w:p>
      <w:pPr>
        <w:spacing w:after="0" w:line="176" w:lineRule="exact"/>
        <w:rPr>
          <w:sz w:val="20"/>
          <w:szCs w:val="20"/>
          <w:color w:val="auto"/>
        </w:rPr>
      </w:pPr>
    </w:p>
    <w:p>
      <w:pPr>
        <w:jc w:val="both"/>
        <w:ind w:right="80" w:firstLine="509"/>
        <w:spacing w:after="0" w:line="266" w:lineRule="auto"/>
        <w:rPr>
          <w:sz w:val="20"/>
          <w:szCs w:val="20"/>
          <w:color w:val="auto"/>
        </w:rPr>
      </w:pPr>
      <w:r>
        <w:rPr>
          <w:rFonts w:ascii="Times New Roman" w:cs="Times New Roman" w:eastAsia="Times New Roman" w:hAnsi="Times New Roman"/>
          <w:sz w:val="18"/>
          <w:szCs w:val="18"/>
          <w:color w:val="auto"/>
        </w:rPr>
        <w:t>The personal care segment’s general and administrative expenses primarily consist of administrative employee wages, taxes, and benefit costs, rent, information technology, and office expenses. General and administrative expenses, expressed as a percentage of net service revenues, was 9.2% and 7.4% for the three months ended March 31, 2025 and 2024, respectively.</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Hospice Segment</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400" w:type="dxa"/>
            <w:vAlign w:val="bottom"/>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2760" w:type="dxa"/>
            <w:vAlign w:val="bottom"/>
            <w:tcBorders>
              <w:bottom w:val="single" w:sz="8" w:color="auto"/>
            </w:tcBorders>
            <w:gridSpan w:val="7"/>
          </w:tcPr>
          <w:p>
            <w:pPr>
              <w:ind w:left="60"/>
              <w:spacing w:after="0"/>
              <w:rPr>
                <w:sz w:val="20"/>
                <w:szCs w:val="20"/>
                <w:color w:val="auto"/>
              </w:rPr>
            </w:pPr>
            <w:r>
              <w:rPr>
                <w:rFonts w:ascii="Times New Roman" w:cs="Times New Roman" w:eastAsia="Times New Roman" w:hAnsi="Times New Roman"/>
                <w:sz w:val="14"/>
                <w:szCs w:val="14"/>
                <w:b w:val="1"/>
                <w:bCs w:val="1"/>
                <w:color w:val="auto"/>
              </w:rPr>
              <w:t>For the Three Months Ended March 31,</w:t>
            </w:r>
          </w:p>
        </w:tc>
        <w:tc>
          <w:tcPr>
            <w:tcW w:w="8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4400" w:type="dxa"/>
            <w:vAlign w:val="bottom"/>
          </w:tcPr>
          <w:p>
            <w:pPr>
              <w:spacing w:after="0"/>
              <w:rPr>
                <w:sz w:val="12"/>
                <w:szCs w:val="12"/>
                <w:color w:val="auto"/>
              </w:rPr>
            </w:pPr>
          </w:p>
        </w:tc>
        <w:tc>
          <w:tcPr>
            <w:tcW w:w="1200" w:type="dxa"/>
            <w:vAlign w:val="bottom"/>
            <w:tcBorders>
              <w:bottom w:val="single" w:sz="8" w:color="auto"/>
            </w:tcBorders>
            <w:gridSpan w:val="3"/>
          </w:tcPr>
          <w:p>
            <w:pPr>
              <w:jc w:val="right"/>
              <w:ind w:right="40"/>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840" w:type="dxa"/>
            <w:vAlign w:val="bottom"/>
            <w:tcBorders>
              <w:bottom w:val="single" w:sz="8" w:color="auto"/>
            </w:tcBorders>
          </w:tcPr>
          <w:p>
            <w:pPr>
              <w:spacing w:after="0"/>
              <w:rPr>
                <w:sz w:val="12"/>
                <w:szCs w:val="12"/>
                <w:color w:val="auto"/>
              </w:rPr>
            </w:pPr>
          </w:p>
        </w:tc>
        <w:tc>
          <w:tcPr>
            <w:tcW w:w="300" w:type="dxa"/>
            <w:vAlign w:val="bottom"/>
          </w:tcPr>
          <w:p>
            <w:pPr>
              <w:spacing w:after="0"/>
              <w:rPr>
                <w:sz w:val="12"/>
                <w:szCs w:val="12"/>
                <w:color w:val="auto"/>
              </w:rPr>
            </w:pPr>
          </w:p>
        </w:tc>
        <w:tc>
          <w:tcPr>
            <w:tcW w:w="1200" w:type="dxa"/>
            <w:vAlign w:val="bottom"/>
            <w:tcBorders>
              <w:bottom w:val="single" w:sz="8" w:color="auto"/>
            </w:tcBorders>
            <w:gridSpan w:val="3"/>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860" w:type="dxa"/>
            <w:vAlign w:val="bottom"/>
            <w:tcBorders>
              <w:bottom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200" w:type="dxa"/>
            <w:vAlign w:val="bottom"/>
            <w:tcBorders>
              <w:bottom w:val="single" w:sz="8" w:color="auto"/>
            </w:tcBorders>
            <w:gridSpan w:val="3"/>
          </w:tcPr>
          <w:p>
            <w:pPr>
              <w:ind w:left="620"/>
              <w:spacing w:after="0" w:line="142" w:lineRule="exact"/>
              <w:rPr>
                <w:sz w:val="20"/>
                <w:szCs w:val="20"/>
                <w:color w:val="auto"/>
              </w:rPr>
            </w:pPr>
            <w:r>
              <w:rPr>
                <w:rFonts w:ascii="Times New Roman" w:cs="Times New Roman" w:eastAsia="Times New Roman" w:hAnsi="Times New Roman"/>
                <w:sz w:val="14"/>
                <w:szCs w:val="14"/>
                <w:b w:val="1"/>
                <w:bCs w:val="1"/>
                <w:color w:val="auto"/>
              </w:rPr>
              <w:t>Change</w:t>
            </w:r>
          </w:p>
        </w:tc>
        <w:tc>
          <w:tcPr>
            <w:tcW w:w="660" w:type="dxa"/>
            <w:vAlign w:val="bottom"/>
            <w:tcBorders>
              <w:bottom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7"/>
        </w:trPr>
        <w:tc>
          <w:tcPr>
            <w:tcW w:w="440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40" w:type="dxa"/>
            <w:vAlign w:val="bottom"/>
          </w:tcPr>
          <w:p>
            <w:pPr>
              <w:jc w:val="center"/>
              <w:ind w:right="19"/>
              <w:spacing w:after="0" w:line="118" w:lineRule="exact"/>
              <w:rPr>
                <w:sz w:val="20"/>
                <w:szCs w:val="20"/>
                <w:color w:val="auto"/>
              </w:rPr>
            </w:pPr>
            <w:r>
              <w:rPr>
                <w:rFonts w:ascii="Times New Roman" w:cs="Times New Roman" w:eastAsia="Times New Roman" w:hAnsi="Times New Roman"/>
                <w:sz w:val="13"/>
                <w:szCs w:val="13"/>
                <w:b w:val="1"/>
                <w:bCs w:val="1"/>
                <w:color w:val="auto"/>
              </w:rPr>
              <w:t>% of</w:t>
            </w:r>
          </w:p>
        </w:tc>
        <w:tc>
          <w:tcPr>
            <w:tcW w:w="30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60" w:type="dxa"/>
            <w:vAlign w:val="bottom"/>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 of</w:t>
            </w:r>
          </w:p>
        </w:tc>
        <w:tc>
          <w:tcPr>
            <w:tcW w:w="2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44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gridSpan w:val="2"/>
          </w:tcPr>
          <w:p>
            <w:pPr>
              <w:jc w:val="center"/>
              <w:ind w:right="308"/>
              <w:spacing w:after="0" w:line="149" w:lineRule="exact"/>
              <w:rPr>
                <w:sz w:val="20"/>
                <w:szCs w:val="20"/>
                <w:color w:val="auto"/>
              </w:rPr>
            </w:pPr>
            <w:r>
              <w:rPr>
                <w:rFonts w:ascii="Times New Roman" w:cs="Times New Roman" w:eastAsia="Times New Roman" w:hAnsi="Times New Roman"/>
                <w:sz w:val="14"/>
                <w:szCs w:val="14"/>
                <w:b w:val="1"/>
                <w:bCs w:val="1"/>
                <w:color w:val="auto"/>
              </w:rPr>
              <w:t>Segment</w:t>
            </w:r>
          </w:p>
        </w:tc>
        <w:tc>
          <w:tcPr>
            <w:tcW w:w="9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60" w:type="dxa"/>
            <w:vAlign w:val="bottom"/>
            <w:gridSpan w:val="3"/>
          </w:tcPr>
          <w:p>
            <w:pPr>
              <w:jc w:val="center"/>
              <w:ind w:right="500"/>
              <w:spacing w:after="0" w:line="149" w:lineRule="exact"/>
              <w:rPr>
                <w:sz w:val="20"/>
                <w:szCs w:val="20"/>
                <w:color w:val="auto"/>
              </w:rPr>
            </w:pPr>
            <w:r>
              <w:rPr>
                <w:rFonts w:ascii="Times New Roman" w:cs="Times New Roman" w:eastAsia="Times New Roman" w:hAnsi="Times New Roman"/>
                <w:sz w:val="14"/>
                <w:szCs w:val="14"/>
                <w:b w:val="1"/>
                <w:bCs w:val="1"/>
                <w:color w:val="auto"/>
              </w:rPr>
              <w:t>Segment</w:t>
            </w: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400" w:type="dxa"/>
            <w:vAlign w:val="bottom"/>
          </w:tcPr>
          <w:p>
            <w:pPr>
              <w:spacing w:after="0"/>
              <w:rPr>
                <w:sz w:val="12"/>
                <w:szCs w:val="12"/>
                <w:color w:val="auto"/>
              </w:rPr>
            </w:pPr>
          </w:p>
        </w:tc>
        <w:tc>
          <w:tcPr>
            <w:tcW w:w="940" w:type="dxa"/>
            <w:vAlign w:val="bottom"/>
            <w:vMerge w:val="restart"/>
          </w:tcPr>
          <w:p>
            <w:pPr>
              <w:ind w:left="22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60" w:type="dxa"/>
            <w:vAlign w:val="bottom"/>
            <w:vMerge w:val="restart"/>
          </w:tcPr>
          <w:p>
            <w:pPr>
              <w:spacing w:after="0"/>
              <w:rPr>
                <w:sz w:val="12"/>
                <w:szCs w:val="12"/>
                <w:color w:val="auto"/>
              </w:rPr>
            </w:pPr>
          </w:p>
        </w:tc>
        <w:tc>
          <w:tcPr>
            <w:tcW w:w="100" w:type="dxa"/>
            <w:vAlign w:val="bottom"/>
            <w:vMerge w:val="restart"/>
          </w:tcPr>
          <w:p>
            <w:pPr>
              <w:spacing w:after="0"/>
              <w:rPr>
                <w:sz w:val="12"/>
                <w:szCs w:val="12"/>
                <w:color w:val="auto"/>
              </w:rPr>
            </w:pPr>
          </w:p>
        </w:tc>
        <w:tc>
          <w:tcPr>
            <w:tcW w:w="1140" w:type="dxa"/>
            <w:vAlign w:val="bottom"/>
            <w:gridSpan w:val="2"/>
          </w:tcPr>
          <w:p>
            <w:pPr>
              <w:jc w:val="center"/>
              <w:ind w:right="328"/>
              <w:spacing w:after="0" w:line="149" w:lineRule="exact"/>
              <w:rPr>
                <w:sz w:val="20"/>
                <w:szCs w:val="20"/>
                <w:color w:val="auto"/>
              </w:rPr>
            </w:pPr>
            <w:r>
              <w:rPr>
                <w:rFonts w:ascii="Times New Roman" w:cs="Times New Roman" w:eastAsia="Times New Roman" w:hAnsi="Times New Roman"/>
                <w:sz w:val="14"/>
                <w:szCs w:val="14"/>
                <w:b w:val="1"/>
                <w:bCs w:val="1"/>
                <w:color w:val="auto"/>
              </w:rPr>
              <w:t>Net Service</w:t>
            </w:r>
          </w:p>
        </w:tc>
        <w:tc>
          <w:tcPr>
            <w:tcW w:w="940" w:type="dxa"/>
            <w:vAlign w:val="bottom"/>
            <w:vMerge w:val="restart"/>
          </w:tcPr>
          <w:p>
            <w:pPr>
              <w:ind w:left="22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80" w:type="dxa"/>
            <w:vAlign w:val="bottom"/>
            <w:vMerge w:val="restart"/>
          </w:tcPr>
          <w:p>
            <w:pPr>
              <w:spacing w:after="0"/>
              <w:rPr>
                <w:sz w:val="12"/>
                <w:szCs w:val="12"/>
                <w:color w:val="auto"/>
              </w:rPr>
            </w:pPr>
          </w:p>
        </w:tc>
        <w:tc>
          <w:tcPr>
            <w:tcW w:w="80" w:type="dxa"/>
            <w:vAlign w:val="bottom"/>
            <w:vMerge w:val="restart"/>
          </w:tcPr>
          <w:p>
            <w:pPr>
              <w:spacing w:after="0"/>
              <w:rPr>
                <w:sz w:val="12"/>
                <w:szCs w:val="12"/>
                <w:color w:val="auto"/>
              </w:rPr>
            </w:pPr>
          </w:p>
        </w:tc>
        <w:tc>
          <w:tcPr>
            <w:tcW w:w="1260" w:type="dxa"/>
            <w:vAlign w:val="bottom"/>
            <w:gridSpan w:val="3"/>
          </w:tcPr>
          <w:p>
            <w:pPr>
              <w:jc w:val="center"/>
              <w:ind w:right="480"/>
              <w:spacing w:after="0" w:line="149" w:lineRule="exact"/>
              <w:rPr>
                <w:sz w:val="20"/>
                <w:szCs w:val="20"/>
                <w:color w:val="auto"/>
              </w:rPr>
            </w:pPr>
            <w:r>
              <w:rPr>
                <w:rFonts w:ascii="Times New Roman" w:cs="Times New Roman" w:eastAsia="Times New Roman" w:hAnsi="Times New Roman"/>
                <w:sz w:val="14"/>
                <w:szCs w:val="14"/>
                <w:b w:val="1"/>
                <w:bCs w:val="1"/>
                <w:color w:val="auto"/>
              </w:rPr>
              <w:t>Net Service</w:t>
            </w:r>
          </w:p>
        </w:tc>
        <w:tc>
          <w:tcPr>
            <w:tcW w:w="800" w:type="dxa"/>
            <w:vAlign w:val="bottom"/>
            <w:vMerge w:val="restart"/>
          </w:tcPr>
          <w:p>
            <w:pPr>
              <w:jc w:val="right"/>
              <w:ind w:right="133"/>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00" w:type="dxa"/>
            <w:vAlign w:val="bottom"/>
            <w:vMerge w:val="restart"/>
          </w:tcPr>
          <w:p>
            <w:pPr>
              <w:spacing w:after="0"/>
              <w:rPr>
                <w:sz w:val="12"/>
                <w:szCs w:val="12"/>
                <w:color w:val="auto"/>
              </w:rPr>
            </w:pPr>
          </w:p>
        </w:tc>
        <w:tc>
          <w:tcPr>
            <w:tcW w:w="300" w:type="dxa"/>
            <w:vAlign w:val="bottom"/>
            <w:vMerge w:val="restart"/>
          </w:tcPr>
          <w:p>
            <w:pPr>
              <w:spacing w:after="0"/>
              <w:rPr>
                <w:sz w:val="12"/>
                <w:szCs w:val="12"/>
                <w:color w:val="auto"/>
              </w:rPr>
            </w:pPr>
          </w:p>
        </w:tc>
        <w:tc>
          <w:tcPr>
            <w:tcW w:w="660" w:type="dxa"/>
            <w:vAlign w:val="bottom"/>
            <w:vMerge w:val="restart"/>
          </w:tcPr>
          <w:p>
            <w:pPr>
              <w:jc w:val="right"/>
              <w:ind w:right="311"/>
              <w:spacing w:after="0"/>
              <w:rPr>
                <w:sz w:val="20"/>
                <w:szCs w:val="20"/>
                <w:color w:val="auto"/>
              </w:rPr>
            </w:pPr>
            <w:r>
              <w:rPr>
                <w:rFonts w:ascii="Times New Roman" w:cs="Times New Roman" w:eastAsia="Times New Roman" w:hAnsi="Times New Roman"/>
                <w:sz w:val="14"/>
                <w:szCs w:val="14"/>
                <w:b w:val="1"/>
                <w:bCs w:val="1"/>
                <w:color w:val="auto"/>
              </w:rPr>
              <w:t>%</w:t>
            </w: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4400" w:type="dxa"/>
            <w:vAlign w:val="bottom"/>
          </w:tcPr>
          <w:p>
            <w:pPr>
              <w:spacing w:after="0"/>
              <w:rPr>
                <w:sz w:val="15"/>
                <w:szCs w:val="15"/>
                <w:color w:val="auto"/>
              </w:rPr>
            </w:pPr>
          </w:p>
        </w:tc>
        <w:tc>
          <w:tcPr>
            <w:tcW w:w="940" w:type="dxa"/>
            <w:vAlign w:val="bottom"/>
            <w:tcBorders>
              <w:bottom w:val="single" w:sz="8" w:color="auto"/>
            </w:tcBorders>
            <w:vMerge w:val="continue"/>
          </w:tcPr>
          <w:p>
            <w:pPr>
              <w:spacing w:after="0"/>
              <w:rPr>
                <w:sz w:val="15"/>
                <w:szCs w:val="15"/>
                <w:color w:val="auto"/>
              </w:rPr>
            </w:pPr>
          </w:p>
        </w:tc>
        <w:tc>
          <w:tcPr>
            <w:tcW w:w="160" w:type="dxa"/>
            <w:vAlign w:val="bottom"/>
            <w:vMerge w:val="continue"/>
          </w:tcPr>
          <w:p>
            <w:pPr>
              <w:spacing w:after="0"/>
              <w:rPr>
                <w:sz w:val="15"/>
                <w:szCs w:val="15"/>
                <w:color w:val="auto"/>
              </w:rPr>
            </w:pPr>
          </w:p>
        </w:tc>
        <w:tc>
          <w:tcPr>
            <w:tcW w:w="100" w:type="dxa"/>
            <w:vAlign w:val="bottom"/>
            <w:tcBorders>
              <w:bottom w:val="single" w:sz="8" w:color="auto"/>
            </w:tcBorders>
            <w:vMerge w:val="continue"/>
          </w:tcPr>
          <w:p>
            <w:pPr>
              <w:spacing w:after="0"/>
              <w:rPr>
                <w:sz w:val="15"/>
                <w:szCs w:val="15"/>
                <w:color w:val="auto"/>
              </w:rPr>
            </w:pPr>
          </w:p>
        </w:tc>
        <w:tc>
          <w:tcPr>
            <w:tcW w:w="840" w:type="dxa"/>
            <w:vAlign w:val="bottom"/>
            <w:tcBorders>
              <w:bottom w:val="single" w:sz="8" w:color="auto"/>
            </w:tcBorders>
          </w:tcPr>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Revenues</w:t>
            </w:r>
          </w:p>
        </w:tc>
        <w:tc>
          <w:tcPr>
            <w:tcW w:w="300" w:type="dxa"/>
            <w:vAlign w:val="bottom"/>
          </w:tcPr>
          <w:p>
            <w:pPr>
              <w:spacing w:after="0"/>
              <w:rPr>
                <w:sz w:val="15"/>
                <w:szCs w:val="15"/>
                <w:color w:val="auto"/>
              </w:rPr>
            </w:pPr>
          </w:p>
        </w:tc>
        <w:tc>
          <w:tcPr>
            <w:tcW w:w="940" w:type="dxa"/>
            <w:vAlign w:val="bottom"/>
            <w:tcBorders>
              <w:bottom w:val="single" w:sz="8" w:color="auto"/>
            </w:tcBorders>
            <w:vMerge w:val="continue"/>
          </w:tcPr>
          <w:p>
            <w:pPr>
              <w:spacing w:after="0"/>
              <w:rPr>
                <w:sz w:val="15"/>
                <w:szCs w:val="15"/>
                <w:color w:val="auto"/>
              </w:rPr>
            </w:pPr>
          </w:p>
        </w:tc>
        <w:tc>
          <w:tcPr>
            <w:tcW w:w="180" w:type="dxa"/>
            <w:vAlign w:val="bottom"/>
            <w:vMerge w:val="continue"/>
          </w:tcPr>
          <w:p>
            <w:pPr>
              <w:spacing w:after="0"/>
              <w:rPr>
                <w:sz w:val="15"/>
                <w:szCs w:val="15"/>
                <w:color w:val="auto"/>
              </w:rPr>
            </w:pPr>
          </w:p>
        </w:tc>
        <w:tc>
          <w:tcPr>
            <w:tcW w:w="80" w:type="dxa"/>
            <w:vAlign w:val="bottom"/>
            <w:tcBorders>
              <w:bottom w:val="single" w:sz="8" w:color="auto"/>
            </w:tcBorders>
            <w:vMerge w:val="continue"/>
          </w:tcPr>
          <w:p>
            <w:pPr>
              <w:spacing w:after="0"/>
              <w:rPr>
                <w:sz w:val="15"/>
                <w:szCs w:val="15"/>
                <w:color w:val="auto"/>
              </w:rPr>
            </w:pPr>
          </w:p>
        </w:tc>
        <w:tc>
          <w:tcPr>
            <w:tcW w:w="8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Revenues</w:t>
            </w:r>
          </w:p>
        </w:tc>
        <w:tc>
          <w:tcPr>
            <w:tcW w:w="26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vMerge w:val="continue"/>
          </w:tcPr>
          <w:p>
            <w:pPr>
              <w:spacing w:after="0"/>
              <w:rPr>
                <w:sz w:val="15"/>
                <w:szCs w:val="15"/>
                <w:color w:val="auto"/>
              </w:rPr>
            </w:pPr>
          </w:p>
        </w:tc>
        <w:tc>
          <w:tcPr>
            <w:tcW w:w="100" w:type="dxa"/>
            <w:vAlign w:val="bottom"/>
            <w:vMerge w:val="continue"/>
          </w:tcPr>
          <w:p>
            <w:pPr>
              <w:spacing w:after="0"/>
              <w:rPr>
                <w:sz w:val="15"/>
                <w:szCs w:val="15"/>
                <w:color w:val="auto"/>
              </w:rPr>
            </w:pPr>
          </w:p>
        </w:tc>
        <w:tc>
          <w:tcPr>
            <w:tcW w:w="300" w:type="dxa"/>
            <w:vAlign w:val="bottom"/>
            <w:tcBorders>
              <w:bottom w:val="single" w:sz="8" w:color="auto"/>
            </w:tcBorders>
            <w:vMerge w:val="continue"/>
          </w:tcPr>
          <w:p>
            <w:pPr>
              <w:spacing w:after="0"/>
              <w:rPr>
                <w:sz w:val="15"/>
                <w:szCs w:val="15"/>
                <w:color w:val="auto"/>
              </w:rPr>
            </w:pPr>
          </w:p>
        </w:tc>
        <w:tc>
          <w:tcPr>
            <w:tcW w:w="660" w:type="dxa"/>
            <w:vAlign w:val="bottom"/>
            <w:tcBorders>
              <w:bottom w:val="single" w:sz="8" w:color="auto"/>
            </w:tcBorders>
            <w:vMerge w:val="continue"/>
          </w:tcPr>
          <w:p>
            <w:pPr>
              <w:spacing w:after="0"/>
              <w:rPr>
                <w:sz w:val="15"/>
                <w:szCs w:val="15"/>
                <w:color w:val="auto"/>
              </w:rPr>
            </w:pP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44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240" w:type="dxa"/>
            <w:vAlign w:val="bottom"/>
            <w:gridSpan w:val="2"/>
          </w:tcPr>
          <w:p>
            <w:pPr>
              <w:spacing w:after="0" w:line="155" w:lineRule="exact"/>
              <w:rPr>
                <w:sz w:val="20"/>
                <w:szCs w:val="20"/>
                <w:color w:val="auto"/>
              </w:rPr>
            </w:pPr>
            <w:r>
              <w:rPr>
                <w:rFonts w:ascii="Times New Roman" w:cs="Times New Roman" w:eastAsia="Times New Roman" w:hAnsi="Times New Roman"/>
                <w:sz w:val="14"/>
                <w:szCs w:val="14"/>
                <w:b w:val="1"/>
                <w:bCs w:val="1"/>
                <w:color w:val="auto"/>
                <w:w w:val="83"/>
              </w:rPr>
              <w:t>(Amounts in Thousands,</w:t>
            </w:r>
          </w:p>
        </w:tc>
        <w:tc>
          <w:tcPr>
            <w:tcW w:w="180" w:type="dxa"/>
            <w:vAlign w:val="bottom"/>
          </w:tcPr>
          <w:p>
            <w:pPr>
              <w:spacing w:after="0"/>
              <w:rPr>
                <w:sz w:val="13"/>
                <w:szCs w:val="13"/>
                <w:color w:val="auto"/>
              </w:rPr>
            </w:pPr>
          </w:p>
        </w:tc>
        <w:tc>
          <w:tcPr>
            <w:tcW w:w="1340" w:type="dxa"/>
            <w:vAlign w:val="bottom"/>
            <w:gridSpan w:val="4"/>
          </w:tcPr>
          <w:p>
            <w:pPr>
              <w:ind w:left="20"/>
              <w:spacing w:after="0" w:line="155" w:lineRule="exact"/>
              <w:rPr>
                <w:sz w:val="20"/>
                <w:szCs w:val="20"/>
                <w:color w:val="auto"/>
              </w:rPr>
            </w:pPr>
            <w:r>
              <w:rPr>
                <w:rFonts w:ascii="Times New Roman" w:cs="Times New Roman" w:eastAsia="Times New Roman" w:hAnsi="Times New Roman"/>
                <w:sz w:val="14"/>
                <w:szCs w:val="14"/>
                <w:b w:val="1"/>
                <w:bCs w:val="1"/>
                <w:color w:val="auto"/>
              </w:rPr>
              <w:t>Except Percentages)</w:t>
            </w: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44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Operating Results</w:t>
            </w:r>
          </w:p>
        </w:tc>
        <w:tc>
          <w:tcPr>
            <w:tcW w:w="9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0" w:type="dxa"/>
            <w:vAlign w:val="bottom"/>
          </w:tcPr>
          <w:p>
            <w:pPr>
              <w:spacing w:after="0"/>
              <w:rPr>
                <w:sz w:val="20"/>
                <w:szCs w:val="20"/>
                <w:color w:val="auto"/>
              </w:rPr>
            </w:pPr>
            <w:r>
              <w:rPr>
                <w:rFonts w:ascii="Times New Roman" w:cs="Times New Roman" w:eastAsia="Times New Roman" w:hAnsi="Times New Roman"/>
                <w:sz w:val="18"/>
                <w:szCs w:val="18"/>
                <w:color w:val="auto"/>
              </w:rPr>
              <w:t>Net service revenues</w:t>
            </w: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$61,437</w:t>
            </w:r>
          </w:p>
        </w:tc>
        <w:tc>
          <w:tcPr>
            <w:tcW w:w="100" w:type="dxa"/>
            <w:vAlign w:val="bottom"/>
          </w:tcPr>
          <w:p>
            <w:pPr>
              <w:spacing w:after="0"/>
              <w:rPr>
                <w:sz w:val="18"/>
                <w:szCs w:val="18"/>
                <w:color w:val="auto"/>
              </w:rPr>
            </w:pPr>
          </w:p>
        </w:tc>
        <w:tc>
          <w:tcPr>
            <w:tcW w:w="1140" w:type="dxa"/>
            <w:vAlign w:val="bottom"/>
            <w:gridSpan w:val="2"/>
          </w:tcPr>
          <w:p>
            <w:pPr>
              <w:jc w:val="right"/>
              <w:ind w:right="68"/>
              <w:spacing w:after="0"/>
              <w:rPr>
                <w:sz w:val="20"/>
                <w:szCs w:val="20"/>
                <w:color w:val="auto"/>
              </w:rPr>
            </w:pPr>
            <w:r>
              <w:rPr>
                <w:rFonts w:ascii="Times New Roman" w:cs="Times New Roman" w:eastAsia="Times New Roman" w:hAnsi="Times New Roman"/>
                <w:sz w:val="18"/>
                <w:szCs w:val="18"/>
                <w:color w:val="auto"/>
              </w:rPr>
              <w:t>100.0%</w:t>
            </w: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$55,863</w:t>
            </w:r>
          </w:p>
        </w:tc>
        <w:tc>
          <w:tcPr>
            <w:tcW w:w="8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100.0%</w:t>
            </w:r>
          </w:p>
        </w:tc>
        <w:tc>
          <w:tcPr>
            <w:tcW w:w="14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$5,574</w:t>
            </w:r>
          </w:p>
        </w:tc>
        <w:tc>
          <w:tcPr>
            <w:tcW w:w="300" w:type="dxa"/>
            <w:vAlign w:val="bottom"/>
          </w:tcPr>
          <w:p>
            <w:pPr>
              <w:spacing w:after="0"/>
              <w:rPr>
                <w:sz w:val="18"/>
                <w:szCs w:val="18"/>
                <w:color w:val="auto"/>
              </w:rPr>
            </w:pPr>
          </w:p>
        </w:tc>
        <w:tc>
          <w:tcPr>
            <w:tcW w:w="8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16"/>
        </w:trPr>
        <w:tc>
          <w:tcPr>
            <w:tcW w:w="44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Cost of services revenues</w:t>
            </w:r>
          </w:p>
        </w:tc>
        <w:tc>
          <w:tcPr>
            <w:tcW w:w="11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32,269</w:t>
            </w:r>
          </w:p>
        </w:tc>
        <w:tc>
          <w:tcPr>
            <w:tcW w:w="100" w:type="dxa"/>
            <w:vAlign w:val="bottom"/>
            <w:shd w:val="clear" w:color="auto" w:fill="CFF0FC"/>
          </w:tcPr>
          <w:p>
            <w:pPr>
              <w:spacing w:after="0"/>
              <w:rPr>
                <w:sz w:val="18"/>
                <w:szCs w:val="18"/>
                <w:color w:val="auto"/>
              </w:rPr>
            </w:pPr>
          </w:p>
        </w:tc>
        <w:tc>
          <w:tcPr>
            <w:tcW w:w="1140" w:type="dxa"/>
            <w:vAlign w:val="bottom"/>
            <w:gridSpan w:val="2"/>
            <w:shd w:val="clear" w:color="auto" w:fill="CFF0FC"/>
          </w:tcPr>
          <w:p>
            <w:pPr>
              <w:jc w:val="right"/>
              <w:ind w:right="228"/>
              <w:spacing w:after="0"/>
              <w:rPr>
                <w:sz w:val="20"/>
                <w:szCs w:val="20"/>
                <w:color w:val="auto"/>
              </w:rPr>
            </w:pPr>
            <w:r>
              <w:rPr>
                <w:rFonts w:ascii="Times New Roman" w:cs="Times New Roman" w:eastAsia="Times New Roman" w:hAnsi="Times New Roman"/>
                <w:sz w:val="18"/>
                <w:szCs w:val="18"/>
                <w:color w:val="auto"/>
              </w:rPr>
              <w:t>52.5</w:t>
            </w:r>
          </w:p>
        </w:tc>
        <w:tc>
          <w:tcPr>
            <w:tcW w:w="11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28,967</w:t>
            </w:r>
          </w:p>
        </w:tc>
        <w:tc>
          <w:tcPr>
            <w:tcW w:w="8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51.9</w:t>
            </w:r>
          </w:p>
        </w:tc>
        <w:tc>
          <w:tcPr>
            <w:tcW w:w="140" w:type="dxa"/>
            <w:vAlign w:val="bottom"/>
            <w:shd w:val="clear" w:color="auto" w:fill="CFF0FC"/>
          </w:tcPr>
          <w:p>
            <w:pPr>
              <w:spacing w:after="0"/>
              <w:rPr>
                <w:sz w:val="18"/>
                <w:szCs w:val="18"/>
                <w:color w:val="auto"/>
              </w:rPr>
            </w:pPr>
          </w:p>
        </w:tc>
        <w:tc>
          <w:tcPr>
            <w:tcW w:w="9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3,302</w:t>
            </w:r>
          </w:p>
        </w:tc>
        <w:tc>
          <w:tcPr>
            <w:tcW w:w="300" w:type="dxa"/>
            <w:vAlign w:val="bottom"/>
            <w:shd w:val="clear" w:color="auto" w:fill="CFF0FC"/>
          </w:tcPr>
          <w:p>
            <w:pPr>
              <w:spacing w:after="0"/>
              <w:rPr>
                <w:sz w:val="18"/>
                <w:szCs w:val="18"/>
                <w:color w:val="auto"/>
              </w:rPr>
            </w:pPr>
          </w:p>
        </w:tc>
        <w:tc>
          <w:tcPr>
            <w:tcW w:w="8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11.4</w:t>
            </w:r>
          </w:p>
        </w:tc>
        <w:tc>
          <w:tcPr>
            <w:tcW w:w="0" w:type="dxa"/>
            <w:vAlign w:val="bottom"/>
          </w:tcPr>
          <w:p>
            <w:pPr>
              <w:spacing w:after="0"/>
              <w:rPr>
                <w:sz w:val="1"/>
                <w:szCs w:val="1"/>
                <w:color w:val="auto"/>
              </w:rPr>
            </w:pPr>
          </w:p>
        </w:tc>
      </w:tr>
      <w:tr>
        <w:trPr>
          <w:trHeight w:val="20"/>
        </w:trPr>
        <w:tc>
          <w:tcPr>
            <w:tcW w:w="4400" w:type="dxa"/>
            <w:vAlign w:val="bottom"/>
            <w:shd w:val="clear" w:color="auto" w:fill="CFF0FC"/>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400" w:type="dxa"/>
            <w:vAlign w:val="bottom"/>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29,168</w:t>
            </w:r>
          </w:p>
        </w:tc>
        <w:tc>
          <w:tcPr>
            <w:tcW w:w="100" w:type="dxa"/>
            <w:vAlign w:val="bottom"/>
          </w:tcPr>
          <w:p>
            <w:pPr>
              <w:spacing w:after="0"/>
              <w:rPr>
                <w:sz w:val="18"/>
                <w:szCs w:val="18"/>
                <w:color w:val="auto"/>
              </w:rPr>
            </w:pPr>
          </w:p>
        </w:tc>
        <w:tc>
          <w:tcPr>
            <w:tcW w:w="1140" w:type="dxa"/>
            <w:vAlign w:val="bottom"/>
            <w:gridSpan w:val="2"/>
          </w:tcPr>
          <w:p>
            <w:pPr>
              <w:jc w:val="right"/>
              <w:ind w:right="228"/>
              <w:spacing w:after="0"/>
              <w:rPr>
                <w:sz w:val="20"/>
                <w:szCs w:val="20"/>
                <w:color w:val="auto"/>
              </w:rPr>
            </w:pPr>
            <w:r>
              <w:rPr>
                <w:rFonts w:ascii="Times New Roman" w:cs="Times New Roman" w:eastAsia="Times New Roman" w:hAnsi="Times New Roman"/>
                <w:sz w:val="18"/>
                <w:szCs w:val="18"/>
                <w:color w:val="auto"/>
              </w:rPr>
              <w:t>47.5</w:t>
            </w: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26,896</w:t>
            </w:r>
          </w:p>
        </w:tc>
        <w:tc>
          <w:tcPr>
            <w:tcW w:w="80" w:type="dxa"/>
            <w:vAlign w:val="bottom"/>
          </w:tcPr>
          <w:p>
            <w:pPr>
              <w:spacing w:after="0"/>
              <w:rPr>
                <w:sz w:val="18"/>
                <w:szCs w:val="18"/>
                <w:color w:val="auto"/>
              </w:rPr>
            </w:pPr>
          </w:p>
        </w:tc>
        <w:tc>
          <w:tcPr>
            <w:tcW w:w="11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48.1</w:t>
            </w:r>
          </w:p>
        </w:tc>
        <w:tc>
          <w:tcPr>
            <w:tcW w:w="14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2,272</w:t>
            </w:r>
          </w:p>
        </w:tc>
        <w:tc>
          <w:tcPr>
            <w:tcW w:w="300" w:type="dxa"/>
            <w:vAlign w:val="bottom"/>
          </w:tcPr>
          <w:p>
            <w:pPr>
              <w:spacing w:after="0"/>
              <w:rPr>
                <w:sz w:val="18"/>
                <w:szCs w:val="18"/>
                <w:color w:val="auto"/>
              </w:rPr>
            </w:pP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8.4</w:t>
            </w:r>
          </w:p>
        </w:tc>
        <w:tc>
          <w:tcPr>
            <w:tcW w:w="0" w:type="dxa"/>
            <w:vAlign w:val="bottom"/>
          </w:tcPr>
          <w:p>
            <w:pPr>
              <w:spacing w:after="0"/>
              <w:rPr>
                <w:sz w:val="1"/>
                <w:szCs w:val="1"/>
                <w:color w:val="auto"/>
              </w:rPr>
            </w:pPr>
          </w:p>
        </w:tc>
      </w:tr>
      <w:tr>
        <w:trPr>
          <w:trHeight w:val="216"/>
        </w:trPr>
        <w:tc>
          <w:tcPr>
            <w:tcW w:w="44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11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14,551</w:t>
            </w:r>
          </w:p>
        </w:tc>
        <w:tc>
          <w:tcPr>
            <w:tcW w:w="100" w:type="dxa"/>
            <w:vAlign w:val="bottom"/>
            <w:shd w:val="clear" w:color="auto" w:fill="CFF0FC"/>
          </w:tcPr>
          <w:p>
            <w:pPr>
              <w:spacing w:after="0"/>
              <w:rPr>
                <w:sz w:val="18"/>
                <w:szCs w:val="18"/>
                <w:color w:val="auto"/>
              </w:rPr>
            </w:pPr>
          </w:p>
        </w:tc>
        <w:tc>
          <w:tcPr>
            <w:tcW w:w="1140" w:type="dxa"/>
            <w:vAlign w:val="bottom"/>
            <w:gridSpan w:val="2"/>
            <w:shd w:val="clear" w:color="auto" w:fill="CFF0FC"/>
          </w:tcPr>
          <w:p>
            <w:pPr>
              <w:jc w:val="right"/>
              <w:ind w:right="228"/>
              <w:spacing w:after="0"/>
              <w:rPr>
                <w:sz w:val="20"/>
                <w:szCs w:val="20"/>
                <w:color w:val="auto"/>
              </w:rPr>
            </w:pPr>
            <w:r>
              <w:rPr>
                <w:rFonts w:ascii="Times New Roman" w:cs="Times New Roman" w:eastAsia="Times New Roman" w:hAnsi="Times New Roman"/>
                <w:sz w:val="18"/>
                <w:szCs w:val="18"/>
                <w:color w:val="auto"/>
              </w:rPr>
              <w:t>23.7</w:t>
            </w:r>
          </w:p>
        </w:tc>
        <w:tc>
          <w:tcPr>
            <w:tcW w:w="11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13,439</w:t>
            </w:r>
          </w:p>
        </w:tc>
        <w:tc>
          <w:tcPr>
            <w:tcW w:w="8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24.1</w:t>
            </w:r>
          </w:p>
        </w:tc>
        <w:tc>
          <w:tcPr>
            <w:tcW w:w="140" w:type="dxa"/>
            <w:vAlign w:val="bottom"/>
            <w:shd w:val="clear" w:color="auto" w:fill="CFF0FC"/>
          </w:tcPr>
          <w:p>
            <w:pPr>
              <w:spacing w:after="0"/>
              <w:rPr>
                <w:sz w:val="18"/>
                <w:szCs w:val="18"/>
                <w:color w:val="auto"/>
              </w:rPr>
            </w:pPr>
          </w:p>
        </w:tc>
        <w:tc>
          <w:tcPr>
            <w:tcW w:w="9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1,112</w:t>
            </w:r>
          </w:p>
        </w:tc>
        <w:tc>
          <w:tcPr>
            <w:tcW w:w="300" w:type="dxa"/>
            <w:vAlign w:val="bottom"/>
            <w:shd w:val="clear" w:color="auto" w:fill="CFF0FC"/>
          </w:tcPr>
          <w:p>
            <w:pPr>
              <w:spacing w:after="0"/>
              <w:rPr>
                <w:sz w:val="18"/>
                <w:szCs w:val="18"/>
                <w:color w:val="auto"/>
              </w:rPr>
            </w:pPr>
          </w:p>
        </w:tc>
        <w:tc>
          <w:tcPr>
            <w:tcW w:w="8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8.3</w:t>
            </w:r>
          </w:p>
        </w:tc>
        <w:tc>
          <w:tcPr>
            <w:tcW w:w="0" w:type="dxa"/>
            <w:vAlign w:val="bottom"/>
          </w:tcPr>
          <w:p>
            <w:pPr>
              <w:spacing w:after="0"/>
              <w:rPr>
                <w:sz w:val="1"/>
                <w:szCs w:val="1"/>
                <w:color w:val="auto"/>
              </w:rPr>
            </w:pPr>
          </w:p>
        </w:tc>
      </w:tr>
      <w:tr>
        <w:trPr>
          <w:trHeight w:val="20"/>
        </w:trPr>
        <w:tc>
          <w:tcPr>
            <w:tcW w:w="4400" w:type="dxa"/>
            <w:vAlign w:val="bottom"/>
            <w:shd w:val="clear" w:color="auto" w:fill="CFF0FC"/>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400" w:type="dxa"/>
            <w:vAlign w:val="bottom"/>
          </w:tcPr>
          <w:p>
            <w:pPr>
              <w:spacing w:after="0"/>
              <w:rPr>
                <w:sz w:val="20"/>
                <w:szCs w:val="20"/>
                <w:color w:val="auto"/>
              </w:rPr>
            </w:pPr>
            <w:r>
              <w:rPr>
                <w:rFonts w:ascii="Times New Roman" w:cs="Times New Roman" w:eastAsia="Times New Roman" w:hAnsi="Times New Roman"/>
                <w:sz w:val="18"/>
                <w:szCs w:val="18"/>
                <w:color w:val="auto"/>
              </w:rPr>
              <w:t>Segment operating income</w:t>
            </w: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$14,617</w:t>
            </w:r>
          </w:p>
        </w:tc>
        <w:tc>
          <w:tcPr>
            <w:tcW w:w="100" w:type="dxa"/>
            <w:vAlign w:val="bottom"/>
          </w:tcPr>
          <w:p>
            <w:pPr>
              <w:spacing w:after="0"/>
              <w:rPr>
                <w:sz w:val="18"/>
                <w:szCs w:val="18"/>
                <w:color w:val="auto"/>
              </w:rPr>
            </w:pPr>
          </w:p>
        </w:tc>
        <w:tc>
          <w:tcPr>
            <w:tcW w:w="1140" w:type="dxa"/>
            <w:vAlign w:val="bottom"/>
            <w:gridSpan w:val="2"/>
          </w:tcPr>
          <w:p>
            <w:pPr>
              <w:jc w:val="right"/>
              <w:ind w:right="68"/>
              <w:spacing w:after="0"/>
              <w:rPr>
                <w:sz w:val="20"/>
                <w:szCs w:val="20"/>
                <w:color w:val="auto"/>
              </w:rPr>
            </w:pPr>
            <w:r>
              <w:rPr>
                <w:rFonts w:ascii="Times New Roman" w:cs="Times New Roman" w:eastAsia="Times New Roman" w:hAnsi="Times New Roman"/>
                <w:sz w:val="18"/>
                <w:szCs w:val="18"/>
                <w:color w:val="auto"/>
              </w:rPr>
              <w:t>23.8%</w:t>
            </w: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$13,457</w:t>
            </w:r>
          </w:p>
        </w:tc>
        <w:tc>
          <w:tcPr>
            <w:tcW w:w="8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24.0%</w:t>
            </w:r>
          </w:p>
        </w:tc>
        <w:tc>
          <w:tcPr>
            <w:tcW w:w="14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$1,160</w:t>
            </w:r>
          </w:p>
        </w:tc>
        <w:tc>
          <w:tcPr>
            <w:tcW w:w="300" w:type="dxa"/>
            <w:vAlign w:val="bottom"/>
          </w:tcPr>
          <w:p>
            <w:pPr>
              <w:spacing w:after="0"/>
              <w:rPr>
                <w:sz w:val="18"/>
                <w:szCs w:val="18"/>
                <w:color w:val="auto"/>
              </w:rPr>
            </w:pPr>
          </w:p>
        </w:tc>
        <w:tc>
          <w:tcPr>
            <w:tcW w:w="8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8.6%</w:t>
            </w:r>
          </w:p>
        </w:tc>
        <w:tc>
          <w:tcPr>
            <w:tcW w:w="0" w:type="dxa"/>
            <w:vAlign w:val="bottom"/>
          </w:tcPr>
          <w:p>
            <w:pPr>
              <w:spacing w:after="0"/>
              <w:rPr>
                <w:sz w:val="1"/>
                <w:szCs w:val="1"/>
                <w:color w:val="auto"/>
              </w:rPr>
            </w:pPr>
          </w:p>
        </w:tc>
      </w:tr>
      <w:tr>
        <w:trPr>
          <w:trHeight w:val="20"/>
        </w:trPr>
        <w:tc>
          <w:tcPr>
            <w:tcW w:w="440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400" w:type="dxa"/>
            <w:vAlign w:val="bottom"/>
            <w:shd w:val="clear" w:color="auto" w:fill="CFF0FC"/>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Business Metrics (Actual Numbers)</w:t>
            </w:r>
          </w:p>
        </w:tc>
        <w:tc>
          <w:tcPr>
            <w:tcW w:w="94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84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86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66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400" w:type="dxa"/>
            <w:vAlign w:val="bottom"/>
          </w:tcPr>
          <w:p>
            <w:pPr>
              <w:spacing w:after="0"/>
              <w:rPr>
                <w:sz w:val="20"/>
                <w:szCs w:val="20"/>
                <w:color w:val="auto"/>
              </w:rPr>
            </w:pPr>
            <w:r>
              <w:rPr>
                <w:rFonts w:ascii="Times New Roman" w:cs="Times New Roman" w:eastAsia="Times New Roman" w:hAnsi="Times New Roman"/>
                <w:sz w:val="18"/>
                <w:szCs w:val="18"/>
                <w:color w:val="auto"/>
              </w:rPr>
              <w:t>Locations at period end</w:t>
            </w: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38</w:t>
            </w: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38</w:t>
            </w: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0" w:type="dxa"/>
            <w:vAlign w:val="bottom"/>
            <w:shd w:val="clear" w:color="auto" w:fill="CFF0FC"/>
          </w:tcPr>
          <w:p>
            <w:pPr>
              <w:spacing w:after="0" w:line="216" w:lineRule="exact"/>
              <w:rPr>
                <w:sz w:val="20"/>
                <w:szCs w:val="20"/>
                <w:color w:val="auto"/>
              </w:rPr>
            </w:pPr>
            <w:r>
              <w:rPr>
                <w:rFonts w:ascii="Times New Roman" w:cs="Times New Roman" w:eastAsia="Times New Roman" w:hAnsi="Times New Roman"/>
                <w:sz w:val="18"/>
                <w:szCs w:val="18"/>
                <w:color w:val="auto"/>
              </w:rPr>
              <w:t xml:space="preserve">Admissions * </w:t>
            </w:r>
            <w:r>
              <w:rPr>
                <w:rFonts w:ascii="Times New Roman" w:cs="Times New Roman" w:eastAsia="Times New Roman" w:hAnsi="Times New Roman"/>
                <w:sz w:val="24"/>
                <w:szCs w:val="24"/>
                <w:color w:val="auto"/>
                <w:vertAlign w:val="superscript"/>
              </w:rPr>
              <w:t>(1)</w:t>
            </w:r>
          </w:p>
        </w:tc>
        <w:tc>
          <w:tcPr>
            <w:tcW w:w="11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3,474</w:t>
            </w:r>
          </w:p>
        </w:tc>
        <w:tc>
          <w:tcPr>
            <w:tcW w:w="10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3,472</w:t>
            </w:r>
          </w:p>
        </w:tc>
        <w:tc>
          <w:tcPr>
            <w:tcW w:w="8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2</w:t>
            </w:r>
          </w:p>
        </w:tc>
        <w:tc>
          <w:tcPr>
            <w:tcW w:w="300" w:type="dxa"/>
            <w:vAlign w:val="bottom"/>
            <w:shd w:val="clear" w:color="auto" w:fill="CFF0FC"/>
          </w:tcPr>
          <w:p>
            <w:pPr>
              <w:spacing w:after="0"/>
              <w:rPr>
                <w:sz w:val="18"/>
                <w:szCs w:val="18"/>
                <w:color w:val="auto"/>
              </w:rPr>
            </w:pPr>
          </w:p>
        </w:tc>
        <w:tc>
          <w:tcPr>
            <w:tcW w:w="8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0.1 %</w:t>
            </w:r>
          </w:p>
        </w:tc>
        <w:tc>
          <w:tcPr>
            <w:tcW w:w="0" w:type="dxa"/>
            <w:vAlign w:val="bottom"/>
          </w:tcPr>
          <w:p>
            <w:pPr>
              <w:spacing w:after="0"/>
              <w:rPr>
                <w:sz w:val="1"/>
                <w:szCs w:val="1"/>
                <w:color w:val="auto"/>
              </w:rPr>
            </w:pPr>
          </w:p>
        </w:tc>
      </w:tr>
      <w:tr>
        <w:trPr>
          <w:trHeight w:val="216"/>
        </w:trPr>
        <w:tc>
          <w:tcPr>
            <w:tcW w:w="4400" w:type="dxa"/>
            <w:vAlign w:val="bottom"/>
          </w:tcPr>
          <w:p>
            <w:pPr>
              <w:spacing w:after="0" w:line="216" w:lineRule="exact"/>
              <w:rPr>
                <w:sz w:val="20"/>
                <w:szCs w:val="20"/>
                <w:color w:val="auto"/>
              </w:rPr>
            </w:pPr>
            <w:r>
              <w:rPr>
                <w:rFonts w:ascii="Times New Roman" w:cs="Times New Roman" w:eastAsia="Times New Roman" w:hAnsi="Times New Roman"/>
                <w:sz w:val="18"/>
                <w:szCs w:val="18"/>
                <w:color w:val="auto"/>
              </w:rPr>
              <w:t xml:space="preserve">Average daily census * </w:t>
            </w:r>
            <w:r>
              <w:rPr>
                <w:rFonts w:ascii="Times New Roman" w:cs="Times New Roman" w:eastAsia="Times New Roman" w:hAnsi="Times New Roman"/>
                <w:sz w:val="24"/>
                <w:szCs w:val="24"/>
                <w:color w:val="auto"/>
                <w:vertAlign w:val="superscript"/>
              </w:rPr>
              <w:t>(2)</w:t>
            </w: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3,515</w:t>
            </w: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3,359</w:t>
            </w: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156</w:t>
            </w:r>
          </w:p>
        </w:tc>
        <w:tc>
          <w:tcPr>
            <w:tcW w:w="300" w:type="dxa"/>
            <w:vAlign w:val="bottom"/>
          </w:tcPr>
          <w:p>
            <w:pPr>
              <w:spacing w:after="0"/>
              <w:rPr>
                <w:sz w:val="18"/>
                <w:szCs w:val="18"/>
                <w:color w:val="auto"/>
              </w:rPr>
            </w:pP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4.6</w:t>
            </w:r>
          </w:p>
        </w:tc>
        <w:tc>
          <w:tcPr>
            <w:tcW w:w="0" w:type="dxa"/>
            <w:vAlign w:val="bottom"/>
          </w:tcPr>
          <w:p>
            <w:pPr>
              <w:spacing w:after="0"/>
              <w:rPr>
                <w:sz w:val="1"/>
                <w:szCs w:val="1"/>
                <w:color w:val="auto"/>
              </w:rPr>
            </w:pPr>
          </w:p>
        </w:tc>
      </w:tr>
      <w:tr>
        <w:trPr>
          <w:trHeight w:val="216"/>
        </w:trPr>
        <w:tc>
          <w:tcPr>
            <w:tcW w:w="4400" w:type="dxa"/>
            <w:vAlign w:val="bottom"/>
            <w:shd w:val="clear" w:color="auto" w:fill="CFF0FC"/>
          </w:tcPr>
          <w:p>
            <w:pPr>
              <w:spacing w:after="0" w:line="216" w:lineRule="exact"/>
              <w:rPr>
                <w:sz w:val="20"/>
                <w:szCs w:val="20"/>
                <w:color w:val="auto"/>
              </w:rPr>
            </w:pPr>
            <w:r>
              <w:rPr>
                <w:rFonts w:ascii="Times New Roman" w:cs="Times New Roman" w:eastAsia="Times New Roman" w:hAnsi="Times New Roman"/>
                <w:sz w:val="18"/>
                <w:szCs w:val="18"/>
                <w:color w:val="auto"/>
              </w:rPr>
              <w:t xml:space="preserve">Average discharge length of stay * </w:t>
            </w:r>
            <w:r>
              <w:rPr>
                <w:rFonts w:ascii="Times New Roman" w:cs="Times New Roman" w:eastAsia="Times New Roman" w:hAnsi="Times New Roman"/>
                <w:sz w:val="24"/>
                <w:szCs w:val="24"/>
                <w:color w:val="auto"/>
                <w:vertAlign w:val="superscript"/>
              </w:rPr>
              <w:t>(3)</w:t>
            </w:r>
          </w:p>
        </w:tc>
        <w:tc>
          <w:tcPr>
            <w:tcW w:w="11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97</w:t>
            </w:r>
          </w:p>
        </w:tc>
        <w:tc>
          <w:tcPr>
            <w:tcW w:w="10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90</w:t>
            </w:r>
          </w:p>
        </w:tc>
        <w:tc>
          <w:tcPr>
            <w:tcW w:w="8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7</w:t>
            </w:r>
          </w:p>
        </w:tc>
        <w:tc>
          <w:tcPr>
            <w:tcW w:w="300" w:type="dxa"/>
            <w:vAlign w:val="bottom"/>
            <w:shd w:val="clear" w:color="auto" w:fill="CFF0FC"/>
          </w:tcPr>
          <w:p>
            <w:pPr>
              <w:spacing w:after="0"/>
              <w:rPr>
                <w:sz w:val="18"/>
                <w:szCs w:val="18"/>
                <w:color w:val="auto"/>
              </w:rPr>
            </w:pPr>
          </w:p>
        </w:tc>
        <w:tc>
          <w:tcPr>
            <w:tcW w:w="8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7.8</w:t>
            </w:r>
          </w:p>
        </w:tc>
        <w:tc>
          <w:tcPr>
            <w:tcW w:w="0" w:type="dxa"/>
            <w:vAlign w:val="bottom"/>
          </w:tcPr>
          <w:p>
            <w:pPr>
              <w:spacing w:after="0"/>
              <w:rPr>
                <w:sz w:val="1"/>
                <w:szCs w:val="1"/>
                <w:color w:val="auto"/>
              </w:rPr>
            </w:pPr>
          </w:p>
        </w:tc>
      </w:tr>
      <w:tr>
        <w:trPr>
          <w:trHeight w:val="216"/>
        </w:trPr>
        <w:tc>
          <w:tcPr>
            <w:tcW w:w="4400" w:type="dxa"/>
            <w:vAlign w:val="bottom"/>
          </w:tcPr>
          <w:p>
            <w:pPr>
              <w:spacing w:after="0" w:line="216" w:lineRule="exact"/>
              <w:rPr>
                <w:sz w:val="20"/>
                <w:szCs w:val="20"/>
                <w:color w:val="auto"/>
              </w:rPr>
            </w:pPr>
            <w:r>
              <w:rPr>
                <w:rFonts w:ascii="Times New Roman" w:cs="Times New Roman" w:eastAsia="Times New Roman" w:hAnsi="Times New Roman"/>
                <w:sz w:val="18"/>
                <w:szCs w:val="18"/>
                <w:color w:val="auto"/>
              </w:rPr>
              <w:t xml:space="preserve">Patient days * </w:t>
            </w:r>
            <w:r>
              <w:rPr>
                <w:rFonts w:ascii="Times New Roman" w:cs="Times New Roman" w:eastAsia="Times New Roman" w:hAnsi="Times New Roman"/>
                <w:sz w:val="24"/>
                <w:szCs w:val="24"/>
                <w:color w:val="auto"/>
                <w:vertAlign w:val="superscript"/>
              </w:rPr>
              <w:t>(4)</w:t>
            </w: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316,319</w:t>
            </w: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305,630</w:t>
            </w: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10,689</w:t>
            </w:r>
          </w:p>
        </w:tc>
        <w:tc>
          <w:tcPr>
            <w:tcW w:w="300" w:type="dxa"/>
            <w:vAlign w:val="bottom"/>
          </w:tcPr>
          <w:p>
            <w:pPr>
              <w:spacing w:after="0"/>
              <w:rPr>
                <w:sz w:val="18"/>
                <w:szCs w:val="18"/>
                <w:color w:val="auto"/>
              </w:rPr>
            </w:pP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3.5</w:t>
            </w:r>
          </w:p>
        </w:tc>
        <w:tc>
          <w:tcPr>
            <w:tcW w:w="0" w:type="dxa"/>
            <w:vAlign w:val="bottom"/>
          </w:tcPr>
          <w:p>
            <w:pPr>
              <w:spacing w:after="0"/>
              <w:rPr>
                <w:sz w:val="1"/>
                <w:szCs w:val="1"/>
                <w:color w:val="auto"/>
              </w:rPr>
            </w:pPr>
          </w:p>
        </w:tc>
      </w:tr>
      <w:tr>
        <w:trPr>
          <w:trHeight w:val="216"/>
        </w:trPr>
        <w:tc>
          <w:tcPr>
            <w:tcW w:w="4400" w:type="dxa"/>
            <w:vAlign w:val="bottom"/>
            <w:shd w:val="clear" w:color="auto" w:fill="CFF0FC"/>
          </w:tcPr>
          <w:p>
            <w:pPr>
              <w:spacing w:after="0" w:line="216" w:lineRule="exact"/>
              <w:rPr>
                <w:sz w:val="20"/>
                <w:szCs w:val="20"/>
                <w:color w:val="auto"/>
              </w:rPr>
            </w:pPr>
            <w:r>
              <w:rPr>
                <w:rFonts w:ascii="Times New Roman" w:cs="Times New Roman" w:eastAsia="Times New Roman" w:hAnsi="Times New Roman"/>
                <w:sz w:val="18"/>
                <w:szCs w:val="18"/>
                <w:color w:val="auto"/>
              </w:rPr>
              <w:t xml:space="preserve">Revenue per patient day * </w:t>
            </w:r>
            <w:r>
              <w:rPr>
                <w:rFonts w:ascii="Times New Roman" w:cs="Times New Roman" w:eastAsia="Times New Roman" w:hAnsi="Times New Roman"/>
                <w:sz w:val="24"/>
                <w:szCs w:val="24"/>
                <w:color w:val="auto"/>
                <w:vertAlign w:val="superscript"/>
              </w:rPr>
              <w:t>(5)</w:t>
            </w:r>
          </w:p>
        </w:tc>
        <w:tc>
          <w:tcPr>
            <w:tcW w:w="11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$194.23</w:t>
            </w:r>
          </w:p>
        </w:tc>
        <w:tc>
          <w:tcPr>
            <w:tcW w:w="10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$182.78</w:t>
            </w:r>
          </w:p>
        </w:tc>
        <w:tc>
          <w:tcPr>
            <w:tcW w:w="8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$11.45</w:t>
            </w:r>
          </w:p>
        </w:tc>
        <w:tc>
          <w:tcPr>
            <w:tcW w:w="300" w:type="dxa"/>
            <w:vAlign w:val="bottom"/>
            <w:shd w:val="clear" w:color="auto" w:fill="CFF0FC"/>
          </w:tcPr>
          <w:p>
            <w:pPr>
              <w:spacing w:after="0"/>
              <w:rPr>
                <w:sz w:val="18"/>
                <w:szCs w:val="18"/>
                <w:color w:val="auto"/>
              </w:rPr>
            </w:pPr>
          </w:p>
        </w:tc>
        <w:tc>
          <w:tcPr>
            <w:tcW w:w="8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6.3</w:t>
            </w:r>
          </w:p>
        </w:tc>
        <w:tc>
          <w:tcPr>
            <w:tcW w:w="0" w:type="dxa"/>
            <w:vAlign w:val="bottom"/>
          </w:tcPr>
          <w:p>
            <w:pPr>
              <w:spacing w:after="0"/>
              <w:rPr>
                <w:sz w:val="1"/>
                <w:szCs w:val="1"/>
                <w:color w:val="auto"/>
              </w:rPr>
            </w:pPr>
          </w:p>
        </w:tc>
      </w:tr>
      <w:tr>
        <w:trPr>
          <w:trHeight w:val="216"/>
        </w:trPr>
        <w:tc>
          <w:tcPr>
            <w:tcW w:w="4400" w:type="dxa"/>
            <w:vAlign w:val="bottom"/>
          </w:tcPr>
          <w:p>
            <w:pPr>
              <w:spacing w:after="0"/>
              <w:rPr>
                <w:sz w:val="20"/>
                <w:szCs w:val="20"/>
                <w:color w:val="auto"/>
              </w:rPr>
            </w:pPr>
            <w:r>
              <w:rPr>
                <w:rFonts w:ascii="Times New Roman" w:cs="Times New Roman" w:eastAsia="Times New Roman" w:hAnsi="Times New Roman"/>
                <w:sz w:val="18"/>
                <w:szCs w:val="18"/>
                <w:color w:val="auto"/>
              </w:rPr>
              <w:t>Organic growth</w:t>
            </w: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0" w:type="dxa"/>
            <w:vAlign w:val="bottom"/>
            <w:shd w:val="clear" w:color="auto" w:fill="CFF0FC"/>
          </w:tcPr>
          <w:p>
            <w:pPr>
              <w:ind w:left="100"/>
              <w:spacing w:after="0" w:line="216" w:lineRule="exact"/>
              <w:rPr>
                <w:sz w:val="20"/>
                <w:szCs w:val="20"/>
                <w:color w:val="auto"/>
              </w:rPr>
            </w:pPr>
            <w:r>
              <w:rPr>
                <w:rFonts w:ascii="Times New Roman" w:cs="Times New Roman" w:eastAsia="Times New Roman" w:hAnsi="Times New Roman"/>
                <w:sz w:val="18"/>
                <w:szCs w:val="18"/>
                <w:color w:val="auto"/>
              </w:rPr>
              <w:t xml:space="preserve">- Revenue * </w:t>
            </w:r>
            <w:r>
              <w:rPr>
                <w:rFonts w:ascii="Times New Roman" w:cs="Times New Roman" w:eastAsia="Times New Roman" w:hAnsi="Times New Roman"/>
                <w:sz w:val="24"/>
                <w:szCs w:val="24"/>
                <w:color w:val="auto"/>
                <w:vertAlign w:val="superscript"/>
              </w:rPr>
              <w:t>(6)</w:t>
            </w:r>
          </w:p>
        </w:tc>
        <w:tc>
          <w:tcPr>
            <w:tcW w:w="11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10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5.8%</w:t>
            </w:r>
          </w:p>
        </w:tc>
        <w:tc>
          <w:tcPr>
            <w:tcW w:w="8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4.1</w:t>
            </w:r>
          </w:p>
        </w:tc>
        <w:tc>
          <w:tcPr>
            <w:tcW w:w="300" w:type="dxa"/>
            <w:vAlign w:val="bottom"/>
            <w:shd w:val="clear" w:color="auto" w:fill="CFF0FC"/>
          </w:tcPr>
          <w:p>
            <w:pPr>
              <w:spacing w:after="0"/>
              <w:rPr>
                <w:sz w:val="18"/>
                <w:szCs w:val="18"/>
                <w:color w:val="auto"/>
              </w:rPr>
            </w:pPr>
          </w:p>
        </w:tc>
        <w:tc>
          <w:tcPr>
            <w:tcW w:w="8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70.7</w:t>
            </w:r>
          </w:p>
        </w:tc>
        <w:tc>
          <w:tcPr>
            <w:tcW w:w="0" w:type="dxa"/>
            <w:vAlign w:val="bottom"/>
          </w:tcPr>
          <w:p>
            <w:pPr>
              <w:spacing w:after="0"/>
              <w:rPr>
                <w:sz w:val="1"/>
                <w:szCs w:val="1"/>
                <w:color w:val="auto"/>
              </w:rPr>
            </w:pPr>
          </w:p>
        </w:tc>
      </w:tr>
      <w:tr>
        <w:trPr>
          <w:trHeight w:val="317"/>
        </w:trPr>
        <w:tc>
          <w:tcPr>
            <w:tcW w:w="44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 xml:space="preserve">- Average daily census * </w:t>
            </w:r>
            <w:r>
              <w:rPr>
                <w:rFonts w:ascii="Times New Roman" w:cs="Times New Roman" w:eastAsia="Times New Roman" w:hAnsi="Times New Roman"/>
                <w:sz w:val="24"/>
                <w:szCs w:val="24"/>
                <w:color w:val="auto"/>
                <w:vertAlign w:val="superscript"/>
              </w:rPr>
              <w:t>(6)</w:t>
            </w:r>
          </w:p>
        </w:tc>
        <w:tc>
          <w:tcPr>
            <w:tcW w:w="12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4.6%</w:t>
            </w:r>
          </w:p>
        </w:tc>
        <w:tc>
          <w:tcPr>
            <w:tcW w:w="8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0" w:type="dxa"/>
            <w:vAlign w:val="bottom"/>
            <w:gridSpan w:val="3"/>
          </w:tcPr>
          <w:p>
            <w:pPr>
              <w:jc w:val="right"/>
              <w:ind w:right="8"/>
              <w:spacing w:after="0"/>
              <w:rPr>
                <w:sz w:val="20"/>
                <w:szCs w:val="20"/>
                <w:color w:val="auto"/>
              </w:rPr>
            </w:pPr>
            <w:r>
              <w:rPr>
                <w:rFonts w:ascii="Times New Roman" w:cs="Times New Roman" w:eastAsia="Times New Roman" w:hAnsi="Times New Roman"/>
                <w:sz w:val="18"/>
                <w:szCs w:val="18"/>
                <w:color w:val="auto"/>
              </w:rPr>
              <w:t>(1.1)%</w:t>
            </w:r>
          </w:p>
        </w:tc>
        <w:tc>
          <w:tcPr>
            <w:tcW w:w="8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5.7</w:t>
            </w:r>
          </w:p>
        </w:tc>
        <w:tc>
          <w:tcPr>
            <w:tcW w:w="300" w:type="dxa"/>
            <w:vAlign w:val="bottom"/>
          </w:tcPr>
          <w:p>
            <w:pPr>
              <w:spacing w:after="0"/>
              <w:rPr>
                <w:sz w:val="24"/>
                <w:szCs w:val="24"/>
                <w:color w:val="auto"/>
              </w:rPr>
            </w:pP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(518.2) %</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3390900</wp:posOffset>
            </wp:positionH>
            <wp:positionV relativeFrom="paragraph">
              <wp:posOffset>-1889125</wp:posOffset>
            </wp:positionV>
            <wp:extent cx="102870" cy="889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102870" cy="8890"/>
                    </a:xfrm>
                    <a:prstGeom prst="rect">
                      <a:avLst/>
                    </a:prstGeom>
                    <a:noFill/>
                  </pic:spPr>
                </pic:pic>
              </a:graphicData>
            </a:graphic>
          </wp:anchor>
        </w:drawing>
        <w:drawing>
          <wp:anchor simplePos="0" relativeHeight="251657728" behindDoc="1" locked="0" layoutInCell="0" allowOverlap="1">
            <wp:simplePos x="0" y="0"/>
            <wp:positionH relativeFrom="column">
              <wp:posOffset>4093845</wp:posOffset>
            </wp:positionH>
            <wp:positionV relativeFrom="paragraph">
              <wp:posOffset>-1889125</wp:posOffset>
            </wp:positionV>
            <wp:extent cx="102870" cy="889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102870" cy="8890"/>
                    </a:xfrm>
                    <a:prstGeom prst="rect">
                      <a:avLst/>
                    </a:prstGeom>
                    <a:noFill/>
                  </pic:spPr>
                </pic:pic>
              </a:graphicData>
            </a:graphic>
          </wp:anchor>
        </w:drawing>
        <w:drawing>
          <wp:anchor simplePos="0" relativeHeight="251657728" behindDoc="1" locked="0" layoutInCell="0" allowOverlap="1">
            <wp:simplePos x="0" y="0"/>
            <wp:positionH relativeFrom="column">
              <wp:posOffset>4882515</wp:posOffset>
            </wp:positionH>
            <wp:positionV relativeFrom="paragraph">
              <wp:posOffset>-1889125</wp:posOffset>
            </wp:positionV>
            <wp:extent cx="102870" cy="889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102870" cy="8890"/>
                    </a:xfrm>
                    <a:prstGeom prst="rect">
                      <a:avLst/>
                    </a:prstGeom>
                    <a:noFill/>
                  </pic:spPr>
                </pic:pic>
              </a:graphicData>
            </a:graphic>
          </wp:anchor>
        </w:drawing>
        <w:drawing>
          <wp:anchor simplePos="0" relativeHeight="251657728" behindDoc="1" locked="0" layoutInCell="0" allowOverlap="1">
            <wp:simplePos x="0" y="0"/>
            <wp:positionH relativeFrom="column">
              <wp:posOffset>5585460</wp:posOffset>
            </wp:positionH>
            <wp:positionV relativeFrom="paragraph">
              <wp:posOffset>-1889125</wp:posOffset>
            </wp:positionV>
            <wp:extent cx="102870" cy="889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102870" cy="8890"/>
                    </a:xfrm>
                    <a:prstGeom prst="rect">
                      <a:avLst/>
                    </a:prstGeom>
                    <a:noFill/>
                  </pic:spPr>
                </pic:pic>
              </a:graphicData>
            </a:graphic>
          </wp:anchor>
        </w:drawing>
        <w:drawing>
          <wp:anchor simplePos="0" relativeHeight="251657728" behindDoc="1" locked="0" layoutInCell="0" allowOverlap="1">
            <wp:simplePos x="0" y="0"/>
            <wp:positionH relativeFrom="column">
              <wp:posOffset>6348730</wp:posOffset>
            </wp:positionH>
            <wp:positionV relativeFrom="paragraph">
              <wp:posOffset>-1889125</wp:posOffset>
            </wp:positionV>
            <wp:extent cx="68580" cy="889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7025640</wp:posOffset>
            </wp:positionH>
            <wp:positionV relativeFrom="paragraph">
              <wp:posOffset>-1889125</wp:posOffset>
            </wp:positionV>
            <wp:extent cx="111760" cy="889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111760" cy="8890"/>
                    </a:xfrm>
                    <a:prstGeom prst="rect">
                      <a:avLst/>
                    </a:prstGeom>
                    <a:noFill/>
                  </pic:spPr>
                </pic:pic>
              </a:graphicData>
            </a:graphic>
          </wp:anchor>
        </w:drawing>
        <w:drawing>
          <wp:anchor simplePos="0" relativeHeight="251657728" behindDoc="1" locked="0" layoutInCell="0" allowOverlap="1">
            <wp:simplePos x="0" y="0"/>
            <wp:positionH relativeFrom="column">
              <wp:posOffset>3390900</wp:posOffset>
            </wp:positionH>
            <wp:positionV relativeFrom="paragraph">
              <wp:posOffset>-1606550</wp:posOffset>
            </wp:positionV>
            <wp:extent cx="102870" cy="825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4093845</wp:posOffset>
            </wp:positionH>
            <wp:positionV relativeFrom="paragraph">
              <wp:posOffset>-1606550</wp:posOffset>
            </wp:positionV>
            <wp:extent cx="102870" cy="825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4882515</wp:posOffset>
            </wp:positionH>
            <wp:positionV relativeFrom="paragraph">
              <wp:posOffset>-1606550</wp:posOffset>
            </wp:positionV>
            <wp:extent cx="102870" cy="825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5585460</wp:posOffset>
            </wp:positionH>
            <wp:positionV relativeFrom="paragraph">
              <wp:posOffset>-1606550</wp:posOffset>
            </wp:positionV>
            <wp:extent cx="102870" cy="825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6348730</wp:posOffset>
            </wp:positionH>
            <wp:positionV relativeFrom="paragraph">
              <wp:posOffset>-1606550</wp:posOffset>
            </wp:positionV>
            <wp:extent cx="68580" cy="825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7025640</wp:posOffset>
            </wp:positionH>
            <wp:positionV relativeFrom="paragraph">
              <wp:posOffset>-1606550</wp:posOffset>
            </wp:positionV>
            <wp:extent cx="111760" cy="825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111760" cy="8255"/>
                    </a:xfrm>
                    <a:prstGeom prst="rect">
                      <a:avLst/>
                    </a:prstGeom>
                    <a:noFill/>
                  </pic:spPr>
                </pic:pic>
              </a:graphicData>
            </a:graphic>
          </wp:anchor>
        </w:drawing>
      </w:r>
    </w:p>
    <w:p>
      <w:pPr>
        <w:spacing w:after="0" w:line="68" w:lineRule="exact"/>
        <w:rPr>
          <w:sz w:val="20"/>
          <w:szCs w:val="20"/>
          <w:color w:val="auto"/>
        </w:rPr>
      </w:pPr>
    </w:p>
    <w:p>
      <w:pPr>
        <w:ind w:left="520" w:hanging="512"/>
        <w:spacing w:after="0"/>
        <w:tabs>
          <w:tab w:leader="none" w:pos="520" w:val="left"/>
        </w:tabs>
        <w:numPr>
          <w:ilvl w:val="0"/>
          <w:numId w:val="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referral process and new patients on service during the period.</w:t>
      </w:r>
    </w:p>
    <w:p>
      <w:pPr>
        <w:spacing w:after="0" w:line="99" w:lineRule="exact"/>
        <w:rPr>
          <w:rFonts w:ascii="Times New Roman" w:cs="Times New Roman" w:eastAsia="Times New Roman" w:hAnsi="Times New Roman"/>
          <w:sz w:val="16"/>
          <w:szCs w:val="16"/>
          <w:color w:val="auto"/>
        </w:rPr>
      </w:pPr>
    </w:p>
    <w:p>
      <w:pPr>
        <w:ind w:left="520" w:hanging="512"/>
        <w:spacing w:after="0"/>
        <w:tabs>
          <w:tab w:leader="none" w:pos="520" w:val="left"/>
        </w:tabs>
        <w:numPr>
          <w:ilvl w:val="0"/>
          <w:numId w:val="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Average daily census is total patient days divided by the number of days in the period.</w:t>
      </w:r>
    </w:p>
    <w:p>
      <w:pPr>
        <w:spacing w:after="0" w:line="99" w:lineRule="exact"/>
        <w:rPr>
          <w:rFonts w:ascii="Times New Roman" w:cs="Times New Roman" w:eastAsia="Times New Roman" w:hAnsi="Times New Roman"/>
          <w:sz w:val="16"/>
          <w:szCs w:val="16"/>
          <w:color w:val="auto"/>
        </w:rPr>
      </w:pPr>
    </w:p>
    <w:p>
      <w:pPr>
        <w:ind w:left="520" w:right="260" w:hanging="512"/>
        <w:spacing w:after="0" w:line="298" w:lineRule="auto"/>
        <w:tabs>
          <w:tab w:leader="none" w:pos="520" w:val="left"/>
        </w:tabs>
        <w:numPr>
          <w:ilvl w:val="0"/>
          <w:numId w:val="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Average length of stay is the average number of days a patient is on service, calculated upon discharge, and is total patient days divided by total discharges in the period.</w:t>
      </w:r>
    </w:p>
    <w:p>
      <w:pPr>
        <w:spacing w:after="0" w:line="29" w:lineRule="exact"/>
        <w:rPr>
          <w:rFonts w:ascii="Times New Roman" w:cs="Times New Roman" w:eastAsia="Times New Roman" w:hAnsi="Times New Roman"/>
          <w:sz w:val="16"/>
          <w:szCs w:val="16"/>
          <w:color w:val="auto"/>
        </w:rPr>
      </w:pPr>
    </w:p>
    <w:p>
      <w:pPr>
        <w:ind w:left="520" w:hanging="512"/>
        <w:spacing w:after="0"/>
        <w:tabs>
          <w:tab w:leader="none" w:pos="520" w:val="left"/>
        </w:tabs>
        <w:numPr>
          <w:ilvl w:val="0"/>
          <w:numId w:val="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Patient days is days of service for all patients in the period.</w:t>
      </w:r>
    </w:p>
    <w:p>
      <w:pPr>
        <w:spacing w:after="0" w:line="99" w:lineRule="exact"/>
        <w:rPr>
          <w:rFonts w:ascii="Times New Roman" w:cs="Times New Roman" w:eastAsia="Times New Roman" w:hAnsi="Times New Roman"/>
          <w:sz w:val="16"/>
          <w:szCs w:val="16"/>
          <w:color w:val="auto"/>
        </w:rPr>
      </w:pPr>
    </w:p>
    <w:p>
      <w:pPr>
        <w:ind w:left="520" w:hanging="512"/>
        <w:spacing w:after="0"/>
        <w:tabs>
          <w:tab w:leader="none" w:pos="520" w:val="left"/>
        </w:tabs>
        <w:numPr>
          <w:ilvl w:val="0"/>
          <w:numId w:val="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Revenue per patient day is hospice revenue divided by the number of patient days in the period.</w:t>
      </w:r>
    </w:p>
    <w:p>
      <w:pPr>
        <w:spacing w:after="0" w:line="99" w:lineRule="exact"/>
        <w:rPr>
          <w:rFonts w:ascii="Times New Roman" w:cs="Times New Roman" w:eastAsia="Times New Roman" w:hAnsi="Times New Roman"/>
          <w:sz w:val="16"/>
          <w:szCs w:val="16"/>
          <w:color w:val="auto"/>
        </w:rPr>
      </w:pPr>
    </w:p>
    <w:p>
      <w:pPr>
        <w:ind w:left="520" w:right="60" w:hanging="512"/>
        <w:spacing w:after="0" w:line="281" w:lineRule="auto"/>
        <w:tabs>
          <w:tab w:leader="none" w:pos="520" w:val="left"/>
        </w:tabs>
        <w:numPr>
          <w:ilvl w:val="0"/>
          <w:numId w:val="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Revenue organic growth and average daily census organic growth reflect the change in year-over-year revenue and average daily census for the same store base. We define the same store base to include those stores open for at least 52 full weeks. These measures highlight the performance of existing stores, while excluding the impact of acquisitions, new store openings and closures.</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487680</wp:posOffset>
            </wp:positionV>
            <wp:extent cx="7157720" cy="4254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b w:val="1"/>
          <w:bCs w:val="1"/>
          <w:u w:val="single" w:color="auto"/>
          <w:color w:val="0563C1"/>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-5080</wp:posOffset>
            </wp:positionV>
            <wp:extent cx="869315" cy="825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869315" cy="8255"/>
                    </a:xfrm>
                    <a:prstGeom prst="rect">
                      <a:avLst/>
                    </a:prstGeom>
                    <a:noFill/>
                  </pic:spPr>
                </pic:pic>
              </a:graphicData>
            </a:graphic>
          </wp:anchor>
        </w:drawing>
      </w:r>
    </w:p>
    <w:p>
      <w:pPr>
        <w:spacing w:after="0" w:line="295" w:lineRule="exact"/>
        <w:rPr>
          <w:sz w:val="20"/>
          <w:szCs w:val="20"/>
          <w:color w:val="auto"/>
        </w:rPr>
      </w:pPr>
    </w:p>
    <w:p>
      <w:pPr>
        <w:ind w:right="60" w:firstLine="8"/>
        <w:spacing w:after="0" w:line="269" w:lineRule="auto"/>
        <w:tabs>
          <w:tab w:leader="none" w:pos="121" w:val="left"/>
        </w:tabs>
        <w:numPr>
          <w:ilvl w:val="0"/>
          <w:numId w:val="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Management deems these metrics to be key performance indicators. Management uses these metrics to monitor our performance, both in our existing operations and acquisitions. Many of these metrics serve as the basis of reported revenues and assessment of these provide direct correlation to the results of operations from period to period and facilitate comparison with the results of our peers. Historical trends established in these metrics can be used to evaluate current operating results, identify trends affecting our business, determine the allocation of resources and assess the quality and potential variability of our cash flows and earnings. We believe they are useful to investors in evaluating and understanding our business but should not be used solely in assessing the Company’s performance. These key performance indicators should not be considered superior to, as a substitute for or as an alternative to, and should be considered in conjunction with, the GAAP financial measures presented herein to fully evaluate and understand the business as a whole. These measures may not be comparable to similarly titled performance indicators used by other companies.</w:t>
      </w:r>
    </w:p>
    <w:p>
      <w:pPr>
        <w:spacing w:after="0" w:line="185" w:lineRule="exact"/>
        <w:rPr>
          <w:sz w:val="20"/>
          <w:szCs w:val="20"/>
          <w:color w:val="auto"/>
        </w:rPr>
      </w:pPr>
    </w:p>
    <w:p>
      <w:pPr>
        <w:ind w:right="20" w:firstLine="509"/>
        <w:spacing w:after="0" w:line="266" w:lineRule="auto"/>
        <w:rPr>
          <w:sz w:val="20"/>
          <w:szCs w:val="20"/>
          <w:color w:val="auto"/>
        </w:rPr>
      </w:pPr>
      <w:r>
        <w:rPr>
          <w:rFonts w:ascii="Times New Roman" w:cs="Times New Roman" w:eastAsia="Times New Roman" w:hAnsi="Times New Roman"/>
          <w:sz w:val="18"/>
          <w:szCs w:val="18"/>
          <w:color w:val="auto"/>
        </w:rPr>
        <w:t>The hospice segment generates revenue by providing care to patients with a life expectancy of six months or less, as well as related services for their families. Hospice offers four levels of care, as defined by Medicare, to meet the varying needs of patients and their families. The four levels of hospice include routine home care, continuous home care, general inpatient care and respite care. Our hospice segment principally provides routine home care.</w:t>
      </w:r>
    </w:p>
    <w:p>
      <w:pPr>
        <w:spacing w:after="0" w:line="176" w:lineRule="exact"/>
        <w:rPr>
          <w:sz w:val="20"/>
          <w:szCs w:val="20"/>
          <w:color w:val="auto"/>
        </w:rPr>
      </w:pPr>
    </w:p>
    <w:p>
      <w:pPr>
        <w:ind w:right="20" w:firstLine="509"/>
        <w:spacing w:after="0" w:line="282" w:lineRule="auto"/>
        <w:rPr>
          <w:sz w:val="20"/>
          <w:szCs w:val="20"/>
          <w:color w:val="auto"/>
        </w:rPr>
      </w:pPr>
      <w:r>
        <w:rPr>
          <w:rFonts w:ascii="Times New Roman" w:cs="Times New Roman" w:eastAsia="Times New Roman" w:hAnsi="Times New Roman"/>
          <w:sz w:val="18"/>
          <w:szCs w:val="18"/>
          <w:color w:val="auto"/>
        </w:rPr>
        <w:t>Net service revenues from Medicare accounted for 92.4% and 90.7% for the three months ended March 31, 2025 and 2024, respectively. Net service revenues from managed care organizations accounted for 3.3% for both the three months ended March 31, 2025 and 2024.</w:t>
      </w:r>
    </w:p>
    <w:p>
      <w:pPr>
        <w:spacing w:after="0" w:line="162" w:lineRule="exact"/>
        <w:rPr>
          <w:sz w:val="20"/>
          <w:szCs w:val="20"/>
          <w:color w:val="auto"/>
        </w:rPr>
      </w:pPr>
    </w:p>
    <w:p>
      <w:pPr>
        <w:ind w:right="300" w:firstLine="509"/>
        <w:spacing w:after="0" w:line="282" w:lineRule="auto"/>
        <w:rPr>
          <w:sz w:val="20"/>
          <w:szCs w:val="20"/>
          <w:color w:val="auto"/>
        </w:rPr>
      </w:pPr>
      <w:r>
        <w:rPr>
          <w:rFonts w:ascii="Times New Roman" w:cs="Times New Roman" w:eastAsia="Times New Roman" w:hAnsi="Times New Roman"/>
          <w:sz w:val="18"/>
          <w:szCs w:val="18"/>
          <w:color w:val="auto"/>
        </w:rPr>
        <w:t>Net service revenues increased by $5.6 million for the three months ended March 31, 2025 compared to the three months ended March 31, 2024, primarily attributed to organic growth in average daily census.</w:t>
      </w:r>
    </w:p>
    <w:p>
      <w:pPr>
        <w:spacing w:after="0" w:line="162" w:lineRule="exact"/>
        <w:rPr>
          <w:sz w:val="20"/>
          <w:szCs w:val="20"/>
          <w:color w:val="auto"/>
        </w:rPr>
      </w:pPr>
    </w:p>
    <w:p>
      <w:pPr>
        <w:ind w:right="40" w:firstLine="509"/>
        <w:spacing w:after="0" w:line="266" w:lineRule="auto"/>
        <w:rPr>
          <w:sz w:val="20"/>
          <w:szCs w:val="20"/>
          <w:color w:val="auto"/>
        </w:rPr>
      </w:pPr>
      <w:r>
        <w:rPr>
          <w:rFonts w:ascii="Times New Roman" w:cs="Times New Roman" w:eastAsia="Times New Roman" w:hAnsi="Times New Roman"/>
          <w:sz w:val="18"/>
          <w:szCs w:val="18"/>
          <w:color w:val="auto"/>
        </w:rPr>
        <w:t>Gross profit, expressed as a percentage of net service revenues, was 47.5% and 48.1% for the three months ended March 31, 2025 and 2024, respectively. For the three months ended March 31, 2025, the decrease was mainly attributed to increases in direct employee wage, tax, and benefit costs as a percentage of net service revenues.</w:t>
      </w:r>
    </w:p>
    <w:p>
      <w:pPr>
        <w:spacing w:after="0" w:line="176" w:lineRule="exact"/>
        <w:rPr>
          <w:sz w:val="20"/>
          <w:szCs w:val="20"/>
          <w:color w:val="auto"/>
        </w:rPr>
      </w:pPr>
    </w:p>
    <w:p>
      <w:pPr>
        <w:ind w:right="460" w:firstLine="509"/>
        <w:spacing w:after="0" w:line="261" w:lineRule="auto"/>
        <w:rPr>
          <w:sz w:val="20"/>
          <w:szCs w:val="20"/>
          <w:color w:val="auto"/>
        </w:rPr>
      </w:pPr>
      <w:r>
        <w:rPr>
          <w:rFonts w:ascii="Times New Roman" w:cs="Times New Roman" w:eastAsia="Times New Roman" w:hAnsi="Times New Roman"/>
          <w:sz w:val="18"/>
          <w:szCs w:val="18"/>
          <w:color w:val="auto"/>
        </w:rPr>
        <w:t>The hospice segment’s general and administrative expenses primarily consist of administrative employee wage, tax, and benefit costs, rent, information technology, and office expenses. General and administrative expenses, expressed as a percentage of net service revenues, was 23.7% and 24.1% for the three months ended March 31, 2025 and 2024, respectively. The decrease in general and administrative expenses as a percentage of net service revenues was primarily due to more efficient operations for administrative employees for the three months ended March 31, 2025.</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Home Health Segment</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400" w:type="dxa"/>
            <w:vAlign w:val="bottom"/>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2760" w:type="dxa"/>
            <w:vAlign w:val="bottom"/>
            <w:tcBorders>
              <w:bottom w:val="single" w:sz="8" w:color="auto"/>
            </w:tcBorders>
            <w:gridSpan w:val="7"/>
          </w:tcPr>
          <w:p>
            <w:pPr>
              <w:ind w:left="60"/>
              <w:spacing w:after="0"/>
              <w:rPr>
                <w:sz w:val="20"/>
                <w:szCs w:val="20"/>
                <w:color w:val="auto"/>
              </w:rPr>
            </w:pPr>
            <w:r>
              <w:rPr>
                <w:rFonts w:ascii="Times New Roman" w:cs="Times New Roman" w:eastAsia="Times New Roman" w:hAnsi="Times New Roman"/>
                <w:sz w:val="14"/>
                <w:szCs w:val="14"/>
                <w:b w:val="1"/>
                <w:bCs w:val="1"/>
                <w:color w:val="auto"/>
              </w:rPr>
              <w:t>For the Three Months Ended March 31,</w:t>
            </w:r>
          </w:p>
        </w:tc>
        <w:tc>
          <w:tcPr>
            <w:tcW w:w="8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4400" w:type="dxa"/>
            <w:vAlign w:val="bottom"/>
          </w:tcPr>
          <w:p>
            <w:pPr>
              <w:spacing w:after="0"/>
              <w:rPr>
                <w:sz w:val="12"/>
                <w:szCs w:val="12"/>
                <w:color w:val="auto"/>
              </w:rPr>
            </w:pPr>
          </w:p>
        </w:tc>
        <w:tc>
          <w:tcPr>
            <w:tcW w:w="2040" w:type="dxa"/>
            <w:vAlign w:val="bottom"/>
            <w:tcBorders>
              <w:bottom w:val="single" w:sz="8" w:color="auto"/>
            </w:tcBorders>
            <w:gridSpan w:val="3"/>
          </w:tcPr>
          <w:p>
            <w:pPr>
              <w:jc w:val="right"/>
              <w:ind w:right="799"/>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300" w:type="dxa"/>
            <w:vAlign w:val="bottom"/>
          </w:tcPr>
          <w:p>
            <w:pPr>
              <w:spacing w:after="0"/>
              <w:rPr>
                <w:sz w:val="12"/>
                <w:szCs w:val="12"/>
                <w:color w:val="auto"/>
              </w:rPr>
            </w:pPr>
          </w:p>
        </w:tc>
        <w:tc>
          <w:tcPr>
            <w:tcW w:w="1200" w:type="dxa"/>
            <w:vAlign w:val="bottom"/>
            <w:tcBorders>
              <w:bottom w:val="single" w:sz="8" w:color="auto"/>
            </w:tcBorders>
            <w:gridSpan w:val="3"/>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860" w:type="dxa"/>
            <w:vAlign w:val="bottom"/>
            <w:tcBorders>
              <w:bottom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200" w:type="dxa"/>
            <w:vAlign w:val="bottom"/>
            <w:tcBorders>
              <w:bottom w:val="single" w:sz="8" w:color="auto"/>
            </w:tcBorders>
            <w:gridSpan w:val="3"/>
          </w:tcPr>
          <w:p>
            <w:pPr>
              <w:ind w:left="620"/>
              <w:spacing w:after="0" w:line="142" w:lineRule="exact"/>
              <w:rPr>
                <w:sz w:val="20"/>
                <w:szCs w:val="20"/>
                <w:color w:val="auto"/>
              </w:rPr>
            </w:pPr>
            <w:r>
              <w:rPr>
                <w:rFonts w:ascii="Times New Roman" w:cs="Times New Roman" w:eastAsia="Times New Roman" w:hAnsi="Times New Roman"/>
                <w:sz w:val="14"/>
                <w:szCs w:val="14"/>
                <w:b w:val="1"/>
                <w:bCs w:val="1"/>
                <w:color w:val="auto"/>
              </w:rPr>
              <w:t>Change</w:t>
            </w:r>
          </w:p>
        </w:tc>
        <w:tc>
          <w:tcPr>
            <w:tcW w:w="660" w:type="dxa"/>
            <w:vAlign w:val="bottom"/>
            <w:tcBorders>
              <w:bottom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7"/>
        </w:trPr>
        <w:tc>
          <w:tcPr>
            <w:tcW w:w="440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20" w:type="dxa"/>
            <w:vAlign w:val="bottom"/>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 of</w:t>
            </w:r>
          </w:p>
        </w:tc>
        <w:tc>
          <w:tcPr>
            <w:tcW w:w="30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60" w:type="dxa"/>
            <w:vAlign w:val="bottom"/>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 of</w:t>
            </w:r>
          </w:p>
        </w:tc>
        <w:tc>
          <w:tcPr>
            <w:tcW w:w="2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44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20" w:type="dxa"/>
            <w:vAlign w:val="bottom"/>
            <w:gridSpan w:val="2"/>
          </w:tcPr>
          <w:p>
            <w:pPr>
              <w:jc w:val="center"/>
              <w:ind w:right="228"/>
              <w:spacing w:after="0" w:line="149" w:lineRule="exact"/>
              <w:rPr>
                <w:sz w:val="20"/>
                <w:szCs w:val="20"/>
                <w:color w:val="auto"/>
              </w:rPr>
            </w:pPr>
            <w:r>
              <w:rPr>
                <w:rFonts w:ascii="Times New Roman" w:cs="Times New Roman" w:eastAsia="Times New Roman" w:hAnsi="Times New Roman"/>
                <w:sz w:val="14"/>
                <w:szCs w:val="14"/>
                <w:b w:val="1"/>
                <w:bCs w:val="1"/>
                <w:color w:val="auto"/>
              </w:rPr>
              <w:t>Segment</w:t>
            </w:r>
          </w:p>
        </w:tc>
        <w:tc>
          <w:tcPr>
            <w:tcW w:w="9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60" w:type="dxa"/>
            <w:vAlign w:val="bottom"/>
            <w:gridSpan w:val="3"/>
          </w:tcPr>
          <w:p>
            <w:pPr>
              <w:jc w:val="center"/>
              <w:ind w:right="500"/>
              <w:spacing w:after="0" w:line="149" w:lineRule="exact"/>
              <w:rPr>
                <w:sz w:val="20"/>
                <w:szCs w:val="20"/>
                <w:color w:val="auto"/>
              </w:rPr>
            </w:pPr>
            <w:r>
              <w:rPr>
                <w:rFonts w:ascii="Times New Roman" w:cs="Times New Roman" w:eastAsia="Times New Roman" w:hAnsi="Times New Roman"/>
                <w:sz w:val="14"/>
                <w:szCs w:val="14"/>
                <w:b w:val="1"/>
                <w:bCs w:val="1"/>
                <w:color w:val="auto"/>
              </w:rPr>
              <w:t>Segment</w:t>
            </w: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400" w:type="dxa"/>
            <w:vAlign w:val="bottom"/>
          </w:tcPr>
          <w:p>
            <w:pPr>
              <w:spacing w:after="0"/>
              <w:rPr>
                <w:sz w:val="12"/>
                <w:szCs w:val="12"/>
                <w:color w:val="auto"/>
              </w:rPr>
            </w:pPr>
          </w:p>
        </w:tc>
        <w:tc>
          <w:tcPr>
            <w:tcW w:w="940" w:type="dxa"/>
            <w:vAlign w:val="bottom"/>
            <w:vMerge w:val="restart"/>
          </w:tcPr>
          <w:p>
            <w:pPr>
              <w:ind w:left="22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80" w:type="dxa"/>
            <w:vAlign w:val="bottom"/>
            <w:vMerge w:val="restart"/>
          </w:tcPr>
          <w:p>
            <w:pPr>
              <w:spacing w:after="0"/>
              <w:rPr>
                <w:sz w:val="12"/>
                <w:szCs w:val="12"/>
                <w:color w:val="auto"/>
              </w:rPr>
            </w:pPr>
          </w:p>
        </w:tc>
        <w:tc>
          <w:tcPr>
            <w:tcW w:w="1220" w:type="dxa"/>
            <w:vAlign w:val="bottom"/>
            <w:gridSpan w:val="2"/>
          </w:tcPr>
          <w:p>
            <w:pPr>
              <w:jc w:val="center"/>
              <w:ind w:right="248"/>
              <w:spacing w:after="0" w:line="149" w:lineRule="exact"/>
              <w:rPr>
                <w:sz w:val="20"/>
                <w:szCs w:val="20"/>
                <w:color w:val="auto"/>
              </w:rPr>
            </w:pPr>
            <w:r>
              <w:rPr>
                <w:rFonts w:ascii="Times New Roman" w:cs="Times New Roman" w:eastAsia="Times New Roman" w:hAnsi="Times New Roman"/>
                <w:sz w:val="14"/>
                <w:szCs w:val="14"/>
                <w:b w:val="1"/>
                <w:bCs w:val="1"/>
                <w:color w:val="auto"/>
              </w:rPr>
              <w:t>Net Service</w:t>
            </w:r>
          </w:p>
        </w:tc>
        <w:tc>
          <w:tcPr>
            <w:tcW w:w="940" w:type="dxa"/>
            <w:vAlign w:val="bottom"/>
            <w:vMerge w:val="restart"/>
          </w:tcPr>
          <w:p>
            <w:pPr>
              <w:ind w:left="22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80" w:type="dxa"/>
            <w:vAlign w:val="bottom"/>
            <w:vMerge w:val="restart"/>
          </w:tcPr>
          <w:p>
            <w:pPr>
              <w:spacing w:after="0"/>
              <w:rPr>
                <w:sz w:val="12"/>
                <w:szCs w:val="12"/>
                <w:color w:val="auto"/>
              </w:rPr>
            </w:pPr>
          </w:p>
        </w:tc>
        <w:tc>
          <w:tcPr>
            <w:tcW w:w="80" w:type="dxa"/>
            <w:vAlign w:val="bottom"/>
            <w:vMerge w:val="restart"/>
          </w:tcPr>
          <w:p>
            <w:pPr>
              <w:spacing w:after="0"/>
              <w:rPr>
                <w:sz w:val="12"/>
                <w:szCs w:val="12"/>
                <w:color w:val="auto"/>
              </w:rPr>
            </w:pPr>
          </w:p>
        </w:tc>
        <w:tc>
          <w:tcPr>
            <w:tcW w:w="1260" w:type="dxa"/>
            <w:vAlign w:val="bottom"/>
            <w:gridSpan w:val="3"/>
          </w:tcPr>
          <w:p>
            <w:pPr>
              <w:jc w:val="center"/>
              <w:ind w:right="480"/>
              <w:spacing w:after="0" w:line="149" w:lineRule="exact"/>
              <w:rPr>
                <w:sz w:val="20"/>
                <w:szCs w:val="20"/>
                <w:color w:val="auto"/>
              </w:rPr>
            </w:pPr>
            <w:r>
              <w:rPr>
                <w:rFonts w:ascii="Times New Roman" w:cs="Times New Roman" w:eastAsia="Times New Roman" w:hAnsi="Times New Roman"/>
                <w:sz w:val="14"/>
                <w:szCs w:val="14"/>
                <w:b w:val="1"/>
                <w:bCs w:val="1"/>
                <w:color w:val="auto"/>
              </w:rPr>
              <w:t>Net Service</w:t>
            </w:r>
          </w:p>
        </w:tc>
        <w:tc>
          <w:tcPr>
            <w:tcW w:w="800" w:type="dxa"/>
            <w:vAlign w:val="bottom"/>
            <w:vMerge w:val="restart"/>
          </w:tcPr>
          <w:p>
            <w:pPr>
              <w:jc w:val="right"/>
              <w:ind w:right="133"/>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00" w:type="dxa"/>
            <w:vAlign w:val="bottom"/>
            <w:vMerge w:val="restart"/>
          </w:tcPr>
          <w:p>
            <w:pPr>
              <w:spacing w:after="0"/>
              <w:rPr>
                <w:sz w:val="12"/>
                <w:szCs w:val="12"/>
                <w:color w:val="auto"/>
              </w:rPr>
            </w:pPr>
          </w:p>
        </w:tc>
        <w:tc>
          <w:tcPr>
            <w:tcW w:w="300" w:type="dxa"/>
            <w:vAlign w:val="bottom"/>
            <w:vMerge w:val="restart"/>
          </w:tcPr>
          <w:p>
            <w:pPr>
              <w:spacing w:after="0"/>
              <w:rPr>
                <w:sz w:val="12"/>
                <w:szCs w:val="12"/>
                <w:color w:val="auto"/>
              </w:rPr>
            </w:pPr>
          </w:p>
        </w:tc>
        <w:tc>
          <w:tcPr>
            <w:tcW w:w="660" w:type="dxa"/>
            <w:vAlign w:val="bottom"/>
            <w:vMerge w:val="restart"/>
          </w:tcPr>
          <w:p>
            <w:pPr>
              <w:jc w:val="right"/>
              <w:ind w:right="312"/>
              <w:spacing w:after="0"/>
              <w:rPr>
                <w:sz w:val="20"/>
                <w:szCs w:val="20"/>
                <w:color w:val="auto"/>
              </w:rPr>
            </w:pPr>
            <w:r>
              <w:rPr>
                <w:rFonts w:ascii="Times New Roman" w:cs="Times New Roman" w:eastAsia="Times New Roman" w:hAnsi="Times New Roman"/>
                <w:sz w:val="14"/>
                <w:szCs w:val="14"/>
                <w:b w:val="1"/>
                <w:bCs w:val="1"/>
                <w:color w:val="auto"/>
              </w:rPr>
              <w:t>%</w:t>
            </w: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4400" w:type="dxa"/>
            <w:vAlign w:val="bottom"/>
          </w:tcPr>
          <w:p>
            <w:pPr>
              <w:spacing w:after="0"/>
              <w:rPr>
                <w:sz w:val="15"/>
                <w:szCs w:val="15"/>
                <w:color w:val="auto"/>
              </w:rPr>
            </w:pPr>
          </w:p>
        </w:tc>
        <w:tc>
          <w:tcPr>
            <w:tcW w:w="940" w:type="dxa"/>
            <w:vAlign w:val="bottom"/>
            <w:tcBorders>
              <w:bottom w:val="single" w:sz="8" w:color="auto"/>
            </w:tcBorders>
            <w:vMerge w:val="continue"/>
          </w:tcPr>
          <w:p>
            <w:pPr>
              <w:spacing w:after="0"/>
              <w:rPr>
                <w:sz w:val="15"/>
                <w:szCs w:val="15"/>
                <w:color w:val="auto"/>
              </w:rPr>
            </w:pPr>
          </w:p>
        </w:tc>
        <w:tc>
          <w:tcPr>
            <w:tcW w:w="180" w:type="dxa"/>
            <w:vAlign w:val="bottom"/>
            <w:vMerge w:val="continue"/>
          </w:tcPr>
          <w:p>
            <w:pPr>
              <w:spacing w:after="0"/>
              <w:rPr>
                <w:sz w:val="15"/>
                <w:szCs w:val="15"/>
                <w:color w:val="auto"/>
              </w:rPr>
            </w:pPr>
          </w:p>
        </w:tc>
        <w:tc>
          <w:tcPr>
            <w:tcW w:w="9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Revenues</w:t>
            </w:r>
          </w:p>
        </w:tc>
        <w:tc>
          <w:tcPr>
            <w:tcW w:w="300" w:type="dxa"/>
            <w:vAlign w:val="bottom"/>
          </w:tcPr>
          <w:p>
            <w:pPr>
              <w:spacing w:after="0"/>
              <w:rPr>
                <w:sz w:val="15"/>
                <w:szCs w:val="15"/>
                <w:color w:val="auto"/>
              </w:rPr>
            </w:pPr>
          </w:p>
        </w:tc>
        <w:tc>
          <w:tcPr>
            <w:tcW w:w="940" w:type="dxa"/>
            <w:vAlign w:val="bottom"/>
            <w:tcBorders>
              <w:bottom w:val="single" w:sz="8" w:color="auto"/>
            </w:tcBorders>
            <w:vMerge w:val="continue"/>
          </w:tcPr>
          <w:p>
            <w:pPr>
              <w:spacing w:after="0"/>
              <w:rPr>
                <w:sz w:val="15"/>
                <w:szCs w:val="15"/>
                <w:color w:val="auto"/>
              </w:rPr>
            </w:pPr>
          </w:p>
        </w:tc>
        <w:tc>
          <w:tcPr>
            <w:tcW w:w="180" w:type="dxa"/>
            <w:vAlign w:val="bottom"/>
            <w:vMerge w:val="continue"/>
          </w:tcPr>
          <w:p>
            <w:pPr>
              <w:spacing w:after="0"/>
              <w:rPr>
                <w:sz w:val="15"/>
                <w:szCs w:val="15"/>
                <w:color w:val="auto"/>
              </w:rPr>
            </w:pPr>
          </w:p>
        </w:tc>
        <w:tc>
          <w:tcPr>
            <w:tcW w:w="80" w:type="dxa"/>
            <w:vAlign w:val="bottom"/>
            <w:tcBorders>
              <w:bottom w:val="single" w:sz="8" w:color="auto"/>
            </w:tcBorders>
            <w:vMerge w:val="continue"/>
          </w:tcPr>
          <w:p>
            <w:pPr>
              <w:spacing w:after="0"/>
              <w:rPr>
                <w:sz w:val="15"/>
                <w:szCs w:val="15"/>
                <w:color w:val="auto"/>
              </w:rPr>
            </w:pPr>
          </w:p>
        </w:tc>
        <w:tc>
          <w:tcPr>
            <w:tcW w:w="8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Revenues</w:t>
            </w:r>
          </w:p>
        </w:tc>
        <w:tc>
          <w:tcPr>
            <w:tcW w:w="26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vMerge w:val="continue"/>
          </w:tcPr>
          <w:p>
            <w:pPr>
              <w:spacing w:after="0"/>
              <w:rPr>
                <w:sz w:val="15"/>
                <w:szCs w:val="15"/>
                <w:color w:val="auto"/>
              </w:rPr>
            </w:pPr>
          </w:p>
        </w:tc>
        <w:tc>
          <w:tcPr>
            <w:tcW w:w="100" w:type="dxa"/>
            <w:vAlign w:val="bottom"/>
            <w:vMerge w:val="continue"/>
          </w:tcPr>
          <w:p>
            <w:pPr>
              <w:spacing w:after="0"/>
              <w:rPr>
                <w:sz w:val="15"/>
                <w:szCs w:val="15"/>
                <w:color w:val="auto"/>
              </w:rPr>
            </w:pPr>
          </w:p>
        </w:tc>
        <w:tc>
          <w:tcPr>
            <w:tcW w:w="300" w:type="dxa"/>
            <w:vAlign w:val="bottom"/>
            <w:tcBorders>
              <w:bottom w:val="single" w:sz="8" w:color="auto"/>
            </w:tcBorders>
            <w:vMerge w:val="continue"/>
          </w:tcPr>
          <w:p>
            <w:pPr>
              <w:spacing w:after="0"/>
              <w:rPr>
                <w:sz w:val="15"/>
                <w:szCs w:val="15"/>
                <w:color w:val="auto"/>
              </w:rPr>
            </w:pPr>
          </w:p>
        </w:tc>
        <w:tc>
          <w:tcPr>
            <w:tcW w:w="660" w:type="dxa"/>
            <w:vAlign w:val="bottom"/>
            <w:tcBorders>
              <w:bottom w:val="single" w:sz="8" w:color="auto"/>
            </w:tcBorders>
            <w:vMerge w:val="continue"/>
          </w:tcPr>
          <w:p>
            <w:pPr>
              <w:spacing w:after="0"/>
              <w:rPr>
                <w:sz w:val="15"/>
                <w:szCs w:val="15"/>
                <w:color w:val="auto"/>
              </w:rPr>
            </w:pP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44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240" w:type="dxa"/>
            <w:vAlign w:val="bottom"/>
            <w:gridSpan w:val="2"/>
          </w:tcPr>
          <w:p>
            <w:pPr>
              <w:spacing w:after="0" w:line="155" w:lineRule="exact"/>
              <w:rPr>
                <w:sz w:val="20"/>
                <w:szCs w:val="20"/>
                <w:color w:val="auto"/>
              </w:rPr>
            </w:pPr>
            <w:r>
              <w:rPr>
                <w:rFonts w:ascii="Times New Roman" w:cs="Times New Roman" w:eastAsia="Times New Roman" w:hAnsi="Times New Roman"/>
                <w:sz w:val="14"/>
                <w:szCs w:val="14"/>
                <w:b w:val="1"/>
                <w:bCs w:val="1"/>
                <w:color w:val="auto"/>
                <w:w w:val="83"/>
              </w:rPr>
              <w:t>(Amounts in Thousands,</w:t>
            </w:r>
          </w:p>
        </w:tc>
        <w:tc>
          <w:tcPr>
            <w:tcW w:w="180" w:type="dxa"/>
            <w:vAlign w:val="bottom"/>
          </w:tcPr>
          <w:p>
            <w:pPr>
              <w:spacing w:after="0"/>
              <w:rPr>
                <w:sz w:val="13"/>
                <w:szCs w:val="13"/>
                <w:color w:val="auto"/>
              </w:rPr>
            </w:pPr>
          </w:p>
        </w:tc>
        <w:tc>
          <w:tcPr>
            <w:tcW w:w="1340" w:type="dxa"/>
            <w:vAlign w:val="bottom"/>
            <w:gridSpan w:val="4"/>
          </w:tcPr>
          <w:p>
            <w:pPr>
              <w:ind w:left="20"/>
              <w:spacing w:after="0" w:line="155" w:lineRule="exact"/>
              <w:rPr>
                <w:sz w:val="20"/>
                <w:szCs w:val="20"/>
                <w:color w:val="auto"/>
              </w:rPr>
            </w:pPr>
            <w:r>
              <w:rPr>
                <w:rFonts w:ascii="Times New Roman" w:cs="Times New Roman" w:eastAsia="Times New Roman" w:hAnsi="Times New Roman"/>
                <w:sz w:val="14"/>
                <w:szCs w:val="14"/>
                <w:b w:val="1"/>
                <w:bCs w:val="1"/>
                <w:color w:val="auto"/>
              </w:rPr>
              <w:t>Except Percentages)</w:t>
            </w: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44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Operating Results</w:t>
            </w:r>
          </w:p>
        </w:tc>
        <w:tc>
          <w:tcPr>
            <w:tcW w:w="940" w:type="dxa"/>
            <w:vAlign w:val="bottom"/>
            <w:shd w:val="clear" w:color="auto" w:fill="CFF0FC"/>
          </w:tcPr>
          <w:p>
            <w:pPr>
              <w:spacing w:after="0"/>
              <w:rPr>
                <w:sz w:val="18"/>
                <w:szCs w:val="18"/>
                <w:color w:val="auto"/>
              </w:rPr>
            </w:pPr>
          </w:p>
        </w:tc>
        <w:tc>
          <w:tcPr>
            <w:tcW w:w="180" w:type="dxa"/>
            <w:vAlign w:val="bottom"/>
            <w:tcBorders>
              <w:right w:val="single" w:sz="8" w:color="CFF0FC"/>
            </w:tcBorders>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0" w:type="dxa"/>
            <w:vAlign w:val="bottom"/>
          </w:tcPr>
          <w:p>
            <w:pPr>
              <w:spacing w:after="0"/>
              <w:rPr>
                <w:sz w:val="20"/>
                <w:szCs w:val="20"/>
                <w:color w:val="auto"/>
              </w:rPr>
            </w:pPr>
            <w:r>
              <w:rPr>
                <w:rFonts w:ascii="Times New Roman" w:cs="Times New Roman" w:eastAsia="Times New Roman" w:hAnsi="Times New Roman"/>
                <w:sz w:val="18"/>
                <w:szCs w:val="18"/>
                <w:color w:val="auto"/>
              </w:rPr>
              <w:t>Net service revenues</w:t>
            </w: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$17,985</w:t>
            </w:r>
          </w:p>
        </w:tc>
        <w:tc>
          <w:tcPr>
            <w:tcW w:w="1220" w:type="dxa"/>
            <w:vAlign w:val="bottom"/>
            <w:gridSpan w:val="2"/>
          </w:tcPr>
          <w:p>
            <w:pPr>
              <w:jc w:val="right"/>
              <w:ind w:right="68"/>
              <w:spacing w:after="0"/>
              <w:rPr>
                <w:sz w:val="20"/>
                <w:szCs w:val="20"/>
                <w:color w:val="auto"/>
              </w:rPr>
            </w:pPr>
            <w:r>
              <w:rPr>
                <w:rFonts w:ascii="Times New Roman" w:cs="Times New Roman" w:eastAsia="Times New Roman" w:hAnsi="Times New Roman"/>
                <w:sz w:val="18"/>
                <w:szCs w:val="18"/>
                <w:color w:val="auto"/>
              </w:rPr>
              <w:t>100.0%</w:t>
            </w: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$16,880</w:t>
            </w:r>
          </w:p>
        </w:tc>
        <w:tc>
          <w:tcPr>
            <w:tcW w:w="8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100.0%</w:t>
            </w:r>
          </w:p>
        </w:tc>
        <w:tc>
          <w:tcPr>
            <w:tcW w:w="14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$1,105</w:t>
            </w:r>
          </w:p>
        </w:tc>
        <w:tc>
          <w:tcPr>
            <w:tcW w:w="300" w:type="dxa"/>
            <w:vAlign w:val="bottom"/>
          </w:tcPr>
          <w:p>
            <w:pPr>
              <w:spacing w:after="0"/>
              <w:rPr>
                <w:sz w:val="18"/>
                <w:szCs w:val="18"/>
                <w:color w:val="auto"/>
              </w:rPr>
            </w:pPr>
          </w:p>
        </w:tc>
        <w:tc>
          <w:tcPr>
            <w:tcW w:w="8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6.5%</w:t>
            </w:r>
          </w:p>
        </w:tc>
        <w:tc>
          <w:tcPr>
            <w:tcW w:w="0" w:type="dxa"/>
            <w:vAlign w:val="bottom"/>
          </w:tcPr>
          <w:p>
            <w:pPr>
              <w:spacing w:after="0"/>
              <w:rPr>
                <w:sz w:val="1"/>
                <w:szCs w:val="1"/>
                <w:color w:val="auto"/>
              </w:rPr>
            </w:pPr>
          </w:p>
        </w:tc>
      </w:tr>
      <w:tr>
        <w:trPr>
          <w:trHeight w:val="216"/>
        </w:trPr>
        <w:tc>
          <w:tcPr>
            <w:tcW w:w="44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Cost of services revenues</w:t>
            </w:r>
          </w:p>
        </w:tc>
        <w:tc>
          <w:tcPr>
            <w:tcW w:w="1120" w:type="dxa"/>
            <w:vAlign w:val="bottom"/>
            <w:tcBorders>
              <w:right w:val="single" w:sz="8" w:color="CFF0FC"/>
            </w:tcBorders>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10,798</w:t>
            </w:r>
          </w:p>
        </w:tc>
        <w:tc>
          <w:tcPr>
            <w:tcW w:w="1220" w:type="dxa"/>
            <w:vAlign w:val="bottom"/>
            <w:gridSpan w:val="2"/>
            <w:shd w:val="clear" w:color="auto" w:fill="CFF0FC"/>
          </w:tcPr>
          <w:p>
            <w:pPr>
              <w:jc w:val="right"/>
              <w:ind w:right="228"/>
              <w:spacing w:after="0"/>
              <w:rPr>
                <w:sz w:val="20"/>
                <w:szCs w:val="20"/>
                <w:color w:val="auto"/>
              </w:rPr>
            </w:pPr>
            <w:r>
              <w:rPr>
                <w:rFonts w:ascii="Times New Roman" w:cs="Times New Roman" w:eastAsia="Times New Roman" w:hAnsi="Times New Roman"/>
                <w:sz w:val="18"/>
                <w:szCs w:val="18"/>
                <w:color w:val="auto"/>
              </w:rPr>
              <w:t>60.0</w:t>
            </w:r>
          </w:p>
        </w:tc>
        <w:tc>
          <w:tcPr>
            <w:tcW w:w="11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11,066</w:t>
            </w:r>
          </w:p>
        </w:tc>
        <w:tc>
          <w:tcPr>
            <w:tcW w:w="8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65.6</w:t>
            </w:r>
          </w:p>
        </w:tc>
        <w:tc>
          <w:tcPr>
            <w:tcW w:w="140" w:type="dxa"/>
            <w:vAlign w:val="bottom"/>
            <w:shd w:val="clear" w:color="auto" w:fill="CFF0FC"/>
          </w:tcPr>
          <w:p>
            <w:pPr>
              <w:spacing w:after="0"/>
              <w:rPr>
                <w:sz w:val="18"/>
                <w:szCs w:val="18"/>
                <w:color w:val="auto"/>
              </w:rPr>
            </w:pPr>
          </w:p>
        </w:tc>
        <w:tc>
          <w:tcPr>
            <w:tcW w:w="9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(268)</w:t>
            </w:r>
          </w:p>
        </w:tc>
        <w:tc>
          <w:tcPr>
            <w:tcW w:w="300" w:type="dxa"/>
            <w:vAlign w:val="bottom"/>
            <w:shd w:val="clear" w:color="auto" w:fill="CFF0FC"/>
          </w:tcPr>
          <w:p>
            <w:pPr>
              <w:spacing w:after="0"/>
              <w:rPr>
                <w:sz w:val="18"/>
                <w:szCs w:val="18"/>
                <w:color w:val="auto"/>
              </w:rPr>
            </w:pPr>
          </w:p>
        </w:tc>
        <w:tc>
          <w:tcPr>
            <w:tcW w:w="8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(2.4)</w:t>
            </w:r>
          </w:p>
        </w:tc>
        <w:tc>
          <w:tcPr>
            <w:tcW w:w="0" w:type="dxa"/>
            <w:vAlign w:val="bottom"/>
          </w:tcPr>
          <w:p>
            <w:pPr>
              <w:spacing w:after="0"/>
              <w:rPr>
                <w:sz w:val="1"/>
                <w:szCs w:val="1"/>
                <w:color w:val="auto"/>
              </w:rPr>
            </w:pPr>
          </w:p>
        </w:tc>
      </w:tr>
      <w:tr>
        <w:trPr>
          <w:trHeight w:val="20"/>
        </w:trPr>
        <w:tc>
          <w:tcPr>
            <w:tcW w:w="4400" w:type="dxa"/>
            <w:vAlign w:val="bottom"/>
            <w:shd w:val="clear" w:color="auto" w:fill="CFF0FC"/>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80" w:type="dxa"/>
            <w:vAlign w:val="bottom"/>
            <w:tcBorders>
              <w:right w:val="single" w:sz="8" w:color="auto"/>
            </w:tcBorders>
            <w:shd w:val="clear" w:color="auto" w:fill="CFF0FC"/>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400" w:type="dxa"/>
            <w:vAlign w:val="bottom"/>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7,187</w:t>
            </w:r>
          </w:p>
        </w:tc>
        <w:tc>
          <w:tcPr>
            <w:tcW w:w="1220" w:type="dxa"/>
            <w:vAlign w:val="bottom"/>
            <w:gridSpan w:val="2"/>
          </w:tcPr>
          <w:p>
            <w:pPr>
              <w:jc w:val="right"/>
              <w:ind w:right="228"/>
              <w:spacing w:after="0"/>
              <w:rPr>
                <w:sz w:val="20"/>
                <w:szCs w:val="20"/>
                <w:color w:val="auto"/>
              </w:rPr>
            </w:pPr>
            <w:r>
              <w:rPr>
                <w:rFonts w:ascii="Times New Roman" w:cs="Times New Roman" w:eastAsia="Times New Roman" w:hAnsi="Times New Roman"/>
                <w:sz w:val="18"/>
                <w:szCs w:val="18"/>
                <w:color w:val="auto"/>
              </w:rPr>
              <w:t>40.0</w:t>
            </w: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5,814</w:t>
            </w:r>
          </w:p>
        </w:tc>
        <w:tc>
          <w:tcPr>
            <w:tcW w:w="80" w:type="dxa"/>
            <w:vAlign w:val="bottom"/>
          </w:tcPr>
          <w:p>
            <w:pPr>
              <w:spacing w:after="0"/>
              <w:rPr>
                <w:sz w:val="18"/>
                <w:szCs w:val="18"/>
                <w:color w:val="auto"/>
              </w:rPr>
            </w:pPr>
          </w:p>
        </w:tc>
        <w:tc>
          <w:tcPr>
            <w:tcW w:w="11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34.4</w:t>
            </w:r>
          </w:p>
        </w:tc>
        <w:tc>
          <w:tcPr>
            <w:tcW w:w="14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1,373</w:t>
            </w:r>
          </w:p>
        </w:tc>
        <w:tc>
          <w:tcPr>
            <w:tcW w:w="300" w:type="dxa"/>
            <w:vAlign w:val="bottom"/>
          </w:tcPr>
          <w:p>
            <w:pPr>
              <w:spacing w:after="0"/>
              <w:rPr>
                <w:sz w:val="18"/>
                <w:szCs w:val="18"/>
                <w:color w:val="auto"/>
              </w:rPr>
            </w:pP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23.6</w:t>
            </w:r>
          </w:p>
        </w:tc>
        <w:tc>
          <w:tcPr>
            <w:tcW w:w="0" w:type="dxa"/>
            <w:vAlign w:val="bottom"/>
          </w:tcPr>
          <w:p>
            <w:pPr>
              <w:spacing w:after="0"/>
              <w:rPr>
                <w:sz w:val="1"/>
                <w:szCs w:val="1"/>
                <w:color w:val="auto"/>
              </w:rPr>
            </w:pPr>
          </w:p>
        </w:tc>
      </w:tr>
      <w:tr>
        <w:trPr>
          <w:trHeight w:val="216"/>
        </w:trPr>
        <w:tc>
          <w:tcPr>
            <w:tcW w:w="44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1120" w:type="dxa"/>
            <w:vAlign w:val="bottom"/>
            <w:tcBorders>
              <w:right w:val="single" w:sz="8" w:color="CFF0FC"/>
            </w:tcBorders>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4,173</w:t>
            </w:r>
          </w:p>
        </w:tc>
        <w:tc>
          <w:tcPr>
            <w:tcW w:w="1220" w:type="dxa"/>
            <w:vAlign w:val="bottom"/>
            <w:gridSpan w:val="2"/>
            <w:shd w:val="clear" w:color="auto" w:fill="CFF0FC"/>
          </w:tcPr>
          <w:p>
            <w:pPr>
              <w:jc w:val="right"/>
              <w:ind w:right="228"/>
              <w:spacing w:after="0"/>
              <w:rPr>
                <w:sz w:val="20"/>
                <w:szCs w:val="20"/>
                <w:color w:val="auto"/>
              </w:rPr>
            </w:pPr>
            <w:r>
              <w:rPr>
                <w:rFonts w:ascii="Times New Roman" w:cs="Times New Roman" w:eastAsia="Times New Roman" w:hAnsi="Times New Roman"/>
                <w:sz w:val="18"/>
                <w:szCs w:val="18"/>
                <w:color w:val="auto"/>
              </w:rPr>
              <w:t>23.2</w:t>
            </w:r>
          </w:p>
        </w:tc>
        <w:tc>
          <w:tcPr>
            <w:tcW w:w="11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4,537</w:t>
            </w:r>
          </w:p>
        </w:tc>
        <w:tc>
          <w:tcPr>
            <w:tcW w:w="8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26.9</w:t>
            </w:r>
          </w:p>
        </w:tc>
        <w:tc>
          <w:tcPr>
            <w:tcW w:w="140" w:type="dxa"/>
            <w:vAlign w:val="bottom"/>
            <w:shd w:val="clear" w:color="auto" w:fill="CFF0FC"/>
          </w:tcPr>
          <w:p>
            <w:pPr>
              <w:spacing w:after="0"/>
              <w:rPr>
                <w:sz w:val="18"/>
                <w:szCs w:val="18"/>
                <w:color w:val="auto"/>
              </w:rPr>
            </w:pPr>
          </w:p>
        </w:tc>
        <w:tc>
          <w:tcPr>
            <w:tcW w:w="9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(364)</w:t>
            </w:r>
          </w:p>
        </w:tc>
        <w:tc>
          <w:tcPr>
            <w:tcW w:w="300" w:type="dxa"/>
            <w:vAlign w:val="bottom"/>
            <w:shd w:val="clear" w:color="auto" w:fill="CFF0FC"/>
          </w:tcPr>
          <w:p>
            <w:pPr>
              <w:spacing w:after="0"/>
              <w:rPr>
                <w:sz w:val="18"/>
                <w:szCs w:val="18"/>
                <w:color w:val="auto"/>
              </w:rPr>
            </w:pPr>
          </w:p>
        </w:tc>
        <w:tc>
          <w:tcPr>
            <w:tcW w:w="8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(8.0)</w:t>
            </w:r>
          </w:p>
        </w:tc>
        <w:tc>
          <w:tcPr>
            <w:tcW w:w="0" w:type="dxa"/>
            <w:vAlign w:val="bottom"/>
          </w:tcPr>
          <w:p>
            <w:pPr>
              <w:spacing w:after="0"/>
              <w:rPr>
                <w:sz w:val="1"/>
                <w:szCs w:val="1"/>
                <w:color w:val="auto"/>
              </w:rPr>
            </w:pPr>
          </w:p>
        </w:tc>
      </w:tr>
      <w:tr>
        <w:trPr>
          <w:trHeight w:val="20"/>
        </w:trPr>
        <w:tc>
          <w:tcPr>
            <w:tcW w:w="4400" w:type="dxa"/>
            <w:vAlign w:val="bottom"/>
            <w:shd w:val="clear" w:color="auto" w:fill="CFF0FC"/>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80" w:type="dxa"/>
            <w:vAlign w:val="bottom"/>
            <w:tcBorders>
              <w:right w:val="single" w:sz="8" w:color="auto"/>
            </w:tcBorders>
            <w:shd w:val="clear" w:color="auto" w:fill="CFF0FC"/>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400" w:type="dxa"/>
            <w:vAlign w:val="bottom"/>
          </w:tcPr>
          <w:p>
            <w:pPr>
              <w:spacing w:after="0"/>
              <w:rPr>
                <w:sz w:val="20"/>
                <w:szCs w:val="20"/>
                <w:color w:val="auto"/>
              </w:rPr>
            </w:pPr>
            <w:r>
              <w:rPr>
                <w:rFonts w:ascii="Times New Roman" w:cs="Times New Roman" w:eastAsia="Times New Roman" w:hAnsi="Times New Roman"/>
                <w:sz w:val="18"/>
                <w:szCs w:val="18"/>
                <w:color w:val="auto"/>
              </w:rPr>
              <w:t>Segment operating income</w:t>
            </w: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$3,014</w:t>
            </w:r>
          </w:p>
        </w:tc>
        <w:tc>
          <w:tcPr>
            <w:tcW w:w="1220" w:type="dxa"/>
            <w:vAlign w:val="bottom"/>
            <w:gridSpan w:val="2"/>
          </w:tcPr>
          <w:p>
            <w:pPr>
              <w:jc w:val="right"/>
              <w:ind w:right="68"/>
              <w:spacing w:after="0"/>
              <w:rPr>
                <w:sz w:val="20"/>
                <w:szCs w:val="20"/>
                <w:color w:val="auto"/>
              </w:rPr>
            </w:pPr>
            <w:r>
              <w:rPr>
                <w:rFonts w:ascii="Times New Roman" w:cs="Times New Roman" w:eastAsia="Times New Roman" w:hAnsi="Times New Roman"/>
                <w:sz w:val="18"/>
                <w:szCs w:val="18"/>
                <w:color w:val="auto"/>
              </w:rPr>
              <w:t>16.8%</w:t>
            </w: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$1,277</w:t>
            </w:r>
          </w:p>
        </w:tc>
        <w:tc>
          <w:tcPr>
            <w:tcW w:w="8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7.5%</w:t>
            </w:r>
          </w:p>
        </w:tc>
        <w:tc>
          <w:tcPr>
            <w:tcW w:w="14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$1,737</w:t>
            </w:r>
          </w:p>
        </w:tc>
        <w:tc>
          <w:tcPr>
            <w:tcW w:w="300" w:type="dxa"/>
            <w:vAlign w:val="bottom"/>
          </w:tcPr>
          <w:p>
            <w:pPr>
              <w:spacing w:after="0"/>
              <w:rPr>
                <w:sz w:val="18"/>
                <w:szCs w:val="18"/>
                <w:color w:val="auto"/>
              </w:rPr>
            </w:pPr>
          </w:p>
        </w:tc>
        <w:tc>
          <w:tcPr>
            <w:tcW w:w="8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136.0%</w:t>
            </w:r>
          </w:p>
        </w:tc>
        <w:tc>
          <w:tcPr>
            <w:tcW w:w="0" w:type="dxa"/>
            <w:vAlign w:val="bottom"/>
          </w:tcPr>
          <w:p>
            <w:pPr>
              <w:spacing w:after="0"/>
              <w:rPr>
                <w:sz w:val="1"/>
                <w:szCs w:val="1"/>
                <w:color w:val="auto"/>
              </w:rPr>
            </w:pPr>
          </w:p>
        </w:tc>
      </w:tr>
      <w:tr>
        <w:trPr>
          <w:trHeight w:val="20"/>
        </w:trPr>
        <w:tc>
          <w:tcPr>
            <w:tcW w:w="440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400" w:type="dxa"/>
            <w:vAlign w:val="bottom"/>
            <w:shd w:val="clear" w:color="auto" w:fill="CFF0FC"/>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Business Metrics (Actual Numbers)</w:t>
            </w:r>
          </w:p>
        </w:tc>
        <w:tc>
          <w:tcPr>
            <w:tcW w:w="940" w:type="dxa"/>
            <w:vAlign w:val="bottom"/>
            <w:shd w:val="clear" w:color="auto" w:fill="CFF0FC"/>
          </w:tcPr>
          <w:p>
            <w:pPr>
              <w:spacing w:after="0"/>
              <w:rPr>
                <w:sz w:val="17"/>
                <w:szCs w:val="17"/>
                <w:color w:val="auto"/>
              </w:rPr>
            </w:pPr>
          </w:p>
        </w:tc>
        <w:tc>
          <w:tcPr>
            <w:tcW w:w="180" w:type="dxa"/>
            <w:vAlign w:val="bottom"/>
            <w:tcBorders>
              <w:right w:val="single" w:sz="8" w:color="CFF0FC"/>
            </w:tcBorders>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86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66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400" w:type="dxa"/>
            <w:vAlign w:val="bottom"/>
          </w:tcPr>
          <w:p>
            <w:pPr>
              <w:spacing w:after="0"/>
              <w:rPr>
                <w:sz w:val="20"/>
                <w:szCs w:val="20"/>
                <w:color w:val="auto"/>
              </w:rPr>
            </w:pPr>
            <w:r>
              <w:rPr>
                <w:rFonts w:ascii="Times New Roman" w:cs="Times New Roman" w:eastAsia="Times New Roman" w:hAnsi="Times New Roman"/>
                <w:sz w:val="18"/>
                <w:szCs w:val="18"/>
                <w:color w:val="auto"/>
              </w:rPr>
              <w:t>Locations at period end</w:t>
            </w: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23</w:t>
            </w:r>
          </w:p>
        </w:tc>
        <w:tc>
          <w:tcPr>
            <w:tcW w:w="9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23</w:t>
            </w: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0" w:type="dxa"/>
            <w:vAlign w:val="bottom"/>
            <w:shd w:val="clear" w:color="auto" w:fill="CFF0FC"/>
          </w:tcPr>
          <w:p>
            <w:pPr>
              <w:spacing w:after="0" w:line="216" w:lineRule="exact"/>
              <w:rPr>
                <w:sz w:val="20"/>
                <w:szCs w:val="20"/>
                <w:color w:val="auto"/>
              </w:rPr>
            </w:pPr>
            <w:r>
              <w:rPr>
                <w:rFonts w:ascii="Times New Roman" w:cs="Times New Roman" w:eastAsia="Times New Roman" w:hAnsi="Times New Roman"/>
                <w:sz w:val="18"/>
                <w:szCs w:val="18"/>
                <w:color w:val="auto"/>
              </w:rPr>
              <w:t xml:space="preserve">New admissions * </w:t>
            </w:r>
            <w:r>
              <w:rPr>
                <w:rFonts w:ascii="Times New Roman" w:cs="Times New Roman" w:eastAsia="Times New Roman" w:hAnsi="Times New Roman"/>
                <w:sz w:val="24"/>
                <w:szCs w:val="24"/>
                <w:color w:val="auto"/>
                <w:vertAlign w:val="superscript"/>
              </w:rPr>
              <w:t>(1)</w:t>
            </w:r>
          </w:p>
        </w:tc>
        <w:tc>
          <w:tcPr>
            <w:tcW w:w="1120" w:type="dxa"/>
            <w:vAlign w:val="bottom"/>
            <w:tcBorders>
              <w:right w:val="single" w:sz="8" w:color="CFF0FC"/>
            </w:tcBorders>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4,708</w:t>
            </w:r>
          </w:p>
        </w:tc>
        <w:tc>
          <w:tcPr>
            <w:tcW w:w="9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4,887</w:t>
            </w:r>
          </w:p>
        </w:tc>
        <w:tc>
          <w:tcPr>
            <w:tcW w:w="8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(179)</w:t>
            </w:r>
          </w:p>
        </w:tc>
        <w:tc>
          <w:tcPr>
            <w:tcW w:w="300" w:type="dxa"/>
            <w:vAlign w:val="bottom"/>
            <w:shd w:val="clear" w:color="auto" w:fill="CFF0FC"/>
          </w:tcPr>
          <w:p>
            <w:pPr>
              <w:spacing w:after="0"/>
              <w:rPr>
                <w:sz w:val="18"/>
                <w:szCs w:val="18"/>
                <w:color w:val="auto"/>
              </w:rPr>
            </w:pPr>
          </w:p>
        </w:tc>
        <w:tc>
          <w:tcPr>
            <w:tcW w:w="8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 %</w:t>
            </w:r>
          </w:p>
        </w:tc>
        <w:tc>
          <w:tcPr>
            <w:tcW w:w="0" w:type="dxa"/>
            <w:vAlign w:val="bottom"/>
          </w:tcPr>
          <w:p>
            <w:pPr>
              <w:spacing w:after="0"/>
              <w:rPr>
                <w:sz w:val="1"/>
                <w:szCs w:val="1"/>
                <w:color w:val="auto"/>
              </w:rPr>
            </w:pPr>
          </w:p>
        </w:tc>
      </w:tr>
      <w:tr>
        <w:trPr>
          <w:trHeight w:val="216"/>
        </w:trPr>
        <w:tc>
          <w:tcPr>
            <w:tcW w:w="4400" w:type="dxa"/>
            <w:vAlign w:val="bottom"/>
          </w:tcPr>
          <w:p>
            <w:pPr>
              <w:spacing w:after="0" w:line="216" w:lineRule="exact"/>
              <w:rPr>
                <w:sz w:val="20"/>
                <w:szCs w:val="20"/>
                <w:color w:val="auto"/>
              </w:rPr>
            </w:pPr>
            <w:r>
              <w:rPr>
                <w:rFonts w:ascii="Times New Roman" w:cs="Times New Roman" w:eastAsia="Times New Roman" w:hAnsi="Times New Roman"/>
                <w:sz w:val="18"/>
                <w:szCs w:val="18"/>
                <w:color w:val="auto"/>
              </w:rPr>
              <w:t xml:space="preserve">Recertifications * </w:t>
            </w:r>
            <w:r>
              <w:rPr>
                <w:rFonts w:ascii="Times New Roman" w:cs="Times New Roman" w:eastAsia="Times New Roman" w:hAnsi="Times New Roman"/>
                <w:sz w:val="24"/>
                <w:szCs w:val="24"/>
                <w:color w:val="auto"/>
                <w:vertAlign w:val="superscript"/>
              </w:rPr>
              <w:t>(2)</w:t>
            </w: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2,982</w:t>
            </w:r>
          </w:p>
        </w:tc>
        <w:tc>
          <w:tcPr>
            <w:tcW w:w="9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3,168</w:t>
            </w: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(186)</w:t>
            </w:r>
          </w:p>
        </w:tc>
        <w:tc>
          <w:tcPr>
            <w:tcW w:w="300" w:type="dxa"/>
            <w:vAlign w:val="bottom"/>
          </w:tcPr>
          <w:p>
            <w:pPr>
              <w:spacing w:after="0"/>
              <w:rPr>
                <w:sz w:val="18"/>
                <w:szCs w:val="18"/>
                <w:color w:val="auto"/>
              </w:rPr>
            </w:pP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(5.9)</w:t>
            </w:r>
          </w:p>
        </w:tc>
        <w:tc>
          <w:tcPr>
            <w:tcW w:w="0" w:type="dxa"/>
            <w:vAlign w:val="bottom"/>
          </w:tcPr>
          <w:p>
            <w:pPr>
              <w:spacing w:after="0"/>
              <w:rPr>
                <w:sz w:val="1"/>
                <w:szCs w:val="1"/>
                <w:color w:val="auto"/>
              </w:rPr>
            </w:pPr>
          </w:p>
        </w:tc>
      </w:tr>
      <w:tr>
        <w:trPr>
          <w:trHeight w:val="216"/>
        </w:trPr>
        <w:tc>
          <w:tcPr>
            <w:tcW w:w="4400" w:type="dxa"/>
            <w:vAlign w:val="bottom"/>
            <w:shd w:val="clear" w:color="auto" w:fill="CFF0FC"/>
          </w:tcPr>
          <w:p>
            <w:pPr>
              <w:spacing w:after="0" w:line="216" w:lineRule="exact"/>
              <w:rPr>
                <w:sz w:val="20"/>
                <w:szCs w:val="20"/>
                <w:color w:val="auto"/>
              </w:rPr>
            </w:pPr>
            <w:r>
              <w:rPr>
                <w:rFonts w:ascii="Times New Roman" w:cs="Times New Roman" w:eastAsia="Times New Roman" w:hAnsi="Times New Roman"/>
                <w:sz w:val="18"/>
                <w:szCs w:val="18"/>
                <w:color w:val="auto"/>
              </w:rPr>
              <w:t xml:space="preserve">Total volume * </w:t>
            </w:r>
            <w:r>
              <w:rPr>
                <w:rFonts w:ascii="Times New Roman" w:cs="Times New Roman" w:eastAsia="Times New Roman" w:hAnsi="Times New Roman"/>
                <w:sz w:val="24"/>
                <w:szCs w:val="24"/>
                <w:color w:val="auto"/>
                <w:vertAlign w:val="superscript"/>
              </w:rPr>
              <w:t>(3)</w:t>
            </w:r>
          </w:p>
        </w:tc>
        <w:tc>
          <w:tcPr>
            <w:tcW w:w="1120" w:type="dxa"/>
            <w:vAlign w:val="bottom"/>
            <w:tcBorders>
              <w:right w:val="single" w:sz="8" w:color="CFF0FC"/>
            </w:tcBorders>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7,690</w:t>
            </w:r>
          </w:p>
        </w:tc>
        <w:tc>
          <w:tcPr>
            <w:tcW w:w="9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8,055</w:t>
            </w:r>
          </w:p>
        </w:tc>
        <w:tc>
          <w:tcPr>
            <w:tcW w:w="8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(365)</w:t>
            </w:r>
          </w:p>
        </w:tc>
        <w:tc>
          <w:tcPr>
            <w:tcW w:w="300" w:type="dxa"/>
            <w:vAlign w:val="bottom"/>
            <w:shd w:val="clear" w:color="auto" w:fill="CFF0FC"/>
          </w:tcPr>
          <w:p>
            <w:pPr>
              <w:spacing w:after="0"/>
              <w:rPr>
                <w:sz w:val="18"/>
                <w:szCs w:val="18"/>
                <w:color w:val="auto"/>
              </w:rPr>
            </w:pPr>
          </w:p>
        </w:tc>
        <w:tc>
          <w:tcPr>
            <w:tcW w:w="8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(4.5)</w:t>
            </w:r>
          </w:p>
        </w:tc>
        <w:tc>
          <w:tcPr>
            <w:tcW w:w="0" w:type="dxa"/>
            <w:vAlign w:val="bottom"/>
          </w:tcPr>
          <w:p>
            <w:pPr>
              <w:spacing w:after="0"/>
              <w:rPr>
                <w:sz w:val="1"/>
                <w:szCs w:val="1"/>
                <w:color w:val="auto"/>
              </w:rPr>
            </w:pPr>
          </w:p>
        </w:tc>
      </w:tr>
      <w:tr>
        <w:trPr>
          <w:trHeight w:val="216"/>
        </w:trPr>
        <w:tc>
          <w:tcPr>
            <w:tcW w:w="4400" w:type="dxa"/>
            <w:vAlign w:val="bottom"/>
          </w:tcPr>
          <w:p>
            <w:pPr>
              <w:spacing w:after="0" w:line="216" w:lineRule="exact"/>
              <w:rPr>
                <w:sz w:val="20"/>
                <w:szCs w:val="20"/>
                <w:color w:val="auto"/>
              </w:rPr>
            </w:pPr>
            <w:r>
              <w:rPr>
                <w:rFonts w:ascii="Times New Roman" w:cs="Times New Roman" w:eastAsia="Times New Roman" w:hAnsi="Times New Roman"/>
                <w:sz w:val="18"/>
                <w:szCs w:val="18"/>
                <w:color w:val="auto"/>
              </w:rPr>
              <w:t xml:space="preserve">Visits * </w:t>
            </w:r>
            <w:r>
              <w:rPr>
                <w:rFonts w:ascii="Times New Roman" w:cs="Times New Roman" w:eastAsia="Times New Roman" w:hAnsi="Times New Roman"/>
                <w:sz w:val="24"/>
                <w:szCs w:val="24"/>
                <w:color w:val="auto"/>
                <w:vertAlign w:val="superscript"/>
              </w:rPr>
              <w:t>(4)</w:t>
            </w: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94,593</w:t>
            </w:r>
          </w:p>
        </w:tc>
        <w:tc>
          <w:tcPr>
            <w:tcW w:w="9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106,931</w:t>
            </w: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(12,338)</w:t>
            </w:r>
          </w:p>
        </w:tc>
        <w:tc>
          <w:tcPr>
            <w:tcW w:w="300" w:type="dxa"/>
            <w:vAlign w:val="bottom"/>
          </w:tcPr>
          <w:p>
            <w:pPr>
              <w:spacing w:after="0"/>
              <w:rPr>
                <w:sz w:val="18"/>
                <w:szCs w:val="18"/>
                <w:color w:val="auto"/>
              </w:rPr>
            </w:pP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(11.5)</w:t>
            </w:r>
          </w:p>
        </w:tc>
        <w:tc>
          <w:tcPr>
            <w:tcW w:w="0" w:type="dxa"/>
            <w:vAlign w:val="bottom"/>
          </w:tcPr>
          <w:p>
            <w:pPr>
              <w:spacing w:after="0"/>
              <w:rPr>
                <w:sz w:val="1"/>
                <w:szCs w:val="1"/>
                <w:color w:val="auto"/>
              </w:rPr>
            </w:pPr>
          </w:p>
        </w:tc>
      </w:tr>
      <w:tr>
        <w:trPr>
          <w:trHeight w:val="216"/>
        </w:trPr>
        <w:tc>
          <w:tcPr>
            <w:tcW w:w="44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Organic growth</w:t>
            </w:r>
          </w:p>
        </w:tc>
        <w:tc>
          <w:tcPr>
            <w:tcW w:w="940" w:type="dxa"/>
            <w:vAlign w:val="bottom"/>
            <w:shd w:val="clear" w:color="auto" w:fill="CFF0FC"/>
          </w:tcPr>
          <w:p>
            <w:pPr>
              <w:spacing w:after="0"/>
              <w:rPr>
                <w:sz w:val="18"/>
                <w:szCs w:val="18"/>
                <w:color w:val="auto"/>
              </w:rPr>
            </w:pPr>
          </w:p>
        </w:tc>
        <w:tc>
          <w:tcPr>
            <w:tcW w:w="180" w:type="dxa"/>
            <w:vAlign w:val="bottom"/>
            <w:tcBorders>
              <w:right w:val="single" w:sz="8" w:color="CFF0FC"/>
            </w:tcBorders>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0" w:type="dxa"/>
            <w:vAlign w:val="bottom"/>
          </w:tcPr>
          <w:p>
            <w:pPr>
              <w:ind w:left="100"/>
              <w:spacing w:after="0" w:line="216" w:lineRule="exact"/>
              <w:rPr>
                <w:sz w:val="20"/>
                <w:szCs w:val="20"/>
                <w:color w:val="auto"/>
              </w:rPr>
            </w:pPr>
            <w:r>
              <w:rPr>
                <w:rFonts w:ascii="Times New Roman" w:cs="Times New Roman" w:eastAsia="Times New Roman" w:hAnsi="Times New Roman"/>
                <w:sz w:val="18"/>
                <w:szCs w:val="18"/>
                <w:color w:val="auto"/>
              </w:rPr>
              <w:t xml:space="preserve">- Revenue * </w:t>
            </w:r>
            <w:r>
              <w:rPr>
                <w:rFonts w:ascii="Times New Roman" w:cs="Times New Roman" w:eastAsia="Times New Roman" w:hAnsi="Times New Roman"/>
                <w:sz w:val="24"/>
                <w:szCs w:val="24"/>
                <w:color w:val="auto"/>
                <w:vertAlign w:val="superscript"/>
              </w:rPr>
              <w:t>(5)</w:t>
            </w:r>
          </w:p>
        </w:tc>
        <w:tc>
          <w:tcPr>
            <w:tcW w:w="11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1.3%</w:t>
            </w:r>
          </w:p>
        </w:tc>
        <w:tc>
          <w:tcPr>
            <w:tcW w:w="9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0" w:type="dxa"/>
            <w:vAlign w:val="bottom"/>
            <w:gridSpan w:val="3"/>
          </w:tcPr>
          <w:p>
            <w:pPr>
              <w:jc w:val="right"/>
              <w:ind w:right="8"/>
              <w:spacing w:after="0"/>
              <w:rPr>
                <w:sz w:val="20"/>
                <w:szCs w:val="20"/>
                <w:color w:val="auto"/>
              </w:rPr>
            </w:pPr>
            <w:r>
              <w:rPr>
                <w:rFonts w:ascii="Times New Roman" w:cs="Times New Roman" w:eastAsia="Times New Roman" w:hAnsi="Times New Roman"/>
                <w:sz w:val="18"/>
                <w:szCs w:val="18"/>
                <w:color w:val="auto"/>
              </w:rPr>
              <w:t>(15.1)%</w:t>
            </w:r>
          </w:p>
        </w:tc>
        <w:tc>
          <w:tcPr>
            <w:tcW w:w="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16.4</w:t>
            </w:r>
          </w:p>
        </w:tc>
        <w:tc>
          <w:tcPr>
            <w:tcW w:w="300" w:type="dxa"/>
            <w:vAlign w:val="bottom"/>
          </w:tcPr>
          <w:p>
            <w:pPr>
              <w:spacing w:after="0"/>
              <w:rPr>
                <w:sz w:val="18"/>
                <w:szCs w:val="18"/>
                <w:color w:val="auto"/>
              </w:rPr>
            </w:pP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(108.6)</w:t>
            </w:r>
          </w:p>
        </w:tc>
        <w:tc>
          <w:tcPr>
            <w:tcW w:w="0" w:type="dxa"/>
            <w:vAlign w:val="bottom"/>
          </w:tcPr>
          <w:p>
            <w:pPr>
              <w:spacing w:after="0"/>
              <w:rPr>
                <w:sz w:val="1"/>
                <w:szCs w:val="1"/>
                <w:color w:val="auto"/>
              </w:rPr>
            </w:pPr>
          </w:p>
        </w:tc>
      </w:tr>
      <w:tr>
        <w:trPr>
          <w:trHeight w:val="216"/>
        </w:trPr>
        <w:tc>
          <w:tcPr>
            <w:tcW w:w="4400" w:type="dxa"/>
            <w:vAlign w:val="bottom"/>
            <w:shd w:val="clear" w:color="auto" w:fill="CFF0FC"/>
          </w:tcPr>
          <w:p>
            <w:pPr>
              <w:ind w:left="100"/>
              <w:spacing w:after="0" w:line="216" w:lineRule="exact"/>
              <w:rPr>
                <w:sz w:val="20"/>
                <w:szCs w:val="20"/>
                <w:color w:val="auto"/>
              </w:rPr>
            </w:pPr>
            <w:r>
              <w:rPr>
                <w:rFonts w:ascii="Times New Roman" w:cs="Times New Roman" w:eastAsia="Times New Roman" w:hAnsi="Times New Roman"/>
                <w:sz w:val="18"/>
                <w:szCs w:val="18"/>
                <w:color w:val="auto"/>
              </w:rPr>
              <w:t xml:space="preserve">- Admissions * </w:t>
            </w:r>
            <w:r>
              <w:rPr>
                <w:rFonts w:ascii="Times New Roman" w:cs="Times New Roman" w:eastAsia="Times New Roman" w:hAnsi="Times New Roman"/>
                <w:sz w:val="24"/>
                <w:szCs w:val="24"/>
                <w:color w:val="auto"/>
                <w:vertAlign w:val="superscript"/>
              </w:rPr>
              <w:t>(5)</w:t>
            </w:r>
          </w:p>
        </w:tc>
        <w:tc>
          <w:tcPr>
            <w:tcW w:w="1120" w:type="dxa"/>
            <w:vAlign w:val="bottom"/>
            <w:tcBorders>
              <w:right w:val="single" w:sz="8" w:color="CFF0FC"/>
            </w:tcBorders>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(3.7)%</w:t>
            </w:r>
          </w:p>
        </w:tc>
        <w:tc>
          <w:tcPr>
            <w:tcW w:w="9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200" w:type="dxa"/>
            <w:vAlign w:val="bottom"/>
            <w:gridSpan w:val="3"/>
            <w:shd w:val="clear" w:color="auto" w:fill="CFF0FC"/>
          </w:tcPr>
          <w:p>
            <w:pPr>
              <w:jc w:val="right"/>
              <w:ind w:right="8"/>
              <w:spacing w:after="0"/>
              <w:rPr>
                <w:sz w:val="20"/>
                <w:szCs w:val="20"/>
                <w:color w:val="auto"/>
              </w:rPr>
            </w:pPr>
            <w:r>
              <w:rPr>
                <w:rFonts w:ascii="Times New Roman" w:cs="Times New Roman" w:eastAsia="Times New Roman" w:hAnsi="Times New Roman"/>
                <w:sz w:val="18"/>
                <w:szCs w:val="18"/>
                <w:color w:val="auto"/>
              </w:rPr>
              <w:t>(4.0)%</w:t>
            </w:r>
          </w:p>
        </w:tc>
        <w:tc>
          <w:tcPr>
            <w:tcW w:w="8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0.3</w:t>
            </w:r>
          </w:p>
        </w:tc>
        <w:tc>
          <w:tcPr>
            <w:tcW w:w="300" w:type="dxa"/>
            <w:vAlign w:val="bottom"/>
            <w:shd w:val="clear" w:color="auto" w:fill="CFF0FC"/>
          </w:tcPr>
          <w:p>
            <w:pPr>
              <w:spacing w:after="0"/>
              <w:rPr>
                <w:sz w:val="18"/>
                <w:szCs w:val="18"/>
                <w:color w:val="auto"/>
              </w:rPr>
            </w:pPr>
          </w:p>
        </w:tc>
        <w:tc>
          <w:tcPr>
            <w:tcW w:w="8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 %</w:t>
            </w:r>
          </w:p>
        </w:tc>
        <w:tc>
          <w:tcPr>
            <w:tcW w:w="0" w:type="dxa"/>
            <w:vAlign w:val="bottom"/>
          </w:tcPr>
          <w:p>
            <w:pPr>
              <w:spacing w:after="0"/>
              <w:rPr>
                <w:sz w:val="1"/>
                <w:szCs w:val="1"/>
                <w:color w:val="auto"/>
              </w:rPr>
            </w:pPr>
          </w:p>
        </w:tc>
      </w:tr>
      <w:tr>
        <w:trPr>
          <w:trHeight w:val="628"/>
        </w:trPr>
        <w:tc>
          <w:tcPr>
            <w:tcW w:w="44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jc w:val="right"/>
              <w:ind w:right="659"/>
              <w:spacing w:after="0"/>
              <w:rPr>
                <w:sz w:val="20"/>
                <w:szCs w:val="20"/>
                <w:color w:val="auto"/>
              </w:rPr>
            </w:pPr>
            <w:r>
              <w:rPr>
                <w:rFonts w:ascii="Times New Roman" w:cs="Times New Roman" w:eastAsia="Times New Roman" w:hAnsi="Times New Roman"/>
                <w:sz w:val="16"/>
                <w:szCs w:val="16"/>
                <w:color w:val="auto"/>
                <w:w w:val="99"/>
              </w:rPr>
              <w:t>27</w:t>
            </w:r>
          </w:p>
        </w:tc>
        <w:tc>
          <w:tcPr>
            <w:tcW w:w="3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9"/>
        </w:trPr>
        <w:tc>
          <w:tcPr>
            <w:tcW w:w="4400" w:type="dxa"/>
            <w:vAlign w:val="bottom"/>
            <w:tcBorders>
              <w:bottom w:val="single" w:sz="8" w:color="9A9A9A"/>
            </w:tcBorders>
          </w:tcPr>
          <w:p>
            <w:pPr>
              <w:spacing w:after="0"/>
              <w:rPr>
                <w:sz w:val="24"/>
                <w:szCs w:val="24"/>
                <w:color w:val="auto"/>
              </w:rPr>
            </w:pPr>
          </w:p>
        </w:tc>
        <w:tc>
          <w:tcPr>
            <w:tcW w:w="94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94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86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8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3390900</wp:posOffset>
            </wp:positionH>
            <wp:positionV relativeFrom="paragraph">
              <wp:posOffset>-2588260</wp:posOffset>
            </wp:positionV>
            <wp:extent cx="102870" cy="825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4093845</wp:posOffset>
            </wp:positionH>
            <wp:positionV relativeFrom="paragraph">
              <wp:posOffset>-2588260</wp:posOffset>
            </wp:positionV>
            <wp:extent cx="102870" cy="825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4882515</wp:posOffset>
            </wp:positionH>
            <wp:positionV relativeFrom="paragraph">
              <wp:posOffset>-2588260</wp:posOffset>
            </wp:positionV>
            <wp:extent cx="102870" cy="825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5585460</wp:posOffset>
            </wp:positionH>
            <wp:positionV relativeFrom="paragraph">
              <wp:posOffset>-2588260</wp:posOffset>
            </wp:positionV>
            <wp:extent cx="102870" cy="825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6348730</wp:posOffset>
            </wp:positionH>
            <wp:positionV relativeFrom="paragraph">
              <wp:posOffset>-2588260</wp:posOffset>
            </wp:positionV>
            <wp:extent cx="68580" cy="825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7025640</wp:posOffset>
            </wp:positionH>
            <wp:positionV relativeFrom="paragraph">
              <wp:posOffset>-2588260</wp:posOffset>
            </wp:positionV>
            <wp:extent cx="111760" cy="825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111760" cy="8255"/>
                    </a:xfrm>
                    <a:prstGeom prst="rect">
                      <a:avLst/>
                    </a:prstGeom>
                    <a:noFill/>
                  </pic:spPr>
                </pic:pic>
              </a:graphicData>
            </a:graphic>
          </wp:anchor>
        </w:drawing>
        <w:drawing>
          <wp:anchor simplePos="0" relativeHeight="251657728" behindDoc="1" locked="0" layoutInCell="0" allowOverlap="1">
            <wp:simplePos x="0" y="0"/>
            <wp:positionH relativeFrom="column">
              <wp:posOffset>3390900</wp:posOffset>
            </wp:positionH>
            <wp:positionV relativeFrom="paragraph">
              <wp:posOffset>-2305050</wp:posOffset>
            </wp:positionV>
            <wp:extent cx="102870" cy="825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4093845</wp:posOffset>
            </wp:positionH>
            <wp:positionV relativeFrom="paragraph">
              <wp:posOffset>-2305050</wp:posOffset>
            </wp:positionV>
            <wp:extent cx="102870" cy="825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4882515</wp:posOffset>
            </wp:positionH>
            <wp:positionV relativeFrom="paragraph">
              <wp:posOffset>-2305050</wp:posOffset>
            </wp:positionV>
            <wp:extent cx="102870" cy="825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5585460</wp:posOffset>
            </wp:positionH>
            <wp:positionV relativeFrom="paragraph">
              <wp:posOffset>-2305050</wp:posOffset>
            </wp:positionV>
            <wp:extent cx="102870" cy="825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6348730</wp:posOffset>
            </wp:positionH>
            <wp:positionV relativeFrom="paragraph">
              <wp:posOffset>-2305050</wp:posOffset>
            </wp:positionV>
            <wp:extent cx="68580" cy="825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7025640</wp:posOffset>
            </wp:positionH>
            <wp:positionV relativeFrom="paragraph">
              <wp:posOffset>-2305050</wp:posOffset>
            </wp:positionV>
            <wp:extent cx="111760" cy="825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111760" cy="825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b w:val="1"/>
          <w:bCs w:val="1"/>
          <w:u w:val="single" w:color="auto"/>
          <w:color w:val="0563C1"/>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-5080</wp:posOffset>
            </wp:positionV>
            <wp:extent cx="869315" cy="825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869315" cy="8255"/>
                    </a:xfrm>
                    <a:prstGeom prst="rect">
                      <a:avLst/>
                    </a:prstGeom>
                    <a:noFill/>
                  </pic:spPr>
                </pic:pic>
              </a:graphicData>
            </a:graphic>
          </wp:anchor>
        </w:drawing>
      </w:r>
    </w:p>
    <w:p>
      <w:pPr>
        <w:spacing w:after="0" w:line="200" w:lineRule="exact"/>
        <w:rPr>
          <w:sz w:val="20"/>
          <w:szCs w:val="20"/>
          <w:color w:val="auto"/>
        </w:rPr>
      </w:pPr>
    </w:p>
    <w:p>
      <w:pPr>
        <w:spacing w:after="0" w:line="216" w:lineRule="exact"/>
        <w:rPr>
          <w:sz w:val="20"/>
          <w:szCs w:val="20"/>
          <w:color w:val="auto"/>
        </w:rPr>
      </w:pPr>
    </w:p>
    <w:p>
      <w:pPr>
        <w:ind w:left="520" w:hanging="512"/>
        <w:spacing w:after="0"/>
        <w:tabs>
          <w:tab w:leader="none" w:pos="520" w:val="left"/>
        </w:tabs>
        <w:numPr>
          <w:ilvl w:val="0"/>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new patients during the period.</w:t>
      </w:r>
    </w:p>
    <w:p>
      <w:pPr>
        <w:spacing w:after="0" w:line="99" w:lineRule="exact"/>
        <w:rPr>
          <w:rFonts w:ascii="Times New Roman" w:cs="Times New Roman" w:eastAsia="Times New Roman" w:hAnsi="Times New Roman"/>
          <w:sz w:val="16"/>
          <w:szCs w:val="16"/>
          <w:color w:val="auto"/>
        </w:rPr>
      </w:pPr>
    </w:p>
    <w:p>
      <w:pPr>
        <w:ind w:left="520" w:right="80" w:hanging="512"/>
        <w:spacing w:after="0" w:line="298" w:lineRule="auto"/>
        <w:tabs>
          <w:tab w:leader="none" w:pos="520" w:val="left"/>
        </w:tabs>
        <w:numPr>
          <w:ilvl w:val="0"/>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home health certification period is an episode of care that begins with a start of care visit and continues for 60 days. If at the end of the initial episode of care, the patient continues to require home health services, a recertification is required. This represents the number of recertifications during the period.</w:t>
      </w:r>
    </w:p>
    <w:p>
      <w:pPr>
        <w:spacing w:after="0" w:line="29" w:lineRule="exact"/>
        <w:rPr>
          <w:rFonts w:ascii="Times New Roman" w:cs="Times New Roman" w:eastAsia="Times New Roman" w:hAnsi="Times New Roman"/>
          <w:sz w:val="16"/>
          <w:szCs w:val="16"/>
          <w:color w:val="auto"/>
        </w:rPr>
      </w:pPr>
    </w:p>
    <w:p>
      <w:pPr>
        <w:ind w:left="520" w:hanging="512"/>
        <w:spacing w:after="0"/>
        <w:tabs>
          <w:tab w:leader="none" w:pos="520" w:val="left"/>
        </w:tabs>
        <w:numPr>
          <w:ilvl w:val="0"/>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Total volume is total admissions and total recertifications in the period.</w:t>
      </w:r>
    </w:p>
    <w:p>
      <w:pPr>
        <w:spacing w:after="0" w:line="99" w:lineRule="exact"/>
        <w:rPr>
          <w:rFonts w:ascii="Times New Roman" w:cs="Times New Roman" w:eastAsia="Times New Roman" w:hAnsi="Times New Roman"/>
          <w:sz w:val="16"/>
          <w:szCs w:val="16"/>
          <w:color w:val="auto"/>
        </w:rPr>
      </w:pPr>
    </w:p>
    <w:p>
      <w:pPr>
        <w:ind w:left="520" w:hanging="512"/>
        <w:spacing w:after="0"/>
        <w:tabs>
          <w:tab w:leader="none" w:pos="520" w:val="left"/>
        </w:tabs>
        <w:numPr>
          <w:ilvl w:val="0"/>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number of services to patients in the period.</w:t>
      </w:r>
    </w:p>
    <w:p>
      <w:pPr>
        <w:spacing w:after="0" w:line="99" w:lineRule="exact"/>
        <w:rPr>
          <w:rFonts w:ascii="Times New Roman" w:cs="Times New Roman" w:eastAsia="Times New Roman" w:hAnsi="Times New Roman"/>
          <w:sz w:val="16"/>
          <w:szCs w:val="16"/>
          <w:color w:val="auto"/>
        </w:rPr>
      </w:pPr>
    </w:p>
    <w:p>
      <w:pPr>
        <w:ind w:left="520" w:right="200" w:hanging="512"/>
        <w:spacing w:after="0" w:line="281" w:lineRule="auto"/>
        <w:tabs>
          <w:tab w:leader="none" w:pos="520" w:val="left"/>
        </w:tabs>
        <w:numPr>
          <w:ilvl w:val="0"/>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Revenue organic growth and admissions organic growth reflect the change in year-over-year revenue and admissions for the same store base. We define the same store base to include those stores open for at least 52 full weeks. These measures highlight the performance of existing stores, while excluding the impact of acquisitions, new store openings, and closures.</w:t>
      </w:r>
    </w:p>
    <w:p>
      <w:pPr>
        <w:spacing w:after="0" w:line="69" w:lineRule="exact"/>
        <w:rPr>
          <w:sz w:val="20"/>
          <w:szCs w:val="20"/>
          <w:color w:val="auto"/>
        </w:rPr>
      </w:pPr>
    </w:p>
    <w:p>
      <w:pPr>
        <w:ind w:right="20" w:firstLine="8"/>
        <w:spacing w:after="0" w:line="269" w:lineRule="auto"/>
        <w:tabs>
          <w:tab w:leader="none" w:pos="121" w:val="left"/>
        </w:tabs>
        <w:numPr>
          <w:ilvl w:val="0"/>
          <w:numId w:val="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Management deems these metrics to be key performance indicators. Management uses these metrics to monitor our performance, both in our existing operations and acquisitions. Many of these metrics serve as the basis of reported revenues and assessment of these provide direct correlation to the results of operations from period to period and facilitate comparison with the results of our peers. Historical trends established in these metrics can be used to evaluate current operating results, identify trends affecting our business, determine the allocation of resources and assess the quality and potential variability of our cash flows and earnings. We believe they are useful to investors in evaluating and understanding our business but should not be used solely in assessing the Company’s performance. These key performance indicators should not be considered superior to, as a substitute for or as an alternative to, and should be considered in conjunction with, the GAAP financial measures presented herein to fully evaluate and understand the business as a whole. These measures may not be comparable to similarly titled performance indicators used by other companies.</w:t>
      </w:r>
    </w:p>
    <w:p>
      <w:pPr>
        <w:spacing w:after="0" w:line="185"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The home health segment generates net service revenues by providing home health services on a short-term, intermittent or episodic basis to individuals, generally to treat an illness or injury. Net service revenues from Medicare accounted for 69.9% and 69.1%, managed care organizations accounted for 21.2% and 26.1%, and state, local, and other governmental programs accounted for 6.0% and 0.2% for the three months ended March 31, 2025 and 2024, respectively. Home health services provided to Medicare beneficiaries are paid under the Medicare Home Health Prospective Payment System, which uses national, standardized 30-day period payment rates for periods of care. CMS uses the PDGM as the case-mix classification model to place periods of care into payment categories, classifying patients based on clinical characteristics. An outlier adjustment may be paid for periods of care in which costs exceed a specific threshold amount.</w:t>
      </w:r>
    </w:p>
    <w:p>
      <w:pPr>
        <w:spacing w:after="0" w:line="189" w:lineRule="exact"/>
        <w:rPr>
          <w:sz w:val="20"/>
          <w:szCs w:val="20"/>
          <w:color w:val="auto"/>
        </w:rPr>
      </w:pPr>
    </w:p>
    <w:p>
      <w:pPr>
        <w:ind w:right="260" w:firstLine="509"/>
        <w:spacing w:after="0" w:line="282" w:lineRule="auto"/>
        <w:rPr>
          <w:sz w:val="20"/>
          <w:szCs w:val="20"/>
          <w:color w:val="auto"/>
        </w:rPr>
      </w:pPr>
      <w:r>
        <w:rPr>
          <w:rFonts w:ascii="Times New Roman" w:cs="Times New Roman" w:eastAsia="Times New Roman" w:hAnsi="Times New Roman"/>
          <w:sz w:val="18"/>
          <w:szCs w:val="18"/>
          <w:color w:val="auto"/>
        </w:rPr>
        <w:t>Net service revenues increased by $1.1 million for the three months ended March 31, 2025, compared to the three months ended March 31, 2024 primarily due to the Gentiva Acquisition and an increase in billable census in our home health segment for New Mexico.</w:t>
      </w:r>
    </w:p>
    <w:p>
      <w:pPr>
        <w:spacing w:after="0" w:line="162" w:lineRule="exact"/>
        <w:rPr>
          <w:sz w:val="20"/>
          <w:szCs w:val="20"/>
          <w:color w:val="auto"/>
        </w:rPr>
      </w:pPr>
    </w:p>
    <w:p>
      <w:pPr>
        <w:ind w:right="460" w:firstLine="509"/>
        <w:spacing w:after="0" w:line="266" w:lineRule="auto"/>
        <w:rPr>
          <w:sz w:val="20"/>
          <w:szCs w:val="20"/>
          <w:color w:val="auto"/>
        </w:rPr>
      </w:pPr>
      <w:r>
        <w:rPr>
          <w:rFonts w:ascii="Times New Roman" w:cs="Times New Roman" w:eastAsia="Times New Roman" w:hAnsi="Times New Roman"/>
          <w:sz w:val="18"/>
          <w:szCs w:val="18"/>
          <w:color w:val="auto"/>
        </w:rPr>
        <w:t>Gross profit, expressed as a percentage of net service revenues, was 40.0% and 34.4% for the three months ended March 31, 2025 and 2024, respectively. For the three months ended March 31, 2025, the increase was primarily due to an increase in net service revenues compared to the three months ended March 31, 2024.</w:t>
      </w:r>
    </w:p>
    <w:p>
      <w:pPr>
        <w:spacing w:after="0" w:line="176" w:lineRule="exact"/>
        <w:rPr>
          <w:sz w:val="20"/>
          <w:szCs w:val="20"/>
          <w:color w:val="auto"/>
        </w:rPr>
      </w:pPr>
    </w:p>
    <w:p>
      <w:pPr>
        <w:ind w:right="380" w:firstLine="509"/>
        <w:spacing w:after="0" w:line="276" w:lineRule="auto"/>
        <w:rPr>
          <w:sz w:val="20"/>
          <w:szCs w:val="20"/>
          <w:color w:val="auto"/>
        </w:rPr>
      </w:pPr>
      <w:r>
        <w:rPr>
          <w:rFonts w:ascii="Times New Roman" w:cs="Times New Roman" w:eastAsia="Times New Roman" w:hAnsi="Times New Roman"/>
          <w:sz w:val="17"/>
          <w:szCs w:val="17"/>
          <w:color w:val="auto"/>
        </w:rPr>
        <w:t>The home health segment’s general and administrative expenses primarily consist of administrative employee wage, tax and benefit costs, rent, information technology, and office expenses. General and administrative expenses, expressed as a percentage of net service revenues, was 23.2% and</w:t>
      </w:r>
    </w:p>
    <w:p>
      <w:pPr>
        <w:spacing w:after="0" w:line="1"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26.9% for the three months ended March 31, 2025 and 2024, respectively. General and administrative expenses for the three months ended March 31, 2025 decreased compared to the corresponding period in 2024, primarily due to more efficient operations for administrative employees for the three months ended March 31, 2025.</w:t>
      </w: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Liquidity and Capital Resources</w:t>
      </w:r>
    </w:p>
    <w:p>
      <w:pPr>
        <w:spacing w:after="0" w:line="11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Overview</w:t>
      </w:r>
    </w:p>
    <w:p>
      <w:pPr>
        <w:spacing w:after="0" w:line="121" w:lineRule="exact"/>
        <w:rPr>
          <w:sz w:val="20"/>
          <w:szCs w:val="20"/>
          <w:color w:val="auto"/>
        </w:rPr>
      </w:pPr>
    </w:p>
    <w:p>
      <w:pPr>
        <w:ind w:right="60" w:firstLine="509"/>
        <w:spacing w:after="0" w:line="261" w:lineRule="auto"/>
        <w:rPr>
          <w:sz w:val="20"/>
          <w:szCs w:val="20"/>
          <w:color w:val="auto"/>
        </w:rPr>
      </w:pPr>
      <w:r>
        <w:rPr>
          <w:rFonts w:ascii="Times New Roman" w:cs="Times New Roman" w:eastAsia="Times New Roman" w:hAnsi="Times New Roman"/>
          <w:sz w:val="18"/>
          <w:szCs w:val="18"/>
          <w:color w:val="auto"/>
        </w:rPr>
        <w:t>Our primary sources of liquidity are cash on hand and cash from operations and borrowings under our credit facility. At March 31, 2025 and December 31, 2024, we had cash balances of $97.0 million and $98.9 million, respectively. At March 31, 2025, we had a $650.0 million revolving credit facility and a $150.0 million incremental loan facility, which may be for term loans or an increase to the revolving loan commitments. The maturity of this credit facility was extended to July 30, 2028.</w:t>
      </w:r>
    </w:p>
    <w:p>
      <w:pPr>
        <w:spacing w:after="0" w:line="180" w:lineRule="exact"/>
        <w:rPr>
          <w:sz w:val="20"/>
          <w:szCs w:val="20"/>
          <w:color w:val="auto"/>
        </w:rPr>
      </w:pPr>
    </w:p>
    <w:p>
      <w:pPr>
        <w:ind w:firstLine="509"/>
        <w:spacing w:after="0" w:line="263" w:lineRule="auto"/>
        <w:rPr>
          <w:sz w:val="20"/>
          <w:szCs w:val="20"/>
          <w:color w:val="auto"/>
        </w:rPr>
      </w:pPr>
      <w:r>
        <w:rPr>
          <w:rFonts w:ascii="Times New Roman" w:cs="Times New Roman" w:eastAsia="Times New Roman" w:hAnsi="Times New Roman"/>
          <w:sz w:val="18"/>
          <w:szCs w:val="18"/>
          <w:color w:val="auto"/>
        </w:rPr>
        <w:t>During the three months ended March 31, 2025, we used $3.4 million in cash to fund the Jacksonville Acquisition and the Great Lakes Acquisition and repaid $20.0 million under our revolving credit facility. As of March 31, 2025, we had a total of $203.0 million in revolving loans, with an interest rate of 6.32% outstanding on our credit facility and after giving effect to the amount drawn on our credit facility, approximately $8.0 million of outstanding letters of credit and borrowing limits based on an advance multiple of adjusted EBITDA (as defined in the Credit Agreement), we had $632.9 million of capacity and $421.9 million available for borrowing under our credit facility. At December 31, 2024, we had a total of $223.0 million revolving credit loans, with an interest rate of 6.34%, outstanding on our credit facility.</w:t>
      </w:r>
    </w:p>
    <w:p>
      <w:pPr>
        <w:spacing w:after="0" w:line="18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487680</wp:posOffset>
            </wp:positionV>
            <wp:extent cx="7157720" cy="4254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765" w:right="37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b w:val="1"/>
          <w:bCs w:val="1"/>
          <w:u w:val="single" w:color="auto"/>
          <w:color w:val="0563C1"/>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-5080</wp:posOffset>
            </wp:positionV>
            <wp:extent cx="869315" cy="825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869315" cy="8255"/>
                    </a:xfrm>
                    <a:prstGeom prst="rect">
                      <a:avLst/>
                    </a:prstGeom>
                    <a:noFill/>
                  </pic:spPr>
                </pic:pic>
              </a:graphicData>
            </a:graphic>
          </wp:anchor>
        </w:drawing>
      </w:r>
    </w:p>
    <w:p>
      <w:pPr>
        <w:spacing w:after="0" w:line="200" w:lineRule="exact"/>
        <w:rPr>
          <w:sz w:val="20"/>
          <w:szCs w:val="20"/>
          <w:color w:val="auto"/>
        </w:rPr>
      </w:pPr>
    </w:p>
    <w:p>
      <w:pPr>
        <w:spacing w:after="0" w:line="225" w:lineRule="exact"/>
        <w:rPr>
          <w:sz w:val="20"/>
          <w:szCs w:val="20"/>
          <w:color w:val="auto"/>
        </w:rPr>
      </w:pPr>
    </w:p>
    <w:p>
      <w:pPr>
        <w:ind w:right="200" w:firstLine="509"/>
        <w:spacing w:after="0" w:line="281" w:lineRule="auto"/>
        <w:rPr>
          <w:sz w:val="20"/>
          <w:szCs w:val="20"/>
          <w:color w:val="auto"/>
        </w:rPr>
      </w:pPr>
      <w:r>
        <w:rPr>
          <w:rFonts w:ascii="Times New Roman" w:cs="Times New Roman" w:eastAsia="Times New Roman" w:hAnsi="Times New Roman"/>
          <w:sz w:val="17"/>
          <w:szCs w:val="17"/>
          <w:color w:val="auto"/>
        </w:rPr>
        <w:t>Our credit facility requires us to maintain a total net leverage ratio not exceeding 3.75:1.00. At March 31, 2025, we were in compliance with our financial covenants under the Credit Agreement. Although we believe our liquidity position remains strong, we can provide no assurance that we will remain in compliance with the covenants in our Credit Agreement, and in the future, it may prove necessary to seek an amendment with the bank lending group under our credit facility. Additionally, there can be no assurance that we will be able to raise additional funds on terms acceptable to us, if at all.</w:t>
      </w:r>
    </w:p>
    <w:p>
      <w:pPr>
        <w:spacing w:after="0" w:line="16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 xml:space="preserve">See Note 8 to the Notes to Unaudited Condensed Consolidated Financial Statements, </w:t>
      </w:r>
      <w:r>
        <w:rPr>
          <w:rFonts w:ascii="Times New Roman" w:cs="Times New Roman" w:eastAsia="Times New Roman" w:hAnsi="Times New Roman"/>
          <w:sz w:val="18"/>
          <w:szCs w:val="18"/>
          <w:i w:val="1"/>
          <w:iCs w:val="1"/>
          <w:color w:val="auto"/>
        </w:rPr>
        <w:t>Long-Term Debt</w:t>
      </w:r>
      <w:r>
        <w:rPr>
          <w:rFonts w:ascii="Times New Roman" w:cs="Times New Roman" w:eastAsia="Times New Roman" w:hAnsi="Times New Roman"/>
          <w:sz w:val="18"/>
          <w:szCs w:val="18"/>
          <w:color w:val="auto"/>
        </w:rPr>
        <w:t>, for additional details of our long-term debt.</w:t>
      </w:r>
    </w:p>
    <w:p>
      <w:pPr>
        <w:spacing w:after="0" w:line="33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Current Macroeconomic Conditions and American Rescue Plan Act of 2021 Relief Funding</w:t>
      </w:r>
    </w:p>
    <w:p>
      <w:pPr>
        <w:spacing w:after="0" w:line="229" w:lineRule="exact"/>
        <w:rPr>
          <w:sz w:val="20"/>
          <w:szCs w:val="20"/>
          <w:color w:val="auto"/>
        </w:rPr>
      </w:pPr>
    </w:p>
    <w:p>
      <w:pPr>
        <w:ind w:right="60" w:firstLine="509"/>
        <w:spacing w:after="0" w:line="256" w:lineRule="auto"/>
        <w:rPr>
          <w:sz w:val="20"/>
          <w:szCs w:val="20"/>
          <w:color w:val="auto"/>
        </w:rPr>
      </w:pPr>
      <w:r>
        <w:rPr>
          <w:rFonts w:ascii="Times New Roman" w:cs="Times New Roman" w:eastAsia="Times New Roman" w:hAnsi="Times New Roman"/>
          <w:sz w:val="18"/>
          <w:szCs w:val="18"/>
          <w:color w:val="auto"/>
        </w:rPr>
        <w:t>Economic conditions in the United States continue to be challenging in various respects. For example, the United States economy continues to experience inflationary pressures, elevated interest rates, challenging labor market conditions and uncertainty regarding the impact of increased tariffs and trade disruptions. Any economic downturn would pose a risk to states’ revenues, which in turn could affect our reimbursements and collections received for services rendered. Depending on the severity and length of any potential economic downturn as well as the extent of any federal support, states could face significant fiscal challenges and revise their revenue forecasts and adjust their budgets, and sales tax collections and income tax withholdings could be depressed.</w:t>
      </w:r>
    </w:p>
    <w:p>
      <w:pPr>
        <w:spacing w:after="0" w:line="293"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i w:val="1"/>
          <w:iCs w:val="1"/>
          <w:color w:val="auto"/>
        </w:rPr>
        <w:t>ARPA Spending Plans</w:t>
      </w:r>
    </w:p>
    <w:p>
      <w:pPr>
        <w:spacing w:after="0" w:line="119" w:lineRule="exact"/>
        <w:rPr>
          <w:sz w:val="20"/>
          <w:szCs w:val="20"/>
          <w:color w:val="auto"/>
        </w:rPr>
      </w:pPr>
    </w:p>
    <w:p>
      <w:pPr>
        <w:ind w:right="40" w:firstLine="509"/>
        <w:spacing w:after="0" w:line="256" w:lineRule="auto"/>
        <w:rPr>
          <w:sz w:val="20"/>
          <w:szCs w:val="20"/>
          <w:color w:val="auto"/>
        </w:rPr>
      </w:pPr>
      <w:r>
        <w:rPr>
          <w:rFonts w:ascii="Times New Roman" w:cs="Times New Roman" w:eastAsia="Times New Roman" w:hAnsi="Times New Roman"/>
          <w:sz w:val="18"/>
          <w:szCs w:val="18"/>
          <w:color w:val="auto"/>
        </w:rPr>
        <w:t>The ARPA provides for $350 billion in relief funding for eligible state, local, territorial, and Tribal governments to mitigate the fiscal effects of the COVID-19 public health emergency. Additionally, the law provided for a 10 percentage point increase in federal matching funds for Medicaid HCBS from April 1, 2021, through March 31, 2022, provided the state satisfied certain conditions. States were generally permitted to use the state funds equivalent to the additional federal funds through March 31, 2025, but CMS granted extensions to several states. States must use the monies attributable to this matching fund increase to supplement, not supplant, their level of state spending for the implementation of activities enhanced under the Medicaid HCBS in effect as of April 1, 2021.</w:t>
      </w:r>
    </w:p>
    <w:p>
      <w:pPr>
        <w:spacing w:after="0" w:line="79" w:lineRule="exact"/>
        <w:rPr>
          <w:sz w:val="20"/>
          <w:szCs w:val="20"/>
          <w:color w:val="auto"/>
        </w:rPr>
      </w:pPr>
    </w:p>
    <w:p>
      <w:pPr>
        <w:jc w:val="both"/>
        <w:ind w:right="180" w:firstLine="509"/>
        <w:spacing w:after="0" w:line="261" w:lineRule="auto"/>
        <w:rPr>
          <w:sz w:val="20"/>
          <w:szCs w:val="20"/>
          <w:color w:val="auto"/>
        </w:rPr>
      </w:pPr>
      <w:r>
        <w:rPr>
          <w:rFonts w:ascii="Times New Roman" w:cs="Times New Roman" w:eastAsia="Times New Roman" w:hAnsi="Times New Roman"/>
          <w:sz w:val="18"/>
          <w:szCs w:val="18"/>
          <w:color w:val="auto"/>
        </w:rPr>
        <w:t>HCBS spending plans for the additional matching funds vary by state, but common initiatives in which the Company is participating include those aimed at strengthening the provider workforce (e.g., efforts to recruit, retain, and train direct service providers). The Company is required to properly and fully document the use of such funds in reports to the state in which the funds originated. Funds may be subject to recoupment if not expended or if they are expended on non-approved uses.</w:t>
      </w:r>
    </w:p>
    <w:p>
      <w:pPr>
        <w:spacing w:after="0" w:line="72" w:lineRule="exact"/>
        <w:rPr>
          <w:sz w:val="20"/>
          <w:szCs w:val="20"/>
          <w:color w:val="auto"/>
        </w:rPr>
      </w:pPr>
    </w:p>
    <w:p>
      <w:pPr>
        <w:ind w:right="40" w:firstLine="509"/>
        <w:spacing w:after="0" w:line="258" w:lineRule="auto"/>
        <w:rPr>
          <w:sz w:val="20"/>
          <w:szCs w:val="20"/>
          <w:color w:val="auto"/>
        </w:rPr>
      </w:pPr>
      <w:r>
        <w:rPr>
          <w:rFonts w:ascii="Times New Roman" w:cs="Times New Roman" w:eastAsia="Times New Roman" w:hAnsi="Times New Roman"/>
          <w:sz w:val="18"/>
          <w:szCs w:val="18"/>
          <w:color w:val="auto"/>
        </w:rPr>
        <w:t>During the three months ended March 31, 2025, the Company did not received additional state funding provided by the ARPA. Of the total state funding received by the Company pursuant to the ARPA through March 31, 2025, the Company utilized $2.5 million during the three months ended March 31, 2025, primarily for caregivers and adding support to recruiting and retention efforts, included as a reduction of cost of service revenues in the Company’s Unaudited Condensed Consolidated Statements of Income. As of March 31, 2025, the deferred portion of ARPA funding of $8.7 million is included within Government stimulus advances on the Company’s Unaudited Condensed Consolidated Balance Sheets.</w:t>
      </w:r>
    </w:p>
    <w:p>
      <w:pPr>
        <w:spacing w:after="0" w:line="7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summarizes changes in our cash flows:</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720" w:type="dxa"/>
            <w:vAlign w:val="bottom"/>
          </w:tcPr>
          <w:p>
            <w:pPr>
              <w:spacing w:after="0"/>
              <w:rPr>
                <w:sz w:val="15"/>
                <w:szCs w:val="15"/>
                <w:color w:val="auto"/>
              </w:rPr>
            </w:pPr>
          </w:p>
        </w:tc>
        <w:tc>
          <w:tcPr>
            <w:tcW w:w="3520" w:type="dxa"/>
            <w:vAlign w:val="bottom"/>
            <w:gridSpan w:val="7"/>
          </w:tcPr>
          <w:p>
            <w:pPr>
              <w:jc w:val="right"/>
              <w:ind w:right="580"/>
              <w:spacing w:after="0"/>
              <w:rPr>
                <w:sz w:val="20"/>
                <w:szCs w:val="20"/>
                <w:color w:val="auto"/>
              </w:rPr>
            </w:pPr>
            <w:r>
              <w:rPr>
                <w:rFonts w:ascii="Times New Roman" w:cs="Times New Roman" w:eastAsia="Times New Roman" w:hAnsi="Times New Roman"/>
                <w:sz w:val="14"/>
                <w:szCs w:val="14"/>
                <w:b w:val="1"/>
                <w:bCs w:val="1"/>
                <w:color w:val="auto"/>
              </w:rPr>
              <w:t>For the Three Months Ended March 31,</w:t>
            </w:r>
          </w:p>
        </w:tc>
        <w:tc>
          <w:tcPr>
            <w:tcW w:w="0" w:type="dxa"/>
            <w:vAlign w:val="bottom"/>
          </w:tcPr>
          <w:p>
            <w:pPr>
              <w:spacing w:after="0"/>
              <w:rPr>
                <w:sz w:val="1"/>
                <w:szCs w:val="1"/>
                <w:color w:val="auto"/>
              </w:rPr>
            </w:pPr>
          </w:p>
        </w:tc>
      </w:tr>
      <w:tr>
        <w:trPr>
          <w:trHeight w:val="142"/>
        </w:trPr>
        <w:tc>
          <w:tcPr>
            <w:tcW w:w="7720" w:type="dxa"/>
            <w:vAlign w:val="bottom"/>
          </w:tcPr>
          <w:p>
            <w:pPr>
              <w:spacing w:after="0"/>
              <w:rPr>
                <w:sz w:val="12"/>
                <w:szCs w:val="12"/>
                <w:color w:val="auto"/>
              </w:rPr>
            </w:pPr>
          </w:p>
        </w:tc>
        <w:tc>
          <w:tcPr>
            <w:tcW w:w="94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640" w:type="dxa"/>
            <w:vAlign w:val="bottom"/>
            <w:tcBorders>
              <w:top w:val="single" w:sz="8" w:color="auto"/>
              <w:bottom w:val="single" w:sz="8" w:color="auto"/>
            </w:tcBorders>
          </w:tcPr>
          <w:p>
            <w:pPr>
              <w:spacing w:after="0"/>
              <w:rPr>
                <w:sz w:val="12"/>
                <w:szCs w:val="12"/>
                <w:color w:val="auto"/>
              </w:rPr>
            </w:pPr>
          </w:p>
        </w:tc>
        <w:tc>
          <w:tcPr>
            <w:tcW w:w="280" w:type="dxa"/>
            <w:vAlign w:val="bottom"/>
            <w:tcBorders>
              <w:top w:val="single" w:sz="8" w:color="auto"/>
              <w:bottom w:val="single" w:sz="8" w:color="auto"/>
            </w:tcBorders>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w:t>
            </w:r>
          </w:p>
        </w:tc>
        <w:tc>
          <w:tcPr>
            <w:tcW w:w="620" w:type="dxa"/>
            <w:vAlign w:val="bottom"/>
            <w:tcBorders>
              <w:top w:val="single" w:sz="8" w:color="auto"/>
              <w:bottom w:val="single" w:sz="8" w:color="auto"/>
            </w:tcBorders>
          </w:tcPr>
          <w:p>
            <w:pPr>
              <w:spacing w:after="0"/>
              <w:rPr>
                <w:sz w:val="12"/>
                <w:szCs w:val="12"/>
                <w:color w:val="auto"/>
              </w:rPr>
            </w:pPr>
          </w:p>
        </w:tc>
        <w:tc>
          <w:tcPr>
            <w:tcW w:w="940" w:type="dxa"/>
            <w:vAlign w:val="bottom"/>
            <w:tcBorders>
              <w:top w:val="single" w:sz="8" w:color="auto"/>
              <w:bottom w:val="single" w:sz="8" w:color="auto"/>
            </w:tcBorders>
          </w:tcPr>
          <w:p>
            <w:pPr>
              <w:jc w:val="right"/>
              <w:ind w:right="555"/>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2024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77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64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(Amounts</w:t>
            </w:r>
          </w:p>
        </w:tc>
        <w:tc>
          <w:tcPr>
            <w:tcW w:w="280" w:type="dxa"/>
            <w:vAlign w:val="bottom"/>
            <w:gridSpan w:val="2"/>
            <w:vMerge w:val="continue"/>
          </w:tcPr>
          <w:p>
            <w:pPr>
              <w:spacing w:after="0"/>
              <w:rPr>
                <w:sz w:val="12"/>
                <w:szCs w:val="12"/>
                <w:color w:val="auto"/>
              </w:rPr>
            </w:pPr>
          </w:p>
        </w:tc>
        <w:tc>
          <w:tcPr>
            <w:tcW w:w="620" w:type="dxa"/>
            <w:vAlign w:val="bottom"/>
          </w:tcPr>
          <w:p>
            <w:pPr>
              <w:spacing w:after="0" w:line="142" w:lineRule="exact"/>
              <w:rPr>
                <w:sz w:val="20"/>
                <w:szCs w:val="20"/>
                <w:color w:val="auto"/>
              </w:rPr>
            </w:pPr>
            <w:r>
              <w:rPr>
                <w:rFonts w:ascii="Times New Roman" w:cs="Times New Roman" w:eastAsia="Times New Roman" w:hAnsi="Times New Roman"/>
                <w:sz w:val="14"/>
                <w:szCs w:val="14"/>
                <w:b w:val="1"/>
                <w:bCs w:val="1"/>
                <w:color w:val="auto"/>
                <w:w w:val="85"/>
              </w:rPr>
              <w:t>Thousands)</w:t>
            </w: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7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940" w:type="dxa"/>
            <w:vAlign w:val="bottom"/>
            <w:shd w:val="clear" w:color="auto" w:fill="CFF0FC"/>
          </w:tcPr>
          <w:p>
            <w:pPr>
              <w:jc w:val="right"/>
              <w:ind w:right="762"/>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gridSpan w:val="2"/>
            <w:shd w:val="clear" w:color="auto" w:fill="CFF0FC"/>
          </w:tcPr>
          <w:p>
            <w:pPr>
              <w:jc w:val="right"/>
              <w:ind w:right="88"/>
              <w:spacing w:after="0"/>
              <w:rPr>
                <w:sz w:val="20"/>
                <w:szCs w:val="20"/>
                <w:color w:val="auto"/>
              </w:rPr>
            </w:pPr>
            <w:r>
              <w:rPr>
                <w:rFonts w:ascii="Times New Roman" w:cs="Times New Roman" w:eastAsia="Times New Roman" w:hAnsi="Times New Roman"/>
                <w:sz w:val="18"/>
                <w:szCs w:val="18"/>
                <w:color w:val="auto"/>
              </w:rPr>
              <w:t>18,949</w:t>
            </w:r>
          </w:p>
        </w:tc>
        <w:tc>
          <w:tcPr>
            <w:tcW w:w="740" w:type="dxa"/>
            <w:vAlign w:val="bottom"/>
            <w:gridSpan w:val="2"/>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38,678</w:t>
            </w:r>
          </w:p>
        </w:tc>
        <w:tc>
          <w:tcPr>
            <w:tcW w:w="0" w:type="dxa"/>
            <w:vAlign w:val="bottom"/>
          </w:tcPr>
          <w:p>
            <w:pPr>
              <w:spacing w:after="0"/>
              <w:rPr>
                <w:sz w:val="1"/>
                <w:szCs w:val="1"/>
                <w:color w:val="auto"/>
              </w:rPr>
            </w:pPr>
          </w:p>
        </w:tc>
      </w:tr>
      <w:tr>
        <w:trPr>
          <w:trHeight w:val="216"/>
        </w:trPr>
        <w:tc>
          <w:tcPr>
            <w:tcW w:w="7720" w:type="dxa"/>
            <w:vAlign w:val="bottom"/>
          </w:tcPr>
          <w:p>
            <w:pPr>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940" w:type="dxa"/>
            <w:vAlign w:val="bottom"/>
          </w:tcPr>
          <w:p>
            <w:pPr>
              <w:spacing w:after="0"/>
              <w:rPr>
                <w:sz w:val="18"/>
                <w:szCs w:val="18"/>
                <w:color w:val="auto"/>
              </w:rPr>
            </w:pPr>
          </w:p>
        </w:tc>
        <w:tc>
          <w:tcPr>
            <w:tcW w:w="800" w:type="dxa"/>
            <w:vAlign w:val="bottom"/>
            <w:gridSpan w:val="2"/>
          </w:tcPr>
          <w:p>
            <w:pPr>
              <w:jc w:val="right"/>
              <w:ind w:right="28"/>
              <w:spacing w:after="0"/>
              <w:rPr>
                <w:sz w:val="20"/>
                <w:szCs w:val="20"/>
                <w:color w:val="auto"/>
              </w:rPr>
            </w:pPr>
            <w:r>
              <w:rPr>
                <w:rFonts w:ascii="Times New Roman" w:cs="Times New Roman" w:eastAsia="Times New Roman" w:hAnsi="Times New Roman"/>
                <w:sz w:val="18"/>
                <w:szCs w:val="18"/>
                <w:color w:val="auto"/>
              </w:rPr>
              <w:t>(1,378)</w:t>
            </w: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(1,750)</w:t>
            </w:r>
          </w:p>
        </w:tc>
        <w:tc>
          <w:tcPr>
            <w:tcW w:w="0" w:type="dxa"/>
            <w:vAlign w:val="bottom"/>
          </w:tcPr>
          <w:p>
            <w:pPr>
              <w:spacing w:after="0"/>
              <w:rPr>
                <w:sz w:val="1"/>
                <w:szCs w:val="1"/>
                <w:color w:val="auto"/>
              </w:rPr>
            </w:pPr>
          </w:p>
        </w:tc>
      </w:tr>
      <w:tr>
        <w:trPr>
          <w:trHeight w:val="216"/>
        </w:trPr>
        <w:tc>
          <w:tcPr>
            <w:tcW w:w="7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940" w:type="dxa"/>
            <w:vAlign w:val="bottom"/>
            <w:shd w:val="clear" w:color="auto" w:fill="CFF0FC"/>
          </w:tcPr>
          <w:p>
            <w:pPr>
              <w:spacing w:after="0"/>
              <w:rPr>
                <w:sz w:val="18"/>
                <w:szCs w:val="18"/>
                <w:color w:val="auto"/>
              </w:rPr>
            </w:pPr>
          </w:p>
        </w:tc>
        <w:tc>
          <w:tcPr>
            <w:tcW w:w="800" w:type="dxa"/>
            <w:vAlign w:val="bottom"/>
            <w:gridSpan w:val="2"/>
            <w:shd w:val="clear" w:color="auto" w:fill="CFF0FC"/>
          </w:tcPr>
          <w:p>
            <w:pPr>
              <w:jc w:val="right"/>
              <w:ind w:right="28"/>
              <w:spacing w:after="0"/>
              <w:rPr>
                <w:sz w:val="20"/>
                <w:szCs w:val="20"/>
                <w:color w:val="auto"/>
              </w:rPr>
            </w:pPr>
            <w:r>
              <w:rPr>
                <w:rFonts w:ascii="Times New Roman" w:cs="Times New Roman" w:eastAsia="Times New Roman" w:hAnsi="Times New Roman"/>
                <w:sz w:val="18"/>
                <w:szCs w:val="18"/>
                <w:color w:val="auto"/>
              </w:rPr>
              <w:t>(19,528)</w:t>
            </w:r>
          </w:p>
        </w:tc>
        <w:tc>
          <w:tcPr>
            <w:tcW w:w="12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10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(25,000)</w:t>
            </w:r>
          </w:p>
        </w:tc>
        <w:tc>
          <w:tcPr>
            <w:tcW w:w="0" w:type="dxa"/>
            <w:vAlign w:val="bottom"/>
          </w:tcPr>
          <w:p>
            <w:pPr>
              <w:spacing w:after="0"/>
              <w:rPr>
                <w:sz w:val="1"/>
                <w:szCs w:val="1"/>
                <w:color w:val="auto"/>
              </w:rPr>
            </w:pPr>
          </w:p>
        </w:tc>
      </w:tr>
    </w:tbl>
    <w:p>
      <w:pPr>
        <w:spacing w:after="0" w:line="34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Three Months Ended March 31, 2025 Compared to Three Months Ended March 31, 2024</w:t>
      </w:r>
    </w:p>
    <w:p>
      <w:pPr>
        <w:spacing w:after="0" w:line="119" w:lineRule="exact"/>
        <w:rPr>
          <w:sz w:val="20"/>
          <w:szCs w:val="20"/>
          <w:color w:val="auto"/>
        </w:rPr>
      </w:pPr>
    </w:p>
    <w:p>
      <w:pPr>
        <w:ind w:right="40" w:firstLine="509"/>
        <w:spacing w:after="0" w:line="255" w:lineRule="auto"/>
        <w:rPr>
          <w:sz w:val="20"/>
          <w:szCs w:val="20"/>
          <w:color w:val="auto"/>
        </w:rPr>
      </w:pPr>
      <w:r>
        <w:rPr>
          <w:rFonts w:ascii="Times New Roman" w:cs="Times New Roman" w:eastAsia="Times New Roman" w:hAnsi="Times New Roman"/>
          <w:sz w:val="18"/>
          <w:szCs w:val="18"/>
          <w:color w:val="auto"/>
        </w:rPr>
        <w:t>Cash flows from operating activities represent the inflow of cash from our payors and the outflow of cash for payroll and payroll taxes, operating expenses, interest, and taxes. Net cash provided by operating activities was $18.9 million for the three months ended March 31, 2025, compared to net cash provided by operating activities of $38.7 million for the same period in 2024. The decrease in cash provided by operations was primarily due to the timing of receipts on accounts receivable and the timing of government stimulus funds. The changes in accounts receivable were primarily related to the growth in revenue and a decrease in days sales outstanding (“DSO”) during the three months ended March 31, 2025 as compared to the three months ended March 31, 2024. The related receivables due from the Illinois Department on Aging represented 18.5% and 20.8% of the Company’s net accounts receivable at March 31, 2025 and March 31, 2024, respectively.</w:t>
      </w:r>
    </w:p>
    <w:p>
      <w:pPr>
        <w:spacing w:after="0" w:line="1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487680</wp:posOffset>
            </wp:positionV>
            <wp:extent cx="7157720" cy="4254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b w:val="1"/>
          <w:bCs w:val="1"/>
          <w:u w:val="single" w:color="auto"/>
          <w:color w:val="0563C1"/>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-5080</wp:posOffset>
            </wp:positionV>
            <wp:extent cx="869315" cy="825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869315" cy="8255"/>
                    </a:xfrm>
                    <a:prstGeom prst="rect">
                      <a:avLst/>
                    </a:prstGeom>
                    <a:noFill/>
                  </pic:spPr>
                </pic:pic>
              </a:graphicData>
            </a:graphic>
          </wp:anchor>
        </w:drawing>
      </w:r>
    </w:p>
    <w:p>
      <w:pPr>
        <w:spacing w:after="0" w:line="200" w:lineRule="exact"/>
        <w:rPr>
          <w:sz w:val="20"/>
          <w:szCs w:val="20"/>
          <w:color w:val="auto"/>
        </w:rPr>
      </w:pPr>
    </w:p>
    <w:p>
      <w:pPr>
        <w:spacing w:after="0" w:line="225"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Net cash used in investing activities for the three months ended March 31, 2025, primarily consisted of $3.4 million of net cash used for the Jacksonville Acquisition and the Great Lakes Acquisition, $1.9 million of cash used for property and equipment purchases, primarily related to our ongoing investments in technology infrastructure fixed assets, offset by $3.8 million in proceeds received relating to the New York Asset Sale. Net cash used in investing activities for the three months ended March 31, 2024 primarily consisted of $0.4 million of net cash used for the Upstate acquisition and $1.4 million of cash used for property and equipment purchases.</w:t>
      </w:r>
    </w:p>
    <w:p>
      <w:pPr>
        <w:spacing w:after="0" w:line="183" w:lineRule="exact"/>
        <w:rPr>
          <w:sz w:val="20"/>
          <w:szCs w:val="20"/>
          <w:color w:val="auto"/>
        </w:rPr>
      </w:pPr>
    </w:p>
    <w:p>
      <w:pPr>
        <w:jc w:val="both"/>
        <w:ind w:right="240" w:firstLine="509"/>
        <w:spacing w:after="0" w:line="266" w:lineRule="auto"/>
        <w:rPr>
          <w:sz w:val="20"/>
          <w:szCs w:val="20"/>
          <w:color w:val="auto"/>
        </w:rPr>
      </w:pPr>
      <w:r>
        <w:rPr>
          <w:rFonts w:ascii="Times New Roman" w:cs="Times New Roman" w:eastAsia="Times New Roman" w:hAnsi="Times New Roman"/>
          <w:sz w:val="18"/>
          <w:szCs w:val="18"/>
          <w:color w:val="auto"/>
        </w:rPr>
        <w:t>Net cash used in financing activities for the three months ended March 31, 2025, primarily consisted of a $20.0 million payment on our revolving credit facility, offset by cash received from the exercise of stock options of $0.5 million. Net cash used in financing activities for the three months ended March 31, 2024 primarily consisted of $25.0 million payment on our revolving credit facility.</w:t>
      </w:r>
    </w:p>
    <w:p>
      <w:pPr>
        <w:spacing w:after="0" w:line="28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Outstanding Accounts Receivable</w:t>
      </w:r>
    </w:p>
    <w:p>
      <w:pPr>
        <w:spacing w:after="0" w:line="121" w:lineRule="exact"/>
        <w:rPr>
          <w:sz w:val="20"/>
          <w:szCs w:val="20"/>
          <w:color w:val="auto"/>
        </w:rPr>
      </w:pPr>
    </w:p>
    <w:p>
      <w:pPr>
        <w:ind w:right="80" w:firstLine="509"/>
        <w:spacing w:after="0" w:line="258" w:lineRule="auto"/>
        <w:rPr>
          <w:sz w:val="20"/>
          <w:szCs w:val="20"/>
          <w:color w:val="auto"/>
        </w:rPr>
      </w:pPr>
      <w:r>
        <w:rPr>
          <w:rFonts w:ascii="Times New Roman" w:cs="Times New Roman" w:eastAsia="Times New Roman" w:hAnsi="Times New Roman"/>
          <w:sz w:val="18"/>
          <w:szCs w:val="18"/>
          <w:color w:val="auto"/>
        </w:rPr>
        <w:t>Gross accounts receivable as of March 31, 2025 and December 31, 2024 were approximately $138.0 million and $126.4 million, respectively. Outstanding accounts receivable, net of allowance for credit losses, increased by $11.7 million as of March 31, 2025 as compared to December 31, 2024. Accounts receivable for the Illinois Department on Aging increased approximately $6.3 million during the quarter ended March 31, 2025. Our collection procedures include review of account aging and direct contact with our payors. We have historically not used collection agencies. An uncollectible amount is written off to the allowance account after reasonable collection efforts have been exhausted.</w:t>
      </w:r>
    </w:p>
    <w:p>
      <w:pPr>
        <w:spacing w:after="0" w:line="183" w:lineRule="exact"/>
        <w:rPr>
          <w:sz w:val="20"/>
          <w:szCs w:val="20"/>
          <w:color w:val="auto"/>
        </w:rPr>
      </w:pPr>
    </w:p>
    <w:p>
      <w:pPr>
        <w:ind w:right="200" w:firstLine="509"/>
        <w:spacing w:after="0" w:line="261" w:lineRule="auto"/>
        <w:rPr>
          <w:sz w:val="20"/>
          <w:szCs w:val="20"/>
          <w:color w:val="auto"/>
        </w:rPr>
      </w:pPr>
      <w:r>
        <w:rPr>
          <w:rFonts w:ascii="Times New Roman" w:cs="Times New Roman" w:eastAsia="Times New Roman" w:hAnsi="Times New Roman"/>
          <w:sz w:val="18"/>
          <w:szCs w:val="18"/>
          <w:color w:val="auto"/>
        </w:rPr>
        <w:t>We calculate our DSO by taking the trade accounts receivable outstanding, net of allowance for credit losses for doubtful accounts, divided by the net service revenues for the last quarter, multiplied by the number of days in that quarter. Our DSOs were 37 days and 39 days at March 31, 2025 and December 31, 2024, respectively. The DSOs for our largest payor, the Illinois Department on Aging, were 48 days and 40 days at March 31, 2025 and December 31, 2024, respectively.</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Off-Balance Sheet Arrangements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As of March 31, 2025, we did not have any off-balance sheet guarantees or arrangements with unconsolidated entities.</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Critical Accounting Policies and Estimates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There have been no material changes to our critical accounting policies and estimates previously disclosed under the caption “Management’s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Discussion and Analysis of Financial Condition and Results of Operations — Critical Accounting Policies and Estimates” set forth in Part II, Item 7 of our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Annual Report on Form 10-K for the period ended December 31, 2024, filed on February 25, 2025.</w:t>
      </w: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Recently Issued Accounting Pronouncements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Refer to Note 2 to the Notes to Unaudited Condensed Consolidated Financial Statements for further discussion.</w:t>
      </w:r>
    </w:p>
    <w:p>
      <w:pPr>
        <w:spacing w:after="0" w:line="2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487680</wp:posOffset>
            </wp:positionV>
            <wp:extent cx="7157720" cy="4254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b w:val="1"/>
          <w:bCs w:val="1"/>
          <w:u w:val="single" w:color="auto"/>
          <w:color w:val="0563C1"/>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-5080</wp:posOffset>
            </wp:positionV>
            <wp:extent cx="869315" cy="825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869315" cy="8255"/>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121" w:lineRule="exact"/>
        <w:rPr>
          <w:sz w:val="20"/>
          <w:szCs w:val="20"/>
          <w:color w:val="auto"/>
        </w:rPr>
      </w:pPr>
    </w:p>
    <w:p>
      <w:pPr>
        <w:ind w:right="100" w:firstLine="509"/>
        <w:spacing w:after="0" w:line="258" w:lineRule="auto"/>
        <w:rPr>
          <w:sz w:val="20"/>
          <w:szCs w:val="20"/>
          <w:color w:val="auto"/>
        </w:rPr>
      </w:pPr>
      <w:r>
        <w:rPr>
          <w:rFonts w:ascii="Times New Roman" w:cs="Times New Roman" w:eastAsia="Times New Roman" w:hAnsi="Times New Roman"/>
          <w:sz w:val="18"/>
          <w:szCs w:val="18"/>
          <w:color w:val="auto"/>
        </w:rPr>
        <w:t>We are exposed to market risk associated with changes in interest rates on our variable rate long-term debt. As of March 31, 2025, we had outstanding borrowings of approximately $203.0 million on our credit facility, all of such borrowings were subject to variable interest rates. If the variable rates on this debt were 100 basis points higher than the rate applicable to the borrowing during the three month period ended March 31, 2025, our net income would have decreased by $0.4 million, or $0.02 per diluted share. We do not currently have any derivative or hedging arrangements, or other known exposures, to changes in interest rates.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Evaluation of Disclosure Controls and Procedures</w:t>
      </w:r>
    </w:p>
    <w:p>
      <w:pPr>
        <w:spacing w:after="0" w:line="121"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Our management, with the participation of our Chief Executive Officer and our Chief Financial Officer, evaluated the effectiveness of our disclosure controls and procedures as of March 31, 2025. The term “disclosure controls and procedures,” as defined in Rules 13a-15(e) and 15d-15(e) under the Securities Exchange Act of 1934, as amended (the “Exchange Act”) means controls and other procedures of an issuer that are designed to ensure that information required to be disclosed by an issuer in the reports that it files or submits under the Exchange Act, is recorded, processed, summarized, and reported within the time periods specified in the Securities and Exchange Commission’s rules and forms. Disclosure controls and procedures include, without limitation, controls and procedures designed to ensure that information required to be disclosed by an issuer in the reports that it files or submits under the Exchange Act is accumulated and communicated to the issuer’s management, including its principal executive and principal financial officers, or persons performing similar functions, as appropriate to allow timely decisions regarding required disclosure. Management recognizes that any controls and procedures, no matter how well designed and operated, can provide only reasonable assurance of achieving their objectives and management necessarily applies its judgment in evaluating the cost-benefit relationship of possible controls and procedures.</w:t>
      </w:r>
    </w:p>
    <w:p>
      <w:pPr>
        <w:spacing w:after="0" w:line="127" w:lineRule="exact"/>
        <w:rPr>
          <w:sz w:val="20"/>
          <w:szCs w:val="20"/>
          <w:color w:val="auto"/>
        </w:rPr>
      </w:pPr>
    </w:p>
    <w:p>
      <w:pPr>
        <w:ind w:right="460" w:firstLine="509"/>
        <w:spacing w:after="0" w:line="282" w:lineRule="auto"/>
        <w:rPr>
          <w:sz w:val="20"/>
          <w:szCs w:val="20"/>
          <w:color w:val="auto"/>
        </w:rPr>
      </w:pPr>
      <w:r>
        <w:rPr>
          <w:rFonts w:ascii="Times New Roman" w:cs="Times New Roman" w:eastAsia="Times New Roman" w:hAnsi="Times New Roman"/>
          <w:sz w:val="18"/>
          <w:szCs w:val="18"/>
          <w:color w:val="auto"/>
        </w:rPr>
        <w:t>Based on the evaluation of our disclosure controls and procedures, our Chief Executive Officer and Chief Financial Officer concluded that our disclosure controls and procedures were effective as of March 31, 2025.</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Internal Control Over Financial Reporting</w:t>
      </w:r>
    </w:p>
    <w:p>
      <w:pPr>
        <w:spacing w:after="0" w:line="121" w:lineRule="exact"/>
        <w:rPr>
          <w:sz w:val="20"/>
          <w:szCs w:val="20"/>
          <w:color w:val="auto"/>
        </w:rPr>
      </w:pPr>
    </w:p>
    <w:p>
      <w:pPr>
        <w:ind w:right="200" w:firstLine="509"/>
        <w:spacing w:after="0" w:line="266" w:lineRule="auto"/>
        <w:rPr>
          <w:sz w:val="20"/>
          <w:szCs w:val="20"/>
          <w:color w:val="auto"/>
        </w:rPr>
      </w:pPr>
      <w:r>
        <w:rPr>
          <w:rFonts w:ascii="Times New Roman" w:cs="Times New Roman" w:eastAsia="Times New Roman" w:hAnsi="Times New Roman"/>
          <w:sz w:val="18"/>
          <w:szCs w:val="18"/>
          <w:color w:val="auto"/>
        </w:rPr>
        <w:t>There were no changes in our internal control over financial reporting identified in connection with the evaluation required by Rule 13a-15(d) and 15d-15(d) of the Exchange Act that occurred during the fiscal quarter ended March 31, 2025 that have materially affected, or are reasonably likely to materially affect, our internal control over financial reporting.</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487680</wp:posOffset>
            </wp:positionV>
            <wp:extent cx="7157720" cy="4254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b w:val="1"/>
          <w:bCs w:val="1"/>
          <w:u w:val="single" w:color="auto"/>
          <w:color w:val="0563C1"/>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-5080</wp:posOffset>
            </wp:positionV>
            <wp:extent cx="869315" cy="825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869315" cy="8255"/>
                    </a:xfrm>
                    <a:prstGeom prst="rect">
                      <a:avLst/>
                    </a:prstGeom>
                    <a:noFill/>
                  </pic:spPr>
                </pic:pic>
              </a:graphicData>
            </a:graphic>
          </wp:anchor>
        </w:drawing>
      </w: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 – OTHER INFORMATION</w:t>
      </w:r>
    </w:p>
    <w:p>
      <w:pPr>
        <w:spacing w:after="0" w:line="171"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1.</w:t>
        <w:tab/>
        <w:t>Legal Proceedings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Legal Proceedings</w:t>
      </w:r>
    </w:p>
    <w:p>
      <w:pPr>
        <w:spacing w:after="0" w:line="121" w:lineRule="exact"/>
        <w:rPr>
          <w:sz w:val="20"/>
          <w:szCs w:val="20"/>
          <w:color w:val="auto"/>
        </w:rPr>
      </w:pPr>
    </w:p>
    <w:p>
      <w:pPr>
        <w:ind w:right="380" w:firstLine="509"/>
        <w:spacing w:after="0" w:line="282" w:lineRule="auto"/>
        <w:rPr>
          <w:sz w:val="20"/>
          <w:szCs w:val="20"/>
          <w:color w:val="auto"/>
        </w:rPr>
      </w:pPr>
      <w:r>
        <w:rPr>
          <w:rFonts w:ascii="Times New Roman" w:cs="Times New Roman" w:eastAsia="Times New Roman" w:hAnsi="Times New Roman"/>
          <w:sz w:val="18"/>
          <w:szCs w:val="18"/>
          <w:color w:val="auto"/>
        </w:rPr>
        <w:t>From time to time, we are subject to legal and/or administrative proceedings incidental to our business. It is the opinion of management that the outcome of pending legal and/or administrative proceedings will not have a material effect on our financial position and results of operations.</w:t>
      </w:r>
    </w:p>
    <w:p>
      <w:pPr>
        <w:spacing w:after="0" w:line="10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18"/>
          <w:szCs w:val="18"/>
          <w:b w:val="1"/>
          <w:bCs w:val="1"/>
          <w:color w:val="auto"/>
        </w:rPr>
        <w:t>Item 1A.</w:t>
        <w:tab/>
        <w:t>Risk Factors</w:t>
      </w:r>
    </w:p>
    <w:p>
      <w:pPr>
        <w:spacing w:after="0" w:line="121" w:lineRule="exact"/>
        <w:rPr>
          <w:sz w:val="20"/>
          <w:szCs w:val="20"/>
          <w:color w:val="auto"/>
        </w:rPr>
      </w:pPr>
    </w:p>
    <w:p>
      <w:pPr>
        <w:ind w:right="240" w:firstLine="509"/>
        <w:spacing w:after="0" w:line="258" w:lineRule="auto"/>
        <w:rPr>
          <w:sz w:val="20"/>
          <w:szCs w:val="20"/>
          <w:color w:val="auto"/>
        </w:rPr>
      </w:pPr>
      <w:r>
        <w:rPr>
          <w:rFonts w:ascii="Times New Roman" w:cs="Times New Roman" w:eastAsia="Times New Roman" w:hAnsi="Times New Roman"/>
          <w:sz w:val="18"/>
          <w:szCs w:val="18"/>
          <w:color w:val="auto"/>
        </w:rPr>
        <w:t>Investing in our common stock involves a high degree of risk. You should carefully consider the risk factors discussed under the caption “Risk Factors” set forth in Part I, Item 1A, of our Annual Report on Form 10-K for the year ended December 31, 2024, filed on February 25, 2025. There have been no material changes to the risk factors previously disclosed under the caption “Risk Factors” in our Annual Report on Form 10-K. Additional risks and uncertainties not currently known to us or that we currently deem to be immaterial also may materially adversely affect our business, financial condition, or operating results.</w:t>
      </w:r>
    </w:p>
    <w:p>
      <w:pPr>
        <w:spacing w:after="0" w:line="287"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Unregistered Sales of Equity Securities and Use of Proceeds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None.</w:t>
      </w:r>
    </w:p>
    <w:p>
      <w:pPr>
        <w:spacing w:after="0" w:line="329"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3.</w:t>
        <w:tab/>
        <w:t>Defaults Upon Senior Securities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None.</w:t>
      </w:r>
    </w:p>
    <w:p>
      <w:pPr>
        <w:spacing w:after="0" w:line="329"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Mine Safety Disclosures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None.</w:t>
      </w:r>
    </w:p>
    <w:p>
      <w:pPr>
        <w:spacing w:after="0" w:line="329"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5.</w:t>
        <w:tab/>
        <w:t>Other Information</w:t>
      </w:r>
    </w:p>
    <w:p>
      <w:pPr>
        <w:spacing w:after="0" w:line="121" w:lineRule="exact"/>
        <w:rPr>
          <w:sz w:val="20"/>
          <w:szCs w:val="20"/>
          <w:color w:val="auto"/>
        </w:rPr>
      </w:pPr>
    </w:p>
    <w:p>
      <w:pPr>
        <w:ind w:right="120" w:firstLine="509"/>
        <w:spacing w:after="0" w:line="282" w:lineRule="auto"/>
        <w:rPr>
          <w:sz w:val="20"/>
          <w:szCs w:val="20"/>
          <w:color w:val="auto"/>
        </w:rPr>
      </w:pPr>
      <w:r>
        <w:rPr>
          <w:rFonts w:ascii="Times New Roman" w:cs="Times New Roman" w:eastAsia="Times New Roman" w:hAnsi="Times New Roman"/>
          <w:sz w:val="18"/>
          <w:szCs w:val="18"/>
          <w:color w:val="auto"/>
        </w:rPr>
        <w:t>During the quarter ending March 31, 2025, each of the following directors and Section 16 officers adopted a Rule 10b5-1 Trading Arrangement (as defined in Item 408(a) of Regulation S-K) to sell common shares:</w:t>
      </w:r>
    </w:p>
    <w:p>
      <w:pPr>
        <w:spacing w:after="0" w:line="272"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1820" w:type="dxa"/>
            <w:vAlign w:val="bottom"/>
          </w:tcPr>
          <w:p>
            <w:pPr>
              <w:spacing w:after="0"/>
              <w:rPr>
                <w:sz w:val="17"/>
                <w:szCs w:val="17"/>
                <w:color w:val="auto"/>
              </w:rPr>
            </w:pPr>
          </w:p>
        </w:tc>
        <w:tc>
          <w:tcPr>
            <w:tcW w:w="32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5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Shares Vesting and</w:t>
            </w:r>
          </w:p>
        </w:tc>
        <w:tc>
          <w:tcPr>
            <w:tcW w:w="120" w:type="dxa"/>
            <w:vAlign w:val="bottom"/>
          </w:tcPr>
          <w:p>
            <w:pPr>
              <w:spacing w:after="0"/>
              <w:rPr>
                <w:sz w:val="17"/>
                <w:szCs w:val="17"/>
                <w:color w:val="auto"/>
              </w:rPr>
            </w:pPr>
          </w:p>
        </w:tc>
        <w:tc>
          <w:tcPr>
            <w:tcW w:w="14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Other Shares Being</w:t>
            </w:r>
          </w:p>
        </w:tc>
        <w:tc>
          <w:tcPr>
            <w:tcW w:w="0" w:type="dxa"/>
            <w:vAlign w:val="bottom"/>
          </w:tcPr>
          <w:p>
            <w:pPr>
              <w:spacing w:after="0"/>
              <w:rPr>
                <w:sz w:val="1"/>
                <w:szCs w:val="1"/>
                <w:color w:val="auto"/>
              </w:rPr>
            </w:pPr>
          </w:p>
        </w:tc>
      </w:tr>
      <w:tr>
        <w:trPr>
          <w:trHeight w:val="203"/>
        </w:trPr>
        <w:tc>
          <w:tcPr>
            <w:tcW w:w="1820" w:type="dxa"/>
            <w:vAlign w:val="bottom"/>
          </w:tcPr>
          <w:p>
            <w:pPr>
              <w:jc w:val="center"/>
              <w:ind w:left="19"/>
              <w:spacing w:after="0"/>
              <w:rPr>
                <w:sz w:val="20"/>
                <w:szCs w:val="20"/>
                <w:color w:val="auto"/>
              </w:rPr>
            </w:pPr>
            <w:r>
              <w:rPr>
                <w:rFonts w:ascii="Times New Roman" w:cs="Times New Roman" w:eastAsia="Times New Roman" w:hAnsi="Times New Roman"/>
                <w:sz w:val="16"/>
                <w:szCs w:val="16"/>
                <w:b w:val="1"/>
                <w:bCs w:val="1"/>
                <w:color w:val="auto"/>
                <w:w w:val="99"/>
              </w:rPr>
              <w:t>Name</w:t>
            </w:r>
          </w:p>
        </w:tc>
        <w:tc>
          <w:tcPr>
            <w:tcW w:w="32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Title</w:t>
            </w:r>
          </w:p>
        </w:tc>
        <w:tc>
          <w:tcPr>
            <w:tcW w:w="14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Adoption Date</w:t>
            </w:r>
          </w:p>
        </w:tc>
        <w:tc>
          <w:tcPr>
            <w:tcW w:w="1600" w:type="dxa"/>
            <w:vAlign w:val="bottom"/>
          </w:tcPr>
          <w:p>
            <w:pPr>
              <w:jc w:val="center"/>
              <w:ind w:left="39"/>
              <w:spacing w:after="0"/>
              <w:rPr>
                <w:sz w:val="20"/>
                <w:szCs w:val="20"/>
                <w:color w:val="auto"/>
              </w:rPr>
            </w:pPr>
            <w:r>
              <w:rPr>
                <w:rFonts w:ascii="Times New Roman" w:cs="Times New Roman" w:eastAsia="Times New Roman" w:hAnsi="Times New Roman"/>
                <w:sz w:val="16"/>
                <w:szCs w:val="16"/>
                <w:b w:val="1"/>
                <w:bCs w:val="1"/>
                <w:color w:val="auto"/>
              </w:rPr>
              <w:t xml:space="preserve">Expiration Date </w:t>
            </w:r>
            <w:r>
              <w:rPr>
                <w:rFonts w:ascii="Times New Roman" w:cs="Times New Roman" w:eastAsia="Times New Roman" w:hAnsi="Times New Roman"/>
                <w:sz w:val="12"/>
                <w:szCs w:val="12"/>
                <w:b w:val="1"/>
                <w:bCs w:val="1"/>
                <w:color w:val="auto"/>
              </w:rPr>
              <w:t>(1)</w:t>
            </w:r>
          </w:p>
        </w:tc>
        <w:tc>
          <w:tcPr>
            <w:tcW w:w="15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Subject to Sell-To-</w:t>
            </w:r>
          </w:p>
        </w:tc>
        <w:tc>
          <w:tcPr>
            <w:tcW w:w="120" w:type="dxa"/>
            <w:vAlign w:val="bottom"/>
          </w:tcPr>
          <w:p>
            <w:pPr>
              <w:spacing w:after="0"/>
              <w:rPr>
                <w:sz w:val="17"/>
                <w:szCs w:val="17"/>
                <w:color w:val="auto"/>
              </w:rPr>
            </w:pPr>
          </w:p>
        </w:tc>
        <w:tc>
          <w:tcPr>
            <w:tcW w:w="14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Sold (Subject to</w:t>
            </w:r>
          </w:p>
        </w:tc>
        <w:tc>
          <w:tcPr>
            <w:tcW w:w="0" w:type="dxa"/>
            <w:vAlign w:val="bottom"/>
          </w:tcPr>
          <w:p>
            <w:pPr>
              <w:spacing w:after="0"/>
              <w:rPr>
                <w:sz w:val="1"/>
                <w:szCs w:val="1"/>
                <w:color w:val="auto"/>
              </w:rPr>
            </w:pPr>
          </w:p>
        </w:tc>
      </w:tr>
      <w:tr>
        <w:trPr>
          <w:trHeight w:val="215"/>
        </w:trPr>
        <w:tc>
          <w:tcPr>
            <w:tcW w:w="1820" w:type="dxa"/>
            <w:vAlign w:val="bottom"/>
            <w:tcBorders>
              <w:bottom w:val="single" w:sz="8" w:color="auto"/>
            </w:tcBorders>
          </w:tcPr>
          <w:p>
            <w:pPr>
              <w:spacing w:after="0"/>
              <w:rPr>
                <w:sz w:val="18"/>
                <w:szCs w:val="18"/>
                <w:color w:val="auto"/>
              </w:rPr>
            </w:pPr>
          </w:p>
        </w:tc>
        <w:tc>
          <w:tcPr>
            <w:tcW w:w="324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 xml:space="preserve">Cover </w:t>
            </w:r>
            <w:r>
              <w:rPr>
                <w:rFonts w:ascii="Times New Roman" w:cs="Times New Roman" w:eastAsia="Times New Roman" w:hAnsi="Times New Roman"/>
                <w:sz w:val="12"/>
                <w:szCs w:val="12"/>
                <w:b w:val="1"/>
                <w:bCs w:val="1"/>
                <w:color w:val="auto"/>
              </w:rPr>
              <w:t>(2)</w:t>
            </w:r>
          </w:p>
        </w:tc>
        <w:tc>
          <w:tcPr>
            <w:tcW w:w="120" w:type="dxa"/>
            <w:vAlign w:val="bottom"/>
          </w:tcPr>
          <w:p>
            <w:pPr>
              <w:spacing w:after="0"/>
              <w:rPr>
                <w:sz w:val="18"/>
                <w:szCs w:val="18"/>
                <w:color w:val="auto"/>
              </w:rPr>
            </w:pPr>
          </w:p>
        </w:tc>
        <w:tc>
          <w:tcPr>
            <w:tcW w:w="14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Certain Conditions)</w:t>
            </w:r>
          </w:p>
        </w:tc>
        <w:tc>
          <w:tcPr>
            <w:tcW w:w="0" w:type="dxa"/>
            <w:vAlign w:val="bottom"/>
          </w:tcPr>
          <w:p>
            <w:pPr>
              <w:spacing w:after="0"/>
              <w:rPr>
                <w:sz w:val="1"/>
                <w:szCs w:val="1"/>
                <w:color w:val="auto"/>
              </w:rPr>
            </w:pPr>
          </w:p>
        </w:tc>
      </w:tr>
      <w:tr>
        <w:trPr>
          <w:trHeight w:val="199"/>
        </w:trPr>
        <w:tc>
          <w:tcPr>
            <w:tcW w:w="1820" w:type="dxa"/>
            <w:vAlign w:val="bottom"/>
            <w:shd w:val="clear" w:color="auto" w:fill="CFF0FC"/>
          </w:tcPr>
          <w:p>
            <w:pPr>
              <w:jc w:val="center"/>
              <w:ind w:left="39"/>
              <w:spacing w:after="0"/>
              <w:rPr>
                <w:sz w:val="20"/>
                <w:szCs w:val="20"/>
                <w:color w:val="auto"/>
              </w:rPr>
            </w:pPr>
            <w:r>
              <w:rPr>
                <w:rFonts w:ascii="Times New Roman" w:cs="Times New Roman" w:eastAsia="Times New Roman" w:hAnsi="Times New Roman"/>
                <w:sz w:val="16"/>
                <w:szCs w:val="16"/>
                <w:color w:val="auto"/>
              </w:rPr>
              <w:t>Roberton Stevenson</w:t>
            </w:r>
          </w:p>
        </w:tc>
        <w:tc>
          <w:tcPr>
            <w:tcW w:w="32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rPr>
              <w:t>EVP and Chief Human Resources Officer</w:t>
            </w:r>
          </w:p>
        </w:tc>
        <w:tc>
          <w:tcPr>
            <w:tcW w:w="148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rPr>
              <w:t>March 5, 2025</w:t>
            </w:r>
          </w:p>
        </w:tc>
        <w:tc>
          <w:tcPr>
            <w:tcW w:w="1600" w:type="dxa"/>
            <w:vAlign w:val="bottom"/>
            <w:shd w:val="clear" w:color="auto" w:fill="CFF0FC"/>
          </w:tcPr>
          <w:p>
            <w:pPr>
              <w:jc w:val="center"/>
              <w:ind w:left="39"/>
              <w:spacing w:after="0"/>
              <w:rPr>
                <w:sz w:val="20"/>
                <w:szCs w:val="20"/>
                <w:color w:val="auto"/>
              </w:rPr>
            </w:pPr>
            <w:r>
              <w:rPr>
                <w:rFonts w:ascii="Times New Roman" w:cs="Times New Roman" w:eastAsia="Times New Roman" w:hAnsi="Times New Roman"/>
                <w:sz w:val="16"/>
                <w:szCs w:val="16"/>
                <w:color w:val="auto"/>
              </w:rPr>
              <w:t>February 24, 2026</w:t>
            </w: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3,285</w:t>
            </w:r>
          </w:p>
        </w:tc>
        <w:tc>
          <w:tcPr>
            <w:tcW w:w="120" w:type="dxa"/>
            <w:vAlign w:val="bottom"/>
            <w:shd w:val="clear" w:color="auto" w:fill="CFF0FC"/>
          </w:tcPr>
          <w:p>
            <w:pPr>
              <w:spacing w:after="0"/>
              <w:rPr>
                <w:sz w:val="17"/>
                <w:szCs w:val="17"/>
                <w:color w:val="auto"/>
              </w:rPr>
            </w:pPr>
          </w:p>
        </w:tc>
        <w:tc>
          <w:tcPr>
            <w:tcW w:w="14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rPr>
              <w:t>n/a</w:t>
            </w:r>
          </w:p>
        </w:tc>
        <w:tc>
          <w:tcPr>
            <w:tcW w:w="0" w:type="dxa"/>
            <w:vAlign w:val="bottom"/>
          </w:tcPr>
          <w:p>
            <w:pPr>
              <w:spacing w:after="0"/>
              <w:rPr>
                <w:sz w:val="1"/>
                <w:szCs w:val="1"/>
                <w:color w:val="auto"/>
              </w:rPr>
            </w:pPr>
          </w:p>
        </w:tc>
      </w:tr>
      <w:tr>
        <w:trPr>
          <w:trHeight w:val="203"/>
        </w:trPr>
        <w:tc>
          <w:tcPr>
            <w:tcW w:w="1820" w:type="dxa"/>
            <w:vAlign w:val="bottom"/>
          </w:tcPr>
          <w:p>
            <w:pPr>
              <w:jc w:val="center"/>
              <w:ind w:left="39"/>
              <w:spacing w:after="0"/>
              <w:rPr>
                <w:sz w:val="20"/>
                <w:szCs w:val="20"/>
                <w:color w:val="auto"/>
              </w:rPr>
            </w:pPr>
            <w:r>
              <w:rPr>
                <w:rFonts w:ascii="Times New Roman" w:cs="Times New Roman" w:eastAsia="Times New Roman" w:hAnsi="Times New Roman"/>
                <w:sz w:val="16"/>
                <w:szCs w:val="16"/>
                <w:color w:val="auto"/>
              </w:rPr>
              <w:t>Michael Wattenbarger</w:t>
            </w:r>
          </w:p>
        </w:tc>
        <w:tc>
          <w:tcPr>
            <w:tcW w:w="32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EVP and Chief Information Officer</w:t>
            </w:r>
          </w:p>
        </w:tc>
        <w:tc>
          <w:tcPr>
            <w:tcW w:w="14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March 5, 2025</w:t>
            </w:r>
          </w:p>
        </w:tc>
        <w:tc>
          <w:tcPr>
            <w:tcW w:w="1600" w:type="dxa"/>
            <w:vAlign w:val="bottom"/>
          </w:tcPr>
          <w:p>
            <w:pPr>
              <w:jc w:val="center"/>
              <w:ind w:left="39"/>
              <w:spacing w:after="0"/>
              <w:rPr>
                <w:sz w:val="20"/>
                <w:szCs w:val="20"/>
                <w:color w:val="auto"/>
              </w:rPr>
            </w:pPr>
            <w:r>
              <w:rPr>
                <w:rFonts w:ascii="Times New Roman" w:cs="Times New Roman" w:eastAsia="Times New Roman" w:hAnsi="Times New Roman"/>
                <w:sz w:val="16"/>
                <w:szCs w:val="16"/>
                <w:color w:val="auto"/>
              </w:rPr>
              <w:t>February 24, 2026</w:t>
            </w: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3,610</w:t>
            </w:r>
          </w:p>
        </w:tc>
        <w:tc>
          <w:tcPr>
            <w:tcW w:w="120" w:type="dxa"/>
            <w:vAlign w:val="bottom"/>
          </w:tcPr>
          <w:p>
            <w:pPr>
              <w:spacing w:after="0"/>
              <w:rPr>
                <w:sz w:val="17"/>
                <w:szCs w:val="17"/>
                <w:color w:val="auto"/>
              </w:rPr>
            </w:pPr>
          </w:p>
        </w:tc>
        <w:tc>
          <w:tcPr>
            <w:tcW w:w="14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n/a</w:t>
            </w:r>
          </w:p>
        </w:tc>
        <w:tc>
          <w:tcPr>
            <w:tcW w:w="0" w:type="dxa"/>
            <w:vAlign w:val="bottom"/>
          </w:tcPr>
          <w:p>
            <w:pPr>
              <w:spacing w:after="0"/>
              <w:rPr>
                <w:sz w:val="1"/>
                <w:szCs w:val="1"/>
                <w:color w:val="auto"/>
              </w:rPr>
            </w:pPr>
          </w:p>
        </w:tc>
      </w:tr>
      <w:tr>
        <w:trPr>
          <w:trHeight w:val="243"/>
        </w:trPr>
        <w:tc>
          <w:tcPr>
            <w:tcW w:w="1820" w:type="dxa"/>
            <w:vAlign w:val="bottom"/>
            <w:shd w:val="clear" w:color="auto" w:fill="CFF0FC"/>
          </w:tcPr>
          <w:p>
            <w:pPr>
              <w:jc w:val="center"/>
              <w:ind w:left="19"/>
              <w:spacing w:after="0"/>
              <w:rPr>
                <w:sz w:val="20"/>
                <w:szCs w:val="20"/>
                <w:color w:val="auto"/>
              </w:rPr>
            </w:pPr>
            <w:r>
              <w:rPr>
                <w:rFonts w:ascii="Times New Roman" w:cs="Times New Roman" w:eastAsia="Times New Roman" w:hAnsi="Times New Roman"/>
                <w:sz w:val="16"/>
                <w:szCs w:val="16"/>
                <w:color w:val="auto"/>
              </w:rPr>
              <w:t>R. Dirk Allison</w:t>
            </w:r>
          </w:p>
        </w:tc>
        <w:tc>
          <w:tcPr>
            <w:tcW w:w="32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rPr>
              <w:t>Chief Executive Officer and Chairman of the</w:t>
            </w:r>
          </w:p>
        </w:tc>
        <w:tc>
          <w:tcPr>
            <w:tcW w:w="148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rPr>
              <w:t>August 26, 2024</w:t>
            </w:r>
          </w:p>
        </w:tc>
        <w:tc>
          <w:tcPr>
            <w:tcW w:w="1600" w:type="dxa"/>
            <w:vAlign w:val="bottom"/>
            <w:shd w:val="clear" w:color="auto" w:fill="CFF0FC"/>
          </w:tcPr>
          <w:p>
            <w:pPr>
              <w:jc w:val="center"/>
              <w:ind w:left="39"/>
              <w:spacing w:after="0" w:line="243" w:lineRule="exact"/>
              <w:rPr>
                <w:sz w:val="20"/>
                <w:szCs w:val="20"/>
                <w:color w:val="auto"/>
              </w:rPr>
            </w:pPr>
            <w:r>
              <w:rPr>
                <w:rFonts w:ascii="Times New Roman" w:cs="Times New Roman" w:eastAsia="Times New Roman" w:hAnsi="Times New Roman"/>
                <w:sz w:val="16"/>
                <w:szCs w:val="16"/>
                <w:color w:val="auto"/>
                <w:w w:val="96"/>
              </w:rPr>
              <w:t>March 10, 2025</w:t>
            </w:r>
            <w:r>
              <w:rPr>
                <w:rFonts w:ascii="Times New Roman" w:cs="Times New Roman" w:eastAsia="Times New Roman" w:hAnsi="Times New Roman"/>
                <w:sz w:val="24"/>
                <w:szCs w:val="24"/>
                <w:color w:val="auto"/>
                <w:w w:val="96"/>
                <w:vertAlign w:val="superscript"/>
              </w:rPr>
              <w:t>(3)</w:t>
            </w:r>
          </w:p>
        </w:tc>
        <w:tc>
          <w:tcPr>
            <w:tcW w:w="158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rPr>
              <w:t>n/a</w:t>
            </w:r>
          </w:p>
        </w:tc>
        <w:tc>
          <w:tcPr>
            <w:tcW w:w="1520" w:type="dxa"/>
            <w:vAlign w:val="bottom"/>
            <w:gridSpan w:val="2"/>
            <w:shd w:val="clear" w:color="auto" w:fill="CFF0FC"/>
          </w:tcPr>
          <w:p>
            <w:pPr>
              <w:jc w:val="center"/>
              <w:ind w:left="19"/>
              <w:spacing w:after="0" w:line="243" w:lineRule="exact"/>
              <w:rPr>
                <w:sz w:val="20"/>
                <w:szCs w:val="20"/>
                <w:color w:val="auto"/>
              </w:rPr>
            </w:pPr>
            <w:r>
              <w:rPr>
                <w:rFonts w:ascii="Times New Roman" w:cs="Times New Roman" w:eastAsia="Times New Roman" w:hAnsi="Times New Roman"/>
                <w:sz w:val="16"/>
                <w:szCs w:val="16"/>
                <w:color w:val="auto"/>
                <w:w w:val="92"/>
              </w:rPr>
              <w:t>87,500</w:t>
            </w:r>
            <w:r>
              <w:rPr>
                <w:rFonts w:ascii="Times New Roman" w:cs="Times New Roman" w:eastAsia="Times New Roman" w:hAnsi="Times New Roman"/>
                <w:sz w:val="24"/>
                <w:szCs w:val="24"/>
                <w:color w:val="auto"/>
                <w:w w:val="92"/>
                <w:vertAlign w:val="superscript"/>
              </w:rPr>
              <w:t>(4)</w:t>
            </w:r>
          </w:p>
        </w:tc>
        <w:tc>
          <w:tcPr>
            <w:tcW w:w="0" w:type="dxa"/>
            <w:vAlign w:val="bottom"/>
          </w:tcPr>
          <w:p>
            <w:pPr>
              <w:spacing w:after="0"/>
              <w:rPr>
                <w:sz w:val="1"/>
                <w:szCs w:val="1"/>
                <w:color w:val="auto"/>
              </w:rPr>
            </w:pPr>
          </w:p>
        </w:tc>
      </w:tr>
      <w:tr>
        <w:trPr>
          <w:trHeight w:val="162"/>
        </w:trPr>
        <w:tc>
          <w:tcPr>
            <w:tcW w:w="1820" w:type="dxa"/>
            <w:vAlign w:val="bottom"/>
            <w:shd w:val="clear" w:color="auto" w:fill="CFF0FC"/>
          </w:tcPr>
          <w:p>
            <w:pPr>
              <w:spacing w:after="0"/>
              <w:rPr>
                <w:sz w:val="14"/>
                <w:szCs w:val="14"/>
                <w:color w:val="auto"/>
              </w:rPr>
            </w:pPr>
          </w:p>
        </w:tc>
        <w:tc>
          <w:tcPr>
            <w:tcW w:w="3240" w:type="dxa"/>
            <w:vAlign w:val="bottom"/>
            <w:shd w:val="clear" w:color="auto" w:fill="CFF0FC"/>
          </w:tcPr>
          <w:p>
            <w:pPr>
              <w:jc w:val="center"/>
              <w:spacing w:after="0" w:line="162" w:lineRule="exact"/>
              <w:rPr>
                <w:sz w:val="20"/>
                <w:szCs w:val="20"/>
                <w:color w:val="auto"/>
              </w:rPr>
            </w:pPr>
            <w:r>
              <w:rPr>
                <w:rFonts w:ascii="Times New Roman" w:cs="Times New Roman" w:eastAsia="Times New Roman" w:hAnsi="Times New Roman"/>
                <w:sz w:val="16"/>
                <w:szCs w:val="16"/>
                <w:color w:val="auto"/>
              </w:rPr>
              <w:t>Board</w:t>
            </w:r>
          </w:p>
        </w:tc>
        <w:tc>
          <w:tcPr>
            <w:tcW w:w="1480" w:type="dxa"/>
            <w:vAlign w:val="bottom"/>
            <w:shd w:val="clear" w:color="auto" w:fill="CFF0FC"/>
          </w:tcPr>
          <w:p>
            <w:pPr>
              <w:spacing w:after="0"/>
              <w:rPr>
                <w:sz w:val="14"/>
                <w:szCs w:val="14"/>
                <w:color w:val="auto"/>
              </w:rPr>
            </w:pPr>
          </w:p>
        </w:tc>
        <w:tc>
          <w:tcPr>
            <w:tcW w:w="1600" w:type="dxa"/>
            <w:vAlign w:val="bottom"/>
            <w:shd w:val="clear" w:color="auto" w:fill="CFF0FC"/>
          </w:tcPr>
          <w:p>
            <w:pPr>
              <w:spacing w:after="0"/>
              <w:rPr>
                <w:sz w:val="14"/>
                <w:szCs w:val="14"/>
                <w:color w:val="auto"/>
              </w:rPr>
            </w:pPr>
          </w:p>
        </w:tc>
        <w:tc>
          <w:tcPr>
            <w:tcW w:w="15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4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1820" w:type="dxa"/>
            <w:vAlign w:val="bottom"/>
          </w:tcPr>
          <w:p>
            <w:pPr>
              <w:jc w:val="center"/>
              <w:ind w:left="39"/>
              <w:spacing w:after="0" w:line="243" w:lineRule="exact"/>
              <w:rPr>
                <w:sz w:val="20"/>
                <w:szCs w:val="20"/>
                <w:color w:val="auto"/>
              </w:rPr>
            </w:pPr>
            <w:r>
              <w:rPr>
                <w:rFonts w:ascii="Times New Roman" w:cs="Times New Roman" w:eastAsia="Times New Roman" w:hAnsi="Times New Roman"/>
                <w:sz w:val="16"/>
                <w:szCs w:val="16"/>
                <w:color w:val="auto"/>
                <w:w w:val="96"/>
              </w:rPr>
              <w:t>R. Dirk Allison</w:t>
            </w:r>
            <w:r>
              <w:rPr>
                <w:rFonts w:ascii="Times New Roman" w:cs="Times New Roman" w:eastAsia="Times New Roman" w:hAnsi="Times New Roman"/>
                <w:sz w:val="24"/>
                <w:szCs w:val="24"/>
                <w:color w:val="auto"/>
                <w:w w:val="96"/>
                <w:vertAlign w:val="superscript"/>
              </w:rPr>
              <w:t>(3)</w:t>
            </w:r>
          </w:p>
        </w:tc>
        <w:tc>
          <w:tcPr>
            <w:tcW w:w="32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Chief Executive Officer and Chairman of the</w:t>
            </w:r>
          </w:p>
        </w:tc>
        <w:tc>
          <w:tcPr>
            <w:tcW w:w="14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March 4, 2025</w:t>
            </w:r>
          </w:p>
        </w:tc>
        <w:tc>
          <w:tcPr>
            <w:tcW w:w="1600" w:type="dxa"/>
            <w:vAlign w:val="bottom"/>
          </w:tcPr>
          <w:p>
            <w:pPr>
              <w:jc w:val="center"/>
              <w:ind w:left="39"/>
              <w:spacing w:after="0"/>
              <w:rPr>
                <w:sz w:val="20"/>
                <w:szCs w:val="20"/>
                <w:color w:val="auto"/>
              </w:rPr>
            </w:pPr>
            <w:r>
              <w:rPr>
                <w:rFonts w:ascii="Times New Roman" w:cs="Times New Roman" w:eastAsia="Times New Roman" w:hAnsi="Times New Roman"/>
                <w:sz w:val="16"/>
                <w:szCs w:val="16"/>
                <w:color w:val="auto"/>
              </w:rPr>
              <w:t>February 24, 2026</w:t>
            </w: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28,942</w:t>
            </w:r>
          </w:p>
        </w:tc>
        <w:tc>
          <w:tcPr>
            <w:tcW w:w="120" w:type="dxa"/>
            <w:vAlign w:val="bottom"/>
          </w:tcPr>
          <w:p>
            <w:pPr>
              <w:spacing w:after="0"/>
              <w:rPr>
                <w:sz w:val="21"/>
                <w:szCs w:val="21"/>
                <w:color w:val="auto"/>
              </w:rPr>
            </w:pPr>
          </w:p>
        </w:tc>
        <w:tc>
          <w:tcPr>
            <w:tcW w:w="14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n/a</w:t>
            </w:r>
          </w:p>
        </w:tc>
        <w:tc>
          <w:tcPr>
            <w:tcW w:w="0" w:type="dxa"/>
            <w:vAlign w:val="bottom"/>
          </w:tcPr>
          <w:p>
            <w:pPr>
              <w:spacing w:after="0"/>
              <w:rPr>
                <w:sz w:val="1"/>
                <w:szCs w:val="1"/>
                <w:color w:val="auto"/>
              </w:rPr>
            </w:pPr>
          </w:p>
        </w:tc>
      </w:tr>
      <w:tr>
        <w:trPr>
          <w:trHeight w:val="162"/>
        </w:trPr>
        <w:tc>
          <w:tcPr>
            <w:tcW w:w="1820" w:type="dxa"/>
            <w:vAlign w:val="bottom"/>
          </w:tcPr>
          <w:p>
            <w:pPr>
              <w:spacing w:after="0"/>
              <w:rPr>
                <w:sz w:val="14"/>
                <w:szCs w:val="14"/>
                <w:color w:val="auto"/>
              </w:rPr>
            </w:pPr>
          </w:p>
        </w:tc>
        <w:tc>
          <w:tcPr>
            <w:tcW w:w="3240" w:type="dxa"/>
            <w:vAlign w:val="bottom"/>
          </w:tcPr>
          <w:p>
            <w:pPr>
              <w:jc w:val="center"/>
              <w:spacing w:after="0" w:line="162" w:lineRule="exact"/>
              <w:rPr>
                <w:sz w:val="20"/>
                <w:szCs w:val="20"/>
                <w:color w:val="auto"/>
              </w:rPr>
            </w:pPr>
            <w:r>
              <w:rPr>
                <w:rFonts w:ascii="Times New Roman" w:cs="Times New Roman" w:eastAsia="Times New Roman" w:hAnsi="Times New Roman"/>
                <w:sz w:val="16"/>
                <w:szCs w:val="16"/>
                <w:color w:val="auto"/>
              </w:rPr>
              <w:t>Board</w:t>
            </w:r>
          </w:p>
        </w:tc>
        <w:tc>
          <w:tcPr>
            <w:tcW w:w="148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1820" w:type="dxa"/>
            <w:vAlign w:val="bottom"/>
            <w:vMerge w:val="restart"/>
            <w:shd w:val="clear" w:color="auto" w:fill="CFF0FC"/>
          </w:tcPr>
          <w:p>
            <w:pPr>
              <w:jc w:val="center"/>
              <w:ind w:left="19"/>
              <w:spacing w:after="0"/>
              <w:rPr>
                <w:sz w:val="20"/>
                <w:szCs w:val="20"/>
                <w:color w:val="auto"/>
              </w:rPr>
            </w:pPr>
            <w:r>
              <w:rPr>
                <w:rFonts w:ascii="Times New Roman" w:cs="Times New Roman" w:eastAsia="Times New Roman" w:hAnsi="Times New Roman"/>
                <w:sz w:val="16"/>
                <w:szCs w:val="16"/>
                <w:color w:val="auto"/>
              </w:rPr>
              <w:t>Darby Anderson</w:t>
            </w:r>
          </w:p>
        </w:tc>
        <w:tc>
          <w:tcPr>
            <w:tcW w:w="32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rPr>
              <w:t>EVP and Chief Government Affairs &amp;</w:t>
            </w:r>
          </w:p>
        </w:tc>
        <w:tc>
          <w:tcPr>
            <w:tcW w:w="1480" w:type="dxa"/>
            <w:vAlign w:val="bottom"/>
            <w:vMerge w:val="restart"/>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rPr>
              <w:t>March 5, 2025</w:t>
            </w:r>
          </w:p>
        </w:tc>
        <w:tc>
          <w:tcPr>
            <w:tcW w:w="1600" w:type="dxa"/>
            <w:vAlign w:val="bottom"/>
            <w:vMerge w:val="restart"/>
            <w:shd w:val="clear" w:color="auto" w:fill="CFF0FC"/>
          </w:tcPr>
          <w:p>
            <w:pPr>
              <w:jc w:val="center"/>
              <w:ind w:left="39"/>
              <w:spacing w:after="0"/>
              <w:rPr>
                <w:sz w:val="20"/>
                <w:szCs w:val="20"/>
                <w:color w:val="auto"/>
              </w:rPr>
            </w:pPr>
            <w:r>
              <w:rPr>
                <w:rFonts w:ascii="Times New Roman" w:cs="Times New Roman" w:eastAsia="Times New Roman" w:hAnsi="Times New Roman"/>
                <w:sz w:val="16"/>
                <w:szCs w:val="16"/>
                <w:color w:val="auto"/>
              </w:rPr>
              <w:t>February 24, 2026</w:t>
            </w:r>
          </w:p>
        </w:tc>
        <w:tc>
          <w:tcPr>
            <w:tcW w:w="15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4,718</w:t>
            </w:r>
          </w:p>
        </w:tc>
        <w:tc>
          <w:tcPr>
            <w:tcW w:w="120" w:type="dxa"/>
            <w:vAlign w:val="bottom"/>
            <w:shd w:val="clear" w:color="auto" w:fill="CFF0FC"/>
          </w:tcPr>
          <w:p>
            <w:pPr>
              <w:spacing w:after="0"/>
              <w:rPr>
                <w:sz w:val="16"/>
                <w:szCs w:val="16"/>
                <w:color w:val="auto"/>
              </w:rPr>
            </w:pPr>
          </w:p>
        </w:tc>
        <w:tc>
          <w:tcPr>
            <w:tcW w:w="1400" w:type="dxa"/>
            <w:vAlign w:val="bottom"/>
            <w:vMerge w:val="restart"/>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rPr>
              <w:t>n/a</w:t>
            </w:r>
          </w:p>
        </w:tc>
        <w:tc>
          <w:tcPr>
            <w:tcW w:w="0" w:type="dxa"/>
            <w:vAlign w:val="bottom"/>
          </w:tcPr>
          <w:p>
            <w:pPr>
              <w:spacing w:after="0"/>
              <w:rPr>
                <w:sz w:val="1"/>
                <w:szCs w:val="1"/>
                <w:color w:val="auto"/>
              </w:rPr>
            </w:pPr>
          </w:p>
        </w:tc>
      </w:tr>
      <w:tr>
        <w:trPr>
          <w:trHeight w:val="102"/>
        </w:trPr>
        <w:tc>
          <w:tcPr>
            <w:tcW w:w="1820" w:type="dxa"/>
            <w:vAlign w:val="bottom"/>
            <w:vMerge w:val="continue"/>
            <w:shd w:val="clear" w:color="auto" w:fill="CFF0FC"/>
          </w:tcPr>
          <w:p>
            <w:pPr>
              <w:spacing w:after="0"/>
              <w:rPr>
                <w:sz w:val="8"/>
                <w:szCs w:val="8"/>
                <w:color w:val="auto"/>
              </w:rPr>
            </w:pPr>
          </w:p>
        </w:tc>
        <w:tc>
          <w:tcPr>
            <w:tcW w:w="3240" w:type="dxa"/>
            <w:vAlign w:val="bottom"/>
            <w:vMerge w:val="restart"/>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rPr>
              <w:t>Community Relations Officer</w:t>
            </w:r>
          </w:p>
        </w:tc>
        <w:tc>
          <w:tcPr>
            <w:tcW w:w="1480" w:type="dxa"/>
            <w:vAlign w:val="bottom"/>
            <w:vMerge w:val="continue"/>
            <w:shd w:val="clear" w:color="auto" w:fill="CFF0FC"/>
          </w:tcPr>
          <w:p>
            <w:pPr>
              <w:spacing w:after="0"/>
              <w:rPr>
                <w:sz w:val="8"/>
                <w:szCs w:val="8"/>
                <w:color w:val="auto"/>
              </w:rPr>
            </w:pPr>
          </w:p>
        </w:tc>
        <w:tc>
          <w:tcPr>
            <w:tcW w:w="1600" w:type="dxa"/>
            <w:vAlign w:val="bottom"/>
            <w:vMerge w:val="continue"/>
            <w:shd w:val="clear" w:color="auto" w:fill="CFF0FC"/>
          </w:tcPr>
          <w:p>
            <w:pPr>
              <w:spacing w:after="0"/>
              <w:rPr>
                <w:sz w:val="8"/>
                <w:szCs w:val="8"/>
                <w:color w:val="auto"/>
              </w:rPr>
            </w:pPr>
          </w:p>
        </w:tc>
        <w:tc>
          <w:tcPr>
            <w:tcW w:w="1580" w:type="dxa"/>
            <w:vAlign w:val="bottom"/>
            <w:vMerge w:val="continue"/>
            <w:shd w:val="clear" w:color="auto" w:fill="CFF0FC"/>
          </w:tcPr>
          <w:p>
            <w:pPr>
              <w:spacing w:after="0"/>
              <w:rPr>
                <w:sz w:val="8"/>
                <w:szCs w:val="8"/>
                <w:color w:val="auto"/>
              </w:rPr>
            </w:pPr>
          </w:p>
        </w:tc>
        <w:tc>
          <w:tcPr>
            <w:tcW w:w="120" w:type="dxa"/>
            <w:vAlign w:val="bottom"/>
            <w:shd w:val="clear" w:color="auto" w:fill="CFF0FC"/>
          </w:tcPr>
          <w:p>
            <w:pPr>
              <w:spacing w:after="0"/>
              <w:rPr>
                <w:sz w:val="8"/>
                <w:szCs w:val="8"/>
                <w:color w:val="auto"/>
              </w:rPr>
            </w:pPr>
          </w:p>
        </w:tc>
        <w:tc>
          <w:tcPr>
            <w:tcW w:w="1400" w:type="dxa"/>
            <w:vAlign w:val="bottom"/>
            <w:vMerge w:val="continue"/>
            <w:shd w:val="clear" w:color="auto" w:fill="CFF0FC"/>
          </w:tcPr>
          <w:p>
            <w:pPr>
              <w:spacing w:after="0"/>
              <w:rPr>
                <w:sz w:val="8"/>
                <w:szCs w:val="8"/>
                <w:color w:val="auto"/>
              </w:rPr>
            </w:pPr>
          </w:p>
        </w:tc>
        <w:tc>
          <w:tcPr>
            <w:tcW w:w="0" w:type="dxa"/>
            <w:vAlign w:val="bottom"/>
          </w:tcPr>
          <w:p>
            <w:pPr>
              <w:spacing w:after="0"/>
              <w:rPr>
                <w:sz w:val="1"/>
                <w:szCs w:val="1"/>
                <w:color w:val="auto"/>
              </w:rPr>
            </w:pPr>
          </w:p>
        </w:tc>
      </w:tr>
      <w:tr>
        <w:trPr>
          <w:trHeight w:val="114"/>
        </w:trPr>
        <w:tc>
          <w:tcPr>
            <w:tcW w:w="1820" w:type="dxa"/>
            <w:vAlign w:val="bottom"/>
            <w:shd w:val="clear" w:color="auto" w:fill="CFF0FC"/>
          </w:tcPr>
          <w:p>
            <w:pPr>
              <w:spacing w:after="0"/>
              <w:rPr>
                <w:sz w:val="9"/>
                <w:szCs w:val="9"/>
                <w:color w:val="auto"/>
              </w:rPr>
            </w:pPr>
          </w:p>
        </w:tc>
        <w:tc>
          <w:tcPr>
            <w:tcW w:w="3240" w:type="dxa"/>
            <w:vAlign w:val="bottom"/>
            <w:vMerge w:val="continue"/>
            <w:shd w:val="clear" w:color="auto" w:fill="CFF0FC"/>
          </w:tcPr>
          <w:p>
            <w:pPr>
              <w:spacing w:after="0"/>
              <w:rPr>
                <w:sz w:val="9"/>
                <w:szCs w:val="9"/>
                <w:color w:val="auto"/>
              </w:rPr>
            </w:pPr>
          </w:p>
        </w:tc>
        <w:tc>
          <w:tcPr>
            <w:tcW w:w="1480" w:type="dxa"/>
            <w:vAlign w:val="bottom"/>
            <w:shd w:val="clear" w:color="auto" w:fill="CFF0FC"/>
          </w:tcPr>
          <w:p>
            <w:pPr>
              <w:spacing w:after="0"/>
              <w:rPr>
                <w:sz w:val="9"/>
                <w:szCs w:val="9"/>
                <w:color w:val="auto"/>
              </w:rPr>
            </w:pPr>
          </w:p>
        </w:tc>
        <w:tc>
          <w:tcPr>
            <w:tcW w:w="1600" w:type="dxa"/>
            <w:vAlign w:val="bottom"/>
            <w:shd w:val="clear" w:color="auto" w:fill="CFF0FC"/>
          </w:tcPr>
          <w:p>
            <w:pPr>
              <w:spacing w:after="0"/>
              <w:rPr>
                <w:sz w:val="9"/>
                <w:szCs w:val="9"/>
                <w:color w:val="auto"/>
              </w:rPr>
            </w:pPr>
          </w:p>
        </w:tc>
        <w:tc>
          <w:tcPr>
            <w:tcW w:w="158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140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203"/>
        </w:trPr>
        <w:tc>
          <w:tcPr>
            <w:tcW w:w="1820" w:type="dxa"/>
            <w:vAlign w:val="bottom"/>
          </w:tcPr>
          <w:p>
            <w:pPr>
              <w:jc w:val="center"/>
              <w:ind w:left="39"/>
              <w:spacing w:after="0"/>
              <w:rPr>
                <w:sz w:val="20"/>
                <w:szCs w:val="20"/>
                <w:color w:val="auto"/>
              </w:rPr>
            </w:pPr>
            <w:r>
              <w:rPr>
                <w:rFonts w:ascii="Times New Roman" w:cs="Times New Roman" w:eastAsia="Times New Roman" w:hAnsi="Times New Roman"/>
                <w:sz w:val="16"/>
                <w:szCs w:val="16"/>
                <w:color w:val="auto"/>
              </w:rPr>
              <w:t>W. Bradley Bickham</w:t>
            </w:r>
          </w:p>
        </w:tc>
        <w:tc>
          <w:tcPr>
            <w:tcW w:w="32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President and Chief Operating Officer</w:t>
            </w:r>
          </w:p>
        </w:tc>
        <w:tc>
          <w:tcPr>
            <w:tcW w:w="14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March 5, 2025</w:t>
            </w:r>
          </w:p>
        </w:tc>
        <w:tc>
          <w:tcPr>
            <w:tcW w:w="1600" w:type="dxa"/>
            <w:vAlign w:val="bottom"/>
          </w:tcPr>
          <w:p>
            <w:pPr>
              <w:jc w:val="center"/>
              <w:ind w:left="39"/>
              <w:spacing w:after="0"/>
              <w:rPr>
                <w:sz w:val="20"/>
                <w:szCs w:val="20"/>
                <w:color w:val="auto"/>
              </w:rPr>
            </w:pPr>
            <w:r>
              <w:rPr>
                <w:rFonts w:ascii="Times New Roman" w:cs="Times New Roman" w:eastAsia="Times New Roman" w:hAnsi="Times New Roman"/>
                <w:sz w:val="16"/>
                <w:szCs w:val="16"/>
                <w:color w:val="auto"/>
              </w:rPr>
              <w:t>February 24, 2026</w:t>
            </w: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12,173</w:t>
            </w:r>
          </w:p>
        </w:tc>
        <w:tc>
          <w:tcPr>
            <w:tcW w:w="120" w:type="dxa"/>
            <w:vAlign w:val="bottom"/>
          </w:tcPr>
          <w:p>
            <w:pPr>
              <w:spacing w:after="0"/>
              <w:rPr>
                <w:sz w:val="17"/>
                <w:szCs w:val="17"/>
                <w:color w:val="auto"/>
              </w:rPr>
            </w:pPr>
          </w:p>
        </w:tc>
        <w:tc>
          <w:tcPr>
            <w:tcW w:w="14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n/a</w:t>
            </w:r>
          </w:p>
        </w:tc>
        <w:tc>
          <w:tcPr>
            <w:tcW w:w="0" w:type="dxa"/>
            <w:vAlign w:val="bottom"/>
          </w:tcPr>
          <w:p>
            <w:pPr>
              <w:spacing w:after="0"/>
              <w:rPr>
                <w:sz w:val="1"/>
                <w:szCs w:val="1"/>
                <w:color w:val="auto"/>
              </w:rPr>
            </w:pPr>
          </w:p>
        </w:tc>
      </w:tr>
      <w:tr>
        <w:trPr>
          <w:trHeight w:val="203"/>
        </w:trPr>
        <w:tc>
          <w:tcPr>
            <w:tcW w:w="1820" w:type="dxa"/>
            <w:vAlign w:val="bottom"/>
            <w:shd w:val="clear" w:color="auto" w:fill="CFF0FC"/>
          </w:tcPr>
          <w:p>
            <w:pPr>
              <w:jc w:val="center"/>
              <w:ind w:left="39"/>
              <w:spacing w:after="0"/>
              <w:rPr>
                <w:sz w:val="20"/>
                <w:szCs w:val="20"/>
                <w:color w:val="auto"/>
              </w:rPr>
            </w:pPr>
            <w:r>
              <w:rPr>
                <w:rFonts w:ascii="Times New Roman" w:cs="Times New Roman" w:eastAsia="Times New Roman" w:hAnsi="Times New Roman"/>
                <w:sz w:val="16"/>
                <w:szCs w:val="16"/>
                <w:color w:val="auto"/>
              </w:rPr>
              <w:t>Cliff Blessing</w:t>
            </w:r>
          </w:p>
        </w:tc>
        <w:tc>
          <w:tcPr>
            <w:tcW w:w="32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rPr>
              <w:t>EVP and Chief Development Officer</w:t>
            </w:r>
          </w:p>
        </w:tc>
        <w:tc>
          <w:tcPr>
            <w:tcW w:w="148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rPr>
              <w:t>March 14, 2025</w:t>
            </w:r>
          </w:p>
        </w:tc>
        <w:tc>
          <w:tcPr>
            <w:tcW w:w="1600" w:type="dxa"/>
            <w:vAlign w:val="bottom"/>
            <w:shd w:val="clear" w:color="auto" w:fill="CFF0FC"/>
          </w:tcPr>
          <w:p>
            <w:pPr>
              <w:jc w:val="center"/>
              <w:ind w:left="39"/>
              <w:spacing w:after="0"/>
              <w:rPr>
                <w:sz w:val="20"/>
                <w:szCs w:val="20"/>
                <w:color w:val="auto"/>
              </w:rPr>
            </w:pPr>
            <w:r>
              <w:rPr>
                <w:rFonts w:ascii="Times New Roman" w:cs="Times New Roman" w:eastAsia="Times New Roman" w:hAnsi="Times New Roman"/>
                <w:sz w:val="16"/>
                <w:szCs w:val="16"/>
                <w:color w:val="auto"/>
              </w:rPr>
              <w:t>February 24, 2026</w:t>
            </w: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4,009</w:t>
            </w:r>
          </w:p>
        </w:tc>
        <w:tc>
          <w:tcPr>
            <w:tcW w:w="120" w:type="dxa"/>
            <w:vAlign w:val="bottom"/>
            <w:shd w:val="clear" w:color="auto" w:fill="CFF0FC"/>
          </w:tcPr>
          <w:p>
            <w:pPr>
              <w:spacing w:after="0"/>
              <w:rPr>
                <w:sz w:val="17"/>
                <w:szCs w:val="17"/>
                <w:color w:val="auto"/>
              </w:rPr>
            </w:pPr>
          </w:p>
        </w:tc>
        <w:tc>
          <w:tcPr>
            <w:tcW w:w="14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rPr>
              <w:t>n/a</w:t>
            </w:r>
          </w:p>
        </w:tc>
        <w:tc>
          <w:tcPr>
            <w:tcW w:w="0" w:type="dxa"/>
            <w:vAlign w:val="bottom"/>
          </w:tcPr>
          <w:p>
            <w:pPr>
              <w:spacing w:after="0"/>
              <w:rPr>
                <w:sz w:val="1"/>
                <w:szCs w:val="1"/>
                <w:color w:val="auto"/>
              </w:rPr>
            </w:pPr>
          </w:p>
        </w:tc>
      </w:tr>
      <w:tr>
        <w:trPr>
          <w:trHeight w:val="189"/>
        </w:trPr>
        <w:tc>
          <w:tcPr>
            <w:tcW w:w="1820" w:type="dxa"/>
            <w:vAlign w:val="bottom"/>
            <w:vMerge w:val="restart"/>
          </w:tcPr>
          <w:p>
            <w:pPr>
              <w:jc w:val="center"/>
              <w:ind w:left="19"/>
              <w:spacing w:after="0"/>
              <w:rPr>
                <w:sz w:val="20"/>
                <w:szCs w:val="20"/>
                <w:color w:val="auto"/>
              </w:rPr>
            </w:pPr>
            <w:r>
              <w:rPr>
                <w:rFonts w:ascii="Times New Roman" w:cs="Times New Roman" w:eastAsia="Times New Roman" w:hAnsi="Times New Roman"/>
                <w:sz w:val="16"/>
                <w:szCs w:val="16"/>
                <w:color w:val="auto"/>
              </w:rPr>
              <w:t>Brian Poff</w:t>
            </w:r>
          </w:p>
        </w:tc>
        <w:tc>
          <w:tcPr>
            <w:tcW w:w="32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EVP, Chief Financial Officer, Secretary and</w:t>
            </w:r>
          </w:p>
        </w:tc>
        <w:tc>
          <w:tcPr>
            <w:tcW w:w="148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auto"/>
              </w:rPr>
              <w:t>March 4, 2025</w:t>
            </w:r>
          </w:p>
        </w:tc>
        <w:tc>
          <w:tcPr>
            <w:tcW w:w="1600" w:type="dxa"/>
            <w:vAlign w:val="bottom"/>
            <w:vMerge w:val="restart"/>
          </w:tcPr>
          <w:p>
            <w:pPr>
              <w:jc w:val="center"/>
              <w:ind w:left="39"/>
              <w:spacing w:after="0"/>
              <w:rPr>
                <w:sz w:val="20"/>
                <w:szCs w:val="20"/>
                <w:color w:val="auto"/>
              </w:rPr>
            </w:pPr>
            <w:r>
              <w:rPr>
                <w:rFonts w:ascii="Times New Roman" w:cs="Times New Roman" w:eastAsia="Times New Roman" w:hAnsi="Times New Roman"/>
                <w:sz w:val="16"/>
                <w:szCs w:val="16"/>
                <w:color w:val="auto"/>
              </w:rPr>
              <w:t>February 24, 2026</w:t>
            </w:r>
          </w:p>
        </w:tc>
        <w:tc>
          <w:tcPr>
            <w:tcW w:w="15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11,363</w:t>
            </w:r>
          </w:p>
        </w:tc>
        <w:tc>
          <w:tcPr>
            <w:tcW w:w="120" w:type="dxa"/>
            <w:vAlign w:val="bottom"/>
          </w:tcPr>
          <w:p>
            <w:pPr>
              <w:spacing w:after="0"/>
              <w:rPr>
                <w:sz w:val="16"/>
                <w:szCs w:val="16"/>
                <w:color w:val="auto"/>
              </w:rPr>
            </w:pPr>
          </w:p>
        </w:tc>
        <w:tc>
          <w:tcPr>
            <w:tcW w:w="140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auto"/>
              </w:rPr>
              <w:t>n/a</w:t>
            </w:r>
          </w:p>
        </w:tc>
        <w:tc>
          <w:tcPr>
            <w:tcW w:w="0" w:type="dxa"/>
            <w:vAlign w:val="bottom"/>
          </w:tcPr>
          <w:p>
            <w:pPr>
              <w:spacing w:after="0"/>
              <w:rPr>
                <w:sz w:val="1"/>
                <w:szCs w:val="1"/>
                <w:color w:val="auto"/>
              </w:rPr>
            </w:pPr>
          </w:p>
        </w:tc>
      </w:tr>
      <w:tr>
        <w:trPr>
          <w:trHeight w:val="102"/>
        </w:trPr>
        <w:tc>
          <w:tcPr>
            <w:tcW w:w="1820" w:type="dxa"/>
            <w:vAlign w:val="bottom"/>
            <w:vMerge w:val="continue"/>
          </w:tcPr>
          <w:p>
            <w:pPr>
              <w:spacing w:after="0"/>
              <w:rPr>
                <w:sz w:val="8"/>
                <w:szCs w:val="8"/>
                <w:color w:val="auto"/>
              </w:rPr>
            </w:pPr>
          </w:p>
        </w:tc>
        <w:tc>
          <w:tcPr>
            <w:tcW w:w="324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auto"/>
              </w:rPr>
              <w:t>Treasurer</w:t>
            </w:r>
          </w:p>
        </w:tc>
        <w:tc>
          <w:tcPr>
            <w:tcW w:w="1480" w:type="dxa"/>
            <w:vAlign w:val="bottom"/>
            <w:vMerge w:val="continue"/>
          </w:tcPr>
          <w:p>
            <w:pPr>
              <w:spacing w:after="0"/>
              <w:rPr>
                <w:sz w:val="8"/>
                <w:szCs w:val="8"/>
                <w:color w:val="auto"/>
              </w:rPr>
            </w:pPr>
          </w:p>
        </w:tc>
        <w:tc>
          <w:tcPr>
            <w:tcW w:w="1600" w:type="dxa"/>
            <w:vAlign w:val="bottom"/>
            <w:vMerge w:val="continue"/>
          </w:tcPr>
          <w:p>
            <w:pPr>
              <w:spacing w:after="0"/>
              <w:rPr>
                <w:sz w:val="8"/>
                <w:szCs w:val="8"/>
                <w:color w:val="auto"/>
              </w:rPr>
            </w:pPr>
          </w:p>
        </w:tc>
        <w:tc>
          <w:tcPr>
            <w:tcW w:w="158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14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11"/>
        </w:trPr>
        <w:tc>
          <w:tcPr>
            <w:tcW w:w="1820" w:type="dxa"/>
            <w:vAlign w:val="bottom"/>
          </w:tcPr>
          <w:p>
            <w:pPr>
              <w:spacing w:after="0"/>
              <w:rPr>
                <w:sz w:val="9"/>
                <w:szCs w:val="9"/>
                <w:color w:val="auto"/>
              </w:rPr>
            </w:pPr>
          </w:p>
        </w:tc>
        <w:tc>
          <w:tcPr>
            <w:tcW w:w="3240" w:type="dxa"/>
            <w:vAlign w:val="bottom"/>
            <w:vMerge w:val="continue"/>
          </w:tcPr>
          <w:p>
            <w:pPr>
              <w:spacing w:after="0"/>
              <w:rPr>
                <w:sz w:val="9"/>
                <w:szCs w:val="9"/>
                <w:color w:val="auto"/>
              </w:rPr>
            </w:pPr>
          </w:p>
        </w:tc>
        <w:tc>
          <w:tcPr>
            <w:tcW w:w="1480" w:type="dxa"/>
            <w:vAlign w:val="bottom"/>
          </w:tcPr>
          <w:p>
            <w:pPr>
              <w:spacing w:after="0"/>
              <w:rPr>
                <w:sz w:val="9"/>
                <w:szCs w:val="9"/>
                <w:color w:val="auto"/>
              </w:rPr>
            </w:pPr>
          </w:p>
        </w:tc>
        <w:tc>
          <w:tcPr>
            <w:tcW w:w="1600" w:type="dxa"/>
            <w:vAlign w:val="bottom"/>
          </w:tcPr>
          <w:p>
            <w:pPr>
              <w:spacing w:after="0"/>
              <w:rPr>
                <w:sz w:val="9"/>
                <w:szCs w:val="9"/>
                <w:color w:val="auto"/>
              </w:rPr>
            </w:pPr>
          </w:p>
        </w:tc>
        <w:tc>
          <w:tcPr>
            <w:tcW w:w="15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92"/>
        </w:trPr>
        <w:tc>
          <w:tcPr>
            <w:tcW w:w="1820" w:type="dxa"/>
            <w:vAlign w:val="bottom"/>
            <w:vMerge w:val="restart"/>
            <w:shd w:val="clear" w:color="auto" w:fill="CFF0FC"/>
          </w:tcPr>
          <w:p>
            <w:pPr>
              <w:jc w:val="center"/>
              <w:ind w:left="39"/>
              <w:spacing w:after="0"/>
              <w:rPr>
                <w:sz w:val="20"/>
                <w:szCs w:val="20"/>
                <w:color w:val="auto"/>
              </w:rPr>
            </w:pPr>
            <w:r>
              <w:rPr>
                <w:rFonts w:ascii="Times New Roman" w:cs="Times New Roman" w:eastAsia="Times New Roman" w:hAnsi="Times New Roman"/>
                <w:sz w:val="16"/>
                <w:szCs w:val="16"/>
                <w:color w:val="auto"/>
              </w:rPr>
              <w:t>Monica Raines</w:t>
            </w:r>
          </w:p>
        </w:tc>
        <w:tc>
          <w:tcPr>
            <w:tcW w:w="32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rPr>
              <w:t>EVP and Chief Compliance and Quality</w:t>
            </w:r>
          </w:p>
        </w:tc>
        <w:tc>
          <w:tcPr>
            <w:tcW w:w="1480" w:type="dxa"/>
            <w:vAlign w:val="bottom"/>
            <w:vMerge w:val="restart"/>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rPr>
              <w:t>March 13, 2025</w:t>
            </w:r>
          </w:p>
        </w:tc>
        <w:tc>
          <w:tcPr>
            <w:tcW w:w="1600" w:type="dxa"/>
            <w:vAlign w:val="bottom"/>
            <w:vMerge w:val="restart"/>
            <w:shd w:val="clear" w:color="auto" w:fill="CFF0FC"/>
          </w:tcPr>
          <w:p>
            <w:pPr>
              <w:jc w:val="center"/>
              <w:ind w:left="39"/>
              <w:spacing w:after="0"/>
              <w:rPr>
                <w:sz w:val="20"/>
                <w:szCs w:val="20"/>
                <w:color w:val="auto"/>
              </w:rPr>
            </w:pPr>
            <w:r>
              <w:rPr>
                <w:rFonts w:ascii="Times New Roman" w:cs="Times New Roman" w:eastAsia="Times New Roman" w:hAnsi="Times New Roman"/>
                <w:sz w:val="16"/>
                <w:szCs w:val="16"/>
                <w:color w:val="auto"/>
              </w:rPr>
              <w:t>March 1, 2026</w:t>
            </w:r>
          </w:p>
        </w:tc>
        <w:tc>
          <w:tcPr>
            <w:tcW w:w="15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4,010</w:t>
            </w:r>
          </w:p>
        </w:tc>
        <w:tc>
          <w:tcPr>
            <w:tcW w:w="120" w:type="dxa"/>
            <w:vAlign w:val="bottom"/>
            <w:shd w:val="clear" w:color="auto" w:fill="CFF0FC"/>
          </w:tcPr>
          <w:p>
            <w:pPr>
              <w:spacing w:after="0"/>
              <w:rPr>
                <w:sz w:val="16"/>
                <w:szCs w:val="16"/>
                <w:color w:val="auto"/>
              </w:rPr>
            </w:pPr>
          </w:p>
        </w:tc>
        <w:tc>
          <w:tcPr>
            <w:tcW w:w="1400" w:type="dxa"/>
            <w:vAlign w:val="bottom"/>
            <w:vMerge w:val="restart"/>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rPr>
              <w:t>n/a</w:t>
            </w:r>
          </w:p>
        </w:tc>
        <w:tc>
          <w:tcPr>
            <w:tcW w:w="0" w:type="dxa"/>
            <w:vAlign w:val="bottom"/>
          </w:tcPr>
          <w:p>
            <w:pPr>
              <w:spacing w:after="0"/>
              <w:rPr>
                <w:sz w:val="1"/>
                <w:szCs w:val="1"/>
                <w:color w:val="auto"/>
              </w:rPr>
            </w:pPr>
          </w:p>
        </w:tc>
      </w:tr>
      <w:tr>
        <w:trPr>
          <w:trHeight w:val="102"/>
        </w:trPr>
        <w:tc>
          <w:tcPr>
            <w:tcW w:w="1820" w:type="dxa"/>
            <w:vAlign w:val="bottom"/>
            <w:vMerge w:val="continue"/>
            <w:shd w:val="clear" w:color="auto" w:fill="CFF0FC"/>
          </w:tcPr>
          <w:p>
            <w:pPr>
              <w:spacing w:after="0"/>
              <w:rPr>
                <w:sz w:val="8"/>
                <w:szCs w:val="8"/>
                <w:color w:val="auto"/>
              </w:rPr>
            </w:pPr>
          </w:p>
        </w:tc>
        <w:tc>
          <w:tcPr>
            <w:tcW w:w="3240" w:type="dxa"/>
            <w:vAlign w:val="bottom"/>
            <w:vMerge w:val="restart"/>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w w:val="99"/>
              </w:rPr>
              <w:t>Officer</w:t>
            </w:r>
          </w:p>
        </w:tc>
        <w:tc>
          <w:tcPr>
            <w:tcW w:w="1480" w:type="dxa"/>
            <w:vAlign w:val="bottom"/>
            <w:vMerge w:val="continue"/>
            <w:shd w:val="clear" w:color="auto" w:fill="CFF0FC"/>
          </w:tcPr>
          <w:p>
            <w:pPr>
              <w:spacing w:after="0"/>
              <w:rPr>
                <w:sz w:val="8"/>
                <w:szCs w:val="8"/>
                <w:color w:val="auto"/>
              </w:rPr>
            </w:pPr>
          </w:p>
        </w:tc>
        <w:tc>
          <w:tcPr>
            <w:tcW w:w="1600" w:type="dxa"/>
            <w:vAlign w:val="bottom"/>
            <w:vMerge w:val="continue"/>
            <w:shd w:val="clear" w:color="auto" w:fill="CFF0FC"/>
          </w:tcPr>
          <w:p>
            <w:pPr>
              <w:spacing w:after="0"/>
              <w:rPr>
                <w:sz w:val="8"/>
                <w:szCs w:val="8"/>
                <w:color w:val="auto"/>
              </w:rPr>
            </w:pPr>
          </w:p>
        </w:tc>
        <w:tc>
          <w:tcPr>
            <w:tcW w:w="1580" w:type="dxa"/>
            <w:vAlign w:val="bottom"/>
            <w:vMerge w:val="continue"/>
            <w:shd w:val="clear" w:color="auto" w:fill="CFF0FC"/>
          </w:tcPr>
          <w:p>
            <w:pPr>
              <w:spacing w:after="0"/>
              <w:rPr>
                <w:sz w:val="8"/>
                <w:szCs w:val="8"/>
                <w:color w:val="auto"/>
              </w:rPr>
            </w:pPr>
          </w:p>
        </w:tc>
        <w:tc>
          <w:tcPr>
            <w:tcW w:w="120" w:type="dxa"/>
            <w:vAlign w:val="bottom"/>
            <w:shd w:val="clear" w:color="auto" w:fill="CFF0FC"/>
          </w:tcPr>
          <w:p>
            <w:pPr>
              <w:spacing w:after="0"/>
              <w:rPr>
                <w:sz w:val="8"/>
                <w:szCs w:val="8"/>
                <w:color w:val="auto"/>
              </w:rPr>
            </w:pPr>
          </w:p>
        </w:tc>
        <w:tc>
          <w:tcPr>
            <w:tcW w:w="1400" w:type="dxa"/>
            <w:vAlign w:val="bottom"/>
            <w:vMerge w:val="continue"/>
            <w:shd w:val="clear" w:color="auto" w:fill="CFF0FC"/>
          </w:tcPr>
          <w:p>
            <w:pPr>
              <w:spacing w:after="0"/>
              <w:rPr>
                <w:sz w:val="8"/>
                <w:szCs w:val="8"/>
                <w:color w:val="auto"/>
              </w:rPr>
            </w:pPr>
          </w:p>
        </w:tc>
        <w:tc>
          <w:tcPr>
            <w:tcW w:w="0" w:type="dxa"/>
            <w:vAlign w:val="bottom"/>
          </w:tcPr>
          <w:p>
            <w:pPr>
              <w:spacing w:after="0"/>
              <w:rPr>
                <w:sz w:val="1"/>
                <w:szCs w:val="1"/>
                <w:color w:val="auto"/>
              </w:rPr>
            </w:pPr>
          </w:p>
        </w:tc>
      </w:tr>
      <w:tr>
        <w:trPr>
          <w:trHeight w:val="114"/>
        </w:trPr>
        <w:tc>
          <w:tcPr>
            <w:tcW w:w="1820" w:type="dxa"/>
            <w:vAlign w:val="bottom"/>
            <w:shd w:val="clear" w:color="auto" w:fill="CFF0FC"/>
          </w:tcPr>
          <w:p>
            <w:pPr>
              <w:spacing w:after="0"/>
              <w:rPr>
                <w:sz w:val="9"/>
                <w:szCs w:val="9"/>
                <w:color w:val="auto"/>
              </w:rPr>
            </w:pPr>
          </w:p>
        </w:tc>
        <w:tc>
          <w:tcPr>
            <w:tcW w:w="3240" w:type="dxa"/>
            <w:vAlign w:val="bottom"/>
            <w:vMerge w:val="continue"/>
            <w:shd w:val="clear" w:color="auto" w:fill="CFF0FC"/>
          </w:tcPr>
          <w:p>
            <w:pPr>
              <w:spacing w:after="0"/>
              <w:rPr>
                <w:sz w:val="9"/>
                <w:szCs w:val="9"/>
                <w:color w:val="auto"/>
              </w:rPr>
            </w:pPr>
          </w:p>
        </w:tc>
        <w:tc>
          <w:tcPr>
            <w:tcW w:w="1480" w:type="dxa"/>
            <w:vAlign w:val="bottom"/>
            <w:shd w:val="clear" w:color="auto" w:fill="CFF0FC"/>
          </w:tcPr>
          <w:p>
            <w:pPr>
              <w:spacing w:after="0"/>
              <w:rPr>
                <w:sz w:val="9"/>
                <w:szCs w:val="9"/>
                <w:color w:val="auto"/>
              </w:rPr>
            </w:pPr>
          </w:p>
        </w:tc>
        <w:tc>
          <w:tcPr>
            <w:tcW w:w="1600" w:type="dxa"/>
            <w:vAlign w:val="bottom"/>
            <w:shd w:val="clear" w:color="auto" w:fill="CFF0FC"/>
          </w:tcPr>
          <w:p>
            <w:pPr>
              <w:spacing w:after="0"/>
              <w:rPr>
                <w:sz w:val="9"/>
                <w:szCs w:val="9"/>
                <w:color w:val="auto"/>
              </w:rPr>
            </w:pPr>
          </w:p>
        </w:tc>
        <w:tc>
          <w:tcPr>
            <w:tcW w:w="158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140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203"/>
        </w:trPr>
        <w:tc>
          <w:tcPr>
            <w:tcW w:w="1820" w:type="dxa"/>
            <w:vAlign w:val="bottom"/>
          </w:tcPr>
          <w:p>
            <w:pPr>
              <w:jc w:val="center"/>
              <w:ind w:left="19"/>
              <w:spacing w:after="0"/>
              <w:rPr>
                <w:sz w:val="20"/>
                <w:szCs w:val="20"/>
                <w:color w:val="auto"/>
              </w:rPr>
            </w:pPr>
            <w:r>
              <w:rPr>
                <w:rFonts w:ascii="Times New Roman" w:cs="Times New Roman" w:eastAsia="Times New Roman" w:hAnsi="Times New Roman"/>
                <w:sz w:val="16"/>
                <w:szCs w:val="16"/>
                <w:color w:val="auto"/>
              </w:rPr>
              <w:t>Sean Gaffney</w:t>
            </w:r>
          </w:p>
        </w:tc>
        <w:tc>
          <w:tcPr>
            <w:tcW w:w="32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EVP and Chief Legal Officer</w:t>
            </w:r>
          </w:p>
        </w:tc>
        <w:tc>
          <w:tcPr>
            <w:tcW w:w="14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March 7, 2025</w:t>
            </w:r>
          </w:p>
        </w:tc>
        <w:tc>
          <w:tcPr>
            <w:tcW w:w="1600" w:type="dxa"/>
            <w:vAlign w:val="bottom"/>
          </w:tcPr>
          <w:p>
            <w:pPr>
              <w:jc w:val="center"/>
              <w:ind w:left="39"/>
              <w:spacing w:after="0"/>
              <w:rPr>
                <w:sz w:val="20"/>
                <w:szCs w:val="20"/>
                <w:color w:val="auto"/>
              </w:rPr>
            </w:pPr>
            <w:r>
              <w:rPr>
                <w:rFonts w:ascii="Times New Roman" w:cs="Times New Roman" w:eastAsia="Times New Roman" w:hAnsi="Times New Roman"/>
                <w:sz w:val="16"/>
                <w:szCs w:val="16"/>
                <w:color w:val="auto"/>
              </w:rPr>
              <w:t>February 24, 2026</w:t>
            </w: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3,718</w:t>
            </w:r>
          </w:p>
        </w:tc>
        <w:tc>
          <w:tcPr>
            <w:tcW w:w="120" w:type="dxa"/>
            <w:vAlign w:val="bottom"/>
          </w:tcPr>
          <w:p>
            <w:pPr>
              <w:spacing w:after="0"/>
              <w:rPr>
                <w:sz w:val="17"/>
                <w:szCs w:val="17"/>
                <w:color w:val="auto"/>
              </w:rPr>
            </w:pPr>
          </w:p>
        </w:tc>
        <w:tc>
          <w:tcPr>
            <w:tcW w:w="14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n/a</w:t>
            </w:r>
          </w:p>
        </w:tc>
        <w:tc>
          <w:tcPr>
            <w:tcW w:w="0" w:type="dxa"/>
            <w:vAlign w:val="bottom"/>
          </w:tcPr>
          <w:p>
            <w:pPr>
              <w:spacing w:after="0"/>
              <w:rPr>
                <w:sz w:val="1"/>
                <w:szCs w:val="1"/>
                <w:color w:val="auto"/>
              </w:rPr>
            </w:pPr>
          </w:p>
        </w:tc>
      </w:tr>
      <w:tr>
        <w:trPr>
          <w:trHeight w:val="203"/>
        </w:trPr>
        <w:tc>
          <w:tcPr>
            <w:tcW w:w="1820" w:type="dxa"/>
            <w:vAlign w:val="bottom"/>
            <w:shd w:val="clear" w:color="auto" w:fill="CFF0FC"/>
          </w:tcPr>
          <w:p>
            <w:pPr>
              <w:jc w:val="center"/>
              <w:ind w:left="39"/>
              <w:spacing w:after="0"/>
              <w:rPr>
                <w:sz w:val="20"/>
                <w:szCs w:val="20"/>
                <w:color w:val="auto"/>
              </w:rPr>
            </w:pPr>
            <w:r>
              <w:rPr>
                <w:rFonts w:ascii="Times New Roman" w:cs="Times New Roman" w:eastAsia="Times New Roman" w:hAnsi="Times New Roman"/>
                <w:sz w:val="16"/>
                <w:szCs w:val="16"/>
                <w:color w:val="auto"/>
              </w:rPr>
              <w:t>David Tucker</w:t>
            </w:r>
          </w:p>
        </w:tc>
        <w:tc>
          <w:tcPr>
            <w:tcW w:w="32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rPr>
              <w:t>EVP and Chief Strategy Officer</w:t>
            </w:r>
          </w:p>
        </w:tc>
        <w:tc>
          <w:tcPr>
            <w:tcW w:w="148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rPr>
              <w:t>March 13, 2025</w:t>
            </w:r>
          </w:p>
        </w:tc>
        <w:tc>
          <w:tcPr>
            <w:tcW w:w="1600" w:type="dxa"/>
            <w:vAlign w:val="bottom"/>
            <w:shd w:val="clear" w:color="auto" w:fill="CFF0FC"/>
          </w:tcPr>
          <w:p>
            <w:pPr>
              <w:jc w:val="center"/>
              <w:ind w:left="39"/>
              <w:spacing w:after="0"/>
              <w:rPr>
                <w:sz w:val="20"/>
                <w:szCs w:val="20"/>
                <w:color w:val="auto"/>
              </w:rPr>
            </w:pPr>
            <w:r>
              <w:rPr>
                <w:rFonts w:ascii="Times New Roman" w:cs="Times New Roman" w:eastAsia="Times New Roman" w:hAnsi="Times New Roman"/>
                <w:sz w:val="16"/>
                <w:szCs w:val="16"/>
                <w:color w:val="auto"/>
              </w:rPr>
              <w:t>February 24, 2026</w:t>
            </w: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4,091</w:t>
            </w:r>
          </w:p>
        </w:tc>
        <w:tc>
          <w:tcPr>
            <w:tcW w:w="120" w:type="dxa"/>
            <w:vAlign w:val="bottom"/>
            <w:shd w:val="clear" w:color="auto" w:fill="CFF0FC"/>
          </w:tcPr>
          <w:p>
            <w:pPr>
              <w:spacing w:after="0"/>
              <w:rPr>
                <w:sz w:val="17"/>
                <w:szCs w:val="17"/>
                <w:color w:val="auto"/>
              </w:rPr>
            </w:pPr>
          </w:p>
        </w:tc>
        <w:tc>
          <w:tcPr>
            <w:tcW w:w="14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rPr>
              <w:t>n/a</w:t>
            </w:r>
          </w:p>
        </w:tc>
        <w:tc>
          <w:tcPr>
            <w:tcW w:w="0" w:type="dxa"/>
            <w:vAlign w:val="bottom"/>
          </w:tcPr>
          <w:p>
            <w:pPr>
              <w:spacing w:after="0"/>
              <w:rPr>
                <w:sz w:val="1"/>
                <w:szCs w:val="1"/>
                <w:color w:val="auto"/>
              </w:rPr>
            </w:pPr>
          </w:p>
        </w:tc>
      </w:tr>
    </w:tbl>
    <w:p>
      <w:pPr>
        <w:spacing w:after="0" w:line="59" w:lineRule="exact"/>
        <w:rPr>
          <w:sz w:val="20"/>
          <w:szCs w:val="20"/>
          <w:color w:val="auto"/>
        </w:rPr>
      </w:pPr>
    </w:p>
    <w:p>
      <w:pPr>
        <w:ind w:left="160" w:hanging="152"/>
        <w:spacing w:after="0"/>
        <w:tabs>
          <w:tab w:leader="none" w:pos="160" w:val="left"/>
        </w:tabs>
        <w:numPr>
          <w:ilvl w:val="0"/>
          <w:numId w:val="14"/>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5"/>
          <w:szCs w:val="15"/>
          <w:color w:val="auto"/>
        </w:rPr>
        <w:t>Each plan will expire on the date represented in the table or upon the earlier completion of all transactions contemplated by the arrangement.</w:t>
      </w:r>
    </w:p>
    <w:p>
      <w:pPr>
        <w:spacing w:after="0" w:line="10" w:lineRule="exact"/>
        <w:rPr>
          <w:rFonts w:ascii="Times New Roman" w:cs="Times New Roman" w:eastAsia="Times New Roman" w:hAnsi="Times New Roman"/>
          <w:sz w:val="19"/>
          <w:szCs w:val="19"/>
          <w:color w:val="auto"/>
          <w:vertAlign w:val="superscript"/>
        </w:rPr>
      </w:pPr>
    </w:p>
    <w:p>
      <w:pPr>
        <w:ind w:firstLine="8"/>
        <w:spacing w:after="0" w:line="314" w:lineRule="auto"/>
        <w:tabs>
          <w:tab w:leader="none" w:pos="136" w:val="left"/>
        </w:tabs>
        <w:numPr>
          <w:ilvl w:val="0"/>
          <w:numId w:val="14"/>
        </w:numPr>
        <w:rPr>
          <w:rFonts w:ascii="Times New Roman" w:cs="Times New Roman" w:eastAsia="Times New Roman" w:hAnsi="Times New Roman"/>
          <w:sz w:val="16"/>
          <w:szCs w:val="16"/>
          <w:color w:val="auto"/>
          <w:vertAlign w:val="superscript"/>
        </w:rPr>
      </w:pPr>
      <w:r>
        <w:rPr>
          <w:rFonts w:ascii="Times New Roman" w:cs="Times New Roman" w:eastAsia="Times New Roman" w:hAnsi="Times New Roman"/>
          <w:sz w:val="14"/>
          <w:szCs w:val="14"/>
          <w:color w:val="auto"/>
        </w:rPr>
        <w:t>This column indicates the total number of shares vesting in connection with equity awards, not the number of shares to be sold. The actual number of shares to be sold will be a smaller number based on whatever is required to satisfy payment of applicable withholding taxes under sell-to-cover arrangements.</w:t>
      </w:r>
    </w:p>
    <w:p>
      <w:pPr>
        <w:spacing w:after="0" w:line="1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487680</wp:posOffset>
            </wp:positionV>
            <wp:extent cx="7157720" cy="4254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b w:val="1"/>
          <w:bCs w:val="1"/>
          <w:u w:val="single" w:color="auto"/>
          <w:color w:val="0563C1"/>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-5080</wp:posOffset>
            </wp:positionV>
            <wp:extent cx="869315" cy="825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869315" cy="8255"/>
                    </a:xfrm>
                    <a:prstGeom prst="rect">
                      <a:avLst/>
                    </a:prstGeom>
                    <a:noFill/>
                  </pic:spPr>
                </pic:pic>
              </a:graphicData>
            </a:graphic>
          </wp:anchor>
        </w:drawing>
      </w:r>
    </w:p>
    <w:p>
      <w:pPr>
        <w:spacing w:after="0" w:line="227" w:lineRule="exact"/>
        <w:rPr>
          <w:sz w:val="20"/>
          <w:szCs w:val="20"/>
          <w:color w:val="auto"/>
        </w:rPr>
      </w:pPr>
    </w:p>
    <w:p>
      <w:pPr>
        <w:ind w:right="180" w:firstLine="8"/>
        <w:spacing w:after="0" w:line="253" w:lineRule="auto"/>
        <w:tabs>
          <w:tab w:leader="none" w:pos="160" w:val="left"/>
        </w:tabs>
        <w:numPr>
          <w:ilvl w:val="0"/>
          <w:numId w:val="15"/>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5"/>
          <w:szCs w:val="15"/>
          <w:color w:val="auto"/>
        </w:rPr>
        <w:t>On March 10, 2025, Mr. Allison terminated his existing 10b5-1 Plan during the quarter in connection with his entry into a third amended and restated employment and non-competition agreement.</w:t>
      </w:r>
    </w:p>
    <w:p>
      <w:pPr>
        <w:jc w:val="both"/>
        <w:ind w:firstLine="8"/>
        <w:spacing w:after="0" w:line="429" w:lineRule="auto"/>
        <w:tabs>
          <w:tab w:leader="none" w:pos="136" w:val="left"/>
        </w:tabs>
        <w:numPr>
          <w:ilvl w:val="0"/>
          <w:numId w:val="15"/>
        </w:numPr>
        <w:rPr>
          <w:rFonts w:ascii="Times New Roman" w:cs="Times New Roman" w:eastAsia="Times New Roman" w:hAnsi="Times New Roman"/>
          <w:sz w:val="16"/>
          <w:szCs w:val="16"/>
          <w:color w:val="auto"/>
          <w:vertAlign w:val="superscript"/>
        </w:rPr>
      </w:pPr>
      <w:r>
        <w:rPr>
          <w:rFonts w:ascii="Times New Roman" w:cs="Times New Roman" w:eastAsia="Times New Roman" w:hAnsi="Times New Roman"/>
          <w:sz w:val="14"/>
          <w:szCs w:val="14"/>
          <w:color w:val="auto"/>
        </w:rPr>
        <w:t>Mr. Allison became CEO of the Company in early 2016 and, in connection with that appointment, received a grant of options with respect to 150,000 shares on January 21, 2016, of which 87,500 remained outstanding and unexercised at the plan’s establishment. Those options have a ten-year term and are thus forfeited if not exercised by early 2026. Mr. Allison had established this plan in order to effectuate an orderly process for exercising and selling before the date of forfeiture and sold 37,500 shares prior to the plan’s termination.</w:t>
      </w:r>
    </w:p>
    <w:p>
      <w:pPr>
        <w:spacing w:after="0" w:line="1" w:lineRule="exact"/>
        <w:rPr>
          <w:sz w:val="20"/>
          <w:szCs w:val="20"/>
          <w:color w:val="auto"/>
        </w:rPr>
      </w:pPr>
    </w:p>
    <w:p>
      <w:pPr>
        <w:ind w:right="460" w:firstLine="509"/>
        <w:spacing w:after="0" w:line="266" w:lineRule="auto"/>
        <w:rPr>
          <w:sz w:val="20"/>
          <w:szCs w:val="20"/>
          <w:color w:val="auto"/>
        </w:rPr>
      </w:pPr>
      <w:r>
        <w:rPr>
          <w:rFonts w:ascii="Times New Roman" w:cs="Times New Roman" w:eastAsia="Times New Roman" w:hAnsi="Times New Roman"/>
          <w:sz w:val="18"/>
          <w:szCs w:val="18"/>
          <w:color w:val="auto"/>
        </w:rPr>
        <w:t>Each trading arrangement noted above is intended to satisfy the affirmative defense in Rule 10b5-1(c). No other director or Section 16 officer adopted or terminated any Rule 10b5-1 trading arrangements or non-Rule 10b5-1 trading arrangements, as such terms are defined in Item 408(a) of Regulation S-K, during the quarter ending March 31, 2025.</w:t>
      </w:r>
    </w:p>
    <w:p>
      <w:pPr>
        <w:spacing w:after="0" w:line="180"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6"/>
          <w:szCs w:val="16"/>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487680</wp:posOffset>
            </wp:positionV>
            <wp:extent cx="7157720" cy="4254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765" w:right="419" w:bottom="1440" w:gutter="0" w:footer="0" w:header="0"/>
        </w:sectPr>
      </w:pPr>
    </w:p>
    <w:bookmarkStart w:id="33" w:name="page34"/>
    <w:bookmarkEnd w:id="33"/>
    <w:tbl>
      <w:tblPr>
        <w:tblLayout w:type="fixed"/>
        <w:tblInd w:w="0" w:type="dxa"/>
        <w:tblCellMar>
          <w:top w:w="0" w:type="dxa"/>
          <w:left w:w="0" w:type="dxa"/>
          <w:bottom w:w="0" w:type="dxa"/>
          <w:right w:w="0" w:type="dxa"/>
        </w:tblCellMar>
      </w:tblPr>
      <w:tr>
        <w:trPr>
          <w:trHeight w:val="207"/>
        </w:trPr>
        <w:tc>
          <w:tcPr>
            <w:tcW w:w="1380" w:type="dxa"/>
            <w:vAlign w:val="bottom"/>
            <w:tcBorders>
              <w:bottom w:val="single" w:sz="8" w:color="0563C1"/>
            </w:tcBorders>
          </w:tcPr>
          <w:p>
            <w:pPr>
              <w:spacing w:after="0"/>
              <w:rPr>
                <w:sz w:val="20"/>
                <w:szCs w:val="20"/>
                <w:color w:val="auto"/>
              </w:rPr>
            </w:pPr>
            <w:r>
              <w:rPr>
                <w:rFonts w:ascii="Times New Roman" w:cs="Times New Roman" w:eastAsia="Times New Roman" w:hAnsi="Times New Roman"/>
                <w:sz w:val="18"/>
                <w:szCs w:val="18"/>
                <w:b w:val="1"/>
                <w:bCs w:val="1"/>
                <w:color w:val="0563C1"/>
                <w:w w:val="99"/>
              </w:rPr>
              <w:t>Table of Contents</w:t>
            </w:r>
          </w:p>
        </w:tc>
        <w:tc>
          <w:tcPr>
            <w:tcW w:w="3480" w:type="dxa"/>
            <w:vAlign w:val="bottom"/>
          </w:tcPr>
          <w:p>
            <w:pPr>
              <w:spacing w:after="0"/>
              <w:rPr>
                <w:sz w:val="17"/>
                <w:szCs w:val="17"/>
                <w:color w:val="auto"/>
              </w:rPr>
            </w:pPr>
          </w:p>
        </w:tc>
        <w:tc>
          <w:tcPr>
            <w:tcW w:w="20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53"/>
        </w:trPr>
        <w:tc>
          <w:tcPr>
            <w:tcW w:w="13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6.  Exhibits</w:t>
            </w:r>
          </w:p>
        </w:tc>
        <w:tc>
          <w:tcPr>
            <w:tcW w:w="3480" w:type="dxa"/>
            <w:vAlign w:val="bottom"/>
          </w:tcPr>
          <w:p>
            <w:pPr>
              <w:spacing w:after="0"/>
              <w:rPr>
                <w:sz w:val="24"/>
                <w:szCs w:val="24"/>
                <w:color w:val="auto"/>
              </w:rPr>
            </w:pPr>
          </w:p>
        </w:tc>
        <w:tc>
          <w:tcPr>
            <w:tcW w:w="2920" w:type="dxa"/>
            <w:vAlign w:val="bottom"/>
            <w:gridSpan w:val="2"/>
            <w:vMerge w:val="restart"/>
          </w:tcPr>
          <w:p>
            <w:pPr>
              <w:ind w:left="60"/>
              <w:spacing w:after="0"/>
              <w:rPr>
                <w:sz w:val="20"/>
                <w:szCs w:val="20"/>
                <w:color w:val="auto"/>
              </w:rPr>
            </w:pPr>
            <w:r>
              <w:rPr>
                <w:rFonts w:ascii="Times New Roman" w:cs="Times New Roman" w:eastAsia="Times New Roman" w:hAnsi="Times New Roman"/>
                <w:sz w:val="18"/>
                <w:szCs w:val="18"/>
                <w:b w:val="1"/>
                <w:bCs w:val="1"/>
                <w:color w:val="auto"/>
              </w:rPr>
              <w:t>EXHIBIT INDEX</w:t>
            </w:r>
          </w:p>
        </w:tc>
        <w:tc>
          <w:tcPr>
            <w:tcW w:w="11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3480" w:type="dxa"/>
            <w:vAlign w:val="bottom"/>
          </w:tcPr>
          <w:p>
            <w:pPr>
              <w:spacing w:after="0"/>
              <w:rPr>
                <w:sz w:val="18"/>
                <w:szCs w:val="18"/>
                <w:color w:val="auto"/>
              </w:rPr>
            </w:pPr>
          </w:p>
        </w:tc>
        <w:tc>
          <w:tcPr>
            <w:tcW w:w="2920" w:type="dxa"/>
            <w:vAlign w:val="bottom"/>
            <w:gridSpan w:val="2"/>
            <w:vMerge w:val="continue"/>
          </w:tcPr>
          <w:p>
            <w:pPr>
              <w:spacing w:after="0"/>
              <w:rPr>
                <w:sz w:val="18"/>
                <w:szCs w:val="18"/>
                <w:color w:val="auto"/>
              </w:rPr>
            </w:pPr>
          </w:p>
        </w:tc>
        <w:tc>
          <w:tcPr>
            <w:tcW w:w="1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1380" w:type="dxa"/>
            <w:vAlign w:val="bottom"/>
            <w:vMerge w:val="restart"/>
          </w:tcPr>
          <w:p>
            <w:pPr>
              <w:jc w:val="center"/>
              <w:ind w:right="470"/>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348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2480" w:type="dxa"/>
            <w:vAlign w:val="bottom"/>
            <w:tcBorders>
              <w:bottom w:val="single" w:sz="8" w:color="auto"/>
            </w:tcBorders>
            <w:gridSpan w:val="2"/>
          </w:tcPr>
          <w:p>
            <w:pPr>
              <w:ind w:left="240"/>
              <w:spacing w:after="0"/>
              <w:rPr>
                <w:sz w:val="20"/>
                <w:szCs w:val="20"/>
                <w:color w:val="auto"/>
              </w:rPr>
            </w:pPr>
            <w:r>
              <w:rPr>
                <w:rFonts w:ascii="Times New Roman" w:cs="Times New Roman" w:eastAsia="Times New Roman" w:hAnsi="Times New Roman"/>
                <w:sz w:val="18"/>
                <w:szCs w:val="18"/>
                <w:b w:val="1"/>
                <w:bCs w:val="1"/>
                <w:color w:val="auto"/>
              </w:rPr>
              <w:t>Incorporated by Reference</w:t>
            </w:r>
          </w:p>
        </w:tc>
        <w:tc>
          <w:tcPr>
            <w:tcW w:w="9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87"/>
        </w:trPr>
        <w:tc>
          <w:tcPr>
            <w:tcW w:w="1380" w:type="dxa"/>
            <w:vAlign w:val="bottom"/>
            <w:vMerge w:val="continue"/>
          </w:tcPr>
          <w:p>
            <w:pPr>
              <w:spacing w:after="0"/>
              <w:rPr>
                <w:sz w:val="16"/>
                <w:szCs w:val="16"/>
                <w:color w:val="auto"/>
              </w:rPr>
            </w:pPr>
          </w:p>
        </w:tc>
        <w:tc>
          <w:tcPr>
            <w:tcW w:w="3480" w:type="dxa"/>
            <w:vAlign w:val="bottom"/>
          </w:tcPr>
          <w:p>
            <w:pPr>
              <w:spacing w:after="0"/>
              <w:rPr>
                <w:sz w:val="16"/>
                <w:szCs w:val="16"/>
                <w:color w:val="auto"/>
              </w:rPr>
            </w:pPr>
          </w:p>
        </w:tc>
        <w:tc>
          <w:tcPr>
            <w:tcW w:w="20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980" w:type="dxa"/>
            <w:vAlign w:val="bottom"/>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w w:val="98"/>
              </w:rPr>
              <w:t>Exhibit</w:t>
            </w:r>
          </w:p>
        </w:tc>
        <w:tc>
          <w:tcPr>
            <w:tcW w:w="0" w:type="dxa"/>
            <w:vAlign w:val="bottom"/>
          </w:tcPr>
          <w:p>
            <w:pPr>
              <w:spacing w:after="0"/>
              <w:rPr>
                <w:sz w:val="1"/>
                <w:szCs w:val="1"/>
                <w:color w:val="auto"/>
              </w:rPr>
            </w:pPr>
          </w:p>
        </w:tc>
      </w:tr>
      <w:tr>
        <w:trPr>
          <w:trHeight w:val="238"/>
        </w:trPr>
        <w:tc>
          <w:tcPr>
            <w:tcW w:w="1380" w:type="dxa"/>
            <w:vAlign w:val="bottom"/>
            <w:tcBorders>
              <w:bottom w:val="single" w:sz="8" w:color="auto"/>
            </w:tcBorders>
          </w:tcPr>
          <w:p>
            <w:pPr>
              <w:jc w:val="center"/>
              <w:ind w:right="450"/>
              <w:spacing w:after="0"/>
              <w:rPr>
                <w:sz w:val="20"/>
                <w:szCs w:val="20"/>
                <w:color w:val="auto"/>
              </w:rPr>
            </w:pPr>
            <w:r>
              <w:rPr>
                <w:rFonts w:ascii="Times New Roman" w:cs="Times New Roman" w:eastAsia="Times New Roman" w:hAnsi="Times New Roman"/>
                <w:sz w:val="18"/>
                <w:szCs w:val="18"/>
                <w:b w:val="1"/>
                <w:bCs w:val="1"/>
                <w:color w:val="auto"/>
                <w:w w:val="99"/>
              </w:rPr>
              <w:t>Number</w:t>
            </w:r>
          </w:p>
        </w:tc>
        <w:tc>
          <w:tcPr>
            <w:tcW w:w="3480" w:type="dxa"/>
            <w:vAlign w:val="bottom"/>
            <w:tcBorders>
              <w:bottom w:val="single" w:sz="8" w:color="auto"/>
            </w:tcBorders>
          </w:tcPr>
          <w:p>
            <w:pPr>
              <w:ind w:left="1500"/>
              <w:spacing w:after="0"/>
              <w:rPr>
                <w:sz w:val="20"/>
                <w:szCs w:val="20"/>
                <w:color w:val="auto"/>
              </w:rPr>
            </w:pPr>
            <w:r>
              <w:rPr>
                <w:rFonts w:ascii="Times New Roman" w:cs="Times New Roman" w:eastAsia="Times New Roman" w:hAnsi="Times New Roman"/>
                <w:sz w:val="18"/>
                <w:szCs w:val="18"/>
                <w:b w:val="1"/>
                <w:bCs w:val="1"/>
                <w:color w:val="auto"/>
              </w:rPr>
              <w:t>Description of Document</w:t>
            </w:r>
          </w:p>
        </w:tc>
        <w:tc>
          <w:tcPr>
            <w:tcW w:w="20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8"/>
                <w:szCs w:val="18"/>
                <w:b w:val="1"/>
                <w:bCs w:val="1"/>
                <w:color w:val="auto"/>
              </w:rPr>
              <w:t>Form</w:t>
            </w:r>
          </w:p>
        </w:tc>
        <w:tc>
          <w:tcPr>
            <w:tcW w:w="1120" w:type="dxa"/>
            <w:vAlign w:val="bottom"/>
            <w:tcBorders>
              <w:bottom w:val="single" w:sz="8" w:color="auto"/>
            </w:tcBorders>
          </w:tcPr>
          <w:p>
            <w:pPr>
              <w:ind w:left="280"/>
              <w:spacing w:after="0"/>
              <w:rPr>
                <w:sz w:val="20"/>
                <w:szCs w:val="20"/>
                <w:color w:val="auto"/>
              </w:rPr>
            </w:pPr>
            <w:r>
              <w:rPr>
                <w:rFonts w:ascii="Times New Roman" w:cs="Times New Roman" w:eastAsia="Times New Roman" w:hAnsi="Times New Roman"/>
                <w:sz w:val="18"/>
                <w:szCs w:val="18"/>
                <w:b w:val="1"/>
                <w:bCs w:val="1"/>
                <w:color w:val="auto"/>
              </w:rPr>
              <w:t>File No.</w:t>
            </w:r>
          </w:p>
        </w:tc>
        <w:tc>
          <w:tcPr>
            <w:tcW w:w="1360" w:type="dxa"/>
            <w:vAlign w:val="bottom"/>
            <w:tcBorders>
              <w:bottom w:val="single" w:sz="8" w:color="auto"/>
            </w:tcBorders>
          </w:tcPr>
          <w:p>
            <w:pPr>
              <w:ind w:left="240"/>
              <w:spacing w:after="0"/>
              <w:rPr>
                <w:sz w:val="20"/>
                <w:szCs w:val="20"/>
                <w:color w:val="auto"/>
              </w:rPr>
            </w:pPr>
            <w:r>
              <w:rPr>
                <w:rFonts w:ascii="Times New Roman" w:cs="Times New Roman" w:eastAsia="Times New Roman" w:hAnsi="Times New Roman"/>
                <w:sz w:val="18"/>
                <w:szCs w:val="18"/>
                <w:b w:val="1"/>
                <w:bCs w:val="1"/>
                <w:color w:val="auto"/>
              </w:rPr>
              <w:t>Date Filing</w:t>
            </w:r>
          </w:p>
        </w:tc>
        <w:tc>
          <w:tcPr>
            <w:tcW w:w="9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Number</w:t>
            </w:r>
          </w:p>
        </w:tc>
        <w:tc>
          <w:tcPr>
            <w:tcW w:w="0" w:type="dxa"/>
            <w:vAlign w:val="bottom"/>
          </w:tcPr>
          <w:p>
            <w:pPr>
              <w:spacing w:after="0"/>
              <w:rPr>
                <w:sz w:val="1"/>
                <w:szCs w:val="1"/>
                <w:color w:val="auto"/>
              </w:rPr>
            </w:pPr>
          </w:p>
        </w:tc>
      </w:tr>
    </w:tbl>
    <w:p>
      <w:pPr>
        <w:spacing w:after="0" w:line="198" w:lineRule="exact"/>
        <w:rPr>
          <w:sz w:val="20"/>
          <w:szCs w:val="20"/>
          <w:color w:val="auto"/>
        </w:rPr>
      </w:pPr>
    </w:p>
    <w:p>
      <w:pPr>
        <w:sectPr>
          <w:pgSz w:w="11900" w:h="16838" w:orient="portrait"/>
          <w:cols w:equalWidth="0" w:num="1">
            <w:col w:w="11240"/>
          </w:cols>
          <w:pgMar w:left="320" w:top="756" w:right="339" w:bottom="1440" w:gutter="0" w:footer="0" w:header="0"/>
        </w:sectPr>
      </w:pPr>
    </w:p>
    <w:p>
      <w:pPr>
        <w:ind w:left="920" w:hanging="602"/>
        <w:spacing w:after="0" w:line="282" w:lineRule="auto"/>
        <w:tabs>
          <w:tab w:leader="none" w:pos="900" w:val="left"/>
        </w:tabs>
        <w:rPr>
          <w:rFonts w:ascii="Times New Roman" w:cs="Times New Roman" w:eastAsia="Times New Roman" w:hAnsi="Times New Roman"/>
          <w:sz w:val="18"/>
          <w:szCs w:val="18"/>
          <w:u w:val="single" w:color="auto"/>
          <w:color w:val="0000FF"/>
        </w:rPr>
      </w:pPr>
      <w:hyperlink r:id="rId288">
        <w:r>
          <w:rPr>
            <w:rFonts w:ascii="Times New Roman" w:cs="Times New Roman" w:eastAsia="Times New Roman" w:hAnsi="Times New Roman"/>
            <w:sz w:val="18"/>
            <w:szCs w:val="18"/>
            <w:u w:val="single" w:color="auto"/>
            <w:color w:val="0000FF"/>
          </w:rPr>
          <w:t>3.1</w:t>
        </w:r>
      </w:hyperlink>
      <w:r>
        <w:rPr>
          <w:rFonts w:ascii="Times New Roman" w:cs="Times New Roman" w:eastAsia="Times New Roman" w:hAnsi="Times New Roman"/>
          <w:sz w:val="18"/>
          <w:szCs w:val="18"/>
          <w:u w:val="single" w:color="auto"/>
          <w:color w:val="0000FF"/>
        </w:rPr>
        <w:tab/>
      </w:r>
      <w:hyperlink r:id="rId288">
        <w:r>
          <w:rPr>
            <w:rFonts w:ascii="Times New Roman" w:cs="Times New Roman" w:eastAsia="Times New Roman" w:hAnsi="Times New Roman"/>
            <w:sz w:val="18"/>
            <w:szCs w:val="18"/>
            <w:u w:val="single" w:color="auto"/>
            <w:color w:val="0000FF"/>
          </w:rPr>
          <w:t>Amended and Restated Certificate of Incorporation of the Company dated as of</w:t>
        </w:r>
      </w:hyperlink>
      <w:r>
        <w:rPr>
          <w:rFonts w:ascii="Times New Roman" w:cs="Times New Roman" w:eastAsia="Times New Roman" w:hAnsi="Times New Roman"/>
          <w:sz w:val="18"/>
          <w:szCs w:val="18"/>
          <w:u w:val="single" w:color="auto"/>
          <w:color w:val="0000FF"/>
        </w:rPr>
        <w:t xml:space="preserve"> </w:t>
      </w:r>
      <w:hyperlink r:id="rId288">
        <w:r>
          <w:rPr>
            <w:rFonts w:ascii="Times New Roman" w:cs="Times New Roman" w:eastAsia="Times New Roman" w:hAnsi="Times New Roman"/>
            <w:sz w:val="18"/>
            <w:szCs w:val="18"/>
            <w:u w:val="single" w:color="auto"/>
            <w:color w:val="0000FF"/>
          </w:rPr>
          <w:t>October 27, 2009.</w:t>
        </w:r>
      </w:hyperlink>
    </w:p>
    <w:p>
      <w:pPr>
        <w:spacing w:after="0" w:line="20" w:lineRule="exact"/>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u w:val="single" w:color="auto"/>
          <w:color w:val="0000FF"/>
        </w:rPr>
        <w:drawing>
          <wp:anchor simplePos="0" relativeHeight="251657728" behindDoc="1" locked="0" layoutInCell="0" allowOverlap="1">
            <wp:simplePos x="0" y="0"/>
            <wp:positionH relativeFrom="column">
              <wp:posOffset>176530</wp:posOffset>
            </wp:positionH>
            <wp:positionV relativeFrom="paragraph">
              <wp:posOffset>-185420</wp:posOffset>
            </wp:positionV>
            <wp:extent cx="4072890" cy="825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9">
                      <a:extLst>
                        <a:ext uri="{28A0092B-C50C-407E-A947-70E740481C1C}"/>
                      </a:extLst>
                    </a:blip>
                    <a:srcRect/>
                    <a:stretch>
                      <a:fillRect/>
                    </a:stretch>
                  </pic:blipFill>
                  <pic:spPr bwMode="auto">
                    <a:xfrm>
                      <a:off x="0" y="0"/>
                      <a:ext cx="4072890" cy="8255"/>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-48260</wp:posOffset>
            </wp:positionV>
            <wp:extent cx="824865" cy="8890"/>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90">
                      <a:extLst>
                        <a:ext uri="{28A0092B-C50C-407E-A947-70E740481C1C}"/>
                      </a:extLst>
                    </a:blip>
                    <a:srcRect/>
                    <a:stretch>
                      <a:fillRect/>
                    </a:stretch>
                  </pic:blipFill>
                  <pic:spPr bwMode="auto">
                    <a:xfrm>
                      <a:off x="0" y="0"/>
                      <a:ext cx="824865" cy="8890"/>
                    </a:xfrm>
                    <a:prstGeom prst="rect">
                      <a:avLst/>
                    </a:prstGeom>
                    <a:noFill/>
                  </pic:spPr>
                </pic:pic>
              </a:graphicData>
            </a:graphic>
          </wp:anchor>
        </w:drawing>
      </w:r>
    </w:p>
    <w:p>
      <w:pPr>
        <w:spacing w:after="0" w:line="142" w:lineRule="exact"/>
        <w:rPr>
          <w:rFonts w:ascii="Times New Roman" w:cs="Times New Roman" w:eastAsia="Times New Roman" w:hAnsi="Times New Roman"/>
          <w:sz w:val="18"/>
          <w:szCs w:val="18"/>
          <w:u w:val="single" w:color="auto"/>
          <w:color w:val="0000FF"/>
        </w:rPr>
      </w:pPr>
    </w:p>
    <w:p>
      <w:pPr>
        <w:ind w:left="920" w:right="460" w:hanging="624"/>
        <w:spacing w:after="0" w:line="282" w:lineRule="auto"/>
        <w:tabs>
          <w:tab w:leader="none" w:pos="900" w:val="left"/>
        </w:tabs>
        <w:rPr>
          <w:rFonts w:ascii="Times New Roman" w:cs="Times New Roman" w:eastAsia="Times New Roman" w:hAnsi="Times New Roman"/>
          <w:sz w:val="18"/>
          <w:szCs w:val="18"/>
          <w:u w:val="single" w:color="auto"/>
          <w:color w:val="0000FF"/>
        </w:rPr>
      </w:pPr>
      <w:hyperlink r:id="rId291">
        <w:r>
          <w:rPr>
            <w:rFonts w:ascii="Times New Roman" w:cs="Times New Roman" w:eastAsia="Times New Roman" w:hAnsi="Times New Roman"/>
            <w:sz w:val="18"/>
            <w:szCs w:val="18"/>
            <w:u w:val="single" w:color="auto"/>
            <w:color w:val="0563C1"/>
          </w:rPr>
          <w:t>3.2</w:t>
        </w:r>
      </w:hyperlink>
      <w:r>
        <w:rPr>
          <w:rFonts w:ascii="Times New Roman" w:cs="Times New Roman" w:eastAsia="Times New Roman" w:hAnsi="Times New Roman"/>
          <w:sz w:val="18"/>
          <w:szCs w:val="18"/>
          <w:u w:val="single" w:color="auto"/>
          <w:color w:val="0563C1"/>
        </w:rPr>
        <w:tab/>
      </w:r>
      <w:hyperlink r:id="rId291">
        <w:r>
          <w:rPr>
            <w:rFonts w:ascii="Times New Roman" w:cs="Times New Roman" w:eastAsia="Times New Roman" w:hAnsi="Times New Roman"/>
            <w:sz w:val="18"/>
            <w:szCs w:val="18"/>
            <w:u w:val="single" w:color="auto"/>
            <w:color w:val="0000FF"/>
          </w:rPr>
          <w:t>Amended and Restated Bylaws of the Company, as amended by the First</w:t>
        </w:r>
      </w:hyperlink>
      <w:r>
        <w:rPr>
          <w:rFonts w:ascii="Times New Roman" w:cs="Times New Roman" w:eastAsia="Times New Roman" w:hAnsi="Times New Roman"/>
          <w:sz w:val="18"/>
          <w:szCs w:val="18"/>
          <w:u w:val="single" w:color="auto"/>
          <w:color w:val="0000FF"/>
        </w:rPr>
        <w:t xml:space="preserve"> </w:t>
      </w:r>
      <w:hyperlink r:id="rId291">
        <w:r>
          <w:rPr>
            <w:rFonts w:ascii="Times New Roman" w:cs="Times New Roman" w:eastAsia="Times New Roman" w:hAnsi="Times New Roman"/>
            <w:sz w:val="18"/>
            <w:szCs w:val="18"/>
            <w:u w:val="single" w:color="auto"/>
            <w:color w:val="0000FF"/>
          </w:rPr>
          <w:t>Amendment to the Amended and Restated Bylaws.</w:t>
        </w:r>
      </w:hyperlink>
    </w:p>
    <w:p>
      <w:pPr>
        <w:spacing w:after="0" w:line="20" w:lineRule="exact"/>
        <w:rPr>
          <w:rFonts w:ascii="Times New Roman" w:cs="Times New Roman" w:eastAsia="Times New Roman" w:hAnsi="Times New Roman"/>
          <w:sz w:val="18"/>
          <w:szCs w:val="18"/>
          <w:u w:val="single" w:color="auto"/>
          <w:color w:val="0563C1"/>
        </w:rPr>
      </w:pPr>
      <w:r>
        <w:rPr>
          <w:rFonts w:ascii="Times New Roman" w:cs="Times New Roman" w:eastAsia="Times New Roman" w:hAnsi="Times New Roman"/>
          <w:sz w:val="18"/>
          <w:szCs w:val="18"/>
          <w:u w:val="single" w:color="auto"/>
          <w:color w:val="0563C1"/>
        </w:rPr>
        <w:drawing>
          <wp:anchor simplePos="0" relativeHeight="251657728" behindDoc="1" locked="0" layoutInCell="0" allowOverlap="1">
            <wp:simplePos x="0" y="0"/>
            <wp:positionH relativeFrom="column">
              <wp:posOffset>191135</wp:posOffset>
            </wp:positionH>
            <wp:positionV relativeFrom="paragraph">
              <wp:posOffset>-185420</wp:posOffset>
            </wp:positionV>
            <wp:extent cx="3763645" cy="825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2">
                      <a:extLst>
                        <a:ext uri="{28A0092B-C50C-407E-A947-70E740481C1C}"/>
                      </a:extLst>
                    </a:blip>
                    <a:srcRect/>
                    <a:stretch>
                      <a:fillRect/>
                    </a:stretch>
                  </pic:blipFill>
                  <pic:spPr bwMode="auto">
                    <a:xfrm>
                      <a:off x="0" y="0"/>
                      <a:ext cx="3763645" cy="8255"/>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-48260</wp:posOffset>
            </wp:positionV>
            <wp:extent cx="2338705" cy="825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3">
                      <a:extLst>
                        <a:ext uri="{28A0092B-C50C-407E-A947-70E740481C1C}"/>
                      </a:extLst>
                    </a:blip>
                    <a:srcRect/>
                    <a:stretch>
                      <a:fillRect/>
                    </a:stretch>
                  </pic:blipFill>
                  <pic:spPr bwMode="auto">
                    <a:xfrm>
                      <a:off x="0" y="0"/>
                      <a:ext cx="2338705" cy="8255"/>
                    </a:xfrm>
                    <a:prstGeom prst="rect">
                      <a:avLst/>
                    </a:prstGeom>
                    <a:noFill/>
                  </pic:spPr>
                </pic:pic>
              </a:graphicData>
            </a:graphic>
          </wp:anchor>
        </w:drawing>
      </w:r>
    </w:p>
    <w:p>
      <w:pPr>
        <w:spacing w:after="0" w:line="142" w:lineRule="exact"/>
        <w:rPr>
          <w:rFonts w:ascii="Times New Roman" w:cs="Times New Roman" w:eastAsia="Times New Roman" w:hAnsi="Times New Roman"/>
          <w:sz w:val="18"/>
          <w:szCs w:val="18"/>
          <w:u w:val="single" w:color="auto"/>
          <w:color w:val="0563C1"/>
        </w:rPr>
      </w:pPr>
    </w:p>
    <w:p>
      <w:pPr>
        <w:ind w:left="300"/>
        <w:spacing w:after="0"/>
        <w:tabs>
          <w:tab w:leader="none" w:pos="900" w:val="left"/>
        </w:tabs>
        <w:rPr>
          <w:rFonts w:ascii="Times New Roman" w:cs="Times New Roman" w:eastAsia="Times New Roman" w:hAnsi="Times New Roman"/>
          <w:sz w:val="17"/>
          <w:szCs w:val="17"/>
          <w:u w:val="single" w:color="auto"/>
          <w:color w:val="0000FF"/>
        </w:rPr>
      </w:pPr>
      <w:hyperlink r:id="rId294">
        <w:r>
          <w:rPr>
            <w:rFonts w:ascii="Times New Roman" w:cs="Times New Roman" w:eastAsia="Times New Roman" w:hAnsi="Times New Roman"/>
            <w:sz w:val="18"/>
            <w:szCs w:val="18"/>
            <w:u w:val="single" w:color="auto"/>
            <w:color w:val="0000FF"/>
          </w:rPr>
          <w:t>4.1</w:t>
        </w:r>
      </w:hyperlink>
      <w:r>
        <w:rPr>
          <w:rFonts w:ascii="Times New Roman" w:cs="Times New Roman" w:eastAsia="Times New Roman" w:hAnsi="Times New Roman"/>
          <w:sz w:val="18"/>
          <w:szCs w:val="18"/>
          <w:u w:val="single" w:color="auto"/>
          <w:color w:val="0000FF"/>
        </w:rPr>
        <w:tab/>
      </w:r>
      <w:hyperlink r:id="rId294">
        <w:r>
          <w:rPr>
            <w:rFonts w:ascii="Times New Roman" w:cs="Times New Roman" w:eastAsia="Times New Roman" w:hAnsi="Times New Roman"/>
            <w:sz w:val="17"/>
            <w:szCs w:val="17"/>
            <w:u w:val="single" w:color="auto"/>
            <w:color w:val="0000FF"/>
          </w:rPr>
          <w:t>Form of Common Stock Certificate.</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191135</wp:posOffset>
            </wp:positionH>
            <wp:positionV relativeFrom="paragraph">
              <wp:posOffset>-7620</wp:posOffset>
            </wp:positionV>
            <wp:extent cx="2050415" cy="889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5">
                      <a:extLst>
                        <a:ext uri="{28A0092B-C50C-407E-A947-70E740481C1C}"/>
                      </a:extLst>
                    </a:blip>
                    <a:srcRect/>
                    <a:stretch>
                      <a:fillRect/>
                    </a:stretch>
                  </pic:blipFill>
                  <pic:spPr bwMode="auto">
                    <a:xfrm>
                      <a:off x="0" y="0"/>
                      <a:ext cx="2050415" cy="8890"/>
                    </a:xfrm>
                    <a:prstGeom prst="rect">
                      <a:avLst/>
                    </a:prstGeom>
                    <a:noFill/>
                  </pic:spPr>
                </pic:pic>
              </a:graphicData>
            </a:graphic>
          </wp:anchor>
        </w:drawing>
      </w:r>
    </w:p>
    <w:p>
      <w:pPr>
        <w:spacing w:after="0" w:line="205" w:lineRule="exact"/>
        <w:rPr>
          <w:sz w:val="20"/>
          <w:szCs w:val="20"/>
          <w:color w:val="auto"/>
        </w:rPr>
      </w:pPr>
    </w:p>
    <w:p>
      <w:pPr>
        <w:ind w:left="920" w:right="200" w:hanging="669"/>
        <w:spacing w:after="0" w:line="282" w:lineRule="auto"/>
        <w:tabs>
          <w:tab w:leader="none" w:pos="900" w:val="left"/>
        </w:tabs>
        <w:rPr>
          <w:rFonts w:ascii="Times New Roman" w:cs="Times New Roman" w:eastAsia="Times New Roman" w:hAnsi="Times New Roman"/>
          <w:sz w:val="18"/>
          <w:szCs w:val="18"/>
          <w:u w:val="single" w:color="auto"/>
          <w:color w:val="0000FF"/>
        </w:rPr>
      </w:pPr>
      <w:hyperlink r:id="rId296">
        <w:r>
          <w:rPr>
            <w:rFonts w:ascii="Times New Roman" w:cs="Times New Roman" w:eastAsia="Times New Roman" w:hAnsi="Times New Roman"/>
            <w:sz w:val="18"/>
            <w:szCs w:val="18"/>
            <w:u w:val="single" w:color="auto"/>
            <w:color w:val="0000FF"/>
          </w:rPr>
          <w:t>10.1</w:t>
        </w:r>
      </w:hyperlink>
      <w:r>
        <w:rPr>
          <w:rFonts w:ascii="Times New Roman" w:cs="Times New Roman" w:eastAsia="Times New Roman" w:hAnsi="Times New Roman"/>
          <w:sz w:val="18"/>
          <w:szCs w:val="18"/>
          <w:u w:val="single" w:color="auto"/>
          <w:color w:val="0000FF"/>
        </w:rPr>
        <w:tab/>
      </w:r>
      <w:hyperlink r:id="rId296">
        <w:r>
          <w:rPr>
            <w:rFonts w:ascii="Times New Roman" w:cs="Times New Roman" w:eastAsia="Times New Roman" w:hAnsi="Times New Roman"/>
            <w:sz w:val="18"/>
            <w:szCs w:val="18"/>
            <w:u w:val="single" w:color="auto"/>
            <w:color w:val="0000FF"/>
          </w:rPr>
          <w:t>Retention and Transition Agreement, dated March 10, 2025, by and between</w:t>
        </w:r>
      </w:hyperlink>
      <w:r>
        <w:rPr>
          <w:rFonts w:ascii="Times New Roman" w:cs="Times New Roman" w:eastAsia="Times New Roman" w:hAnsi="Times New Roman"/>
          <w:sz w:val="18"/>
          <w:szCs w:val="18"/>
          <w:u w:val="single" w:color="auto"/>
          <w:color w:val="0000FF"/>
        </w:rPr>
        <w:t xml:space="preserve"> </w:t>
      </w:r>
      <w:hyperlink r:id="rId296">
        <w:r>
          <w:rPr>
            <w:rFonts w:ascii="Times New Roman" w:cs="Times New Roman" w:eastAsia="Times New Roman" w:hAnsi="Times New Roman"/>
            <w:sz w:val="18"/>
            <w:szCs w:val="18"/>
            <w:u w:val="single" w:color="auto"/>
            <w:color w:val="0000FF"/>
          </w:rPr>
          <w:t>Addus Healthcare, Inc. and W. Bradley Bickham.</w:t>
        </w:r>
      </w:hyperlink>
    </w:p>
    <w:p>
      <w:pPr>
        <w:spacing w:after="0" w:line="20" w:lineRule="exact"/>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u w:val="single" w:color="auto"/>
          <w:color w:val="0000FF"/>
        </w:rPr>
        <w:drawing>
          <wp:anchor simplePos="0" relativeHeight="251657728" behindDoc="1" locked="0" layoutInCell="0" allowOverlap="1">
            <wp:simplePos x="0" y="0"/>
            <wp:positionH relativeFrom="column">
              <wp:posOffset>162560</wp:posOffset>
            </wp:positionH>
            <wp:positionV relativeFrom="paragraph">
              <wp:posOffset>-185420</wp:posOffset>
            </wp:positionV>
            <wp:extent cx="3959860" cy="825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7">
                      <a:extLst>
                        <a:ext uri="{28A0092B-C50C-407E-A947-70E740481C1C}"/>
                      </a:extLst>
                    </a:blip>
                    <a:srcRect/>
                    <a:stretch>
                      <a:fillRect/>
                    </a:stretch>
                  </pic:blipFill>
                  <pic:spPr bwMode="auto">
                    <a:xfrm>
                      <a:off x="0" y="0"/>
                      <a:ext cx="3959860" cy="8255"/>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-48260</wp:posOffset>
            </wp:positionV>
            <wp:extent cx="2271395" cy="825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8">
                      <a:extLst>
                        <a:ext uri="{28A0092B-C50C-407E-A947-70E740481C1C}"/>
                      </a:extLst>
                    </a:blip>
                    <a:srcRect/>
                    <a:stretch>
                      <a:fillRect/>
                    </a:stretch>
                  </pic:blipFill>
                  <pic:spPr bwMode="auto">
                    <a:xfrm>
                      <a:off x="0" y="0"/>
                      <a:ext cx="2271395" cy="8255"/>
                    </a:xfrm>
                    <a:prstGeom prst="rect">
                      <a:avLst/>
                    </a:prstGeom>
                    <a:noFill/>
                  </pic:spPr>
                </pic:pic>
              </a:graphicData>
            </a:graphic>
          </wp:anchor>
        </w:drawing>
      </w:r>
    </w:p>
    <w:p>
      <w:pPr>
        <w:spacing w:after="0" w:line="142" w:lineRule="exact"/>
        <w:rPr>
          <w:rFonts w:ascii="Times New Roman" w:cs="Times New Roman" w:eastAsia="Times New Roman" w:hAnsi="Times New Roman"/>
          <w:sz w:val="18"/>
          <w:szCs w:val="18"/>
          <w:u w:val="single" w:color="auto"/>
          <w:color w:val="0000FF"/>
        </w:rPr>
      </w:pPr>
    </w:p>
    <w:p>
      <w:pPr>
        <w:ind w:left="920" w:right="120" w:hanging="669"/>
        <w:spacing w:after="0" w:line="266" w:lineRule="auto"/>
        <w:tabs>
          <w:tab w:leader="none" w:pos="900" w:val="left"/>
        </w:tabs>
        <w:rPr>
          <w:rFonts w:ascii="Times New Roman" w:cs="Times New Roman" w:eastAsia="Times New Roman" w:hAnsi="Times New Roman"/>
          <w:sz w:val="18"/>
          <w:szCs w:val="18"/>
          <w:u w:val="single" w:color="auto"/>
          <w:color w:val="0000FF"/>
        </w:rPr>
      </w:pPr>
      <w:hyperlink r:id="rId299">
        <w:r>
          <w:rPr>
            <w:rFonts w:ascii="Times New Roman" w:cs="Times New Roman" w:eastAsia="Times New Roman" w:hAnsi="Times New Roman"/>
            <w:sz w:val="18"/>
            <w:szCs w:val="18"/>
            <w:u w:val="single" w:color="auto"/>
            <w:color w:val="0000FF"/>
          </w:rPr>
          <w:t>10.2</w:t>
        </w:r>
      </w:hyperlink>
      <w:r>
        <w:rPr>
          <w:rFonts w:ascii="Times New Roman" w:cs="Times New Roman" w:eastAsia="Times New Roman" w:hAnsi="Times New Roman"/>
          <w:sz w:val="18"/>
          <w:szCs w:val="18"/>
          <w:u w:val="single" w:color="auto"/>
          <w:color w:val="0000FF"/>
        </w:rPr>
        <w:tab/>
      </w:r>
      <w:hyperlink r:id="rId299">
        <w:r>
          <w:rPr>
            <w:rFonts w:ascii="Times New Roman" w:cs="Times New Roman" w:eastAsia="Times New Roman" w:hAnsi="Times New Roman"/>
            <w:sz w:val="18"/>
            <w:szCs w:val="18"/>
            <w:u w:val="single" w:color="auto"/>
            <w:color w:val="0000FF"/>
          </w:rPr>
          <w:t>Third Amended and Restated Employment and Non-Competition Agreement,</w:t>
        </w:r>
      </w:hyperlink>
      <w:r>
        <w:rPr>
          <w:rFonts w:ascii="Times New Roman" w:cs="Times New Roman" w:eastAsia="Times New Roman" w:hAnsi="Times New Roman"/>
          <w:sz w:val="18"/>
          <w:szCs w:val="18"/>
          <w:u w:val="single" w:color="auto"/>
          <w:color w:val="0000FF"/>
        </w:rPr>
        <w:t xml:space="preserve"> </w:t>
      </w:r>
      <w:hyperlink r:id="rId299">
        <w:r>
          <w:rPr>
            <w:rFonts w:ascii="Times New Roman" w:cs="Times New Roman" w:eastAsia="Times New Roman" w:hAnsi="Times New Roman"/>
            <w:sz w:val="18"/>
            <w:szCs w:val="18"/>
            <w:u w:val="single" w:color="auto"/>
            <w:color w:val="0000FF"/>
          </w:rPr>
          <w:t>dated March 10, 2025, by and between Addus Healthcare, Inc. and R. Dirk</w:t>
        </w:r>
      </w:hyperlink>
      <w:r>
        <w:rPr>
          <w:rFonts w:ascii="Times New Roman" w:cs="Times New Roman" w:eastAsia="Times New Roman" w:hAnsi="Times New Roman"/>
          <w:sz w:val="18"/>
          <w:szCs w:val="18"/>
          <w:u w:val="single" w:color="auto"/>
          <w:color w:val="0000FF"/>
        </w:rPr>
        <w:t xml:space="preserve"> </w:t>
      </w:r>
      <w:hyperlink r:id="rId299">
        <w:r>
          <w:rPr>
            <w:rFonts w:ascii="Times New Roman" w:cs="Times New Roman" w:eastAsia="Times New Roman" w:hAnsi="Times New Roman"/>
            <w:sz w:val="18"/>
            <w:szCs w:val="18"/>
            <w:u w:val="single" w:color="auto"/>
            <w:color w:val="0000FF"/>
          </w:rPr>
          <w:t>Allison.</w:t>
        </w:r>
      </w:hyperlink>
    </w:p>
    <w:p>
      <w:pPr>
        <w:spacing w:after="0" w:line="20" w:lineRule="exact"/>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u w:val="single" w:color="auto"/>
          <w:color w:val="0000FF"/>
        </w:rPr>
        <w:drawing>
          <wp:anchor simplePos="0" relativeHeight="251657728" behindDoc="1" locked="0" layoutInCell="0" allowOverlap="1">
            <wp:simplePos x="0" y="0"/>
            <wp:positionH relativeFrom="column">
              <wp:posOffset>162560</wp:posOffset>
            </wp:positionH>
            <wp:positionV relativeFrom="paragraph">
              <wp:posOffset>-313055</wp:posOffset>
            </wp:positionV>
            <wp:extent cx="4008120" cy="825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300">
                      <a:extLst>
                        <a:ext uri="{28A0092B-C50C-407E-A947-70E740481C1C}"/>
                      </a:extLst>
                    </a:blip>
                    <a:srcRect/>
                    <a:stretch>
                      <a:fillRect/>
                    </a:stretch>
                  </pic:blipFill>
                  <pic:spPr bwMode="auto">
                    <a:xfrm>
                      <a:off x="0" y="0"/>
                      <a:ext cx="4008120" cy="8255"/>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-175895</wp:posOffset>
            </wp:positionV>
            <wp:extent cx="3451860" cy="8890"/>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301">
                      <a:extLst>
                        <a:ext uri="{28A0092B-C50C-407E-A947-70E740481C1C}"/>
                      </a:extLst>
                    </a:blip>
                    <a:srcRect/>
                    <a:stretch>
                      <a:fillRect/>
                    </a:stretch>
                  </pic:blipFill>
                  <pic:spPr bwMode="auto">
                    <a:xfrm>
                      <a:off x="0" y="0"/>
                      <a:ext cx="345186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-38735</wp:posOffset>
            </wp:positionV>
            <wp:extent cx="365125" cy="825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302">
                      <a:extLst>
                        <a:ext uri="{28A0092B-C50C-407E-A947-70E740481C1C}"/>
                      </a:extLst>
                    </a:blip>
                    <a:srcRect/>
                    <a:stretch>
                      <a:fillRect/>
                    </a:stretch>
                  </pic:blipFill>
                  <pic:spPr bwMode="auto">
                    <a:xfrm>
                      <a:off x="0" y="0"/>
                      <a:ext cx="365125" cy="8255"/>
                    </a:xfrm>
                    <a:prstGeom prst="rect">
                      <a:avLst/>
                    </a:prstGeom>
                    <a:noFill/>
                  </pic:spPr>
                </pic:pic>
              </a:graphicData>
            </a:graphic>
          </wp:anchor>
        </w:drawing>
      </w:r>
    </w:p>
    <w:p>
      <w:pPr>
        <w:spacing w:after="0" w:line="156" w:lineRule="exact"/>
        <w:rPr>
          <w:rFonts w:ascii="Times New Roman" w:cs="Times New Roman" w:eastAsia="Times New Roman" w:hAnsi="Times New Roman"/>
          <w:sz w:val="18"/>
          <w:szCs w:val="18"/>
          <w:u w:val="single" w:color="auto"/>
          <w:color w:val="0000FF"/>
        </w:rPr>
      </w:pPr>
    </w:p>
    <w:p>
      <w:pPr>
        <w:ind w:left="920" w:right="260" w:hanging="669"/>
        <w:spacing w:after="0" w:line="266" w:lineRule="auto"/>
        <w:tabs>
          <w:tab w:leader="none" w:pos="900" w:val="left"/>
        </w:tabs>
        <w:rPr>
          <w:sz w:val="20"/>
          <w:szCs w:val="20"/>
          <w:color w:val="auto"/>
        </w:rPr>
      </w:pPr>
      <w:r>
        <w:rPr>
          <w:rFonts w:ascii="Times New Roman" w:cs="Times New Roman" w:eastAsia="Times New Roman" w:hAnsi="Times New Roman"/>
          <w:sz w:val="18"/>
          <w:szCs w:val="18"/>
          <w:u w:val="single" w:color="auto"/>
          <w:color w:val="0000FF"/>
        </w:rPr>
        <w:t>31.1</w:t>
      </w:r>
      <w:r>
        <w:rPr>
          <w:sz w:val="20"/>
          <w:szCs w:val="20"/>
          <w:color w:val="auto"/>
        </w:rPr>
        <w:tab/>
      </w:r>
      <w:r>
        <w:rPr>
          <w:rFonts w:ascii="Times New Roman" w:cs="Times New Roman" w:eastAsia="Times New Roman" w:hAnsi="Times New Roman"/>
          <w:sz w:val="18"/>
          <w:szCs w:val="18"/>
          <w:u w:val="single" w:color="auto"/>
          <w:color w:val="0000FF"/>
        </w:rPr>
        <w:t>Certification of Chief Executive Officer Pursuant to Rule 13a-14(a) of the Securities Exchange Act of 1934 as Adopted Pursuant to Section 302 of the Sarbanes-Oxley Act of 2002.</w:t>
      </w:r>
    </w:p>
    <w:p>
      <w:pPr>
        <w:spacing w:after="0" w:line="20" w:lineRule="exact"/>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u w:val="single" w:color="auto"/>
          <w:color w:val="0000FF"/>
        </w:rPr>
        <w:drawing>
          <wp:anchor simplePos="0" relativeHeight="251657728" behindDoc="1" locked="0" layoutInCell="0" allowOverlap="1">
            <wp:simplePos x="0" y="0"/>
            <wp:positionH relativeFrom="column">
              <wp:posOffset>162560</wp:posOffset>
            </wp:positionH>
            <wp:positionV relativeFrom="paragraph">
              <wp:posOffset>-313055</wp:posOffset>
            </wp:positionV>
            <wp:extent cx="3836035" cy="825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303">
                      <a:extLst>
                        <a:ext uri="{28A0092B-C50C-407E-A947-70E740481C1C}"/>
                      </a:extLst>
                    </a:blip>
                    <a:srcRect/>
                    <a:stretch>
                      <a:fillRect/>
                    </a:stretch>
                  </pic:blipFill>
                  <pic:spPr bwMode="auto">
                    <a:xfrm>
                      <a:off x="0" y="0"/>
                      <a:ext cx="3836035" cy="8255"/>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-175895</wp:posOffset>
            </wp:positionV>
            <wp:extent cx="3487420" cy="825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304">
                      <a:extLst>
                        <a:ext uri="{28A0092B-C50C-407E-A947-70E740481C1C}"/>
                      </a:extLst>
                    </a:blip>
                    <a:srcRect/>
                    <a:stretch>
                      <a:fillRect/>
                    </a:stretch>
                  </pic:blipFill>
                  <pic:spPr bwMode="auto">
                    <a:xfrm>
                      <a:off x="0" y="0"/>
                      <a:ext cx="3487420" cy="8255"/>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-38735</wp:posOffset>
            </wp:positionV>
            <wp:extent cx="1332865" cy="825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5">
                      <a:extLst>
                        <a:ext uri="{28A0092B-C50C-407E-A947-70E740481C1C}"/>
                      </a:extLst>
                    </a:blip>
                    <a:srcRect/>
                    <a:stretch>
                      <a:fillRect/>
                    </a:stretch>
                  </pic:blipFill>
                  <pic:spPr bwMode="auto">
                    <a:xfrm>
                      <a:off x="0" y="0"/>
                      <a:ext cx="1332865" cy="8255"/>
                    </a:xfrm>
                    <a:prstGeom prst="rect">
                      <a:avLst/>
                    </a:prstGeom>
                    <a:noFill/>
                  </pic:spPr>
                </pic:pic>
              </a:graphicData>
            </a:graphic>
          </wp:anchor>
        </w:drawing>
      </w:r>
    </w:p>
    <w:p>
      <w:pPr>
        <w:spacing w:after="0" w:line="156" w:lineRule="exact"/>
        <w:rPr>
          <w:rFonts w:ascii="Times New Roman" w:cs="Times New Roman" w:eastAsia="Times New Roman" w:hAnsi="Times New Roman"/>
          <w:sz w:val="18"/>
          <w:szCs w:val="18"/>
          <w:u w:val="single" w:color="auto"/>
          <w:color w:val="0000FF"/>
        </w:rPr>
      </w:pPr>
    </w:p>
    <w:p>
      <w:pPr>
        <w:ind w:left="920" w:right="260" w:hanging="669"/>
        <w:spacing w:after="0" w:line="266" w:lineRule="auto"/>
        <w:tabs>
          <w:tab w:leader="none" w:pos="900" w:val="left"/>
        </w:tabs>
        <w:rPr>
          <w:sz w:val="20"/>
          <w:szCs w:val="20"/>
          <w:color w:val="auto"/>
        </w:rPr>
      </w:pPr>
      <w:r>
        <w:rPr>
          <w:rFonts w:ascii="Times New Roman" w:cs="Times New Roman" w:eastAsia="Times New Roman" w:hAnsi="Times New Roman"/>
          <w:sz w:val="18"/>
          <w:szCs w:val="18"/>
          <w:u w:val="single" w:color="auto"/>
          <w:color w:val="0000FF"/>
        </w:rPr>
        <w:t>31.2</w:t>
      </w:r>
      <w:r>
        <w:rPr>
          <w:sz w:val="20"/>
          <w:szCs w:val="20"/>
          <w:color w:val="auto"/>
        </w:rPr>
        <w:tab/>
      </w:r>
      <w:r>
        <w:rPr>
          <w:rFonts w:ascii="Times New Roman" w:cs="Times New Roman" w:eastAsia="Times New Roman" w:hAnsi="Times New Roman"/>
          <w:sz w:val="18"/>
          <w:szCs w:val="18"/>
          <w:u w:val="single" w:color="auto"/>
          <w:color w:val="0000FF"/>
        </w:rPr>
        <w:t>Certification of Chief Financial Officer Pursuant to Rule 13a-14(a) of the Securities Exchange Act of 1934 as Adopted Pursuant to Section 302 of the Sarbanes-Oxley Act of 2002.</w:t>
      </w:r>
    </w:p>
    <w:p>
      <w:pPr>
        <w:spacing w:after="0" w:line="20" w:lineRule="exact"/>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u w:val="single" w:color="auto"/>
          <w:color w:val="0000FF"/>
        </w:rPr>
        <w:drawing>
          <wp:anchor simplePos="0" relativeHeight="251657728" behindDoc="1" locked="0" layoutInCell="0" allowOverlap="1">
            <wp:simplePos x="0" y="0"/>
            <wp:positionH relativeFrom="column">
              <wp:posOffset>162560</wp:posOffset>
            </wp:positionH>
            <wp:positionV relativeFrom="paragraph">
              <wp:posOffset>-313055</wp:posOffset>
            </wp:positionV>
            <wp:extent cx="3804285" cy="8890"/>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6">
                      <a:extLst>
                        <a:ext uri="{28A0092B-C50C-407E-A947-70E740481C1C}"/>
                      </a:extLst>
                    </a:blip>
                    <a:srcRect/>
                    <a:stretch>
                      <a:fillRect/>
                    </a:stretch>
                  </pic:blipFill>
                  <pic:spPr bwMode="auto">
                    <a:xfrm>
                      <a:off x="0" y="0"/>
                      <a:ext cx="3804285"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-175895</wp:posOffset>
            </wp:positionV>
            <wp:extent cx="3487420" cy="825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7">
                      <a:extLst>
                        <a:ext uri="{28A0092B-C50C-407E-A947-70E740481C1C}"/>
                      </a:extLst>
                    </a:blip>
                    <a:srcRect/>
                    <a:stretch>
                      <a:fillRect/>
                    </a:stretch>
                  </pic:blipFill>
                  <pic:spPr bwMode="auto">
                    <a:xfrm>
                      <a:off x="0" y="0"/>
                      <a:ext cx="3487420" cy="8255"/>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-38735</wp:posOffset>
            </wp:positionV>
            <wp:extent cx="1332865" cy="8890"/>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8">
                      <a:extLst>
                        <a:ext uri="{28A0092B-C50C-407E-A947-70E740481C1C}"/>
                      </a:extLst>
                    </a:blip>
                    <a:srcRect/>
                    <a:stretch>
                      <a:fillRect/>
                    </a:stretch>
                  </pic:blipFill>
                  <pic:spPr bwMode="auto">
                    <a:xfrm>
                      <a:off x="0" y="0"/>
                      <a:ext cx="1332865" cy="8890"/>
                    </a:xfrm>
                    <a:prstGeom prst="rect">
                      <a:avLst/>
                    </a:prstGeom>
                    <a:noFill/>
                  </pic:spPr>
                </pic:pic>
              </a:graphicData>
            </a:graphic>
          </wp:anchor>
        </w:drawing>
      </w:r>
    </w:p>
    <w:p>
      <w:pPr>
        <w:spacing w:after="0" w:line="156" w:lineRule="exact"/>
        <w:rPr>
          <w:rFonts w:ascii="Times New Roman" w:cs="Times New Roman" w:eastAsia="Times New Roman" w:hAnsi="Times New Roman"/>
          <w:sz w:val="18"/>
          <w:szCs w:val="18"/>
          <w:u w:val="single" w:color="auto"/>
          <w:color w:val="0000FF"/>
        </w:rPr>
      </w:pPr>
    </w:p>
    <w:p>
      <w:pPr>
        <w:jc w:val="center"/>
        <w:ind w:left="260"/>
        <w:spacing w:after="0" w:line="282" w:lineRule="auto"/>
        <w:rPr>
          <w:sz w:val="20"/>
          <w:szCs w:val="20"/>
          <w:color w:val="auto"/>
        </w:rPr>
      </w:pPr>
      <w:r>
        <w:rPr>
          <w:rFonts w:ascii="Times New Roman" w:cs="Times New Roman" w:eastAsia="Times New Roman" w:hAnsi="Times New Roman"/>
          <w:sz w:val="18"/>
          <w:szCs w:val="18"/>
          <w:u w:val="single" w:color="auto"/>
          <w:color w:val="0000FF"/>
        </w:rPr>
        <w:t>32.1    Certification of Chief Executive Officer Pursuant to 18 U.S.C. Section 1350, as Adopted Pursuant to Section 906 of the Sarbanes-Oxley Act of 2002.</w:t>
      </w:r>
    </w:p>
    <w:p>
      <w:pPr>
        <w:spacing w:after="0" w:line="20" w:lineRule="exact"/>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u w:val="single" w:color="auto"/>
          <w:color w:val="0000FF"/>
        </w:rPr>
        <w:drawing>
          <wp:anchor simplePos="0" relativeHeight="251657728" behindDoc="1" locked="0" layoutInCell="0" allowOverlap="1">
            <wp:simplePos x="0" y="0"/>
            <wp:positionH relativeFrom="column">
              <wp:posOffset>162560</wp:posOffset>
            </wp:positionH>
            <wp:positionV relativeFrom="paragraph">
              <wp:posOffset>-185420</wp:posOffset>
            </wp:positionV>
            <wp:extent cx="4087495" cy="825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9">
                      <a:extLst>
                        <a:ext uri="{28A0092B-C50C-407E-A947-70E740481C1C}"/>
                      </a:extLst>
                    </a:blip>
                    <a:srcRect/>
                    <a:stretch>
                      <a:fillRect/>
                    </a:stretch>
                  </pic:blipFill>
                  <pic:spPr bwMode="auto">
                    <a:xfrm>
                      <a:off x="0" y="0"/>
                      <a:ext cx="4087495" cy="8255"/>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-48260</wp:posOffset>
            </wp:positionV>
            <wp:extent cx="3163570" cy="8890"/>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10">
                      <a:extLst>
                        <a:ext uri="{28A0092B-C50C-407E-A947-70E740481C1C}"/>
                      </a:extLst>
                    </a:blip>
                    <a:srcRect/>
                    <a:stretch>
                      <a:fillRect/>
                    </a:stretch>
                  </pic:blipFill>
                  <pic:spPr bwMode="auto">
                    <a:xfrm>
                      <a:off x="0" y="0"/>
                      <a:ext cx="3163570" cy="8890"/>
                    </a:xfrm>
                    <a:prstGeom prst="rect">
                      <a:avLst/>
                    </a:prstGeom>
                    <a:noFill/>
                  </pic:spPr>
                </pic:pic>
              </a:graphicData>
            </a:graphic>
          </wp:anchor>
        </w:drawing>
      </w:r>
    </w:p>
    <w:p>
      <w:pPr>
        <w:spacing w:after="0" w:line="142" w:lineRule="exact"/>
        <w:rPr>
          <w:rFonts w:ascii="Times New Roman" w:cs="Times New Roman" w:eastAsia="Times New Roman" w:hAnsi="Times New Roman"/>
          <w:sz w:val="18"/>
          <w:szCs w:val="18"/>
          <w:u w:val="single" w:color="auto"/>
          <w:color w:val="0000FF"/>
        </w:rPr>
      </w:pPr>
    </w:p>
    <w:p>
      <w:pPr>
        <w:jc w:val="center"/>
        <w:ind w:left="260" w:right="40"/>
        <w:spacing w:after="0" w:line="282" w:lineRule="auto"/>
        <w:rPr>
          <w:sz w:val="20"/>
          <w:szCs w:val="20"/>
          <w:color w:val="auto"/>
        </w:rPr>
      </w:pPr>
      <w:r>
        <w:rPr>
          <w:rFonts w:ascii="Times New Roman" w:cs="Times New Roman" w:eastAsia="Times New Roman" w:hAnsi="Times New Roman"/>
          <w:sz w:val="18"/>
          <w:szCs w:val="18"/>
          <w:u w:val="single" w:color="auto"/>
          <w:color w:val="0000FF"/>
        </w:rPr>
        <w:t>32.2    Certification of Chief Financial Officer Pursuant to 18 U.S.C. Section 1350, as Adopted Pursuant to Section 906 of the Sarbanes-Oxley Act of 2002.</w:t>
      </w:r>
    </w:p>
    <w:p>
      <w:pPr>
        <w:spacing w:after="0" w:line="20" w:lineRule="exact"/>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u w:val="single" w:color="auto"/>
          <w:color w:val="0000FF"/>
        </w:rPr>
        <w:drawing>
          <wp:anchor simplePos="0" relativeHeight="251657728" behindDoc="1" locked="0" layoutInCell="0" allowOverlap="1">
            <wp:simplePos x="0" y="0"/>
            <wp:positionH relativeFrom="column">
              <wp:posOffset>162560</wp:posOffset>
            </wp:positionH>
            <wp:positionV relativeFrom="paragraph">
              <wp:posOffset>-185420</wp:posOffset>
            </wp:positionV>
            <wp:extent cx="4055745" cy="825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11">
                      <a:extLst>
                        <a:ext uri="{28A0092B-C50C-407E-A947-70E740481C1C}"/>
                      </a:extLst>
                    </a:blip>
                    <a:srcRect/>
                    <a:stretch>
                      <a:fillRect/>
                    </a:stretch>
                  </pic:blipFill>
                  <pic:spPr bwMode="auto">
                    <a:xfrm>
                      <a:off x="0" y="0"/>
                      <a:ext cx="4055745" cy="8255"/>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-48260</wp:posOffset>
            </wp:positionV>
            <wp:extent cx="3163570" cy="8890"/>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12">
                      <a:extLst>
                        <a:ext uri="{28A0092B-C50C-407E-A947-70E740481C1C}"/>
                      </a:extLst>
                    </a:blip>
                    <a:srcRect/>
                    <a:stretch>
                      <a:fillRect/>
                    </a:stretch>
                  </pic:blipFill>
                  <pic:spPr bwMode="auto">
                    <a:xfrm>
                      <a:off x="0" y="0"/>
                      <a:ext cx="3163570" cy="8890"/>
                    </a:xfrm>
                    <a:prstGeom prst="rect">
                      <a:avLst/>
                    </a:prstGeom>
                    <a:noFill/>
                  </pic:spPr>
                </pic:pic>
              </a:graphicData>
            </a:graphic>
          </wp:anchor>
        </w:drawing>
      </w:r>
    </w:p>
    <w:p>
      <w:pPr>
        <w:spacing w:after="0" w:line="20" w:lineRule="exact"/>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u w:val="single" w:color="auto"/>
          <w:color w:val="0000FF"/>
        </w:rPr>
        <w:br w:type="column"/>
      </w:r>
    </w:p>
    <w:p>
      <w:pPr>
        <w:spacing w:after="0" w:line="88" w:lineRule="exact"/>
        <w:rPr>
          <w:rFonts w:ascii="Times New Roman" w:cs="Times New Roman" w:eastAsia="Times New Roman" w:hAnsi="Times New Roman"/>
          <w:sz w:val="18"/>
          <w:szCs w:val="18"/>
          <w:u w:val="single" w:color="auto"/>
          <w:color w:val="0000FF"/>
        </w:rPr>
      </w:pPr>
    </w:p>
    <w:p>
      <w:pPr>
        <w:spacing w:after="0" w:line="1" w:lineRule="exact"/>
        <w:rPr>
          <w:rFonts w:ascii="Times New Roman" w:cs="Times New Roman" w:eastAsia="Times New Roman" w:hAnsi="Times New Roman"/>
          <w:sz w:val="1"/>
          <w:szCs w:val="1"/>
          <w:u w:val="single" w:color="auto"/>
          <w:color w:val="0000FF"/>
        </w:rPr>
      </w:pPr>
    </w:p>
    <w:tbl>
      <w:tblPr>
        <w:tblLayout w:type="fixed"/>
        <w:tblInd w:w="0" w:type="dxa"/>
        <w:tblCellMar>
          <w:top w:w="0" w:type="dxa"/>
          <w:left w:w="0" w:type="dxa"/>
          <w:bottom w:w="0" w:type="dxa"/>
          <w:right w:w="0" w:type="dxa"/>
        </w:tblCellMar>
      </w:tblPr>
      <w:tr>
        <w:trPr>
          <w:trHeight w:val="234"/>
        </w:trPr>
        <w:tc>
          <w:tcPr>
            <w:tcW w:w="580" w:type="dxa"/>
            <w:vAlign w:val="bottom"/>
          </w:tcPr>
          <w:p>
            <w:pPr>
              <w:jc w:val="center"/>
              <w:ind w:right="130"/>
              <w:spacing w:after="0"/>
              <w:rPr>
                <w:sz w:val="20"/>
                <w:szCs w:val="20"/>
                <w:color w:val="auto"/>
              </w:rPr>
            </w:pPr>
            <w:r>
              <w:rPr>
                <w:rFonts w:ascii="Times New Roman" w:cs="Times New Roman" w:eastAsia="Times New Roman" w:hAnsi="Times New Roman"/>
                <w:sz w:val="18"/>
                <w:szCs w:val="18"/>
                <w:color w:val="auto"/>
                <w:w w:val="97"/>
              </w:rPr>
              <w:t>10-Q</w:t>
            </w:r>
          </w:p>
        </w:tc>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001-34504</w:t>
            </w:r>
          </w:p>
        </w:tc>
        <w:tc>
          <w:tcPr>
            <w:tcW w:w="130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11/20/2009</w:t>
            </w:r>
          </w:p>
        </w:tc>
        <w:tc>
          <w:tcPr>
            <w:tcW w:w="620" w:type="dxa"/>
            <w:vAlign w:val="bottom"/>
          </w:tcPr>
          <w:p>
            <w:pPr>
              <w:jc w:val="center"/>
              <w:ind w:left="210"/>
              <w:spacing w:after="0"/>
              <w:rPr>
                <w:sz w:val="20"/>
                <w:szCs w:val="20"/>
                <w:color w:val="auto"/>
              </w:rPr>
            </w:pPr>
            <w:r>
              <w:rPr>
                <w:rFonts w:ascii="Times New Roman" w:cs="Times New Roman" w:eastAsia="Times New Roman" w:hAnsi="Times New Roman"/>
                <w:sz w:val="18"/>
                <w:szCs w:val="18"/>
                <w:color w:val="auto"/>
              </w:rPr>
              <w:t>3.1</w:t>
            </w:r>
          </w:p>
        </w:tc>
      </w:tr>
      <w:tr>
        <w:trPr>
          <w:trHeight w:val="648"/>
        </w:trPr>
        <w:tc>
          <w:tcPr>
            <w:tcW w:w="580" w:type="dxa"/>
            <w:vAlign w:val="bottom"/>
          </w:tcPr>
          <w:p>
            <w:pPr>
              <w:jc w:val="center"/>
              <w:ind w:right="130"/>
              <w:spacing w:after="0"/>
              <w:rPr>
                <w:sz w:val="20"/>
                <w:szCs w:val="20"/>
                <w:color w:val="auto"/>
              </w:rPr>
            </w:pPr>
            <w:r>
              <w:rPr>
                <w:rFonts w:ascii="Times New Roman" w:cs="Times New Roman" w:eastAsia="Times New Roman" w:hAnsi="Times New Roman"/>
                <w:sz w:val="18"/>
                <w:szCs w:val="18"/>
                <w:color w:val="auto"/>
                <w:w w:val="97"/>
              </w:rPr>
              <w:t>10-Q</w:t>
            </w:r>
          </w:p>
        </w:tc>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001-34504</w:t>
            </w:r>
          </w:p>
        </w:tc>
        <w:tc>
          <w:tcPr>
            <w:tcW w:w="130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05/09/2013</w:t>
            </w:r>
          </w:p>
        </w:tc>
        <w:tc>
          <w:tcPr>
            <w:tcW w:w="620" w:type="dxa"/>
            <w:vAlign w:val="bottom"/>
          </w:tcPr>
          <w:p>
            <w:pPr>
              <w:jc w:val="center"/>
              <w:ind w:left="210"/>
              <w:spacing w:after="0"/>
              <w:rPr>
                <w:sz w:val="20"/>
                <w:szCs w:val="20"/>
                <w:color w:val="auto"/>
              </w:rPr>
            </w:pPr>
            <w:r>
              <w:rPr>
                <w:rFonts w:ascii="Times New Roman" w:cs="Times New Roman" w:eastAsia="Times New Roman" w:hAnsi="Times New Roman"/>
                <w:sz w:val="18"/>
                <w:szCs w:val="18"/>
                <w:color w:val="auto"/>
              </w:rPr>
              <w:t>3.2</w:t>
            </w:r>
          </w:p>
        </w:tc>
      </w:tr>
      <w:tr>
        <w:trPr>
          <w:trHeight w:val="540"/>
        </w:trPr>
        <w:tc>
          <w:tcPr>
            <w:tcW w:w="580" w:type="dxa"/>
            <w:vAlign w:val="bottom"/>
          </w:tcPr>
          <w:p>
            <w:pPr>
              <w:jc w:val="center"/>
              <w:ind w:right="130"/>
              <w:spacing w:after="0"/>
              <w:rPr>
                <w:sz w:val="20"/>
                <w:szCs w:val="20"/>
                <w:color w:val="auto"/>
              </w:rPr>
            </w:pPr>
            <w:r>
              <w:rPr>
                <w:rFonts w:ascii="Times New Roman" w:cs="Times New Roman" w:eastAsia="Times New Roman" w:hAnsi="Times New Roman"/>
                <w:sz w:val="18"/>
                <w:szCs w:val="18"/>
                <w:color w:val="auto"/>
                <w:w w:val="95"/>
              </w:rPr>
              <w:t>S-1</w:t>
            </w:r>
          </w:p>
        </w:tc>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333-160634</w:t>
            </w:r>
          </w:p>
        </w:tc>
        <w:tc>
          <w:tcPr>
            <w:tcW w:w="130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10/02/2009</w:t>
            </w:r>
          </w:p>
        </w:tc>
        <w:tc>
          <w:tcPr>
            <w:tcW w:w="620" w:type="dxa"/>
            <w:vAlign w:val="bottom"/>
          </w:tcPr>
          <w:p>
            <w:pPr>
              <w:jc w:val="center"/>
              <w:ind w:left="210"/>
              <w:spacing w:after="0"/>
              <w:rPr>
                <w:sz w:val="20"/>
                <w:szCs w:val="20"/>
                <w:color w:val="auto"/>
              </w:rPr>
            </w:pPr>
            <w:r>
              <w:rPr>
                <w:rFonts w:ascii="Times New Roman" w:cs="Times New Roman" w:eastAsia="Times New Roman" w:hAnsi="Times New Roman"/>
                <w:sz w:val="18"/>
                <w:szCs w:val="18"/>
                <w:color w:val="auto"/>
              </w:rPr>
              <w:t>4.1</w:t>
            </w:r>
          </w:p>
        </w:tc>
      </w:tr>
      <w:tr>
        <w:trPr>
          <w:trHeight w:val="540"/>
        </w:trPr>
        <w:tc>
          <w:tcPr>
            <w:tcW w:w="580" w:type="dxa"/>
            <w:vAlign w:val="bottom"/>
          </w:tcPr>
          <w:p>
            <w:pPr>
              <w:jc w:val="center"/>
              <w:ind w:right="130"/>
              <w:spacing w:after="0"/>
              <w:rPr>
                <w:sz w:val="20"/>
                <w:szCs w:val="20"/>
                <w:color w:val="auto"/>
              </w:rPr>
            </w:pPr>
            <w:r>
              <w:rPr>
                <w:rFonts w:ascii="Times New Roman" w:cs="Times New Roman" w:eastAsia="Times New Roman" w:hAnsi="Times New Roman"/>
                <w:sz w:val="18"/>
                <w:szCs w:val="18"/>
                <w:color w:val="auto"/>
                <w:w w:val="99"/>
              </w:rPr>
              <w:t>8-K</w:t>
            </w:r>
          </w:p>
        </w:tc>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001-34504</w:t>
            </w:r>
          </w:p>
        </w:tc>
        <w:tc>
          <w:tcPr>
            <w:tcW w:w="130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03/11/2025</w:t>
            </w:r>
          </w:p>
        </w:tc>
        <w:tc>
          <w:tcPr>
            <w:tcW w:w="620" w:type="dxa"/>
            <w:vAlign w:val="bottom"/>
          </w:tcPr>
          <w:p>
            <w:pPr>
              <w:jc w:val="center"/>
              <w:ind w:left="210"/>
              <w:spacing w:after="0"/>
              <w:rPr>
                <w:sz w:val="20"/>
                <w:szCs w:val="20"/>
                <w:color w:val="auto"/>
              </w:rPr>
            </w:pPr>
            <w:r>
              <w:rPr>
                <w:rFonts w:ascii="Times New Roman" w:cs="Times New Roman" w:eastAsia="Times New Roman" w:hAnsi="Times New Roman"/>
                <w:sz w:val="18"/>
                <w:szCs w:val="18"/>
                <w:color w:val="auto"/>
              </w:rPr>
              <w:t>10.1</w:t>
            </w:r>
          </w:p>
        </w:tc>
      </w:tr>
      <w:tr>
        <w:trPr>
          <w:trHeight w:val="756"/>
        </w:trPr>
        <w:tc>
          <w:tcPr>
            <w:tcW w:w="580" w:type="dxa"/>
            <w:vAlign w:val="bottom"/>
          </w:tcPr>
          <w:p>
            <w:pPr>
              <w:jc w:val="center"/>
              <w:ind w:right="130"/>
              <w:spacing w:after="0"/>
              <w:rPr>
                <w:sz w:val="20"/>
                <w:szCs w:val="20"/>
                <w:color w:val="auto"/>
              </w:rPr>
            </w:pPr>
            <w:r>
              <w:rPr>
                <w:rFonts w:ascii="Times New Roman" w:cs="Times New Roman" w:eastAsia="Times New Roman" w:hAnsi="Times New Roman"/>
                <w:sz w:val="18"/>
                <w:szCs w:val="18"/>
                <w:color w:val="auto"/>
                <w:w w:val="99"/>
              </w:rPr>
              <w:t>8-K</w:t>
            </w:r>
          </w:p>
        </w:tc>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001-34504</w:t>
            </w:r>
          </w:p>
        </w:tc>
        <w:tc>
          <w:tcPr>
            <w:tcW w:w="130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03/11/2025</w:t>
            </w:r>
          </w:p>
        </w:tc>
        <w:tc>
          <w:tcPr>
            <w:tcW w:w="620" w:type="dxa"/>
            <w:vAlign w:val="bottom"/>
          </w:tcPr>
          <w:p>
            <w:pPr>
              <w:jc w:val="center"/>
              <w:ind w:left="210"/>
              <w:spacing w:after="0"/>
              <w:rPr>
                <w:sz w:val="20"/>
                <w:szCs w:val="20"/>
                <w:color w:val="auto"/>
              </w:rPr>
            </w:pPr>
            <w:r>
              <w:rPr>
                <w:rFonts w:ascii="Times New Roman" w:cs="Times New Roman" w:eastAsia="Times New Roman" w:hAnsi="Times New Roman"/>
                <w:sz w:val="18"/>
                <w:szCs w:val="18"/>
                <w:color w:val="auto"/>
              </w:rPr>
              <w:t>10.2</w:t>
            </w:r>
          </w:p>
        </w:tc>
      </w:tr>
    </w:tbl>
    <w:p>
      <w:pPr>
        <w:spacing w:after="0" w:line="3438" w:lineRule="exact"/>
        <w:rPr>
          <w:rFonts w:ascii="Times New Roman" w:cs="Times New Roman" w:eastAsia="Times New Roman" w:hAnsi="Times New Roman"/>
          <w:sz w:val="18"/>
          <w:szCs w:val="18"/>
          <w:u w:val="single" w:color="auto"/>
          <w:color w:val="0000FF"/>
        </w:rPr>
      </w:pPr>
    </w:p>
    <w:p>
      <w:pPr>
        <w:sectPr>
          <w:pgSz w:w="11900" w:h="16838" w:orient="portrait"/>
          <w:cols w:equalWidth="0" w:num="2">
            <w:col w:w="6640" w:space="480"/>
            <w:col w:w="4120"/>
          </w:cols>
          <w:pgMar w:left="320" w:top="756" w:right="339" w:bottom="1440" w:gutter="0" w:footer="0" w:header="0"/>
          <w:type w:val="continuous"/>
        </w:sectPr>
      </w:pPr>
    </w:p>
    <w:tbl>
      <w:tblPr>
        <w:tblLayout w:type="fixed"/>
        <w:tblInd w:w="80" w:type="dxa"/>
        <w:tblCellMar>
          <w:top w:w="0" w:type="dxa"/>
          <w:left w:w="0" w:type="dxa"/>
          <w:bottom w:w="0" w:type="dxa"/>
          <w:right w:w="0" w:type="dxa"/>
        </w:tblCellMar>
      </w:tblPr>
      <w:tr>
        <w:trPr>
          <w:trHeight w:val="216"/>
        </w:trPr>
        <w:tc>
          <w:tcPr>
            <w:tcW w:w="7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101.INS</w:t>
            </w:r>
          </w:p>
        </w:tc>
        <w:tc>
          <w:tcPr>
            <w:tcW w:w="5800" w:type="dxa"/>
            <w:vAlign w:val="bottom"/>
          </w:tcPr>
          <w:p>
            <w:pPr>
              <w:ind w:left="80"/>
              <w:spacing w:after="0"/>
              <w:rPr>
                <w:sz w:val="20"/>
                <w:szCs w:val="20"/>
                <w:color w:val="auto"/>
              </w:rPr>
            </w:pPr>
            <w:r>
              <w:rPr>
                <w:rFonts w:ascii="Times New Roman" w:cs="Times New Roman" w:eastAsia="Times New Roman" w:hAnsi="Times New Roman"/>
                <w:sz w:val="18"/>
                <w:szCs w:val="18"/>
                <w:color w:val="auto"/>
                <w:w w:val="99"/>
              </w:rPr>
              <w:t>Inline XBRL Instance Document (the instance document does not appear in the</w:t>
            </w:r>
          </w:p>
        </w:tc>
      </w:tr>
      <w:tr>
        <w:trPr>
          <w:trHeight w:val="216"/>
        </w:trPr>
        <w:tc>
          <w:tcPr>
            <w:tcW w:w="760" w:type="dxa"/>
            <w:vAlign w:val="bottom"/>
          </w:tcPr>
          <w:p>
            <w:pPr>
              <w:spacing w:after="0"/>
              <w:rPr>
                <w:sz w:val="18"/>
                <w:szCs w:val="18"/>
                <w:color w:val="auto"/>
              </w:rPr>
            </w:pPr>
          </w:p>
        </w:tc>
        <w:tc>
          <w:tcPr>
            <w:tcW w:w="58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Interactive Data File because its XBRL tags are embedded within the Inline</w:t>
            </w:r>
          </w:p>
        </w:tc>
      </w:tr>
      <w:tr>
        <w:trPr>
          <w:trHeight w:val="234"/>
        </w:trPr>
        <w:tc>
          <w:tcPr>
            <w:tcW w:w="760" w:type="dxa"/>
            <w:vAlign w:val="bottom"/>
          </w:tcPr>
          <w:p>
            <w:pPr>
              <w:spacing w:after="0"/>
              <w:rPr>
                <w:sz w:val="20"/>
                <w:szCs w:val="20"/>
                <w:color w:val="auto"/>
              </w:rPr>
            </w:pPr>
          </w:p>
        </w:tc>
        <w:tc>
          <w:tcPr>
            <w:tcW w:w="58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XBRL document).</w:t>
            </w:r>
          </w:p>
        </w:tc>
      </w:tr>
      <w:tr>
        <w:trPr>
          <w:trHeight w:val="432"/>
        </w:trPr>
        <w:tc>
          <w:tcPr>
            <w:tcW w:w="76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w w:val="99"/>
              </w:rPr>
              <w:t>101.SCH</w:t>
            </w:r>
          </w:p>
        </w:tc>
        <w:tc>
          <w:tcPr>
            <w:tcW w:w="58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tc>
      </w:tr>
      <w:tr>
        <w:trPr>
          <w:trHeight w:val="432"/>
        </w:trPr>
        <w:tc>
          <w:tcPr>
            <w:tcW w:w="7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101.CAL</w:t>
            </w:r>
          </w:p>
        </w:tc>
        <w:tc>
          <w:tcPr>
            <w:tcW w:w="58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Inline XBRL Taxonomy Calculation Linkbase Document.</w:t>
            </w:r>
          </w:p>
        </w:tc>
      </w:tr>
      <w:tr>
        <w:trPr>
          <w:trHeight w:val="432"/>
        </w:trPr>
        <w:tc>
          <w:tcPr>
            <w:tcW w:w="7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101.LAB</w:t>
            </w:r>
          </w:p>
        </w:tc>
        <w:tc>
          <w:tcPr>
            <w:tcW w:w="58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Inline XBRL Taxonomy Label Linkbase Document.</w:t>
            </w:r>
          </w:p>
        </w:tc>
      </w:tr>
      <w:tr>
        <w:trPr>
          <w:trHeight w:val="432"/>
        </w:trPr>
        <w:tc>
          <w:tcPr>
            <w:tcW w:w="7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101.PRE</w:t>
            </w:r>
          </w:p>
        </w:tc>
        <w:tc>
          <w:tcPr>
            <w:tcW w:w="58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Inline XBRL Presentation Linkbase Document.</w:t>
            </w:r>
          </w:p>
        </w:tc>
      </w:tr>
      <w:tr>
        <w:trPr>
          <w:trHeight w:val="432"/>
        </w:trPr>
        <w:tc>
          <w:tcPr>
            <w:tcW w:w="76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rPr>
              <w:t>101.DEF</w:t>
            </w:r>
          </w:p>
        </w:tc>
        <w:tc>
          <w:tcPr>
            <w:tcW w:w="58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Inline XBRL Taxonomy Extension Definition Linkbase Document.</w:t>
            </w:r>
          </w:p>
        </w:tc>
      </w:tr>
    </w:tbl>
    <w:p>
      <w:pPr>
        <w:spacing w:after="0" w:line="198" w:lineRule="exact"/>
        <w:rPr>
          <w:rFonts w:ascii="Times New Roman" w:cs="Times New Roman" w:eastAsia="Times New Roman" w:hAnsi="Times New Roman"/>
          <w:sz w:val="18"/>
          <w:szCs w:val="18"/>
          <w:u w:val="single" w:color="auto"/>
          <w:color w:val="0000FF"/>
        </w:rPr>
      </w:pPr>
    </w:p>
    <w:p>
      <w:pPr>
        <w:ind w:left="920" w:right="4600" w:hanging="642"/>
        <w:spacing w:after="0" w:line="282" w:lineRule="auto"/>
        <w:tabs>
          <w:tab w:leader="none" w:pos="9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(embedded within the Inline XBRL document and contained in Exhibit 101).</w:t>
      </w:r>
    </w:p>
    <w:p>
      <w:pPr>
        <w:spacing w:after="0" w:line="200" w:lineRule="exact"/>
        <w:rPr>
          <w:rFonts w:ascii="Times New Roman" w:cs="Times New Roman" w:eastAsia="Times New Roman" w:hAnsi="Times New Roman"/>
          <w:sz w:val="18"/>
          <w:szCs w:val="18"/>
          <w:u w:val="single" w:color="auto"/>
          <w:color w:val="0000FF"/>
        </w:rPr>
      </w:pPr>
    </w:p>
    <w:p>
      <w:pPr>
        <w:spacing w:after="0" w:line="200" w:lineRule="exact"/>
        <w:rPr>
          <w:rFonts w:ascii="Times New Roman" w:cs="Times New Roman" w:eastAsia="Times New Roman" w:hAnsi="Times New Roman"/>
          <w:sz w:val="18"/>
          <w:szCs w:val="18"/>
          <w:u w:val="single" w:color="auto"/>
          <w:color w:val="0000FF"/>
        </w:rPr>
      </w:pPr>
    </w:p>
    <w:p>
      <w:pPr>
        <w:spacing w:after="0" w:line="360" w:lineRule="exact"/>
        <w:rPr>
          <w:rFonts w:ascii="Times New Roman" w:cs="Times New Roman" w:eastAsia="Times New Roman" w:hAnsi="Times New Roman"/>
          <w:sz w:val="18"/>
          <w:szCs w:val="18"/>
          <w:u w:val="single" w:color="auto"/>
          <w:color w:val="0000FF"/>
        </w:rPr>
      </w:pPr>
    </w:p>
    <w:p>
      <w:pPr>
        <w:jc w:val="center"/>
        <w:spacing w:after="0"/>
        <w:rPr>
          <w:sz w:val="20"/>
          <w:szCs w:val="20"/>
          <w:color w:val="auto"/>
        </w:rPr>
      </w:pPr>
      <w:r>
        <w:rPr>
          <w:rFonts w:ascii="Times New Roman" w:cs="Times New Roman" w:eastAsia="Times New Roman" w:hAnsi="Times New Roman"/>
          <w:sz w:val="16"/>
          <w:szCs w:val="16"/>
          <w:color w:val="auto"/>
        </w:rPr>
        <w:t>34</w:t>
      </w:r>
    </w:p>
    <w:p>
      <w:pPr>
        <w:spacing w:after="0" w:line="20" w:lineRule="exact"/>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u w:val="single" w:color="auto"/>
          <w:color w:val="0000FF"/>
        </w:rPr>
        <w:drawing>
          <wp:anchor simplePos="0" relativeHeight="251657728" behindDoc="1" locked="0" layoutInCell="0" allowOverlap="1">
            <wp:simplePos x="0" y="0"/>
            <wp:positionH relativeFrom="column">
              <wp:posOffset>-6985</wp:posOffset>
            </wp:positionH>
            <wp:positionV relativeFrom="paragraph">
              <wp:posOffset>487680</wp:posOffset>
            </wp:positionV>
            <wp:extent cx="7157720" cy="4254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56" w:right="339" w:bottom="1440" w:gutter="0" w:footer="0" w:header="0"/>
          <w:type w:val="continuous"/>
        </w:sectPr>
      </w:pPr>
    </w:p>
    <w:bookmarkStart w:id="34" w:name="page35"/>
    <w:bookmarkEnd w:id="34"/>
    <w:p>
      <w:pPr>
        <w:spacing w:after="0"/>
        <w:rPr>
          <w:sz w:val="20"/>
          <w:szCs w:val="20"/>
          <w:color w:val="auto"/>
        </w:rPr>
      </w:pPr>
      <w:r>
        <w:rPr>
          <w:rFonts w:ascii="Times New Roman" w:cs="Times New Roman" w:eastAsia="Times New Roman" w:hAnsi="Times New Roman"/>
          <w:sz w:val="18"/>
          <w:szCs w:val="18"/>
          <w:b w:val="1"/>
          <w:bCs w:val="1"/>
          <w:u w:val="single" w:color="auto"/>
          <w:color w:val="0563C1"/>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-5080</wp:posOffset>
            </wp:positionV>
            <wp:extent cx="869315" cy="8890"/>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14">
                      <a:extLst>
                        <a:ext uri="{28A0092B-C50C-407E-A947-70E740481C1C}"/>
                      </a:extLst>
                    </a:blip>
                    <a:srcRect/>
                    <a:stretch>
                      <a:fillRect/>
                    </a:stretch>
                  </pic:blipFill>
                  <pic:spPr bwMode="auto">
                    <a:xfrm>
                      <a:off x="0" y="0"/>
                      <a:ext cx="869315" cy="8890"/>
                    </a:xfrm>
                    <a:prstGeom prst="rect">
                      <a:avLst/>
                    </a:prstGeom>
                    <a:noFill/>
                  </pic:spPr>
                </pic:pic>
              </a:graphicData>
            </a:graphic>
          </wp:anchor>
        </w:drawing>
      </w:r>
    </w:p>
    <w:p>
      <w:pPr>
        <w:spacing w:after="0" w:line="205" w:lineRule="exact"/>
        <w:rPr>
          <w:sz w:val="20"/>
          <w:szCs w:val="20"/>
          <w:color w:val="auto"/>
        </w:rPr>
      </w:pPr>
    </w:p>
    <w:p>
      <w:pPr>
        <w:jc w:val="center"/>
        <w:ind w:right="-45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75"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32"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6"/>
          <w:szCs w:val="16"/>
          <w:b w:val="1"/>
          <w:bCs w:val="1"/>
          <w:i w:val="1"/>
          <w:iCs w:val="1"/>
          <w:color w:val="auto"/>
        </w:rPr>
        <w:t>ADDUS HOMECARE CORPORATION</w:t>
      </w:r>
    </w:p>
    <w:p>
      <w:pPr>
        <w:spacing w:after="0" w:line="279" w:lineRule="exact"/>
        <w:rPr>
          <w:sz w:val="20"/>
          <w:szCs w:val="20"/>
          <w:color w:val="auto"/>
        </w:rPr>
      </w:pPr>
    </w:p>
    <w:p>
      <w:pPr>
        <w:spacing w:after="0"/>
        <w:tabs>
          <w:tab w:leader="none" w:pos="5620" w:val="left"/>
          <w:tab w:leader="none" w:pos="7880" w:val="left"/>
        </w:tabs>
        <w:rPr>
          <w:sz w:val="20"/>
          <w:szCs w:val="20"/>
          <w:color w:val="auto"/>
        </w:rPr>
      </w:pPr>
      <w:r>
        <w:rPr>
          <w:rFonts w:ascii="Times New Roman" w:cs="Times New Roman" w:eastAsia="Times New Roman" w:hAnsi="Times New Roman"/>
          <w:sz w:val="16"/>
          <w:szCs w:val="16"/>
          <w:color w:val="auto"/>
        </w:rPr>
        <w:t>Date: May 6, 2025</w:t>
      </w:r>
      <w:r>
        <w:rPr>
          <w:sz w:val="20"/>
          <w:szCs w:val="20"/>
          <w:color w:val="auto"/>
        </w:rPr>
        <w:tab/>
      </w:r>
      <w:r>
        <w:rPr>
          <w:rFonts w:ascii="Times New Roman" w:cs="Times New Roman" w:eastAsia="Times New Roman" w:hAnsi="Times New Roman"/>
          <w:sz w:val="16"/>
          <w:szCs w:val="16"/>
          <w:color w:val="auto"/>
        </w:rPr>
        <w:t>By:</w:t>
      </w:r>
      <w:r>
        <w:rPr>
          <w:sz w:val="20"/>
          <w:szCs w:val="20"/>
          <w:color w:val="auto"/>
        </w:rPr>
        <w:tab/>
      </w:r>
      <w:r>
        <w:rPr>
          <w:rFonts w:ascii="Times New Roman" w:cs="Times New Roman" w:eastAsia="Times New Roman" w:hAnsi="Times New Roman"/>
          <w:sz w:val="16"/>
          <w:szCs w:val="16"/>
          <w:color w:val="auto"/>
        </w:rPr>
        <w:t>/s/ R. DIRK ALLISON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29210</wp:posOffset>
            </wp:positionV>
            <wp:extent cx="3265805" cy="825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5">
                      <a:extLst>
                        <a:ext uri="{28A0092B-C50C-407E-A947-70E740481C1C}"/>
                      </a:extLst>
                    </a:blip>
                    <a:srcRect/>
                    <a:stretch>
                      <a:fillRect/>
                    </a:stretch>
                  </pic:blipFill>
                  <pic:spPr bwMode="auto">
                    <a:xfrm>
                      <a:off x="0" y="0"/>
                      <a:ext cx="3265805" cy="8255"/>
                    </a:xfrm>
                    <a:prstGeom prst="rect">
                      <a:avLst/>
                    </a:prstGeom>
                    <a:noFill/>
                  </pic:spPr>
                </pic:pic>
              </a:graphicData>
            </a:graphic>
          </wp:anchor>
        </w:drawing>
      </w:r>
    </w:p>
    <w:p>
      <w:pPr>
        <w:spacing w:after="0" w:line="267" w:lineRule="exact"/>
        <w:rPr>
          <w:sz w:val="20"/>
          <w:szCs w:val="20"/>
          <w:color w:val="auto"/>
        </w:rPr>
      </w:pPr>
    </w:p>
    <w:p>
      <w:pPr>
        <w:jc w:val="center"/>
        <w:ind w:left="6060"/>
        <w:spacing w:after="0"/>
        <w:rPr>
          <w:sz w:val="20"/>
          <w:szCs w:val="20"/>
          <w:color w:val="auto"/>
        </w:rPr>
      </w:pPr>
      <w:r>
        <w:rPr>
          <w:rFonts w:ascii="Times New Roman" w:cs="Times New Roman" w:eastAsia="Times New Roman" w:hAnsi="Times New Roman"/>
          <w:sz w:val="16"/>
          <w:szCs w:val="16"/>
          <w:b w:val="1"/>
          <w:bCs w:val="1"/>
          <w:color w:val="auto"/>
        </w:rPr>
        <w:t>R. Dirk Allison</w:t>
      </w:r>
    </w:p>
    <w:p>
      <w:pPr>
        <w:spacing w:after="0" w:line="28" w:lineRule="exact"/>
        <w:rPr>
          <w:sz w:val="20"/>
          <w:szCs w:val="20"/>
          <w:color w:val="auto"/>
        </w:rPr>
      </w:pPr>
    </w:p>
    <w:p>
      <w:pPr>
        <w:jc w:val="center"/>
        <w:ind w:left="6060"/>
        <w:spacing w:after="0"/>
        <w:rPr>
          <w:sz w:val="20"/>
          <w:szCs w:val="20"/>
          <w:color w:val="auto"/>
        </w:rPr>
      </w:pPr>
      <w:r>
        <w:rPr>
          <w:rFonts w:ascii="Times New Roman" w:cs="Times New Roman" w:eastAsia="Times New Roman" w:hAnsi="Times New Roman"/>
          <w:sz w:val="16"/>
          <w:szCs w:val="16"/>
          <w:b w:val="1"/>
          <w:bCs w:val="1"/>
          <w:color w:val="auto"/>
        </w:rPr>
        <w:t>Chairman and Chief Executive Officer</w:t>
      </w:r>
    </w:p>
    <w:p>
      <w:pPr>
        <w:spacing w:after="0" w:line="19" w:lineRule="exact"/>
        <w:rPr>
          <w:sz w:val="20"/>
          <w:szCs w:val="20"/>
          <w:color w:val="auto"/>
        </w:rPr>
      </w:pPr>
    </w:p>
    <w:p>
      <w:pPr>
        <w:jc w:val="center"/>
        <w:ind w:left="6060"/>
        <w:spacing w:after="0"/>
        <w:rPr>
          <w:sz w:val="20"/>
          <w:szCs w:val="20"/>
          <w:color w:val="auto"/>
        </w:rPr>
      </w:pPr>
      <w:r>
        <w:rPr>
          <w:rFonts w:ascii="Times New Roman" w:cs="Times New Roman" w:eastAsia="Times New Roman" w:hAnsi="Times New Roman"/>
          <w:sz w:val="16"/>
          <w:szCs w:val="16"/>
          <w:b w:val="1"/>
          <w:bCs w:val="1"/>
          <w:color w:val="auto"/>
        </w:rPr>
        <w:t>(As Principal Executive Officer)</w:t>
      </w:r>
    </w:p>
    <w:p>
      <w:pPr>
        <w:spacing w:after="0" w:line="281" w:lineRule="exact"/>
        <w:rPr>
          <w:sz w:val="20"/>
          <w:szCs w:val="20"/>
          <w:color w:val="auto"/>
        </w:rPr>
      </w:pPr>
    </w:p>
    <w:p>
      <w:pPr>
        <w:spacing w:after="0"/>
        <w:tabs>
          <w:tab w:leader="none" w:pos="5620" w:val="left"/>
          <w:tab w:leader="none" w:pos="8080" w:val="left"/>
        </w:tabs>
        <w:rPr>
          <w:sz w:val="20"/>
          <w:szCs w:val="20"/>
          <w:color w:val="auto"/>
        </w:rPr>
      </w:pPr>
      <w:r>
        <w:rPr>
          <w:rFonts w:ascii="Times New Roman" w:cs="Times New Roman" w:eastAsia="Times New Roman" w:hAnsi="Times New Roman"/>
          <w:sz w:val="16"/>
          <w:szCs w:val="16"/>
          <w:color w:val="auto"/>
        </w:rPr>
        <w:t>Date: May 6, 2025</w:t>
      </w:r>
      <w:r>
        <w:rPr>
          <w:sz w:val="20"/>
          <w:szCs w:val="20"/>
          <w:color w:val="auto"/>
        </w:rPr>
        <w:tab/>
      </w:r>
      <w:r>
        <w:rPr>
          <w:rFonts w:ascii="Times New Roman" w:cs="Times New Roman" w:eastAsia="Times New Roman" w:hAnsi="Times New Roman"/>
          <w:sz w:val="16"/>
          <w:szCs w:val="16"/>
          <w:color w:val="auto"/>
        </w:rPr>
        <w:t>By:</w:t>
      </w:r>
      <w:r>
        <w:rPr>
          <w:sz w:val="20"/>
          <w:szCs w:val="20"/>
          <w:color w:val="auto"/>
        </w:rPr>
        <w:tab/>
      </w:r>
      <w:r>
        <w:rPr>
          <w:rFonts w:ascii="Times New Roman" w:cs="Times New Roman" w:eastAsia="Times New Roman" w:hAnsi="Times New Roman"/>
          <w:sz w:val="16"/>
          <w:szCs w:val="16"/>
          <w:color w:val="auto"/>
        </w:rPr>
        <w:t>/s/ BRIAN POFF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20320</wp:posOffset>
            </wp:positionV>
            <wp:extent cx="3265805" cy="825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6">
                      <a:extLst>
                        <a:ext uri="{28A0092B-C50C-407E-A947-70E740481C1C}"/>
                      </a:extLst>
                    </a:blip>
                    <a:srcRect/>
                    <a:stretch>
                      <a:fillRect/>
                    </a:stretch>
                  </pic:blipFill>
                  <pic:spPr bwMode="auto">
                    <a:xfrm>
                      <a:off x="0" y="0"/>
                      <a:ext cx="3265805" cy="8255"/>
                    </a:xfrm>
                    <a:prstGeom prst="rect">
                      <a:avLst/>
                    </a:prstGeom>
                    <a:noFill/>
                  </pic:spPr>
                </pic:pic>
              </a:graphicData>
            </a:graphic>
          </wp:anchor>
        </w:drawing>
      </w:r>
    </w:p>
    <w:p>
      <w:pPr>
        <w:spacing w:after="0" w:line="253" w:lineRule="exact"/>
        <w:rPr>
          <w:sz w:val="20"/>
          <w:szCs w:val="20"/>
          <w:color w:val="auto"/>
        </w:rPr>
      </w:pPr>
    </w:p>
    <w:p>
      <w:pPr>
        <w:jc w:val="center"/>
        <w:ind w:left="6060"/>
        <w:spacing w:after="0"/>
        <w:rPr>
          <w:sz w:val="20"/>
          <w:szCs w:val="20"/>
          <w:color w:val="auto"/>
        </w:rPr>
      </w:pPr>
      <w:r>
        <w:rPr>
          <w:rFonts w:ascii="Times New Roman" w:cs="Times New Roman" w:eastAsia="Times New Roman" w:hAnsi="Times New Roman"/>
          <w:sz w:val="16"/>
          <w:szCs w:val="16"/>
          <w:b w:val="1"/>
          <w:bCs w:val="1"/>
          <w:color w:val="auto"/>
        </w:rPr>
        <w:t>Brian Poff</w:t>
      </w:r>
    </w:p>
    <w:p>
      <w:pPr>
        <w:spacing w:after="0" w:line="28" w:lineRule="exact"/>
        <w:rPr>
          <w:sz w:val="20"/>
          <w:szCs w:val="20"/>
          <w:color w:val="auto"/>
        </w:rPr>
      </w:pPr>
    </w:p>
    <w:p>
      <w:pPr>
        <w:jc w:val="center"/>
        <w:ind w:left="6060"/>
        <w:spacing w:after="0"/>
        <w:rPr>
          <w:sz w:val="20"/>
          <w:szCs w:val="20"/>
          <w:color w:val="auto"/>
        </w:rPr>
      </w:pPr>
      <w:r>
        <w:rPr>
          <w:rFonts w:ascii="Times New Roman" w:cs="Times New Roman" w:eastAsia="Times New Roman" w:hAnsi="Times New Roman"/>
          <w:sz w:val="16"/>
          <w:szCs w:val="16"/>
          <w:b w:val="1"/>
          <w:bCs w:val="1"/>
          <w:color w:val="auto"/>
        </w:rPr>
        <w:t>Chief Financial Officer</w:t>
      </w:r>
    </w:p>
    <w:p>
      <w:pPr>
        <w:spacing w:after="0" w:line="19" w:lineRule="exact"/>
        <w:rPr>
          <w:sz w:val="20"/>
          <w:szCs w:val="20"/>
          <w:color w:val="auto"/>
        </w:rPr>
      </w:pPr>
    </w:p>
    <w:p>
      <w:pPr>
        <w:jc w:val="center"/>
        <w:ind w:left="6060"/>
        <w:spacing w:after="0"/>
        <w:rPr>
          <w:sz w:val="20"/>
          <w:szCs w:val="20"/>
          <w:color w:val="auto"/>
        </w:rPr>
      </w:pPr>
      <w:r>
        <w:rPr>
          <w:rFonts w:ascii="Times New Roman" w:cs="Times New Roman" w:eastAsia="Times New Roman" w:hAnsi="Times New Roman"/>
          <w:sz w:val="16"/>
          <w:szCs w:val="16"/>
          <w:b w:val="1"/>
          <w:bCs w:val="1"/>
          <w:color w:val="auto"/>
        </w:rPr>
        <w:t>(As Principal Financial Officer)</w:t>
      </w:r>
    </w:p>
    <w:p>
      <w:pPr>
        <w:spacing w:after="0" w:line="200" w:lineRule="exact"/>
        <w:rPr>
          <w:sz w:val="20"/>
          <w:szCs w:val="20"/>
          <w:color w:val="auto"/>
        </w:rPr>
      </w:pPr>
    </w:p>
    <w:p>
      <w:pPr>
        <w:spacing w:after="0" w:line="243" w:lineRule="exact"/>
        <w:rPr>
          <w:sz w:val="20"/>
          <w:szCs w:val="20"/>
          <w:color w:val="auto"/>
        </w:rPr>
      </w:pPr>
    </w:p>
    <w:p>
      <w:pPr>
        <w:jc w:val="center"/>
        <w:ind w:right="-459"/>
        <w:spacing w:after="0"/>
        <w:rPr>
          <w:sz w:val="20"/>
          <w:szCs w:val="20"/>
          <w:color w:val="auto"/>
        </w:rPr>
      </w:pPr>
      <w:r>
        <w:rPr>
          <w:rFonts w:ascii="Times New Roman" w:cs="Times New Roman" w:eastAsia="Times New Roman" w:hAnsi="Times New Roman"/>
          <w:sz w:val="16"/>
          <w:szCs w:val="16"/>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487680</wp:posOffset>
            </wp:positionV>
            <wp:extent cx="7157720" cy="4254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00"/>
          </w:cols>
          <w:pgMar w:left="320" w:top="765" w:right="779" w:bottom="1440" w:gutter="0" w:footer="0" w:header="0"/>
        </w:sectPr>
      </w:pPr>
    </w:p>
    <w:bookmarkStart w:id="35" w:name="page36"/>
    <w:bookmarkEnd w:id="35"/>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CERTIFICATIONS OF CHIEF EXECUTIVE OFFICER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302 OF THE SARBANES-OXLEY ACT OF 2002</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R. Dirk Allison, certify that:</w:t>
      </w:r>
    </w:p>
    <w:p>
      <w:pPr>
        <w:spacing w:after="0" w:line="171" w:lineRule="exact"/>
        <w:rPr>
          <w:sz w:val="20"/>
          <w:szCs w:val="20"/>
          <w:color w:val="auto"/>
        </w:rPr>
      </w:pPr>
    </w:p>
    <w:p>
      <w:pPr>
        <w:ind w:left="520" w:hanging="512"/>
        <w:spacing w:after="0"/>
        <w:tabs>
          <w:tab w:leader="none" w:pos="5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Addus HomeCare Corporation;</w:t>
      </w:r>
    </w:p>
    <w:p>
      <w:pPr>
        <w:spacing w:after="0" w:line="171" w:lineRule="exact"/>
        <w:rPr>
          <w:rFonts w:ascii="Times New Roman" w:cs="Times New Roman" w:eastAsia="Times New Roman" w:hAnsi="Times New Roman"/>
          <w:sz w:val="18"/>
          <w:szCs w:val="18"/>
          <w:color w:val="auto"/>
        </w:rPr>
      </w:pPr>
    </w:p>
    <w:p>
      <w:pPr>
        <w:jc w:val="both"/>
        <w:ind w:right="260" w:firstLine="8"/>
        <w:spacing w:after="0" w:line="312" w:lineRule="auto"/>
        <w:tabs>
          <w:tab w:leader="none" w:pos="509"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5" w:lineRule="exact"/>
        <w:rPr>
          <w:rFonts w:ascii="Times New Roman" w:cs="Times New Roman" w:eastAsia="Times New Roman" w:hAnsi="Times New Roman"/>
          <w:sz w:val="17"/>
          <w:szCs w:val="17"/>
          <w:color w:val="auto"/>
        </w:rPr>
      </w:pPr>
    </w:p>
    <w:p>
      <w:pPr>
        <w:ind w:right="220" w:firstLine="8"/>
        <w:spacing w:after="0" w:line="282" w:lineRule="auto"/>
        <w:tabs>
          <w:tab w:leader="none" w:pos="509"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7" w:lineRule="exact"/>
        <w:rPr>
          <w:rFonts w:ascii="Times New Roman" w:cs="Times New Roman" w:eastAsia="Times New Roman" w:hAnsi="Times New Roman"/>
          <w:sz w:val="18"/>
          <w:szCs w:val="18"/>
          <w:color w:val="auto"/>
        </w:rPr>
      </w:pPr>
    </w:p>
    <w:p>
      <w:pPr>
        <w:ind w:right="80" w:firstLine="8"/>
        <w:spacing w:after="0" w:line="266" w:lineRule="auto"/>
        <w:tabs>
          <w:tab w:leader="none" w:pos="509"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6" w:lineRule="exact"/>
        <w:rPr>
          <w:rFonts w:ascii="Times New Roman" w:cs="Times New Roman" w:eastAsia="Times New Roman" w:hAnsi="Times New Roman"/>
          <w:sz w:val="18"/>
          <w:szCs w:val="18"/>
          <w:color w:val="auto"/>
        </w:rPr>
      </w:pPr>
    </w:p>
    <w:p>
      <w:pPr>
        <w:ind w:left="1020" w:right="40" w:hanging="503"/>
        <w:spacing w:after="0" w:line="281" w:lineRule="auto"/>
        <w:tabs>
          <w:tab w:leader="none" w:pos="1020" w:val="left"/>
        </w:tabs>
        <w:numPr>
          <w:ilvl w:val="1"/>
          <w:numId w:val="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3" w:lineRule="exact"/>
        <w:rPr>
          <w:rFonts w:ascii="Times New Roman" w:cs="Times New Roman" w:eastAsia="Times New Roman" w:hAnsi="Times New Roman"/>
          <w:sz w:val="16"/>
          <w:szCs w:val="16"/>
          <w:color w:val="auto"/>
        </w:rPr>
      </w:pPr>
    </w:p>
    <w:p>
      <w:pPr>
        <w:ind w:left="1020" w:right="180" w:hanging="503"/>
        <w:spacing w:after="0" w:line="281" w:lineRule="auto"/>
        <w:tabs>
          <w:tab w:leader="none" w:pos="1020" w:val="left"/>
        </w:tabs>
        <w:numPr>
          <w:ilvl w:val="1"/>
          <w:numId w:val="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3" w:lineRule="exact"/>
        <w:rPr>
          <w:rFonts w:ascii="Times New Roman" w:cs="Times New Roman" w:eastAsia="Times New Roman" w:hAnsi="Times New Roman"/>
          <w:sz w:val="16"/>
          <w:szCs w:val="16"/>
          <w:color w:val="auto"/>
        </w:rPr>
      </w:pPr>
    </w:p>
    <w:p>
      <w:pPr>
        <w:ind w:left="1020" w:right="160" w:hanging="503"/>
        <w:spacing w:after="0" w:line="298" w:lineRule="auto"/>
        <w:tabs>
          <w:tab w:leader="none" w:pos="1020" w:val="left"/>
        </w:tabs>
        <w:numPr>
          <w:ilvl w:val="1"/>
          <w:numId w:val="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10" w:lineRule="exact"/>
        <w:rPr>
          <w:rFonts w:ascii="Times New Roman" w:cs="Times New Roman" w:eastAsia="Times New Roman" w:hAnsi="Times New Roman"/>
          <w:sz w:val="16"/>
          <w:szCs w:val="16"/>
          <w:color w:val="auto"/>
        </w:rPr>
      </w:pPr>
    </w:p>
    <w:p>
      <w:pPr>
        <w:ind w:left="1020" w:right="100" w:hanging="503"/>
        <w:spacing w:after="0" w:line="281" w:lineRule="auto"/>
        <w:tabs>
          <w:tab w:leader="none" w:pos="1020" w:val="left"/>
        </w:tabs>
        <w:numPr>
          <w:ilvl w:val="1"/>
          <w:numId w:val="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18" w:lineRule="exact"/>
        <w:rPr>
          <w:rFonts w:ascii="Times New Roman" w:cs="Times New Roman" w:eastAsia="Times New Roman" w:hAnsi="Times New Roman"/>
          <w:sz w:val="16"/>
          <w:szCs w:val="16"/>
          <w:color w:val="auto"/>
        </w:rPr>
      </w:pPr>
    </w:p>
    <w:p>
      <w:pPr>
        <w:ind w:right="200" w:firstLine="8"/>
        <w:spacing w:after="0" w:line="282" w:lineRule="auto"/>
        <w:tabs>
          <w:tab w:leader="none" w:pos="509"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12" w:lineRule="exact"/>
        <w:rPr>
          <w:rFonts w:ascii="Times New Roman" w:cs="Times New Roman" w:eastAsia="Times New Roman" w:hAnsi="Times New Roman"/>
          <w:sz w:val="18"/>
          <w:szCs w:val="18"/>
          <w:color w:val="auto"/>
        </w:rPr>
      </w:pPr>
    </w:p>
    <w:p>
      <w:pPr>
        <w:ind w:left="1020" w:right="360" w:hanging="503"/>
        <w:spacing w:after="0" w:line="298" w:lineRule="auto"/>
        <w:tabs>
          <w:tab w:leader="none" w:pos="1020" w:val="left"/>
        </w:tabs>
        <w:numPr>
          <w:ilvl w:val="1"/>
          <w:numId w:val="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0" w:lineRule="exact"/>
        <w:rPr>
          <w:rFonts w:ascii="Times New Roman" w:cs="Times New Roman" w:eastAsia="Times New Roman" w:hAnsi="Times New Roman"/>
          <w:sz w:val="16"/>
          <w:szCs w:val="16"/>
          <w:color w:val="auto"/>
        </w:rPr>
      </w:pPr>
    </w:p>
    <w:p>
      <w:pPr>
        <w:ind w:left="1020" w:right="560" w:hanging="503"/>
        <w:spacing w:after="0" w:line="298" w:lineRule="auto"/>
        <w:tabs>
          <w:tab w:leader="none" w:pos="1020" w:val="left"/>
        </w:tabs>
        <w:numPr>
          <w:ilvl w:val="1"/>
          <w:numId w:val="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fraud, whether or not material, that involves management or other employees who have a significant role in the registrant’s internal control over financial reporting.</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3360" w:type="dxa"/>
            <w:vAlign w:val="bottom"/>
          </w:tcPr>
          <w:p>
            <w:pPr>
              <w:spacing w:after="0"/>
              <w:rPr>
                <w:sz w:val="20"/>
                <w:szCs w:val="20"/>
                <w:color w:val="auto"/>
              </w:rPr>
            </w:pPr>
            <w:r>
              <w:rPr>
                <w:rFonts w:ascii="Times New Roman" w:cs="Times New Roman" w:eastAsia="Times New Roman" w:hAnsi="Times New Roman"/>
                <w:sz w:val="16"/>
                <w:szCs w:val="16"/>
                <w:color w:val="auto"/>
              </w:rPr>
              <w:t>Date: May 6, 2025</w:t>
            </w:r>
          </w:p>
        </w:tc>
        <w:tc>
          <w:tcPr>
            <w:tcW w:w="7880" w:type="dxa"/>
            <w:vAlign w:val="bottom"/>
            <w:gridSpan w:val="2"/>
          </w:tcPr>
          <w:p>
            <w:pPr>
              <w:ind w:left="2120"/>
              <w:spacing w:after="0"/>
              <w:rPr>
                <w:sz w:val="20"/>
                <w:szCs w:val="20"/>
                <w:color w:val="auto"/>
              </w:rPr>
            </w:pPr>
            <w:r>
              <w:rPr>
                <w:rFonts w:ascii="Times New Roman" w:cs="Times New Roman" w:eastAsia="Times New Roman" w:hAnsi="Times New Roman"/>
                <w:sz w:val="16"/>
                <w:szCs w:val="16"/>
                <w:color w:val="auto"/>
              </w:rPr>
              <w:t>By:  /s/ R. Dirk Allison</w:t>
            </w:r>
          </w:p>
        </w:tc>
      </w:tr>
      <w:tr>
        <w:trPr>
          <w:trHeight w:val="185"/>
        </w:trPr>
        <w:tc>
          <w:tcPr>
            <w:tcW w:w="3360" w:type="dxa"/>
            <w:vAlign w:val="bottom"/>
          </w:tcPr>
          <w:p>
            <w:pPr>
              <w:spacing w:after="0"/>
              <w:rPr>
                <w:sz w:val="16"/>
                <w:szCs w:val="16"/>
                <w:color w:val="auto"/>
              </w:rPr>
            </w:pPr>
          </w:p>
        </w:tc>
        <w:tc>
          <w:tcPr>
            <w:tcW w:w="2480" w:type="dxa"/>
            <w:vAlign w:val="bottom"/>
          </w:tcPr>
          <w:p>
            <w:pPr>
              <w:spacing w:after="0"/>
              <w:rPr>
                <w:sz w:val="16"/>
                <w:szCs w:val="16"/>
                <w:color w:val="auto"/>
              </w:rPr>
            </w:pPr>
          </w:p>
        </w:tc>
        <w:tc>
          <w:tcPr>
            <w:tcW w:w="54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6"/>
                <w:szCs w:val="16"/>
                <w:color w:val="auto"/>
              </w:rPr>
              <w:t>R. Dirk Allison</w:t>
            </w:r>
          </w:p>
        </w:tc>
      </w:tr>
      <w:tr>
        <w:trPr>
          <w:trHeight w:val="210"/>
        </w:trPr>
        <w:tc>
          <w:tcPr>
            <w:tcW w:w="336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5400" w:type="dxa"/>
            <w:vAlign w:val="bottom"/>
          </w:tcPr>
          <w:p>
            <w:pPr>
              <w:spacing w:after="0"/>
              <w:rPr>
                <w:sz w:val="20"/>
                <w:szCs w:val="20"/>
                <w:color w:val="auto"/>
              </w:rPr>
            </w:pPr>
            <w:r>
              <w:rPr>
                <w:rFonts w:ascii="Times New Roman" w:cs="Times New Roman" w:eastAsia="Times New Roman" w:hAnsi="Times New Roman"/>
                <w:sz w:val="16"/>
                <w:szCs w:val="16"/>
                <w:color w:val="auto"/>
              </w:rPr>
              <w:t>Chairman and Chief Executive Officer</w:t>
            </w:r>
          </w:p>
        </w:tc>
      </w:tr>
      <w:tr>
        <w:trPr>
          <w:trHeight w:val="661"/>
        </w:trPr>
        <w:tc>
          <w:tcPr>
            <w:tcW w:w="3360" w:type="dxa"/>
            <w:vAlign w:val="bottom"/>
            <w:tcBorders>
              <w:bottom w:val="single" w:sz="8" w:color="9A9A9A"/>
            </w:tcBorders>
          </w:tcPr>
          <w:p>
            <w:pPr>
              <w:spacing w:after="0"/>
              <w:rPr>
                <w:sz w:val="24"/>
                <w:szCs w:val="24"/>
                <w:color w:val="auto"/>
              </w:rPr>
            </w:pPr>
          </w:p>
        </w:tc>
        <w:tc>
          <w:tcPr>
            <w:tcW w:w="2480" w:type="dxa"/>
            <w:vAlign w:val="bottom"/>
            <w:tcBorders>
              <w:bottom w:val="single" w:sz="8" w:color="9A9A9A"/>
            </w:tcBorders>
          </w:tcPr>
          <w:p>
            <w:pPr>
              <w:spacing w:after="0"/>
              <w:rPr>
                <w:sz w:val="24"/>
                <w:szCs w:val="24"/>
                <w:color w:val="auto"/>
              </w:rPr>
            </w:pPr>
          </w:p>
        </w:tc>
        <w:tc>
          <w:tcPr>
            <w:tcW w:w="54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441" w:right="339" w:bottom="1440" w:gutter="0" w:footer="0" w:header="0"/>
        </w:sectPr>
      </w:pPr>
    </w:p>
    <w:bookmarkStart w:id="36" w:name="page37"/>
    <w:bookmarkEnd w:id="36"/>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CERTIFICATIONS OF CHIEF FINANCIAL OFFICER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302 OF THE SARBANES-OXLEY ACT OF 2002</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Brian Poff, certify that:</w:t>
      </w:r>
    </w:p>
    <w:p>
      <w:pPr>
        <w:spacing w:after="0" w:line="171" w:lineRule="exact"/>
        <w:rPr>
          <w:sz w:val="20"/>
          <w:szCs w:val="20"/>
          <w:color w:val="auto"/>
        </w:rPr>
      </w:pPr>
    </w:p>
    <w:p>
      <w:pPr>
        <w:ind w:left="520" w:hanging="512"/>
        <w:spacing w:after="0"/>
        <w:tabs>
          <w:tab w:leader="none" w:pos="5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Addus HomeCare Corporation;</w:t>
      </w:r>
    </w:p>
    <w:p>
      <w:pPr>
        <w:spacing w:after="0" w:line="171" w:lineRule="exact"/>
        <w:rPr>
          <w:rFonts w:ascii="Times New Roman" w:cs="Times New Roman" w:eastAsia="Times New Roman" w:hAnsi="Times New Roman"/>
          <w:sz w:val="18"/>
          <w:szCs w:val="18"/>
          <w:color w:val="auto"/>
        </w:rPr>
      </w:pPr>
    </w:p>
    <w:p>
      <w:pPr>
        <w:ind w:left="520" w:right="220" w:hanging="512"/>
        <w:spacing w:after="0" w:line="266" w:lineRule="auto"/>
        <w:tabs>
          <w:tab w:leader="none" w:pos="56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1" w:lineRule="exact"/>
        <w:rPr>
          <w:rFonts w:ascii="Times New Roman" w:cs="Times New Roman" w:eastAsia="Times New Roman" w:hAnsi="Times New Roman"/>
          <w:sz w:val="18"/>
          <w:szCs w:val="18"/>
          <w:color w:val="auto"/>
        </w:rPr>
      </w:pPr>
    </w:p>
    <w:p>
      <w:pPr>
        <w:ind w:left="520" w:right="220" w:hanging="512"/>
        <w:spacing w:after="0" w:line="282" w:lineRule="auto"/>
        <w:tabs>
          <w:tab w:leader="none" w:pos="5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7" w:lineRule="exact"/>
        <w:rPr>
          <w:rFonts w:ascii="Times New Roman" w:cs="Times New Roman" w:eastAsia="Times New Roman" w:hAnsi="Times New Roman"/>
          <w:sz w:val="18"/>
          <w:szCs w:val="18"/>
          <w:color w:val="auto"/>
        </w:rPr>
      </w:pPr>
    </w:p>
    <w:p>
      <w:pPr>
        <w:jc w:val="both"/>
        <w:ind w:left="520" w:right="240" w:hanging="512"/>
        <w:spacing w:after="0" w:line="266" w:lineRule="auto"/>
        <w:tabs>
          <w:tab w:leader="none" w:pos="5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2" w:lineRule="exact"/>
        <w:rPr>
          <w:rFonts w:ascii="Times New Roman" w:cs="Times New Roman" w:eastAsia="Times New Roman" w:hAnsi="Times New Roman"/>
          <w:sz w:val="18"/>
          <w:szCs w:val="18"/>
          <w:color w:val="auto"/>
        </w:rPr>
      </w:pPr>
    </w:p>
    <w:p>
      <w:pPr>
        <w:ind w:left="1020" w:right="40" w:hanging="503"/>
        <w:spacing w:after="0" w:line="281" w:lineRule="auto"/>
        <w:tabs>
          <w:tab w:leader="none" w:pos="1020" w:val="left"/>
        </w:tabs>
        <w:numPr>
          <w:ilvl w:val="1"/>
          <w:numId w:val="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9" w:lineRule="exact"/>
        <w:rPr>
          <w:rFonts w:ascii="Times New Roman" w:cs="Times New Roman" w:eastAsia="Times New Roman" w:hAnsi="Times New Roman"/>
          <w:sz w:val="16"/>
          <w:szCs w:val="16"/>
          <w:color w:val="auto"/>
        </w:rPr>
      </w:pPr>
    </w:p>
    <w:p>
      <w:pPr>
        <w:ind w:left="1020" w:right="180" w:hanging="503"/>
        <w:spacing w:after="0" w:line="281" w:lineRule="auto"/>
        <w:tabs>
          <w:tab w:leader="none" w:pos="1020" w:val="left"/>
        </w:tabs>
        <w:numPr>
          <w:ilvl w:val="1"/>
          <w:numId w:val="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9" w:lineRule="exact"/>
        <w:rPr>
          <w:rFonts w:ascii="Times New Roman" w:cs="Times New Roman" w:eastAsia="Times New Roman" w:hAnsi="Times New Roman"/>
          <w:sz w:val="16"/>
          <w:szCs w:val="16"/>
          <w:color w:val="auto"/>
        </w:rPr>
      </w:pPr>
    </w:p>
    <w:p>
      <w:pPr>
        <w:ind w:left="1020" w:right="160" w:hanging="503"/>
        <w:spacing w:after="0" w:line="298" w:lineRule="auto"/>
        <w:tabs>
          <w:tab w:leader="none" w:pos="1020" w:val="left"/>
        </w:tabs>
        <w:numPr>
          <w:ilvl w:val="1"/>
          <w:numId w:val="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6" w:lineRule="exact"/>
        <w:rPr>
          <w:rFonts w:ascii="Times New Roman" w:cs="Times New Roman" w:eastAsia="Times New Roman" w:hAnsi="Times New Roman"/>
          <w:sz w:val="16"/>
          <w:szCs w:val="16"/>
          <w:color w:val="auto"/>
        </w:rPr>
      </w:pPr>
    </w:p>
    <w:p>
      <w:pPr>
        <w:ind w:left="1020" w:right="100" w:hanging="503"/>
        <w:spacing w:after="0" w:line="281" w:lineRule="auto"/>
        <w:tabs>
          <w:tab w:leader="none" w:pos="1020" w:val="left"/>
        </w:tabs>
        <w:numPr>
          <w:ilvl w:val="1"/>
          <w:numId w:val="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18" w:lineRule="exact"/>
        <w:rPr>
          <w:rFonts w:ascii="Times New Roman" w:cs="Times New Roman" w:eastAsia="Times New Roman" w:hAnsi="Times New Roman"/>
          <w:sz w:val="16"/>
          <w:szCs w:val="16"/>
          <w:color w:val="auto"/>
        </w:rPr>
      </w:pPr>
    </w:p>
    <w:p>
      <w:pPr>
        <w:ind w:left="520" w:right="200" w:hanging="512"/>
        <w:spacing w:after="0" w:line="282" w:lineRule="auto"/>
        <w:tabs>
          <w:tab w:leader="none" w:pos="5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12" w:lineRule="exact"/>
        <w:rPr>
          <w:rFonts w:ascii="Times New Roman" w:cs="Times New Roman" w:eastAsia="Times New Roman" w:hAnsi="Times New Roman"/>
          <w:sz w:val="18"/>
          <w:szCs w:val="18"/>
          <w:color w:val="auto"/>
        </w:rPr>
      </w:pPr>
    </w:p>
    <w:p>
      <w:pPr>
        <w:ind w:left="1020" w:right="360" w:hanging="503"/>
        <w:spacing w:after="0" w:line="298" w:lineRule="auto"/>
        <w:tabs>
          <w:tab w:leader="none" w:pos="1020" w:val="left"/>
        </w:tabs>
        <w:numPr>
          <w:ilvl w:val="1"/>
          <w:numId w:val="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0" w:lineRule="exact"/>
        <w:rPr>
          <w:rFonts w:ascii="Times New Roman" w:cs="Times New Roman" w:eastAsia="Times New Roman" w:hAnsi="Times New Roman"/>
          <w:sz w:val="16"/>
          <w:szCs w:val="16"/>
          <w:color w:val="auto"/>
        </w:rPr>
      </w:pPr>
    </w:p>
    <w:p>
      <w:pPr>
        <w:ind w:left="1020" w:right="560" w:hanging="503"/>
        <w:spacing w:after="0" w:line="298" w:lineRule="auto"/>
        <w:tabs>
          <w:tab w:leader="none" w:pos="1020" w:val="left"/>
        </w:tabs>
        <w:numPr>
          <w:ilvl w:val="1"/>
          <w:numId w:val="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fraud, whether or not material, that involves management or other employees who have a significant role in the registrant’s internal control over financial reporting.</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3360" w:type="dxa"/>
            <w:vAlign w:val="bottom"/>
          </w:tcPr>
          <w:p>
            <w:pPr>
              <w:spacing w:after="0"/>
              <w:rPr>
                <w:sz w:val="20"/>
                <w:szCs w:val="20"/>
                <w:color w:val="auto"/>
              </w:rPr>
            </w:pPr>
            <w:r>
              <w:rPr>
                <w:rFonts w:ascii="Times New Roman" w:cs="Times New Roman" w:eastAsia="Times New Roman" w:hAnsi="Times New Roman"/>
                <w:sz w:val="16"/>
                <w:szCs w:val="16"/>
                <w:color w:val="auto"/>
              </w:rPr>
              <w:t>Date: May 6, 2025</w:t>
            </w:r>
          </w:p>
        </w:tc>
        <w:tc>
          <w:tcPr>
            <w:tcW w:w="7880" w:type="dxa"/>
            <w:vAlign w:val="bottom"/>
            <w:gridSpan w:val="2"/>
          </w:tcPr>
          <w:p>
            <w:pPr>
              <w:ind w:left="2120"/>
              <w:spacing w:after="0"/>
              <w:rPr>
                <w:sz w:val="20"/>
                <w:szCs w:val="20"/>
                <w:color w:val="auto"/>
              </w:rPr>
            </w:pPr>
            <w:r>
              <w:rPr>
                <w:rFonts w:ascii="Times New Roman" w:cs="Times New Roman" w:eastAsia="Times New Roman" w:hAnsi="Times New Roman"/>
                <w:sz w:val="16"/>
                <w:szCs w:val="16"/>
                <w:color w:val="auto"/>
              </w:rPr>
              <w:t>By:  /s/ Brian Poff</w:t>
            </w:r>
          </w:p>
        </w:tc>
      </w:tr>
      <w:tr>
        <w:trPr>
          <w:trHeight w:val="185"/>
        </w:trPr>
        <w:tc>
          <w:tcPr>
            <w:tcW w:w="3360" w:type="dxa"/>
            <w:vAlign w:val="bottom"/>
          </w:tcPr>
          <w:p>
            <w:pPr>
              <w:spacing w:after="0"/>
              <w:rPr>
                <w:sz w:val="16"/>
                <w:szCs w:val="16"/>
                <w:color w:val="auto"/>
              </w:rPr>
            </w:pPr>
          </w:p>
        </w:tc>
        <w:tc>
          <w:tcPr>
            <w:tcW w:w="2480" w:type="dxa"/>
            <w:vAlign w:val="bottom"/>
          </w:tcPr>
          <w:p>
            <w:pPr>
              <w:spacing w:after="0"/>
              <w:rPr>
                <w:sz w:val="16"/>
                <w:szCs w:val="16"/>
                <w:color w:val="auto"/>
              </w:rPr>
            </w:pPr>
          </w:p>
        </w:tc>
        <w:tc>
          <w:tcPr>
            <w:tcW w:w="54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6"/>
                <w:szCs w:val="16"/>
                <w:color w:val="auto"/>
              </w:rPr>
              <w:t>Brian Poff</w:t>
            </w:r>
          </w:p>
        </w:tc>
      </w:tr>
      <w:tr>
        <w:trPr>
          <w:trHeight w:val="210"/>
        </w:trPr>
        <w:tc>
          <w:tcPr>
            <w:tcW w:w="336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5400" w:type="dxa"/>
            <w:vAlign w:val="bottom"/>
          </w:tcPr>
          <w:p>
            <w:pPr>
              <w:spacing w:after="0"/>
              <w:rPr>
                <w:sz w:val="20"/>
                <w:szCs w:val="20"/>
                <w:color w:val="auto"/>
              </w:rPr>
            </w:pPr>
            <w:r>
              <w:rPr>
                <w:rFonts w:ascii="Times New Roman" w:cs="Times New Roman" w:eastAsia="Times New Roman" w:hAnsi="Times New Roman"/>
                <w:sz w:val="16"/>
                <w:szCs w:val="16"/>
                <w:color w:val="auto"/>
              </w:rPr>
              <w:t>Chief Financial Officer</w:t>
            </w:r>
          </w:p>
        </w:tc>
      </w:tr>
      <w:tr>
        <w:trPr>
          <w:trHeight w:val="864"/>
        </w:trPr>
        <w:tc>
          <w:tcPr>
            <w:tcW w:w="3360" w:type="dxa"/>
            <w:vAlign w:val="bottom"/>
            <w:tcBorders>
              <w:bottom w:val="single" w:sz="8" w:color="9A9A9A"/>
            </w:tcBorders>
          </w:tcPr>
          <w:p>
            <w:pPr>
              <w:spacing w:after="0"/>
              <w:rPr>
                <w:sz w:val="24"/>
                <w:szCs w:val="24"/>
                <w:color w:val="auto"/>
              </w:rPr>
            </w:pPr>
          </w:p>
        </w:tc>
        <w:tc>
          <w:tcPr>
            <w:tcW w:w="2480" w:type="dxa"/>
            <w:vAlign w:val="bottom"/>
            <w:tcBorders>
              <w:bottom w:val="single" w:sz="8" w:color="9A9A9A"/>
            </w:tcBorders>
          </w:tcPr>
          <w:p>
            <w:pPr>
              <w:spacing w:after="0"/>
              <w:rPr>
                <w:sz w:val="24"/>
                <w:szCs w:val="24"/>
                <w:color w:val="auto"/>
              </w:rPr>
            </w:pPr>
          </w:p>
        </w:tc>
        <w:tc>
          <w:tcPr>
            <w:tcW w:w="54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2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2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441" w:right="339" w:bottom="1440" w:gutter="0" w:footer="0" w:header="0"/>
        </w:sectPr>
      </w:pPr>
    </w:p>
    <w:bookmarkStart w:id="37" w:name="page38"/>
    <w:bookmarkEnd w:id="37"/>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CHIEF EXECUTIVE OFFICER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906 OF THE SARBANES-OXLEY ACT OF 2002)</w:t>
      </w:r>
    </w:p>
    <w:p>
      <w:pPr>
        <w:spacing w:after="0" w:line="153"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on Form 10-Q for the fiscal quarter ended March 31, 2025 of Addus HomeCare Corporation (the “Company”) as filed with the Securities and Exchange Commission on the date hereof (the “Report”), I, R. Dirk Allison, Chairman and Chief Executive Officer of the Company, certify, pursuant to 18 U.S.C. Section 1350, as adopted pursuant to Section 906 of the Sarbanes-Oxley Act of 2002, that:</w:t>
      </w:r>
    </w:p>
    <w:p>
      <w:pPr>
        <w:spacing w:after="0" w:line="207" w:lineRule="exact"/>
        <w:rPr>
          <w:sz w:val="20"/>
          <w:szCs w:val="20"/>
          <w:color w:val="auto"/>
        </w:rPr>
      </w:pPr>
    </w:p>
    <w:p>
      <w:pPr>
        <w:ind w:left="440" w:hanging="401"/>
        <w:spacing w:after="0"/>
        <w:tabs>
          <w:tab w:leader="none" w:pos="440" w:val="left"/>
        </w:tabs>
        <w:numPr>
          <w:ilvl w:val="0"/>
          <w:numId w:val="1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Report fully complies with the requirements of Section 13(a) or 15(d) of the Securities Exchange Act of 1934; and</w:t>
      </w:r>
    </w:p>
    <w:p>
      <w:pPr>
        <w:spacing w:after="0" w:line="261" w:lineRule="exact"/>
        <w:rPr>
          <w:rFonts w:ascii="Times New Roman" w:cs="Times New Roman" w:eastAsia="Times New Roman" w:hAnsi="Times New Roman"/>
          <w:sz w:val="16"/>
          <w:szCs w:val="16"/>
          <w:color w:val="auto"/>
        </w:rPr>
      </w:pPr>
    </w:p>
    <w:p>
      <w:pPr>
        <w:ind w:left="440" w:hanging="401"/>
        <w:spacing w:after="0"/>
        <w:tabs>
          <w:tab w:leader="none" w:pos="440" w:val="left"/>
        </w:tabs>
        <w:numPr>
          <w:ilvl w:val="0"/>
          <w:numId w:val="1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64"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3360" w:type="dxa"/>
            <w:vAlign w:val="bottom"/>
          </w:tcPr>
          <w:p>
            <w:pPr>
              <w:spacing w:after="0"/>
              <w:rPr>
                <w:sz w:val="20"/>
                <w:szCs w:val="20"/>
                <w:color w:val="auto"/>
              </w:rPr>
            </w:pPr>
            <w:r>
              <w:rPr>
                <w:rFonts w:ascii="Times New Roman" w:cs="Times New Roman" w:eastAsia="Times New Roman" w:hAnsi="Times New Roman"/>
                <w:sz w:val="16"/>
                <w:szCs w:val="16"/>
                <w:color w:val="auto"/>
              </w:rPr>
              <w:t>Date: May 6, 2025</w:t>
            </w:r>
          </w:p>
        </w:tc>
        <w:tc>
          <w:tcPr>
            <w:tcW w:w="7880" w:type="dxa"/>
            <w:vAlign w:val="bottom"/>
            <w:gridSpan w:val="2"/>
          </w:tcPr>
          <w:p>
            <w:pPr>
              <w:ind w:left="2160"/>
              <w:spacing w:after="0"/>
              <w:rPr>
                <w:sz w:val="20"/>
                <w:szCs w:val="20"/>
                <w:color w:val="auto"/>
              </w:rPr>
            </w:pPr>
            <w:r>
              <w:rPr>
                <w:rFonts w:ascii="Times New Roman" w:cs="Times New Roman" w:eastAsia="Times New Roman" w:hAnsi="Times New Roman"/>
                <w:sz w:val="16"/>
                <w:szCs w:val="16"/>
                <w:color w:val="auto"/>
              </w:rPr>
              <w:t>By:  /s/ R. Dirk Allison</w:t>
            </w:r>
          </w:p>
        </w:tc>
      </w:tr>
      <w:tr>
        <w:trPr>
          <w:trHeight w:val="233"/>
        </w:trPr>
        <w:tc>
          <w:tcPr>
            <w:tcW w:w="3360" w:type="dxa"/>
            <w:vAlign w:val="bottom"/>
          </w:tcPr>
          <w:p>
            <w:pPr>
              <w:spacing w:after="0"/>
              <w:rPr>
                <w:sz w:val="20"/>
                <w:szCs w:val="20"/>
                <w:color w:val="auto"/>
              </w:rPr>
            </w:pPr>
          </w:p>
        </w:tc>
        <w:tc>
          <w:tcPr>
            <w:tcW w:w="2540" w:type="dxa"/>
            <w:vAlign w:val="bottom"/>
          </w:tcPr>
          <w:p>
            <w:pPr>
              <w:spacing w:after="0"/>
              <w:rPr>
                <w:sz w:val="20"/>
                <w:szCs w:val="20"/>
                <w:color w:val="auto"/>
              </w:rPr>
            </w:pPr>
          </w:p>
        </w:tc>
        <w:tc>
          <w:tcPr>
            <w:tcW w:w="534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6"/>
                <w:szCs w:val="16"/>
                <w:color w:val="auto"/>
              </w:rPr>
              <w:t>R. Dirk Allison</w:t>
            </w:r>
          </w:p>
        </w:tc>
      </w:tr>
      <w:tr>
        <w:trPr>
          <w:trHeight w:val="243"/>
        </w:trPr>
        <w:tc>
          <w:tcPr>
            <w:tcW w:w="3360" w:type="dxa"/>
            <w:vAlign w:val="bottom"/>
          </w:tcPr>
          <w:p>
            <w:pPr>
              <w:spacing w:after="0"/>
              <w:rPr>
                <w:sz w:val="21"/>
                <w:szCs w:val="21"/>
                <w:color w:val="auto"/>
              </w:rPr>
            </w:pPr>
          </w:p>
        </w:tc>
        <w:tc>
          <w:tcPr>
            <w:tcW w:w="2540" w:type="dxa"/>
            <w:vAlign w:val="bottom"/>
          </w:tcPr>
          <w:p>
            <w:pPr>
              <w:spacing w:after="0"/>
              <w:rPr>
                <w:sz w:val="21"/>
                <w:szCs w:val="21"/>
                <w:color w:val="auto"/>
              </w:rPr>
            </w:pPr>
          </w:p>
        </w:tc>
        <w:tc>
          <w:tcPr>
            <w:tcW w:w="5340" w:type="dxa"/>
            <w:vAlign w:val="bottom"/>
          </w:tcPr>
          <w:p>
            <w:pPr>
              <w:spacing w:after="0"/>
              <w:rPr>
                <w:sz w:val="20"/>
                <w:szCs w:val="20"/>
                <w:color w:val="auto"/>
              </w:rPr>
            </w:pPr>
            <w:r>
              <w:rPr>
                <w:rFonts w:ascii="Times New Roman" w:cs="Times New Roman" w:eastAsia="Times New Roman" w:hAnsi="Times New Roman"/>
                <w:sz w:val="16"/>
                <w:szCs w:val="16"/>
                <w:color w:val="auto"/>
              </w:rPr>
              <w:t>Chairman and Chief Executive Officer</w:t>
            </w:r>
          </w:p>
        </w:tc>
      </w:tr>
      <w:tr>
        <w:trPr>
          <w:trHeight w:val="661"/>
        </w:trPr>
        <w:tc>
          <w:tcPr>
            <w:tcW w:w="3360" w:type="dxa"/>
            <w:vAlign w:val="bottom"/>
            <w:tcBorders>
              <w:bottom w:val="single" w:sz="8" w:color="9A9A9A"/>
            </w:tcBorders>
          </w:tcPr>
          <w:p>
            <w:pPr>
              <w:spacing w:after="0"/>
              <w:rPr>
                <w:sz w:val="24"/>
                <w:szCs w:val="24"/>
                <w:color w:val="auto"/>
              </w:rPr>
            </w:pPr>
          </w:p>
        </w:tc>
        <w:tc>
          <w:tcPr>
            <w:tcW w:w="2540" w:type="dxa"/>
            <w:vAlign w:val="bottom"/>
            <w:tcBorders>
              <w:bottom w:val="single" w:sz="8" w:color="9A9A9A"/>
            </w:tcBorders>
          </w:tcPr>
          <w:p>
            <w:pPr>
              <w:spacing w:after="0"/>
              <w:rPr>
                <w:sz w:val="24"/>
                <w:szCs w:val="24"/>
                <w:color w:val="auto"/>
              </w:rPr>
            </w:pPr>
          </w:p>
        </w:tc>
        <w:tc>
          <w:tcPr>
            <w:tcW w:w="53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2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2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441" w:right="339" w:bottom="1440" w:gutter="0" w:footer="0" w:header="0"/>
        </w:sectPr>
      </w:pPr>
    </w:p>
    <w:bookmarkStart w:id="38" w:name="page39"/>
    <w:bookmarkEnd w:id="38"/>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CHIEF FINANCIAL OFFICER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906 OF THE SARBANES-OXLEY ACT OF 2002)</w:t>
      </w:r>
    </w:p>
    <w:p>
      <w:pPr>
        <w:spacing w:after="0" w:line="153"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on Form 10-Q for the fiscal quarter ended March 31, 2025 of Addus HomeCare Corporation (the “Company”) as filed with the Securities and Exchange Commission on the date hereof (the “Report”), I, Brian Poff, Chief Financial Officer of the Company, certify, pursuant to 18 U.S.C. Section 1350, as adopted pursuant to Section 906 of the Sarbanes-Oxley Act of 2002, that:</w:t>
      </w:r>
    </w:p>
    <w:p>
      <w:pPr>
        <w:spacing w:after="0" w:line="207" w:lineRule="exact"/>
        <w:rPr>
          <w:sz w:val="20"/>
          <w:szCs w:val="20"/>
          <w:color w:val="auto"/>
        </w:rPr>
      </w:pPr>
    </w:p>
    <w:p>
      <w:pPr>
        <w:ind w:left="440" w:hanging="401"/>
        <w:spacing w:after="0"/>
        <w:tabs>
          <w:tab w:leader="none" w:pos="440" w:val="left"/>
        </w:tabs>
        <w:numPr>
          <w:ilvl w:val="0"/>
          <w:numId w:val="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Report fully complies with the requirements of Section 13(a) or 15(d) of the Securities Exchange Act of 1934; and</w:t>
      </w:r>
    </w:p>
    <w:p>
      <w:pPr>
        <w:spacing w:after="0" w:line="261" w:lineRule="exact"/>
        <w:rPr>
          <w:rFonts w:ascii="Times New Roman" w:cs="Times New Roman" w:eastAsia="Times New Roman" w:hAnsi="Times New Roman"/>
          <w:sz w:val="16"/>
          <w:szCs w:val="16"/>
          <w:color w:val="auto"/>
        </w:rPr>
      </w:pPr>
    </w:p>
    <w:p>
      <w:pPr>
        <w:ind w:left="440" w:hanging="401"/>
        <w:spacing w:after="0"/>
        <w:tabs>
          <w:tab w:leader="none" w:pos="440" w:val="left"/>
        </w:tabs>
        <w:numPr>
          <w:ilvl w:val="0"/>
          <w:numId w:val="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64"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3360" w:type="dxa"/>
            <w:vAlign w:val="bottom"/>
          </w:tcPr>
          <w:p>
            <w:pPr>
              <w:spacing w:after="0"/>
              <w:rPr>
                <w:sz w:val="20"/>
                <w:szCs w:val="20"/>
                <w:color w:val="auto"/>
              </w:rPr>
            </w:pPr>
            <w:r>
              <w:rPr>
                <w:rFonts w:ascii="Times New Roman" w:cs="Times New Roman" w:eastAsia="Times New Roman" w:hAnsi="Times New Roman"/>
                <w:sz w:val="16"/>
                <w:szCs w:val="16"/>
                <w:color w:val="auto"/>
              </w:rPr>
              <w:t>Date: May 6, 2025</w:t>
            </w:r>
          </w:p>
        </w:tc>
        <w:tc>
          <w:tcPr>
            <w:tcW w:w="7880" w:type="dxa"/>
            <w:vAlign w:val="bottom"/>
            <w:gridSpan w:val="2"/>
          </w:tcPr>
          <w:p>
            <w:pPr>
              <w:ind w:left="2160"/>
              <w:spacing w:after="0"/>
              <w:rPr>
                <w:sz w:val="20"/>
                <w:szCs w:val="20"/>
                <w:color w:val="auto"/>
              </w:rPr>
            </w:pPr>
            <w:r>
              <w:rPr>
                <w:rFonts w:ascii="Times New Roman" w:cs="Times New Roman" w:eastAsia="Times New Roman" w:hAnsi="Times New Roman"/>
                <w:sz w:val="16"/>
                <w:szCs w:val="16"/>
                <w:color w:val="auto"/>
              </w:rPr>
              <w:t>By:  /s/ Brian Poff</w:t>
            </w:r>
          </w:p>
        </w:tc>
      </w:tr>
      <w:tr>
        <w:trPr>
          <w:trHeight w:val="233"/>
        </w:trPr>
        <w:tc>
          <w:tcPr>
            <w:tcW w:w="3360" w:type="dxa"/>
            <w:vAlign w:val="bottom"/>
          </w:tcPr>
          <w:p>
            <w:pPr>
              <w:spacing w:after="0"/>
              <w:rPr>
                <w:sz w:val="20"/>
                <w:szCs w:val="20"/>
                <w:color w:val="auto"/>
              </w:rPr>
            </w:pPr>
          </w:p>
        </w:tc>
        <w:tc>
          <w:tcPr>
            <w:tcW w:w="2540" w:type="dxa"/>
            <w:vAlign w:val="bottom"/>
          </w:tcPr>
          <w:p>
            <w:pPr>
              <w:spacing w:after="0"/>
              <w:rPr>
                <w:sz w:val="20"/>
                <w:szCs w:val="20"/>
                <w:color w:val="auto"/>
              </w:rPr>
            </w:pPr>
          </w:p>
        </w:tc>
        <w:tc>
          <w:tcPr>
            <w:tcW w:w="534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6"/>
                <w:szCs w:val="16"/>
                <w:color w:val="auto"/>
              </w:rPr>
              <w:t>Brian Poff</w:t>
            </w:r>
          </w:p>
        </w:tc>
      </w:tr>
      <w:tr>
        <w:trPr>
          <w:trHeight w:val="243"/>
        </w:trPr>
        <w:tc>
          <w:tcPr>
            <w:tcW w:w="3360" w:type="dxa"/>
            <w:vAlign w:val="bottom"/>
          </w:tcPr>
          <w:p>
            <w:pPr>
              <w:spacing w:after="0"/>
              <w:rPr>
                <w:sz w:val="21"/>
                <w:szCs w:val="21"/>
                <w:color w:val="auto"/>
              </w:rPr>
            </w:pPr>
          </w:p>
        </w:tc>
        <w:tc>
          <w:tcPr>
            <w:tcW w:w="7880" w:type="dxa"/>
            <w:vAlign w:val="bottom"/>
            <w:gridSpan w:val="2"/>
          </w:tcPr>
          <w:p>
            <w:pPr>
              <w:ind w:left="2540"/>
              <w:spacing w:after="0"/>
              <w:rPr>
                <w:sz w:val="20"/>
                <w:szCs w:val="20"/>
                <w:color w:val="auto"/>
              </w:rPr>
            </w:pPr>
            <w:r>
              <w:rPr>
                <w:rFonts w:ascii="Times New Roman" w:cs="Times New Roman" w:eastAsia="Times New Roman" w:hAnsi="Times New Roman"/>
                <w:sz w:val="16"/>
                <w:szCs w:val="16"/>
                <w:color w:val="auto"/>
              </w:rPr>
              <w:t>Chief Financial Officer</w:t>
            </w:r>
          </w:p>
        </w:tc>
      </w:tr>
      <w:tr>
        <w:trPr>
          <w:trHeight w:val="661"/>
        </w:trPr>
        <w:tc>
          <w:tcPr>
            <w:tcW w:w="3360" w:type="dxa"/>
            <w:vAlign w:val="bottom"/>
            <w:tcBorders>
              <w:bottom w:val="single" w:sz="8" w:color="9A9A9A"/>
            </w:tcBorders>
          </w:tcPr>
          <w:p>
            <w:pPr>
              <w:spacing w:after="0"/>
              <w:rPr>
                <w:sz w:val="24"/>
                <w:szCs w:val="24"/>
                <w:color w:val="auto"/>
              </w:rPr>
            </w:pPr>
          </w:p>
        </w:tc>
        <w:tc>
          <w:tcPr>
            <w:tcW w:w="2540" w:type="dxa"/>
            <w:vAlign w:val="bottom"/>
            <w:tcBorders>
              <w:bottom w:val="single" w:sz="8" w:color="9A9A9A"/>
            </w:tcBorders>
          </w:tcPr>
          <w:p>
            <w:pPr>
              <w:spacing w:after="0"/>
              <w:rPr>
                <w:sz w:val="24"/>
                <w:szCs w:val="24"/>
                <w:color w:val="auto"/>
              </w:rPr>
            </w:pPr>
          </w:p>
        </w:tc>
        <w:tc>
          <w:tcPr>
            <w:tcW w:w="53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2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441" w:right="339" w:bottom="1440" w:gutter="0" w:footer="0" w:header="0"/>
        </w:sectPr>
      </w:pPr>
    </w:p>
    <w:bookmarkStart w:id="39" w:name="page40"/>
    <w:bookmarkEnd w:id="39"/>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16231B"/>
    <w:multiLevelType w:val="hybridMultilevel"/>
    <w:lvl w:ilvl="0">
      <w:lvlJc w:val="left"/>
      <w:lvlText w:val="☒"/>
      <w:numFmt w:val="bullet"/>
      <w:start w:val="1"/>
    </w:lvl>
  </w:abstractNum>
  <w:abstractNum w:abstractNumId="1">
    <w:nsid w:val="1F16E9E8"/>
    <w:multiLevelType w:val="hybridMultilevel"/>
    <w:lvl w:ilvl="0">
      <w:lvlJc w:val="left"/>
      <w:lvlText w:val="☐"/>
      <w:numFmt w:val="bullet"/>
      <w:start w:val="1"/>
    </w:lvl>
  </w:abstractNum>
  <w:abstractNum w:abstractNumId="2">
    <w:nsid w:val="1190CDE7"/>
    <w:multiLevelType w:val="hybridMultilevel"/>
    <w:lvl w:ilvl="0">
      <w:lvlJc w:val="left"/>
      <w:lvlText w:val="(%1)"/>
      <w:numFmt w:val="decimal"/>
      <w:start w:val="1"/>
    </w:lvl>
  </w:abstractNum>
  <w:abstractNum w:abstractNumId="3">
    <w:nsid w:val="66EF438D"/>
    <w:multiLevelType w:val="hybridMultilevel"/>
    <w:lvl w:ilvl="0">
      <w:lvlJc w:val="left"/>
      <w:lvlText w:val="(%1)"/>
      <w:numFmt w:val="decimal"/>
      <w:start w:val="1"/>
    </w:lvl>
  </w:abstractNum>
  <w:abstractNum w:abstractNumId="4">
    <w:nsid w:val="140E0F76"/>
    <w:multiLevelType w:val="hybridMultilevel"/>
    <w:lvl w:ilvl="0">
      <w:lvlJc w:val="left"/>
      <w:lvlText w:val="%1"/>
      <w:numFmt w:val="decimal"/>
      <w:start w:val="1"/>
    </w:lvl>
    <w:lvl w:ilvl="1">
      <w:lvlJc w:val="left"/>
      <w:lvlText w:val="(%2)"/>
      <w:numFmt w:val="decimal"/>
      <w:start w:val="1"/>
    </w:lvl>
  </w:abstractNum>
  <w:abstractNum w:abstractNumId="5">
    <w:nsid w:val="3352255A"/>
    <w:multiLevelType w:val="hybridMultilevel"/>
    <w:lvl w:ilvl="0">
      <w:lvlJc w:val="left"/>
      <w:lvlText w:val="%1."/>
      <w:numFmt w:val="decimal"/>
      <w:start w:val="12"/>
    </w:lvl>
    <w:lvl w:ilvl="1">
      <w:lvlJc w:val="left"/>
      <w:lvlText w:val="%2"/>
      <w:numFmt w:val="decimal"/>
      <w:start w:val="1"/>
    </w:lvl>
  </w:abstractNum>
  <w:abstractNum w:abstractNumId="6">
    <w:nsid w:val="109CF92E"/>
    <w:multiLevelType w:val="hybridMultilevel"/>
    <w:lvl w:ilvl="0">
      <w:lvlJc w:val="left"/>
      <w:lvlText w:val="(%1)"/>
      <w:numFmt w:val="decimal"/>
      <w:start w:val="1"/>
    </w:lvl>
  </w:abstractNum>
  <w:abstractNum w:abstractNumId="7">
    <w:nsid w:val="DED7263"/>
    <w:multiLevelType w:val="hybridMultilevel"/>
    <w:lvl w:ilvl="0">
      <w:lvlJc w:val="left"/>
      <w:lvlText w:val="(%1)"/>
      <w:numFmt w:val="decimal"/>
      <w:start w:val="1"/>
    </w:lvl>
  </w:abstractNum>
  <w:abstractNum w:abstractNumId="8">
    <w:nsid w:val="7FDCC233"/>
    <w:multiLevelType w:val="hybridMultilevel"/>
    <w:lvl w:ilvl="0">
      <w:lvlJc w:val="left"/>
      <w:lvlText w:val="*"/>
      <w:numFmt w:val="bullet"/>
      <w:start w:val="1"/>
    </w:lvl>
  </w:abstractNum>
  <w:abstractNum w:abstractNumId="9">
    <w:nsid w:val="1BEFD79F"/>
    <w:multiLevelType w:val="hybridMultilevel"/>
    <w:lvl w:ilvl="0">
      <w:lvlJc w:val="left"/>
      <w:lvlText w:val="(%1)"/>
      <w:numFmt w:val="decimal"/>
      <w:start w:val="1"/>
    </w:lvl>
  </w:abstractNum>
  <w:abstractNum w:abstractNumId="10">
    <w:nsid w:val="41A7C4C9"/>
    <w:multiLevelType w:val="hybridMultilevel"/>
    <w:lvl w:ilvl="0">
      <w:lvlJc w:val="left"/>
      <w:lvlText w:val="*"/>
      <w:numFmt w:val="bullet"/>
      <w:start w:val="1"/>
    </w:lvl>
  </w:abstractNum>
  <w:abstractNum w:abstractNumId="11">
    <w:nsid w:val="6B68079A"/>
    <w:multiLevelType w:val="hybridMultilevel"/>
    <w:lvl w:ilvl="0">
      <w:lvlJc w:val="left"/>
      <w:lvlText w:val="(%1)"/>
      <w:numFmt w:val="decimal"/>
      <w:start w:val="1"/>
    </w:lvl>
  </w:abstractNum>
  <w:abstractNum w:abstractNumId="12">
    <w:nsid w:val="4E6AFB66"/>
    <w:multiLevelType w:val="hybridMultilevel"/>
    <w:lvl w:ilvl="0">
      <w:lvlJc w:val="left"/>
      <w:lvlText w:val="*"/>
      <w:numFmt w:val="bullet"/>
      <w:start w:val="1"/>
    </w:lvl>
  </w:abstractNum>
  <w:abstractNum w:abstractNumId="13">
    <w:nsid w:val="25E45D32"/>
    <w:multiLevelType w:val="hybridMultilevel"/>
    <w:lvl w:ilvl="0">
      <w:lvlJc w:val="left"/>
      <w:lvlText w:val="(%1)"/>
      <w:numFmt w:val="decimal"/>
      <w:start w:val="1"/>
    </w:lvl>
  </w:abstractNum>
  <w:abstractNum w:abstractNumId="14">
    <w:nsid w:val="519B500D"/>
    <w:multiLevelType w:val="hybridMultilevel"/>
    <w:lvl w:ilvl="0">
      <w:lvlJc w:val="left"/>
      <w:lvlText w:val="(%1)"/>
      <w:numFmt w:val="decimal"/>
      <w:start w:val="3"/>
    </w:lvl>
  </w:abstractNum>
  <w:abstractNum w:abstractNumId="15">
    <w:nsid w:val="431BD7B7"/>
    <w:multiLevelType w:val="hybridMultilevel"/>
    <w:lvl w:ilvl="0">
      <w:lvlJc w:val="left"/>
      <w:lvlText w:val="%1"/>
      <w:numFmt w:val="decimal"/>
      <w:start w:val="104"/>
    </w:lvl>
  </w:abstractNum>
  <w:abstractNum w:abstractNumId="16">
    <w:nsid w:val="3F2DBA31"/>
    <w:multiLevelType w:val="hybridMultilevel"/>
    <w:lvl w:ilvl="0">
      <w:lvlJc w:val="left"/>
      <w:lvlText w:val="%1."/>
      <w:numFmt w:val="decimal"/>
      <w:start w:val="1"/>
    </w:lvl>
    <w:lvl w:ilvl="1">
      <w:lvlJc w:val="left"/>
      <w:lvlText w:val="%2)"/>
      <w:numFmt w:val="lowerLetter"/>
      <w:start w:val="1"/>
    </w:lvl>
  </w:abstractNum>
  <w:abstractNum w:abstractNumId="17">
    <w:nsid w:val="7C83E458"/>
    <w:multiLevelType w:val="hybridMultilevel"/>
    <w:lvl w:ilvl="0">
      <w:lvlJc w:val="left"/>
      <w:lvlText w:val="%1."/>
      <w:numFmt w:val="decimal"/>
      <w:start w:val="1"/>
    </w:lvl>
    <w:lvl w:ilvl="1">
      <w:lvlJc w:val="left"/>
      <w:lvlText w:val="%2)"/>
      <w:numFmt w:val="lowerLetter"/>
      <w:start w:val="1"/>
    </w:lvl>
  </w:abstractNum>
  <w:abstractNum w:abstractNumId="18">
    <w:nsid w:val="257130A3"/>
    <w:multiLevelType w:val="hybridMultilevel"/>
    <w:lvl w:ilvl="0">
      <w:lvlJc w:val="left"/>
      <w:lvlText w:val="(%1)"/>
      <w:numFmt w:val="decimal"/>
      <w:start w:val="1"/>
    </w:lvl>
  </w:abstractNum>
  <w:abstractNum w:abstractNumId="19">
    <w:nsid w:val="62BBD95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9" Type="http://schemas.openxmlformats.org/officeDocument/2006/relationships/image" Target="media/image281.png"/><Relationship Id="rId290" Type="http://schemas.openxmlformats.org/officeDocument/2006/relationships/image" Target="media/image282.png"/><Relationship Id="rId292" Type="http://schemas.openxmlformats.org/officeDocument/2006/relationships/image" Target="media/image283.png"/><Relationship Id="rId293" Type="http://schemas.openxmlformats.org/officeDocument/2006/relationships/image" Target="media/image284.png"/><Relationship Id="rId295" Type="http://schemas.openxmlformats.org/officeDocument/2006/relationships/image" Target="media/image285.png"/><Relationship Id="rId297" Type="http://schemas.openxmlformats.org/officeDocument/2006/relationships/image" Target="media/image286.png"/><Relationship Id="rId298" Type="http://schemas.openxmlformats.org/officeDocument/2006/relationships/image" Target="media/image287.png"/><Relationship Id="rId300" Type="http://schemas.openxmlformats.org/officeDocument/2006/relationships/image" Target="media/image288.png"/><Relationship Id="rId301" Type="http://schemas.openxmlformats.org/officeDocument/2006/relationships/image" Target="media/image289.png"/><Relationship Id="rId302" Type="http://schemas.openxmlformats.org/officeDocument/2006/relationships/image" Target="media/image290.png"/><Relationship Id="rId303" Type="http://schemas.openxmlformats.org/officeDocument/2006/relationships/image" Target="media/image291.png"/><Relationship Id="rId304" Type="http://schemas.openxmlformats.org/officeDocument/2006/relationships/image" Target="media/image292.png"/><Relationship Id="rId305" Type="http://schemas.openxmlformats.org/officeDocument/2006/relationships/image" Target="media/image293.png"/><Relationship Id="rId306" Type="http://schemas.openxmlformats.org/officeDocument/2006/relationships/image" Target="media/image294.png"/><Relationship Id="rId307" Type="http://schemas.openxmlformats.org/officeDocument/2006/relationships/image" Target="media/image295.png"/><Relationship Id="rId308" Type="http://schemas.openxmlformats.org/officeDocument/2006/relationships/image" Target="media/image296.png"/><Relationship Id="rId309" Type="http://schemas.openxmlformats.org/officeDocument/2006/relationships/image" Target="media/image297.png"/><Relationship Id="rId310" Type="http://schemas.openxmlformats.org/officeDocument/2006/relationships/image" Target="media/image298.png"/><Relationship Id="rId311" Type="http://schemas.openxmlformats.org/officeDocument/2006/relationships/image" Target="media/image299.png"/><Relationship Id="rId312" Type="http://schemas.openxmlformats.org/officeDocument/2006/relationships/image" Target="media/image300.png"/><Relationship Id="rId313" Type="http://schemas.openxmlformats.org/officeDocument/2006/relationships/image" Target="media/image301.png"/><Relationship Id="rId314" Type="http://schemas.openxmlformats.org/officeDocument/2006/relationships/image" Target="media/image302.png"/><Relationship Id="rId315" Type="http://schemas.openxmlformats.org/officeDocument/2006/relationships/image" Target="media/image303.png"/><Relationship Id="rId316" Type="http://schemas.openxmlformats.org/officeDocument/2006/relationships/image" Target="media/image304.png"/><Relationship Id="rId317" Type="http://schemas.openxmlformats.org/officeDocument/2006/relationships/image" Target="media/image305.png"/><Relationship Id="rId318" Type="http://schemas.openxmlformats.org/officeDocument/2006/relationships/image" Target="media/image306.png"/><Relationship Id="rId319" Type="http://schemas.openxmlformats.org/officeDocument/2006/relationships/image" Target="media/image307.png"/><Relationship Id="rId320" Type="http://schemas.openxmlformats.org/officeDocument/2006/relationships/image" Target="media/image308.png"/><Relationship Id="rId321" Type="http://schemas.openxmlformats.org/officeDocument/2006/relationships/image" Target="media/image309.png"/><Relationship Id="rId322" Type="http://schemas.openxmlformats.org/officeDocument/2006/relationships/image" Target="media/image310.png"/><Relationship Id="rId323" Type="http://schemas.openxmlformats.org/officeDocument/2006/relationships/image" Target="media/image311.png"/><Relationship Id="rId324" Type="http://schemas.openxmlformats.org/officeDocument/2006/relationships/image" Target="media/image312.png"/><Relationship Id="rId325" Type="http://schemas.openxmlformats.org/officeDocument/2006/relationships/image" Target="media/image313.png"/><Relationship Id="rId288" Type="http://schemas.openxmlformats.org/officeDocument/2006/relationships/hyperlink" Target="https://www.sec.gov/Archives/edgar/data/1468328/000119312509238641/dex31.htm" TargetMode="External"/><Relationship Id="rId291" Type="http://schemas.openxmlformats.org/officeDocument/2006/relationships/hyperlink" Target="https://www.sec.gov/Archives/edgar/data/1468328/000119312513211165/d535575dex32.htm" TargetMode="External"/><Relationship Id="rId294" Type="http://schemas.openxmlformats.org/officeDocument/2006/relationships/hyperlink" Target="https://www.sec.gov/Archives/edgar/data/1468328/000119312509202215/dex41.htm" TargetMode="External"/><Relationship Id="rId296" Type="http://schemas.openxmlformats.org/officeDocument/2006/relationships/hyperlink" Target="https://www.sec.gov/Archives/edgar/data/1468328/000119312525051953/d895546dex101.htm" TargetMode="External"/><Relationship Id="rId299" Type="http://schemas.openxmlformats.org/officeDocument/2006/relationships/hyperlink" Target="https://www.sec.gov/Archives/edgar/data/1468328/000119312525051953/d895546dex10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2025-05-06T15:42:02Z</dcterms:created>
  <dcterms:modified xsi:type="dcterms:W3CDTF">2025-05-06T15:42:02Z</dcterms:modified>
</cp:coreProperties>
</file>