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46990</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83820</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8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rFonts w:ascii="MS PGothic" w:cs="MS PGothic" w:eastAsia="MS PGothic" w:hAnsi="MS PGothic"/>
          <w:sz w:val="20"/>
          <w:szCs w:val="20"/>
          <w:color w:val="auto"/>
        </w:rPr>
      </w:pPr>
    </w:p>
    <w:p>
      <w:pPr>
        <w:ind w:left="38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2022</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8"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85725</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64770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8"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r>
      <w:tr>
        <w:trPr>
          <w:trHeight w:val="216"/>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3"/>
              </w:rPr>
              <w:t>Identification No.)</w:t>
            </w:r>
          </w:p>
        </w:tc>
      </w:tr>
      <w:tr>
        <w:trPr>
          <w:trHeight w:val="279"/>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6303 Cowboys Way, Suite 600</w:t>
            </w:r>
          </w:p>
        </w:tc>
        <w:tc>
          <w:tcPr>
            <w:tcW w:w="3160" w:type="dxa"/>
            <w:vAlign w:val="bottom"/>
          </w:tcPr>
          <w:p>
            <w:pPr>
              <w:spacing w:after="0"/>
              <w:rPr>
                <w:sz w:val="24"/>
                <w:szCs w:val="24"/>
                <w:color w:val="auto"/>
              </w:rPr>
            </w:pPr>
          </w:p>
        </w:tc>
      </w:tr>
      <w:tr>
        <w:trPr>
          <w:trHeight w:val="216"/>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4"/>
              </w:rPr>
              <w:t>Frisco, TX</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34"/>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(Zip Code)</w:t>
            </w:r>
          </w:p>
        </w:tc>
      </w:tr>
    </w:tbl>
    <w:p>
      <w:pPr>
        <w:spacing w:after="0" w:line="9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(469) 535-8200</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90" w:lineRule="exact"/>
        <w:rPr>
          <w:sz w:val="24"/>
          <w:szCs w:val="24"/>
          <w:color w:val="auto"/>
        </w:rPr>
      </w:pPr>
    </w:p>
    <w:p>
      <w:pPr>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4"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tabs>
          <w:tab w:leader="none" w:pos="1200" w:val="left"/>
          <w:tab w:leader="none" w:pos="1820" w:val="left"/>
        </w:tabs>
        <w:rPr>
          <w:sz w:val="20"/>
          <w:szCs w:val="20"/>
          <w:color w:val="auto"/>
        </w:rPr>
      </w:pPr>
      <w:r>
        <w:rPr>
          <w:rFonts w:ascii="Arial" w:cs="Arial" w:eastAsia="Arial" w:hAnsi="Arial"/>
          <w:sz w:val="17"/>
          <w:szCs w:val="17"/>
          <w:color w:val="auto"/>
        </w:rPr>
        <w:t>files).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5" w:lineRule="exact"/>
        <w:rPr>
          <w:sz w:val="24"/>
          <w:szCs w:val="24"/>
          <w:color w:val="auto"/>
        </w:rPr>
      </w:pPr>
    </w:p>
    <w:p>
      <w:pPr>
        <w:jc w:val="both"/>
        <w:ind w:right="18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0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260" w:type="dxa"/>
            <w:vAlign w:val="bottom"/>
          </w:tcPr>
          <w:p>
            <w:pPr>
              <w:ind w:left="304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160" w:type="dxa"/>
            <w:vAlign w:val="bottom"/>
          </w:tcPr>
          <w:p>
            <w:pPr>
              <w:spacing w:after="0"/>
              <w:rPr>
                <w:sz w:val="20"/>
                <w:szCs w:val="20"/>
                <w:color w:val="auto"/>
              </w:rPr>
            </w:pPr>
            <w:r>
              <w:rPr>
                <w:rFonts w:ascii="Arial" w:cs="Arial" w:eastAsia="Arial" w:hAnsi="Arial"/>
                <w:sz w:val="17"/>
                <w:szCs w:val="17"/>
                <w:color w:val="auto"/>
              </w:rPr>
              <w:t>Non-Accelerated Filer</w:t>
            </w:r>
          </w:p>
        </w:tc>
        <w:tc>
          <w:tcPr>
            <w:tcW w:w="340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260" w:type="dxa"/>
            <w:vAlign w:val="bottom"/>
          </w:tcPr>
          <w:p>
            <w:pPr>
              <w:ind w:left="304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1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400" w:type="dxa"/>
            <w:vAlign w:val="bottom"/>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526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115" w:lineRule="exact"/>
        <w:rPr>
          <w:sz w:val="24"/>
          <w:szCs w:val="24"/>
          <w:color w:val="auto"/>
        </w:rPr>
      </w:pPr>
    </w:p>
    <w:p>
      <w:pPr>
        <w:jc w:val="both"/>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83" w:lineRule="exact"/>
        <w:rPr>
          <w:sz w:val="24"/>
          <w:szCs w:val="24"/>
          <w:color w:val="auto"/>
        </w:rPr>
      </w:pPr>
    </w:p>
    <w:p>
      <w:pPr>
        <w:spacing w:after="0" w:line="196" w:lineRule="exact"/>
        <w:tabs>
          <w:tab w:leader="none" w:pos="7920" w:val="left"/>
          <w:tab w:leader="none" w:pos="85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As of April 26, 2022, Addus HomeCare Corporation had 16,071,408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2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20" w:type="dxa"/>
            <w:vAlign w:val="bottom"/>
          </w:tcPr>
          <w:p>
            <w:pPr>
              <w:spacing w:after="0"/>
              <w:rPr>
                <w:sz w:val="17"/>
                <w:szCs w:val="17"/>
                <w:color w:val="auto"/>
              </w:rPr>
            </w:pPr>
          </w:p>
        </w:tc>
      </w:tr>
      <w:tr>
        <w:trPr>
          <w:trHeight w:val="68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60" w:type="dxa"/>
            <w:vAlign w:val="bottom"/>
            <w:gridSpan w:val="9"/>
          </w:tcPr>
          <w:p>
            <w:pPr>
              <w:jc w:val="center"/>
              <w:ind w:right="2320"/>
              <w:spacing w:after="0"/>
              <w:rPr>
                <w:sz w:val="20"/>
                <w:szCs w:val="20"/>
                <w:color w:val="auto"/>
              </w:rPr>
            </w:pPr>
            <w:r>
              <w:rPr>
                <w:rFonts w:ascii="Arial" w:cs="Arial" w:eastAsia="Arial" w:hAnsi="Arial"/>
                <w:sz w:val="18"/>
                <w:szCs w:val="18"/>
                <w:b w:val="1"/>
                <w:bCs w:val="1"/>
                <w:color w:val="auto"/>
                <w:w w:val="99"/>
              </w:rPr>
              <w:t>ADDUS HOMECARE CORPORATION</w:t>
            </w:r>
          </w:p>
        </w:tc>
        <w:tc>
          <w:tcPr>
            <w:tcW w:w="11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0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w w:val="99"/>
              </w:rPr>
              <w:t>FORM 10-Q</w:t>
            </w:r>
          </w:p>
        </w:tc>
        <w:tc>
          <w:tcPr>
            <w:tcW w:w="11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0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960" w:type="dxa"/>
            <w:vAlign w:val="bottom"/>
            <w:gridSpan w:val="21"/>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2022 and December 31, 2021</w:t>
              </w:r>
            </w:hyperlink>
          </w:p>
        </w:tc>
        <w:tc>
          <w:tcPr>
            <w:tcW w:w="30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Months Ended March 31, 2022 and 2021</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 Ended March 31, 2022 and 2021</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2022 and 2021</w:t>
              </w:r>
            </w:hyperlink>
          </w:p>
        </w:tc>
        <w:tc>
          <w:tcPr>
            <w:tcW w:w="6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30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2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4. Controls and Procedures</w:t>
              </w:r>
            </w:hyperlink>
          </w:p>
        </w:tc>
        <w:tc>
          <w:tcPr>
            <w:tcW w:w="73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60" w:type="dxa"/>
            <w:vAlign w:val="bottom"/>
          </w:tcPr>
          <w:p>
            <w:pPr>
              <w:spacing w:after="0"/>
              <w:rPr>
                <w:sz w:val="24"/>
                <w:szCs w:val="24"/>
                <w:color w:val="auto"/>
              </w:rPr>
            </w:pPr>
          </w:p>
        </w:tc>
        <w:tc>
          <w:tcPr>
            <w:tcW w:w="2580" w:type="dxa"/>
            <w:vAlign w:val="bottom"/>
            <w:tcBorders>
              <w:bottom w:val="single" w:sz="8" w:color="0000EE"/>
            </w:tcBorders>
            <w:gridSpan w:val="8"/>
          </w:tcPr>
          <w:p>
            <w:pPr>
              <w:ind w:left="20"/>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OTHER INFORMATION</w:t>
              </w:r>
            </w:hyperlink>
          </w:p>
        </w:tc>
        <w:tc>
          <w:tcPr>
            <w:tcW w:w="738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7740" w:type="dxa"/>
            <w:vAlign w:val="bottom"/>
            <w:gridSpan w:val="1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2. Unregistered Sales of Equity Securities and Use of Proceeds</w:t>
              </w:r>
            </w:hyperlink>
          </w:p>
        </w:tc>
        <w:tc>
          <w:tcPr>
            <w:tcW w:w="472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7"/>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 Defaults Upon Senior Securities</w:t>
              </w:r>
            </w:hyperlink>
          </w:p>
        </w:tc>
        <w:tc>
          <w:tcPr>
            <w:tcW w:w="674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 Mine Safety Disclosures</w:t>
              </w:r>
            </w:hyperlink>
          </w:p>
        </w:tc>
        <w:tc>
          <w:tcPr>
            <w:tcW w:w="73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776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601"/>
        </w:trPr>
        <w:tc>
          <w:tcPr>
            <w:tcW w:w="500" w:type="dxa"/>
            <w:vAlign w:val="bottom"/>
            <w:gridSpan w:val="2"/>
          </w:tcPr>
          <w:p>
            <w:pPr>
              <w:spacing w:after="0"/>
              <w:rPr>
                <w:sz w:val="24"/>
                <w:szCs w:val="24"/>
                <w:color w:val="auto"/>
              </w:rPr>
            </w:pPr>
          </w:p>
        </w:tc>
        <w:tc>
          <w:tcPr>
            <w:tcW w:w="1140" w:type="dxa"/>
            <w:vAlign w:val="bottom"/>
            <w:tcBorders>
              <w:top w:val="single" w:sz="8" w:color="0000EE"/>
            </w:tcBorders>
            <w:gridSpan w:val="3"/>
          </w:tcPr>
          <w:p>
            <w:pPr>
              <w:spacing w:after="0"/>
              <w:rPr>
                <w:sz w:val="24"/>
                <w:szCs w:val="24"/>
                <w:color w:val="auto"/>
              </w:rPr>
            </w:pPr>
          </w:p>
        </w:tc>
        <w:tc>
          <w:tcPr>
            <w:tcW w:w="5460" w:type="dxa"/>
            <w:vAlign w:val="bottom"/>
            <w:gridSpan w:val="12"/>
          </w:tcPr>
          <w:p>
            <w:pPr>
              <w:jc w:val="center"/>
              <w:ind w:left="2410"/>
              <w:spacing w:after="0"/>
              <w:rPr>
                <w:sz w:val="20"/>
                <w:szCs w:val="20"/>
                <w:color w:val="auto"/>
              </w:rPr>
            </w:pPr>
            <w:r>
              <w:rPr>
                <w:rFonts w:ascii="Arial" w:cs="Arial" w:eastAsia="Arial" w:hAnsi="Arial"/>
                <w:sz w:val="18"/>
                <w:szCs w:val="18"/>
                <w:color w:val="auto"/>
                <w:w w:val="79"/>
              </w:rPr>
              <w:t>2</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2022 and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124,763</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136,808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14,658</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276,229</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574,086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76,300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assets, net</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41,523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691,909</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987,211</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21,004</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stimulus advances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12,640</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104,357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Long-term 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256,127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39,049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297,076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401,433</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16,068 and 15,940 shares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issued and outstanding as of March 31, 2022 and December 31, 2021, respectively</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383,001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202,761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585,778</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987,211</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w:t>
      </w:r>
    </w:p>
    <w:p>
      <w:pPr>
        <w:jc w:val="center"/>
        <w:ind w:left="75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226,634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156,448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15,811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 March 31, 2022</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2000" w:type="dxa"/>
            <w:vAlign w:val="bottom"/>
            <w:gridSpan w:val="3"/>
            <w:vMerge w:val="restart"/>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00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15,940</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380,037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7"/>
                <w:szCs w:val="17"/>
                <w:color w:val="auto"/>
              </w:rPr>
              <w:t>Balance at March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383,001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202,761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 March 31, 2021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2000" w:type="dxa"/>
            <w:vAlign w:val="bottom"/>
            <w:gridSpan w:val="3"/>
            <w:vMerge w:val="restart"/>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00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7"/>
                <w:szCs w:val="17"/>
                <w:color w:val="auto"/>
              </w:rPr>
              <w:t>Balance at March 31,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371,835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158,059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For the Three Months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Ended 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8,470</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of operating lease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Government stimulus advances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payroll</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(17,443)</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(15,313)</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(5,391)</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(84,490)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(85,594)</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Borrowings on revolver — credit facility</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35,479</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(44,132)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168,895</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124,763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121" w:lineRule="exact"/>
        <w:rPr>
          <w:sz w:val="20"/>
          <w:szCs w:val="20"/>
          <w:color w:val="auto"/>
        </w:rPr>
      </w:pPr>
    </w:p>
    <w:p>
      <w:pPr>
        <w:ind w:right="60" w:firstLine="477"/>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477"/>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2021 has been derived from the Company’s audited financial statements for the year ended December 31, 2021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2021 included in our Annual Report on Form 10-K, which includes information and disclosures not included herein.</w:t>
      </w:r>
    </w:p>
    <w:p>
      <w:pPr>
        <w:spacing w:after="0" w:line="195" w:lineRule="exact"/>
        <w:rPr>
          <w:sz w:val="20"/>
          <w:szCs w:val="20"/>
          <w:color w:val="auto"/>
        </w:rPr>
      </w:pPr>
    </w:p>
    <w:p>
      <w:pPr>
        <w:jc w:val="both"/>
        <w:ind w:right="120" w:firstLine="477"/>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00" w:firstLine="477"/>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Computation of Weighted Average Shares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computation of basic and diluted common shares for the three months ended March 31, 2022 and 2021:</w:t>
      </w:r>
    </w:p>
    <w:p>
      <w:pPr>
        <w:spacing w:after="0" w:line="255"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55"/>
        </w:trPr>
        <w:tc>
          <w:tcPr>
            <w:tcW w:w="75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for basic per share calculation</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15,811</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Effect of dilutive potential shares: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Restricted stock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weighted average shares for diluted per share calculation</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Anti-dilutive shares:</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gridSpan w:val="2"/>
          </w:tcPr>
          <w:p>
            <w:pPr>
              <w:ind w:left="260"/>
              <w:spacing w:after="0"/>
              <w:rPr>
                <w:sz w:val="20"/>
                <w:szCs w:val="20"/>
                <w:color w:val="auto"/>
              </w:rPr>
            </w:pPr>
            <w:r>
              <w:rPr>
                <w:rFonts w:ascii="Arial" w:cs="Arial" w:eastAsia="Arial" w:hAnsi="Arial"/>
                <w:sz w:val="18"/>
                <w:szCs w:val="18"/>
                <w:color w:val="auto"/>
              </w:rPr>
              <w:t>Restricted stock awards</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7560" w:type="dxa"/>
            <w:vAlign w:val="bottom"/>
          </w:tcPr>
          <w:p>
            <w:pPr>
              <w:ind w:left="558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77"/>
        <w:spacing w:after="0" w:line="301" w:lineRule="auto"/>
        <w:rPr>
          <w:sz w:val="20"/>
          <w:szCs w:val="20"/>
          <w:color w:val="auto"/>
        </w:rPr>
      </w:pPr>
      <w:r>
        <w:rPr>
          <w:rFonts w:ascii="Arial" w:cs="Arial" w:eastAsia="Arial" w:hAnsi="Arial"/>
          <w:sz w:val="16"/>
          <w:szCs w:val="16"/>
          <w:color w:val="auto"/>
        </w:rPr>
        <w:t xml:space="preserve">In November 2021, the FASB issued ASU 2021-10, </w:t>
      </w:r>
      <w:r>
        <w:rPr>
          <w:rFonts w:ascii="Arial" w:cs="Arial" w:eastAsia="Arial" w:hAnsi="Arial"/>
          <w:sz w:val="16"/>
          <w:szCs w:val="16"/>
          <w:i w:val="1"/>
          <w:iCs w:val="1"/>
          <w:color w:val="auto"/>
        </w:rPr>
        <w:t>Government Assistance (Topic 832): Disclosures by Business Entities about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Assistance</w:t>
      </w:r>
      <w:r>
        <w:rPr>
          <w:rFonts w:ascii="Arial" w:cs="Arial" w:eastAsia="Arial" w:hAnsi="Arial"/>
          <w:sz w:val="16"/>
          <w:szCs w:val="16"/>
          <w:color w:val="auto"/>
        </w:rPr>
        <w:t>. ASU 2021-10 requires entities to disclose certain information about the nature of certain governmental assistance received, including the nature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transaction and the related accounting policy, the financial statement line items impacted by the assistance, as well as the significant terms and conditions of the transactions. The ASU was adopted as of January 1, 2022 and did not have an impact on the Company’s results of operations or liquidity.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477"/>
        <w:spacing w:after="0" w:line="28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On July 30, 2021, the Company entered into the Second Amendment to the Credit Agreement as discussed further in Note 8.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reported on the Company’s Unaudited Condensed Consolidated Balance Sheets for operating leases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r>
      <w:tr>
        <w:trPr>
          <w:trHeight w:val="155"/>
        </w:trPr>
        <w:tc>
          <w:tcPr>
            <w:tcW w:w="73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560" w:type="dxa"/>
            <w:vAlign w:val="bottom"/>
            <w:tcBorders>
              <w:top w:val="single" w:sz="8" w:color="auto"/>
              <w:bottom w:val="single" w:sz="8" w:color="auto"/>
            </w:tcBorders>
            <w:gridSpan w:val="4"/>
          </w:tcPr>
          <w:p>
            <w:pPr>
              <w:jc w:val="right"/>
              <w:ind w:right="105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32,859</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right="180" w:firstLine="477"/>
        <w:spacing w:after="0" w:line="277" w:lineRule="auto"/>
        <w:rPr>
          <w:sz w:val="20"/>
          <w:szCs w:val="20"/>
          <w:color w:val="auto"/>
        </w:rPr>
      </w:pPr>
      <w:r>
        <w:rPr>
          <w:rFonts w:ascii="Arial" w:cs="Arial" w:eastAsia="Arial" w:hAnsi="Arial"/>
          <w:sz w:val="18"/>
          <w:szCs w:val="18"/>
          <w:color w:val="auto"/>
        </w:rPr>
        <w:t>Components of lease costs were reported in general and administrative expenses in the Company’s Unaudited Condensed Consolidated Statements of Income as follows:</w:t>
      </w:r>
    </w:p>
    <w:p>
      <w:pPr>
        <w:spacing w:after="0" w:line="162"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For the Three Months Ended March 31,</w:t>
      </w:r>
    </w:p>
    <w:p>
      <w:pPr>
        <w:jc w:val="center"/>
        <w:ind w:left="7180"/>
        <w:spacing w:after="0" w:line="236" w:lineRule="auto"/>
        <w:rPr>
          <w:sz w:val="20"/>
          <w:szCs w:val="20"/>
          <w:color w:val="auto"/>
        </w:rPr>
      </w:pPr>
      <w:r>
        <w:rPr>
          <w:rFonts w:ascii="Arial" w:cs="Arial" w:eastAsia="Arial" w:hAnsi="Arial"/>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55"/>
        </w:trPr>
        <w:tc>
          <w:tcPr>
            <w:tcW w:w="7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2,801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Short-term lease costs</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costs</w:t>
            </w:r>
          </w:p>
        </w:tc>
        <w:tc>
          <w:tcPr>
            <w:tcW w:w="12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3,552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Less: sublease income</w:t>
            </w:r>
          </w:p>
        </w:tc>
        <w:tc>
          <w:tcPr>
            <w:tcW w:w="128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costs, net</w:t>
            </w:r>
          </w:p>
        </w:tc>
        <w:tc>
          <w:tcPr>
            <w:tcW w:w="1280" w:type="dxa"/>
            <w:vAlign w:val="bottom"/>
            <w:tcBorders>
              <w:top w:val="single" w:sz="8" w:color="auto"/>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3,375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3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480"/>
              <w:spacing w:after="0"/>
              <w:rPr>
                <w:sz w:val="20"/>
                <w:szCs w:val="20"/>
                <w:color w:val="auto"/>
              </w:rPr>
            </w:pPr>
            <w:r>
              <w:rPr>
                <w:rFonts w:ascii="Arial" w:cs="Arial" w:eastAsia="Arial" w:hAnsi="Arial"/>
                <w:sz w:val="18"/>
                <w:szCs w:val="18"/>
                <w:color w:val="auto"/>
              </w:rPr>
              <w:t>Weighted average remaining lease terms and discount rates were as follows:</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 2022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128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w w:val="91"/>
              </w:rPr>
              <w:t>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ind w:left="1220"/>
              <w:spacing w:after="0"/>
              <w:rPr>
                <w:sz w:val="20"/>
                <w:szCs w:val="20"/>
                <w:color w:val="auto"/>
              </w:rPr>
            </w:pPr>
            <w:r>
              <w:rPr>
                <w:rFonts w:ascii="Arial" w:cs="Arial" w:eastAsia="Arial" w:hAnsi="Arial"/>
                <w:sz w:val="18"/>
                <w:szCs w:val="18"/>
                <w:color w:val="auto"/>
                <w:w w:val="85"/>
              </w:rPr>
              <w:t>6.39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2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3.80%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w w:val="93"/>
              </w:rPr>
              <w:t>3.91%</w:t>
            </w:r>
          </w:p>
        </w:tc>
        <w:tc>
          <w:tcPr>
            <w:tcW w:w="0" w:type="dxa"/>
            <w:vAlign w:val="bottom"/>
          </w:tcPr>
          <w:p>
            <w:pPr>
              <w:spacing w:after="0"/>
              <w:rPr>
                <w:sz w:val="1"/>
                <w:szCs w:val="1"/>
                <w:color w:val="auto"/>
              </w:rPr>
            </w:pPr>
          </w:p>
        </w:tc>
      </w:tr>
      <w:tr>
        <w:trPr>
          <w:trHeight w:val="432"/>
        </w:trPr>
        <w:tc>
          <w:tcPr>
            <w:tcW w:w="7220" w:type="dxa"/>
            <w:vAlign w:val="bottom"/>
          </w:tcPr>
          <w:p>
            <w:pPr>
              <w:ind w:left="55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Remaining operating lease payments as of March 31,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50"/>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Due in the 12-month period ended March 31,</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2026</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2027</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future minimum rental commitments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56,326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320" w:type="dxa"/>
            <w:vAlign w:val="bottom"/>
          </w:tcPr>
          <w:p>
            <w:pPr>
              <w:spacing w:after="0"/>
              <w:rPr>
                <w:sz w:val="24"/>
                <w:szCs w:val="24"/>
                <w:color w:val="auto"/>
              </w:rPr>
            </w:pPr>
          </w:p>
        </w:tc>
        <w:tc>
          <w:tcPr>
            <w:tcW w:w="326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For the Three Months Ended March 31,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w w:val="94"/>
              </w:rPr>
              <w:t>(Amounts in Thousands)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3,194</w:t>
            </w:r>
          </w:p>
        </w:tc>
        <w:tc>
          <w:tcPr>
            <w:tcW w:w="150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9,199</w:t>
            </w:r>
          </w:p>
        </w:tc>
        <w:tc>
          <w:tcPr>
            <w:tcW w:w="150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20" w:lineRule="exact"/>
        <w:rPr>
          <w:sz w:val="20"/>
          <w:szCs w:val="20"/>
          <w:color w:val="auto"/>
        </w:rPr>
      </w:pPr>
    </w:p>
    <w:p>
      <w:pPr>
        <w:ind w:right="260" w:firstLine="477"/>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JourneyCare</w:t>
      </w:r>
    </w:p>
    <w:p>
      <w:pPr>
        <w:spacing w:after="0" w:line="158" w:lineRule="exact"/>
        <w:rPr>
          <w:sz w:val="20"/>
          <w:szCs w:val="20"/>
          <w:color w:val="auto"/>
        </w:rPr>
      </w:pPr>
    </w:p>
    <w:p>
      <w:pPr>
        <w:ind w:right="100" w:firstLine="477"/>
        <w:spacing w:after="0" w:line="273" w:lineRule="auto"/>
        <w:rPr>
          <w:sz w:val="20"/>
          <w:szCs w:val="20"/>
          <w:color w:val="auto"/>
        </w:rPr>
      </w:pPr>
      <w:r>
        <w:rPr>
          <w:rFonts w:ascii="Arial" w:cs="Arial" w:eastAsia="Arial" w:hAnsi="Arial"/>
          <w:sz w:val="17"/>
          <w:szCs w:val="17"/>
          <w:color w:val="auto"/>
        </w:rPr>
        <w:t>On February 1, 2022, we completed the acquisition of the operations of JourneyCare Inc. (“JourneyCare”). The purchase price was approximately $85.0 million, including the amount of acquired excess cash held by JourneyCare at the closing of the acquisition (approximately $0.5 million). The JourneyCare acquisition was funded with a combination of a $35.0 million draw on the Company’s revolving credit facility and available cash. With the JourneyCare acquisition, the Company expanded its hospice services in the state of Illinois. The related acquisition and integration costs were $0.3 million and $1.8 million, respectively, for the three months ended March 31, 2022. These costs were included in general and administrative expenses on the Unaudited Condensed Consolidated Statements of Income and were expensed as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477"/>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Total</w:t>
            </w:r>
          </w:p>
        </w:tc>
      </w:tr>
      <w:tr>
        <w:trPr>
          <w:trHeight w:val="171"/>
        </w:trPr>
        <w:tc>
          <w:tcPr>
            <w:tcW w:w="8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(Amounts in Thousands)</w:t>
            </w: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13,792</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(6,714)</w:t>
            </w: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2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(1,486)</w:t>
            </w: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2440" w:type="dxa"/>
            <w:vAlign w:val="bottom"/>
            <w:gridSpan w:val="2"/>
          </w:tcPr>
          <w:p>
            <w:pPr>
              <w:jc w:val="right"/>
              <w:ind w:right="60"/>
              <w:spacing w:after="0"/>
              <w:rPr>
                <w:sz w:val="20"/>
                <w:szCs w:val="20"/>
                <w:color w:val="auto"/>
              </w:rPr>
            </w:pPr>
            <w:r>
              <w:rPr>
                <w:rFonts w:ascii="Arial" w:cs="Arial" w:eastAsia="Arial" w:hAnsi="Arial"/>
                <w:sz w:val="18"/>
                <w:szCs w:val="18"/>
                <w:color w:val="auto"/>
              </w:rPr>
              <w:t>(3,537)</w:t>
            </w:r>
          </w:p>
        </w:tc>
      </w:tr>
      <w:tr>
        <w:trPr>
          <w:trHeight w:val="223"/>
        </w:trPr>
        <w:tc>
          <w:tcPr>
            <w:tcW w:w="8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Identifiable intangible assets acquired included $9.0 million in a trade name and $4.8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1" w:lineRule="exact"/>
        <w:rPr>
          <w:sz w:val="20"/>
          <w:szCs w:val="20"/>
          <w:color w:val="auto"/>
        </w:rPr>
      </w:pPr>
    </w:p>
    <w:p>
      <w:pPr>
        <w:ind w:right="340" w:firstLine="477"/>
        <w:spacing w:after="0" w:line="277" w:lineRule="auto"/>
        <w:rPr>
          <w:sz w:val="20"/>
          <w:szCs w:val="20"/>
          <w:color w:val="auto"/>
        </w:rPr>
      </w:pPr>
      <w:r>
        <w:rPr>
          <w:rFonts w:ascii="Arial" w:cs="Arial" w:eastAsia="Arial" w:hAnsi="Arial"/>
          <w:sz w:val="18"/>
          <w:szCs w:val="18"/>
          <w:color w:val="auto"/>
        </w:rPr>
        <w:t>The JourneyCare acquisition accounted for $9.5 million of net service revenues and $2.0 million of operating income for the three months ended March 31, 2022.</w:t>
      </w:r>
    </w:p>
    <w:p>
      <w:pPr>
        <w:spacing w:after="0" w:line="170" w:lineRule="exact"/>
        <w:rPr>
          <w:sz w:val="20"/>
          <w:szCs w:val="20"/>
          <w:color w:val="auto"/>
        </w:rPr>
      </w:pPr>
    </w:p>
    <w:p>
      <w:pPr>
        <w:ind w:right="40" w:firstLine="477"/>
        <w:spacing w:after="0" w:line="277"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for the three months ended March 31, 2022 as if the JourneyCare acquisition closed on January 1, 2021.</w:t>
      </w:r>
    </w:p>
    <w:p>
      <w:pPr>
        <w:spacing w:after="0" w:line="28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Three Months Ended March 31,</w:t>
      </w:r>
    </w:p>
    <w:p>
      <w:pPr>
        <w:jc w:val="center"/>
        <w:ind w:left="7580"/>
        <w:spacing w:after="0" w:line="236" w:lineRule="auto"/>
        <w:rPr>
          <w:sz w:val="20"/>
          <w:szCs w:val="20"/>
          <w:color w:val="auto"/>
        </w:rPr>
      </w:pPr>
      <w:r>
        <w:rPr>
          <w:rFonts w:ascii="Arial" w:cs="Arial" w:eastAsia="Arial" w:hAnsi="Arial"/>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231,847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Diluted income per share</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firstLine="477"/>
        <w:spacing w:after="0" w:line="296"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the operations of JourneyCare had been acquired effective January 1, 2021.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and related adjustments is provided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Hospice</w:t>
            </w: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Personal Care</w:t>
            </w:r>
          </w:p>
        </w:tc>
        <w:tc>
          <w:tcPr>
            <w:tcW w:w="2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Home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Health</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60" w:type="dxa"/>
            <w:vAlign w:val="bottom"/>
            <w:tcBorders>
              <w:top w:val="single" w:sz="8" w:color="auto"/>
              <w:bottom w:val="single" w:sz="8" w:color="auto"/>
            </w:tcBorders>
            <w:gridSpan w:val="5"/>
          </w:tcPr>
          <w:p>
            <w:pPr>
              <w:jc w:val="right"/>
              <w:ind w:right="740"/>
              <w:spacing w:after="0" w:line="155" w:lineRule="exact"/>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152,688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23,370</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Goodwill as of 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398,374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152,688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In connection with the JourneyCare acquisition, the Company recognized goodwill in its hospice segment of $70.2 million, during the three months ended March 31, 2022. See Note 4 for additional information regarding the acquisition.</w:t>
      </w:r>
    </w:p>
    <w:p>
      <w:pPr>
        <w:spacing w:after="0" w:line="170"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five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March 31,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(36,779)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(19,126)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(5,521)</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(65,507)</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intangible assets at March 31, 2022</w:t>
            </w:r>
          </w:p>
        </w:tc>
        <w:tc>
          <w:tcPr>
            <w:tcW w:w="1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0" w:firstLine="477"/>
        <w:spacing w:after="0" w:line="342" w:lineRule="auto"/>
        <w:rPr>
          <w:sz w:val="20"/>
          <w:szCs w:val="20"/>
          <w:color w:val="auto"/>
        </w:rPr>
      </w:pPr>
      <w:r>
        <w:rPr>
          <w:rFonts w:ascii="Arial" w:cs="Arial" w:eastAsia="Arial" w:hAnsi="Arial"/>
          <w:sz w:val="16"/>
          <w:szCs w:val="16"/>
          <w:color w:val="auto"/>
        </w:rPr>
        <w:t>In connection with the JourneyCare acquisition, the Company recognized a trade name of $9.0 million and indefinite lived state licenses of $4.8 million in its hospice segment during the three months ended March 31, 2022. See Note 4 for additional information regarding the acquisition.</w:t>
      </w:r>
    </w:p>
    <w:p>
      <w:pPr>
        <w:spacing w:after="0" w:line="124" w:lineRule="exact"/>
        <w:rPr>
          <w:sz w:val="20"/>
          <w:szCs w:val="20"/>
          <w:color w:val="auto"/>
        </w:rPr>
      </w:pPr>
    </w:p>
    <w:p>
      <w:pPr>
        <w:ind w:right="560" w:firstLine="477"/>
        <w:spacing w:after="0" w:line="324" w:lineRule="auto"/>
        <w:rPr>
          <w:sz w:val="20"/>
          <w:szCs w:val="20"/>
          <w:color w:val="auto"/>
        </w:rPr>
      </w:pPr>
      <w:r>
        <w:rPr>
          <w:rFonts w:ascii="Arial" w:cs="Arial" w:eastAsia="Arial" w:hAnsi="Arial"/>
          <w:sz w:val="17"/>
          <w:szCs w:val="17"/>
          <w:color w:val="auto"/>
        </w:rPr>
        <w:t>Amortization expense related to the intangible assets was $1.8 million and $2.2 million for the three months ended March 31, 2022 and 2021, respectively. The weighted average remaining useful lives of identifiable intangible assets as of March 31, 2022 was 10.2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4"/>
          </w:tcPr>
          <w:p>
            <w:pPr>
              <w:jc w:val="right"/>
              <w:ind w:right="97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w:t>
            </w:r>
          </w:p>
        </w:tc>
        <w:tc>
          <w:tcPr>
            <w:tcW w:w="2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 insurance receivable</w:t>
            </w:r>
          </w:p>
        </w:tc>
        <w:tc>
          <w:tcPr>
            <w:tcW w:w="2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14,658</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60" w:type="dxa"/>
            <w:vAlign w:val="bottom"/>
            <w:vMerge w:val="restart"/>
          </w:tcPr>
          <w:p>
            <w:pPr>
              <w:jc w:val="right"/>
              <w:ind w:right="167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7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155"/>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853"/>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health insurance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Payor advances </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38,820</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93980</wp:posOffset>
            </wp:positionV>
            <wp:extent cx="1517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2" w:lineRule="exact"/>
        <w:rPr>
          <w:sz w:val="20"/>
          <w:szCs w:val="20"/>
          <w:color w:val="auto"/>
        </w:rPr>
      </w:pPr>
    </w:p>
    <w:p>
      <w:pPr>
        <w:ind w:left="1220" w:right="40" w:hanging="429"/>
        <w:spacing w:after="0" w:line="278" w:lineRule="auto"/>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283" w:lineRule="exact"/>
        <w:rPr>
          <w:rFonts w:ascii="Arial" w:cs="Arial" w:eastAsia="Arial" w:hAnsi="Arial"/>
          <w:sz w:val="16"/>
          <w:szCs w:val="16"/>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340" w:firstLine="477"/>
        <w:spacing w:after="0" w:line="27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as described below.</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right="20" w:firstLine="477"/>
        <w:spacing w:after="0" w:line="293" w:lineRule="auto"/>
        <w:rPr>
          <w:sz w:val="20"/>
          <w:szCs w:val="20"/>
          <w:color w:val="auto"/>
        </w:rPr>
      </w:pPr>
      <w:r>
        <w:rPr>
          <w:rFonts w:ascii="Arial" w:cs="Arial" w:eastAsia="Arial" w:hAnsi="Arial"/>
          <w:sz w:val="16"/>
          <w:szCs w:val="16"/>
          <w:color w:val="auto"/>
        </w:rPr>
        <w:t>One of the primary sources of relief for healthcare providers is the Provider Relief Fund, which has been funded through the Coronavirus Aid, Relief, and Economic Security Act (“CARES Act”) and related legislation.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 Commercial organizations that receive and expend annual total awards of $750,000 or more in federal funding, including payments received through the Provider Relief Fund, are subject to federal audit requirements.</w:t>
      </w:r>
    </w:p>
    <w:p>
      <w:pPr>
        <w:spacing w:after="0" w:line="164" w:lineRule="exact"/>
        <w:rPr>
          <w:sz w:val="20"/>
          <w:szCs w:val="20"/>
          <w:color w:val="auto"/>
        </w:rPr>
      </w:pPr>
    </w:p>
    <w:p>
      <w:pPr>
        <w:ind w:right="40" w:firstLine="477"/>
        <w:spacing w:after="0" w:line="257" w:lineRule="auto"/>
        <w:rPr>
          <w:sz w:val="20"/>
          <w:szCs w:val="20"/>
          <w:color w:val="auto"/>
        </w:rPr>
      </w:pPr>
      <w:r>
        <w:rPr>
          <w:rFonts w:ascii="Arial" w:cs="Arial" w:eastAsia="Arial" w:hAnsi="Arial"/>
          <w:sz w:val="18"/>
          <w:szCs w:val="18"/>
          <w:color w:val="auto"/>
        </w:rPr>
        <w:t>In November 2020, the Company received grants in an aggregate principal amount of $13.7 million from the Provider Relief Fund, and fully utilized these funds as of December 31, 2021, including $0.9 million during the three months ended March 31, 2021, for healthcare related expenses, including retention payments, attributable to COVID-19 that were unreimbursed by other sources. We were required to properly and fully document the use of such funds in reports to the U.S. Department of Health &amp; Human Services (“HHS”), which we were required to submit no later than March 31, 2022. We have submitted the required reports.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The CARES Act also provided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As of March 31, 2022 and December 31, 2021, the deferred portion of employer Social Security payroll taxes was $4.1 million, which is included within Government stimulus advances on the Company’s Unaudited Condensed Consolidated Balance Sheets. The payroll tax deferral requires that the remaining deferred payroll taxes be paid by December 31, 2022.</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ARPA Spending Plans</w:t>
      </w:r>
    </w:p>
    <w:p>
      <w:pPr>
        <w:spacing w:after="0" w:line="117" w:lineRule="exact"/>
        <w:rPr>
          <w:sz w:val="20"/>
          <w:szCs w:val="20"/>
          <w:color w:val="auto"/>
        </w:rPr>
      </w:pPr>
    </w:p>
    <w:p>
      <w:pPr>
        <w:ind w:right="60" w:firstLine="477"/>
        <w:spacing w:after="0" w:line="273" w:lineRule="auto"/>
        <w:rPr>
          <w:sz w:val="20"/>
          <w:szCs w:val="20"/>
          <w:color w:val="auto"/>
        </w:rPr>
      </w:pPr>
      <w:r>
        <w:rPr>
          <w:rFonts w:ascii="Arial" w:cs="Arial" w:eastAsia="Arial" w:hAnsi="Arial"/>
          <w:sz w:val="17"/>
          <w:szCs w:val="17"/>
          <w:color w:val="auto"/>
        </w:rPr>
        <w:t>The American Rescue Plan Act of 2021 (“ARPA”), which became law on March 11, 2021, provides for $350 billion in relief funding for eligible state, local, territorial, and Tribal governments to mitigate the fiscal effects of the COVID-19 public health emergency. Additionally, the law provides for a 10-percentage point increase in federal matching funds for Medicaid home and community based services (“HCBS”) from April 1, 2021, through March 31, 2022, provided the state satisfied certain conditions. States are permitted to use the state funds equivalent to the additional federal funds through March 31, 2024. States must use the monies attributable to this matching fund increase to supplement, not supplant, their level of state spending for the implementation of activities enhanced under the Medicaid HCBS in effect as of April 1,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firstLine="477"/>
        <w:spacing w:after="0" w:line="275" w:lineRule="auto"/>
        <w:rPr>
          <w:sz w:val="20"/>
          <w:szCs w:val="20"/>
          <w:color w:val="auto"/>
        </w:rPr>
      </w:pPr>
      <w:r>
        <w:rPr>
          <w:rFonts w:ascii="Arial" w:cs="Arial" w:eastAsia="Arial" w:hAnsi="Arial"/>
          <w:sz w:val="17"/>
          <w:szCs w:val="17"/>
          <w:color w:val="auto"/>
        </w:rPr>
        <w:t>The CARES Act and related laws temporarily lifted the Medicare sequester which would have otherwise reduced payments to Medicare providers by 2%, as required by the Budget Control Act of 2011, from May 1, 2020, through December 31, 2021 (but also extended sequestration through 2030). Congress further delayed these sequestration cuts through March 31, 2022, and reduced the sequestration adjustment to 1% from April 1 through June 30, 2022. The full 2% reduction is currently scheduled to resume July 1, 2022. These sequestration cuts have been extended through 2030, with the reductions for 2030 set to increase to 2.25% for the first six months and to 3% for the second six months.</w:t>
      </w:r>
    </w:p>
    <w:p>
      <w:pPr>
        <w:spacing w:after="0" w:line="176" w:lineRule="exact"/>
        <w:rPr>
          <w:sz w:val="20"/>
          <w:szCs w:val="20"/>
          <w:color w:val="auto"/>
        </w:rPr>
      </w:pPr>
    </w:p>
    <w:p>
      <w:pPr>
        <w:ind w:firstLine="477"/>
        <w:spacing w:after="0" w:line="263" w:lineRule="auto"/>
        <w:rPr>
          <w:sz w:val="20"/>
          <w:szCs w:val="20"/>
          <w:color w:val="auto"/>
        </w:rPr>
      </w:pPr>
      <w:r>
        <w:rPr>
          <w:rFonts w:ascii="Arial" w:cs="Arial" w:eastAsia="Arial" w:hAnsi="Arial"/>
          <w:sz w:val="18"/>
          <w:szCs w:val="18"/>
          <w:color w:val="auto"/>
        </w:rPr>
        <w:t>In the hospice segment, Medicare sequester relief resulted in an increase in net service revenues of $0.9 million and $0.7 million for the three months ended March 31, 2022 and 2021, respectively. In the home health segment, Medicare sequester relief resulted in an increase in net service revenues of $0.2 million and $0.1 million for the three months ended March 31, 2022 and 2021, respectively.</w:t>
      </w:r>
    </w:p>
    <w:p>
      <w:pPr>
        <w:spacing w:after="0" w:line="184" w:lineRule="exact"/>
        <w:rPr>
          <w:sz w:val="20"/>
          <w:szCs w:val="20"/>
          <w:color w:val="auto"/>
        </w:rPr>
      </w:pPr>
    </w:p>
    <w:p>
      <w:pPr>
        <w:ind w:right="200" w:firstLine="477"/>
        <w:spacing w:after="0" w:line="257" w:lineRule="auto"/>
        <w:rPr>
          <w:sz w:val="20"/>
          <w:szCs w:val="20"/>
          <w:color w:val="auto"/>
        </w:rPr>
      </w:pPr>
      <w:r>
        <w:rPr>
          <w:rFonts w:ascii="Arial" w:cs="Arial" w:eastAsia="Arial" w:hAnsi="Arial"/>
          <w:sz w:val="18"/>
          <w:szCs w:val="18"/>
          <w:color w:val="auto"/>
        </w:rPr>
        <w:t>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88" w:lineRule="exact"/>
        <w:rPr>
          <w:sz w:val="20"/>
          <w:szCs w:val="20"/>
          <w:color w:val="auto"/>
        </w:rPr>
      </w:pPr>
    </w:p>
    <w:p>
      <w:pPr>
        <w:ind w:right="140" w:firstLine="477"/>
        <w:spacing w:after="0" w:line="259" w:lineRule="auto"/>
        <w:rPr>
          <w:sz w:val="20"/>
          <w:szCs w:val="20"/>
          <w:color w:val="auto"/>
        </w:rPr>
      </w:pPr>
      <w:r>
        <w:rPr>
          <w:rFonts w:ascii="Arial" w:cs="Arial" w:eastAsia="Arial" w:hAnsi="Arial"/>
          <w:sz w:val="18"/>
          <w:szCs w:val="18"/>
          <w:color w:val="auto"/>
        </w:rPr>
        <w:t>For the three months ended March 31, 2022 and 2021, COVID-19-related expenses in our personal care segment were approximately $1.7 million and $0.9 million, respectively, and are included in cost of service revenues on the Consolidated Statements of Income. Additionally, the Company recognized revenue of $1.4 million and $1.8 million attributable to temporary rate increases from certain payors in our personal care segment for the three months ended March 31, 2022 and 2021, respectively.</w:t>
      </w:r>
    </w:p>
    <w:p>
      <w:pPr>
        <w:spacing w:after="0" w:line="187" w:lineRule="exact"/>
        <w:rPr>
          <w:sz w:val="20"/>
          <w:szCs w:val="20"/>
          <w:color w:val="auto"/>
        </w:rPr>
      </w:pPr>
    </w:p>
    <w:p>
      <w:pPr>
        <w:ind w:right="160" w:firstLine="477"/>
        <w:spacing w:after="0" w:line="259" w:lineRule="auto"/>
        <w:rPr>
          <w:sz w:val="20"/>
          <w:szCs w:val="20"/>
          <w:color w:val="auto"/>
        </w:rPr>
      </w:pPr>
      <w:r>
        <w:rPr>
          <w:rFonts w:ascii="Arial" w:cs="Arial" w:eastAsia="Arial" w:hAnsi="Arial"/>
          <w:sz w:val="18"/>
          <w:szCs w:val="18"/>
          <w:color w:val="auto"/>
        </w:rPr>
        <w:t>Although the United States has recently experienced a moderation of infection and related hospitalization rates, there continues to be a significant number of COVID-19 cases and deaths in the United States and throughout the world. Given the longer-term uncertainties associated with the COVID-19 pandemic, it is impossible to predict the effect and ultimate impact of the COVID-19 pandemic on the Company as conditions related to the COVID-19 pandemic continue to evolve.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2021</w:t>
            </w:r>
          </w:p>
        </w:tc>
      </w:tr>
      <w:tr>
        <w:trPr>
          <w:trHeight w:val="155"/>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855"/>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259,853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(3,726)</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60" w:firstLine="477"/>
        <w:spacing w:after="0" w:line="268"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First Amendment to Amended and Restated Credit Agreement, dated as of September 12, 2019, and as further amended by the Second Amendment to Amended and Restated Credit Agreement, dated as of July 30, 2021 (as amended, the “Credit Agreement”; as used throughout this Quarterly Report on Form 10-Q,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80" w:lineRule="exact"/>
        <w:rPr>
          <w:sz w:val="20"/>
          <w:szCs w:val="20"/>
          <w:color w:val="auto"/>
        </w:rPr>
      </w:pPr>
    </w:p>
    <w:p>
      <w:pPr>
        <w:ind w:firstLine="477"/>
        <w:spacing w:after="0" w:line="286" w:lineRule="auto"/>
        <w:rPr>
          <w:sz w:val="20"/>
          <w:szCs w:val="20"/>
          <w:color w:val="auto"/>
        </w:rPr>
      </w:pPr>
      <w:r>
        <w:rPr>
          <w:rFonts w:ascii="Arial" w:cs="Arial" w:eastAsia="Arial" w:hAnsi="Arial"/>
          <w:sz w:val="17"/>
          <w:szCs w:val="17"/>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w:t>
      </w:r>
    </w:p>
    <w:p>
      <w:pPr>
        <w:sectPr>
          <w:pgSz w:w="11900" w:h="16838" w:orient="portrait"/>
          <w:cols w:equalWidth="0" w:num="1">
            <w:col w:w="11240"/>
          </w:cols>
          <w:pgMar w:left="320" w:top="121"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70"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85" w:lineRule="exact"/>
        <w:rPr>
          <w:sz w:val="20"/>
          <w:szCs w:val="20"/>
          <w:color w:val="auto"/>
        </w:rPr>
      </w:pPr>
    </w:p>
    <w:p>
      <w:pPr>
        <w:ind w:right="200" w:firstLine="477"/>
        <w:spacing w:after="0" w:line="279" w:lineRule="auto"/>
        <w:rPr>
          <w:sz w:val="20"/>
          <w:szCs w:val="20"/>
          <w:color w:val="auto"/>
        </w:rPr>
      </w:pPr>
      <w:r>
        <w:rPr>
          <w:rFonts w:ascii="Arial" w:cs="Arial" w:eastAsia="Arial" w:hAnsi="Arial"/>
          <w:sz w:val="17"/>
          <w:szCs w:val="17"/>
          <w:color w:val="auto"/>
        </w:rPr>
        <w:t>The Company pays a fee ranging from 0.20% to 0.35% based on the applicable senior net leverage ratio times the unused portion of the revolving loan portion of the credit facility. The credit facility contains hardwired fallback language that contemplates a transition from LIBOR, and specifically identifies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171" w:lineRule="exact"/>
        <w:rPr>
          <w:sz w:val="20"/>
          <w:szCs w:val="20"/>
          <w:color w:val="auto"/>
        </w:rPr>
      </w:pPr>
    </w:p>
    <w:p>
      <w:pPr>
        <w:ind w:right="760" w:firstLine="477"/>
        <w:spacing w:after="0" w:line="277" w:lineRule="auto"/>
        <w:rPr>
          <w:sz w:val="20"/>
          <w:szCs w:val="20"/>
          <w:color w:val="auto"/>
        </w:rPr>
      </w:pPr>
      <w:r>
        <w:rPr>
          <w:rFonts w:ascii="Arial" w:cs="Arial" w:eastAsia="Arial" w:hAnsi="Arial"/>
          <w:sz w:val="18"/>
          <w:szCs w:val="18"/>
          <w:color w:val="auto"/>
        </w:rPr>
        <w:t>During the three months ended March 31, 2022, the Company drew $35.0 million under its credit facility to fund, in part, the JourneyCare acquisition. During the three months ended March 31, 2021, the Company had no draws under its credit facility.</w:t>
      </w:r>
    </w:p>
    <w:p>
      <w:pPr>
        <w:spacing w:after="0" w:line="170" w:lineRule="exact"/>
        <w:rPr>
          <w:sz w:val="20"/>
          <w:szCs w:val="20"/>
          <w:color w:val="auto"/>
        </w:rPr>
      </w:pPr>
    </w:p>
    <w:p>
      <w:pPr>
        <w:ind w:right="60" w:firstLine="477"/>
        <w:spacing w:after="0" w:line="257" w:lineRule="auto"/>
        <w:rPr>
          <w:sz w:val="20"/>
          <w:szCs w:val="20"/>
          <w:color w:val="auto"/>
        </w:rPr>
      </w:pPr>
      <w:r>
        <w:rPr>
          <w:rFonts w:ascii="Arial" w:cs="Arial" w:eastAsia="Arial" w:hAnsi="Arial"/>
          <w:sz w:val="18"/>
          <w:szCs w:val="18"/>
          <w:color w:val="auto"/>
        </w:rPr>
        <w:t>At March 31, 2022, the Company had a total of $259.9 million of revolving loans, with an interest rate of 2.46%, outstanding on its credit facility. After giving effect to the amount drawn on its credit facility, approximately $8.1 million of outstanding letters of credit and borrowing limits based on an advance multiple of adjusted EBITDA (as defined in the Credit Agreement), the Company had $377.6 million of capacity and $109.6 million available for borrowing under its credit facility. As of December 31, 2021, the Company had a total of $224.9 million of revolving loans, with an interest rate of 2.10%, outstanding on its credit facility.</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2022, the Company was in compliance with all financial covenants under the Credit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effective income tax rates were 27.9% and 19.0% for the three months ended March 31, 2022 and 2021, respectively.</w:t>
      </w:r>
    </w:p>
    <w:p>
      <w:pPr>
        <w:spacing w:after="0" w:line="117" w:lineRule="exact"/>
        <w:rPr>
          <w:sz w:val="20"/>
          <w:szCs w:val="20"/>
          <w:color w:val="auto"/>
        </w:rPr>
      </w:pPr>
    </w:p>
    <w:p>
      <w:pPr>
        <w:ind w:right="240" w:firstLine="477"/>
        <w:spacing w:after="0" w:line="275" w:lineRule="auto"/>
        <w:rPr>
          <w:sz w:val="20"/>
          <w:szCs w:val="20"/>
          <w:color w:val="auto"/>
        </w:rPr>
      </w:pPr>
      <w:r>
        <w:rPr>
          <w:rFonts w:ascii="Arial" w:cs="Arial" w:eastAsia="Arial" w:hAnsi="Arial"/>
          <w:sz w:val="17"/>
          <w:szCs w:val="17"/>
          <w:color w:val="auto"/>
        </w:rPr>
        <w:t>The difference between our federal statutory and effective income tax rates is principally due to the inclusion of state taxes, non-deductible compensation and an excess tax expense, partially offset by the use of federal employment tax credits. For the three months ended March 31, 2022 and 2021, the effective tax rates were inclusive of an excess tax expense of 2.7% and an excess tax benefit of 7.4%, respectively. The excess tax expense or benefit is a discrete item, related to the vesting of equity shares, which requires the Company to recognize the expense fully in the period. An excess tax expense or benefit results if the Company’s cumulative costs of the award recognized exceed the income tax deduction on the Unaudited Condensed Consolidated Statements of Income, whereas an excess tax benefit results if the Company’s cumulative costs of the award recognized are less than the income tax deduction on the Unaudited Condensed Consolidated Statements of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firstLine="477"/>
        <w:spacing w:after="0" w:line="291" w:lineRule="auto"/>
        <w:rPr>
          <w:sz w:val="20"/>
          <w:szCs w:val="20"/>
          <w:color w:val="auto"/>
        </w:rPr>
      </w:pPr>
      <w:r>
        <w:rPr>
          <w:rFonts w:ascii="Arial" w:cs="Arial" w:eastAsia="Arial" w:hAnsi="Arial"/>
          <w:sz w:val="16"/>
          <w:szCs w:val="16"/>
          <w:color w:val="auto"/>
        </w:rPr>
        <w:t>On June 2, 2021, the Company received a $6.5 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66" w:lineRule="exact"/>
        <w:rPr>
          <w:sz w:val="20"/>
          <w:szCs w:val="20"/>
          <w:color w:val="auto"/>
        </w:rPr>
      </w:pPr>
    </w:p>
    <w:p>
      <w:pPr>
        <w:ind w:right="780" w:firstLine="477"/>
        <w:spacing w:after="0" w:line="308" w:lineRule="auto"/>
        <w:rPr>
          <w:sz w:val="20"/>
          <w:szCs w:val="20"/>
          <w:color w:val="auto"/>
        </w:rPr>
      </w:pPr>
      <w:r>
        <w:rPr>
          <w:rFonts w:ascii="Arial" w:cs="Arial" w:eastAsia="Arial" w:hAnsi="Arial"/>
          <w:sz w:val="17"/>
          <w:szCs w:val="17"/>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ectPr>
          <w:pgSz w:w="11900" w:h="16838" w:orient="portrait"/>
          <w:cols w:equalWidth="0" w:num="1">
            <w:col w:w="11200"/>
          </w:cols>
          <w:pgMar w:left="320" w:top="121" w:right="379" w:bottom="1440" w:gutter="0" w:footer="0" w:header="0"/>
        </w:sectPr>
      </w:pP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right="60" w:firstLine="477"/>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240" w:firstLine="477"/>
        <w:spacing w:after="0" w:line="311" w:lineRule="auto"/>
        <w:rPr>
          <w:sz w:val="20"/>
          <w:szCs w:val="20"/>
          <w:color w:val="auto"/>
        </w:rPr>
      </w:pPr>
      <w:r>
        <w:rPr>
          <w:rFonts w:ascii="Arial" w:cs="Arial" w:eastAsia="Arial" w:hAnsi="Arial"/>
          <w:sz w:val="16"/>
          <w:szCs w:val="16"/>
          <w:color w:val="auto"/>
        </w:rPr>
        <w:t>The tables below set forth information about the Company’s reportable segments for the three months ended March 31, 2022 and 2021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49" w:lineRule="exact"/>
        <w:rPr>
          <w:sz w:val="20"/>
          <w:szCs w:val="20"/>
          <w:color w:val="auto"/>
        </w:rPr>
      </w:pPr>
    </w:p>
    <w:p>
      <w:pPr>
        <w:ind w:right="320" w:firstLine="477"/>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6"/>
              </w:rPr>
              <w:t>For the Three Months Ended March 31, 2022</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93"/>
              <w:spacing w:after="0"/>
              <w:rPr>
                <w:sz w:val="20"/>
                <w:szCs w:val="20"/>
                <w:color w:val="auto"/>
              </w:rPr>
            </w:pPr>
            <w:r>
              <w:rPr>
                <w:rFonts w:ascii="Arial" w:cs="Arial" w:eastAsia="Arial" w:hAnsi="Arial"/>
                <w:sz w:val="13"/>
                <w:szCs w:val="13"/>
                <w:b w:val="1"/>
                <w:bCs w:val="1"/>
                <w:color w:val="auto"/>
                <w:w w:val="96"/>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79"/>
              <w:spacing w:after="0"/>
              <w:rPr>
                <w:sz w:val="20"/>
                <w:szCs w:val="20"/>
                <w:color w:val="auto"/>
              </w:rPr>
            </w:pPr>
            <w:r>
              <w:rPr>
                <w:rFonts w:ascii="Arial" w:cs="Arial" w:eastAsia="Arial" w:hAnsi="Arial"/>
                <w:sz w:val="13"/>
                <w:szCs w:val="13"/>
                <w:b w:val="1"/>
                <w:bCs w:val="1"/>
                <w:color w:val="auto"/>
              </w:rPr>
              <w:t>Hospice</w:t>
            </w:r>
          </w:p>
        </w:tc>
        <w:tc>
          <w:tcPr>
            <w:tcW w:w="240" w:type="dxa"/>
            <w:vAlign w:val="bottom"/>
          </w:tcPr>
          <w:p>
            <w:pPr>
              <w:spacing w:after="0"/>
              <w:rPr>
                <w:sz w:val="13"/>
                <w:szCs w:val="13"/>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5"/>
              </w:rPr>
              <w:t>Home Health</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169,632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47,727</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9,275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226,634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23,441</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6,716</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156,448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24,286</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2,559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11,712</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2,359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29,075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12,574</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6"/>
              </w:rPr>
              <w:t>For the Three Months Ended March 31, 2021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320" w:type="dxa"/>
            <w:vAlign w:val="bottom"/>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5"/>
              </w:rPr>
              <w:t>Home Health</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36,094</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4,340</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205,302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18,596</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2,670</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144,105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17,498</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1,670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8,463</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24,711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9,035</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1"/>
          </w:tcPr>
          <w:p>
            <w:pPr>
              <w:ind w:left="46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568"/>
              <w:spacing w:after="0" w:line="155" w:lineRule="exact"/>
              <w:rPr>
                <w:sz w:val="20"/>
                <w:szCs w:val="20"/>
                <w:color w:val="auto"/>
              </w:rPr>
            </w:pPr>
            <w:r>
              <w:rPr>
                <w:rFonts w:ascii="Arial" w:cs="Arial" w:eastAsia="Arial" w:hAnsi="Arial"/>
                <w:sz w:val="14"/>
                <w:szCs w:val="14"/>
                <w:b w:val="1"/>
                <w:bCs w:val="1"/>
                <w:color w:val="auto"/>
                <w:w w:val="83"/>
              </w:rPr>
              <w:t>2022</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41,111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11,751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Payors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months ended March 31, 2022 and 2021, the Company’s revenue by payor type was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Personal Care Segment</w:t>
            </w: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1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77,390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Commercial insurance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personal care segment net service revenues</w:t>
            </w:r>
          </w:p>
        </w:tc>
        <w:tc>
          <w:tcPr>
            <w:tcW w:w="114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169,632</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Hospice Segment</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5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Commercial insurance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hospice segment net service revenues</w:t>
            </w:r>
          </w:p>
        </w:tc>
        <w:tc>
          <w:tcPr>
            <w:tcW w:w="1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47,727</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Home Health Segment</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6,812</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home health segment net service revenues</w:t>
            </w:r>
          </w:p>
        </w:tc>
        <w:tc>
          <w:tcPr>
            <w:tcW w:w="114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520" w:type="dxa"/>
            <w:vAlign w:val="bottom"/>
          </w:tcPr>
          <w:p>
            <w:pPr>
              <w:spacing w:after="0"/>
              <w:rPr>
                <w:sz w:val="24"/>
                <w:szCs w:val="24"/>
                <w:color w:val="auto"/>
              </w:rPr>
            </w:pPr>
          </w:p>
        </w:tc>
        <w:tc>
          <w:tcPr>
            <w:tcW w:w="1340" w:type="dxa"/>
            <w:vAlign w:val="bottom"/>
            <w:gridSpan w:val="2"/>
          </w:tcPr>
          <w:p>
            <w:pPr>
              <w:jc w:val="right"/>
              <w:ind w:right="56"/>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260" w:firstLine="477"/>
        <w:spacing w:after="0" w:line="308" w:lineRule="auto"/>
        <w:rPr>
          <w:sz w:val="20"/>
          <w:szCs w:val="20"/>
          <w:color w:val="auto"/>
        </w:rPr>
      </w:pPr>
      <w:r>
        <w:rPr>
          <w:rFonts w:ascii="Arial" w:cs="Arial" w:eastAsia="Arial" w:hAnsi="Arial"/>
          <w:sz w:val="17"/>
          <w:szCs w:val="17"/>
          <w:color w:val="auto"/>
        </w:rPr>
        <w:t>The Company derives a significant amount of its revenue from its operations in Illinois, New Mexico and New York. The percentages of segment revenue for each of these significant states for the three months ended March 31, 2022 and 2021 were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Personal Care Segment</w:t>
            </w:r>
          </w:p>
        </w:tc>
        <w:tc>
          <w:tcPr>
            <w:tcW w:w="2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Illinois</w:t>
            </w:r>
          </w:p>
        </w:tc>
        <w:tc>
          <w:tcPr>
            <w:tcW w:w="20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73,385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25,440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23,593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2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 states</w:t>
            </w:r>
          </w:p>
        </w:tc>
        <w:tc>
          <w:tcPr>
            <w:tcW w:w="20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0"/>
              </w:rPr>
              <w:t>Total personal care segment net service revenues</w:t>
            </w:r>
          </w:p>
        </w:tc>
        <w:tc>
          <w:tcPr>
            <w:tcW w:w="2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169,632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800" w:type="dxa"/>
            <w:vAlign w:val="bottom"/>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120" w:right="20" w:hanging="329"/>
        <w:spacing w:after="0" w:line="266"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but we have not yet received a response to the formal protest. The Company continues to consider other arrangements and to pursue our protest of the award. The New York fiscal year 2023 state budget, passed in April 2022, amends the current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Under this provision, the Company would be allowed to continue to contract with all of its current payors for CDPAP services. The Company is currently assessing the future of its participation in this program. Given the status of the program, the Company has suspended materially all of its new patient admissions under the New York CDPAP program.</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Hospice Segment</w:t>
            </w: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3"/>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3"/>
              </w:rPr>
              <w:t>Amount</w:t>
            </w:r>
          </w:p>
        </w:tc>
        <w:tc>
          <w:tcPr>
            <w:tcW w:w="1040" w:type="dxa"/>
            <w:vAlign w:val="bottom"/>
          </w:tcPr>
          <w:p>
            <w:pPr>
              <w:jc w:val="center"/>
              <w:ind w:right="18"/>
              <w:spacing w:after="0"/>
              <w:rPr>
                <w:sz w:val="20"/>
                <w:szCs w:val="20"/>
                <w:color w:val="auto"/>
              </w:rPr>
            </w:pPr>
            <w:r>
              <w:rPr>
                <w:rFonts w:ascii="Arial" w:cs="Arial" w:eastAsia="Arial" w:hAnsi="Arial"/>
                <w:sz w:val="13"/>
                <w:szCs w:val="13"/>
                <w:b w:val="1"/>
                <w:bCs w:val="1"/>
                <w:color w:val="auto"/>
                <w:w w:val="93"/>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(in Thousands)</w:t>
            </w:r>
          </w:p>
        </w:tc>
        <w:tc>
          <w:tcPr>
            <w:tcW w:w="1040" w:type="dxa"/>
            <w:vAlign w:val="bottom"/>
          </w:tcPr>
          <w:p>
            <w:pPr>
              <w:jc w:val="center"/>
              <w:ind w:right="18"/>
              <w:spacing w:after="0"/>
              <w:rPr>
                <w:sz w:val="20"/>
                <w:szCs w:val="20"/>
                <w:color w:val="auto"/>
              </w:rPr>
            </w:pPr>
            <w:r>
              <w:rPr>
                <w:rFonts w:ascii="Arial" w:cs="Arial" w:eastAsia="Arial" w:hAnsi="Arial"/>
                <w:sz w:val="13"/>
                <w:szCs w:val="13"/>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Ohio</w:t>
            </w:r>
          </w:p>
        </w:tc>
        <w:tc>
          <w:tcPr>
            <w:tcW w:w="20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16,328</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(2)</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2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 states</w:t>
            </w:r>
          </w:p>
        </w:tc>
        <w:tc>
          <w:tcPr>
            <w:tcW w:w="2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hospice segment net service revenues</w:t>
            </w:r>
          </w:p>
        </w:tc>
        <w:tc>
          <w:tcPr>
            <w:tcW w:w="20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47,727</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00" w:type="dxa"/>
            <w:vAlign w:val="bottom"/>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0"/>
        <w:spacing w:after="0"/>
        <w:tabs>
          <w:tab w:leader="none" w:pos="11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With the JourneyCare acquisition, the Company expanded its hospice services in the state of Illinois.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Home Health Segment</w:t>
            </w:r>
          </w:p>
        </w:tc>
        <w:tc>
          <w:tcPr>
            <w:tcW w:w="2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0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1"/>
              <w:spacing w:after="0" w:line="133" w:lineRule="exact"/>
              <w:rPr>
                <w:sz w:val="20"/>
                <w:szCs w:val="20"/>
                <w:color w:val="auto"/>
              </w:rPr>
            </w:pPr>
            <w:r>
              <w:rPr>
                <w:rFonts w:ascii="Arial" w:cs="Arial" w:eastAsia="Arial" w:hAnsi="Arial"/>
                <w:sz w:val="13"/>
                <w:szCs w:val="13"/>
                <w:b w:val="1"/>
                <w:bCs w:val="1"/>
                <w:color w:val="auto"/>
                <w:w w:val="93"/>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3"/>
              </w:rPr>
              <w:t>Amount</w:t>
            </w:r>
          </w:p>
        </w:tc>
        <w:tc>
          <w:tcPr>
            <w:tcW w:w="100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2"/>
              </w:rPr>
              <w:t>(in Thousands)</w:t>
            </w:r>
          </w:p>
        </w:tc>
        <w:tc>
          <w:tcPr>
            <w:tcW w:w="1000" w:type="dxa"/>
            <w:vAlign w:val="bottom"/>
          </w:tcPr>
          <w:p>
            <w:pPr>
              <w:jc w:val="center"/>
              <w:ind w:right="1"/>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20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7,509</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42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(3)</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2"/>
              </w:rPr>
              <w:t>Total home health segment net service revenues</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800" w:type="dxa"/>
            <w:vAlign w:val="bottom"/>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0"/>
        <w:spacing w:after="0"/>
        <w:tabs>
          <w:tab w:leader="none" w:pos="110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With the acquisition of Summit Home Health, LLC (“Summit”) on October 1, 2021, the Company expanded its home health services in the state of Illinois</w:t>
      </w:r>
      <w:r>
        <w:rPr>
          <w:rFonts w:ascii="Arial" w:cs="Arial" w:eastAsia="Arial" w:hAnsi="Arial"/>
          <w:sz w:val="15"/>
          <w:szCs w:val="15"/>
          <w:color w:val="auto"/>
        </w:rPr>
        <w:t>.</w:t>
      </w:r>
    </w:p>
    <w:p>
      <w:pPr>
        <w:spacing w:after="0" w:line="315"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A substantial portion of the Company’s revenue and accounts receivable are derived from services performed for federal, state and local governmental agencies. We derive a significant amount of our net service revenues in Illinois, which represented 42.4%, and 35.8% of our net service revenues for the three months ended March 31, 2022, and 2021, respectively. The Illinois Department on Aging, the largest payor program for the Company’s Illinois personal care operations, accounted for 20.7% and 20.4% of the Company’s net service revenues for the three months ended March 31, 2022 and 2021, respectively.</w:t>
      </w:r>
    </w:p>
    <w:p>
      <w:pPr>
        <w:spacing w:after="0" w:line="188" w:lineRule="exact"/>
        <w:rPr>
          <w:sz w:val="20"/>
          <w:szCs w:val="20"/>
          <w:color w:val="auto"/>
        </w:rPr>
      </w:pPr>
    </w:p>
    <w:p>
      <w:pPr>
        <w:ind w:right="200" w:firstLine="477"/>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16.1% of the Company’s net accounts receivable at both March 31, 2022 and December 31,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anticipated impact to our business with respect to developments related to the COVID-19 pandemic, including, without limitation, those related to the length and severity of the pandemic, as well as the timing, availability and acceptance of effective medical treatments, vaccines and booster shots; the spread of potentially more contagious and/or virulent forms of the virus; the pandemic’s impact on our operations, reimbursement and our consumer population; measures we are taking to respond to the pandemic; the impact of government regulation, stimulus and relief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any other stimulus or relief legislation, along with the related uncertainties regarding such measures and any future measures related to COVID-19; increased expenses related to personal protective equipment (“PPE”), labor, supply chain, or other expenditures; workforce disruptions, including shortages and increased labor expenses, associated with competitive labor market conditions and the impact of quarantines; the impact of vaccine mandates on the workforce; and supply shortages and disruptions;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including economic and business conditions resulting from the COVID-19 pandemic, and deficit spending by federal and state governments; cost containment initiatives undertaken by federal,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ability to prevent cyber-attacks or security breaches to protect our information technology systems and confidential consumer data;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 the impact of public health emergencies, including the COVID-19 pandemic;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2021, filed with the SEC on February 25, 2022.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77"/>
        <w:spacing w:after="0" w:line="301" w:lineRule="auto"/>
        <w:rPr>
          <w:sz w:val="20"/>
          <w:szCs w:val="20"/>
          <w:color w:val="auto"/>
        </w:rPr>
      </w:pPr>
      <w:r>
        <w:rPr>
          <w:rFonts w:ascii="Arial" w:cs="Arial" w:eastAsia="Arial" w:hAnsi="Arial"/>
          <w:sz w:val="16"/>
          <w:szCs w:val="16"/>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35.7% and 37.9% of our net service revenues during the three months ended March 31, 2022 and 2021, respectively.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certain consolidated financial results for the three months ended March 31, 2022 and 2021 is provided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ind w:left="46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720" w:type="dxa"/>
            <w:vAlign w:val="bottom"/>
            <w:vMerge w:val="restart"/>
          </w:tcPr>
          <w:p>
            <w:pPr>
              <w:spacing w:after="0"/>
              <w:rPr>
                <w:sz w:val="20"/>
                <w:szCs w:val="20"/>
                <w:color w:val="auto"/>
              </w:rPr>
            </w:pPr>
            <w:r>
              <w:rPr>
                <w:rFonts w:ascii="Arial" w:cs="Arial" w:eastAsia="Arial" w:hAnsi="Arial"/>
                <w:sz w:val="18"/>
                <w:szCs w:val="18"/>
                <w:color w:val="auto"/>
              </w:rPr>
              <w:t>Net service revenues by segment: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(Amounts 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Personal care</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169,632</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Hospice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47,727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health</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service revenue</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226,634</w:t>
            </w:r>
          </w:p>
        </w:tc>
        <w:tc>
          <w:tcPr>
            <w:tcW w:w="28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205,302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8,470</w:t>
            </w:r>
          </w:p>
        </w:tc>
        <w:tc>
          <w:tcPr>
            <w:tcW w:w="28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20" w:firstLine="477"/>
        <w:spacing w:after="0" w:line="263" w:lineRule="auto"/>
        <w:rPr>
          <w:sz w:val="20"/>
          <w:szCs w:val="20"/>
          <w:color w:val="auto"/>
        </w:rPr>
      </w:pPr>
      <w:r>
        <w:rPr>
          <w:rFonts w:ascii="Arial" w:cs="Arial" w:eastAsia="Arial" w:hAnsi="Arial"/>
          <w:sz w:val="18"/>
          <w:szCs w:val="18"/>
          <w:color w:val="auto"/>
        </w:rPr>
        <w:t>As of March 31, 2022, we provided our services in 22 states through 207 offices. We served approximately 53,000 and 50,000 discrete individuals during the three months ended March 31, 2022 and 2021, respectively. Our personal care segment also includes staffing services, with clients including assisted living facilities, nursing homes and hospice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17" w:lineRule="exact"/>
        <w:rPr>
          <w:sz w:val="20"/>
          <w:szCs w:val="20"/>
          <w:color w:val="auto"/>
        </w:rPr>
      </w:pPr>
    </w:p>
    <w:p>
      <w:pPr>
        <w:ind w:right="160" w:firstLine="477"/>
        <w:spacing w:after="0" w:line="257" w:lineRule="auto"/>
        <w:rPr>
          <w:sz w:val="20"/>
          <w:szCs w:val="20"/>
          <w:color w:val="auto"/>
        </w:rPr>
      </w:pPr>
      <w:r>
        <w:rPr>
          <w:rFonts w:ascii="Arial" w:cs="Arial" w:eastAsia="Arial" w:hAnsi="Arial"/>
          <w:sz w:val="18"/>
          <w:szCs w:val="18"/>
          <w:color w:val="auto"/>
        </w:rPr>
        <w:t>Although the United States has recently experienced a moderation of infection and related hospitalization rates, there continues to be a significant number of COVID-19 cases and deaths in the United States and throughout the world. Moreover, while economic conditions in the United States have continued to improve in the first quarter of 2022 compared to earlier pandemic levels, inflationary pressures, competitive labor market conditions and supply chain disruptions continue to impact the U.S. economy. The long-term trends of new cases and deaths in the United States and the future impact of the pandemic continues to be unknown.</w:t>
      </w:r>
    </w:p>
    <w:p>
      <w:pPr>
        <w:spacing w:after="0" w:line="188" w:lineRule="exact"/>
        <w:rPr>
          <w:sz w:val="20"/>
          <w:szCs w:val="20"/>
          <w:color w:val="auto"/>
        </w:rPr>
      </w:pPr>
    </w:p>
    <w:p>
      <w:pPr>
        <w:ind w:right="140" w:firstLine="476"/>
        <w:spacing w:after="0" w:line="255" w:lineRule="auto"/>
        <w:rPr>
          <w:sz w:val="20"/>
          <w:szCs w:val="20"/>
          <w:color w:val="auto"/>
        </w:rPr>
      </w:pPr>
      <w:r>
        <w:rPr>
          <w:rFonts w:ascii="Arial" w:cs="Arial" w:eastAsia="Arial" w:hAnsi="Arial"/>
          <w:sz w:val="18"/>
          <w:szCs w:val="18"/>
          <w:color w:val="auto"/>
        </w:rPr>
        <w:t>CMS issued an interim rule in November 2021 requiring COVID-19 vaccinations for Medicare- and Medicaid-certified providers and suppliers, including hospices and home health agencies, which covers clinical staff, individuals providing services under arrangements, volunteers and staff who are not involved in direct patient care. Additionally, some states have implemented, or may implement in the future, vaccine mandates with respect to healthcare personnel. It is currently difficult to predict the impact that any of these vaccine mandates may have on us or the extent to which these vaccine mandates will ultimately become effective. However, we expect that these rules, to the extent that they become effective, will impact our home health and hospice segments.</w:t>
      </w:r>
    </w:p>
    <w:p>
      <w:pPr>
        <w:spacing w:after="0" w:line="192" w:lineRule="exact"/>
        <w:rPr>
          <w:sz w:val="20"/>
          <w:szCs w:val="20"/>
          <w:color w:val="auto"/>
        </w:rPr>
      </w:pPr>
    </w:p>
    <w:p>
      <w:pPr>
        <w:ind w:right="80" w:firstLine="477"/>
        <w:spacing w:after="0" w:line="254" w:lineRule="auto"/>
        <w:rPr>
          <w:sz w:val="20"/>
          <w:szCs w:val="20"/>
          <w:color w:val="auto"/>
        </w:rPr>
      </w:pPr>
      <w:r>
        <w:rPr>
          <w:rFonts w:ascii="Arial" w:cs="Arial" w:eastAsia="Arial" w:hAnsi="Arial"/>
          <w:sz w:val="18"/>
          <w:szCs w:val="18"/>
          <w:color w:val="auto"/>
        </w:rPr>
        <w:t>We are monitoring developments as information becomes available, including with respect to national, state and local vaccine mandates, to access the possible impact on our workforce in personal care, home health, hospice and our corporate support centers. We have developed a multistep program in order to strongly encourage our employees to get the COVID-19 vaccine, which included offering a vaccine stipend and incentives as well as creating educational and motivational leadership communication. These educational and motivational leadership communications are ongoing. We are actively engaged in an effort to track primary vaccination rates, which include the first and second doses, among caregivers and to continue to improve those rates. However, it is difficult to predict the future impact of the pandemic, including the impact of the President’s National COVID-19 Preparedness Plan and the implementation of existing and potential additional federal, state and local vaccine mandates on economic conditions in the United States and our business at this time.</w:t>
      </w:r>
    </w:p>
    <w:p>
      <w:pPr>
        <w:spacing w:after="0" w:line="192"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For the three months ended March 31, 2022 and 2021, COVID-19-related expenses in our personal care segment were approximately $1.7 million and $0.9 million, respectively, and are included in cost of service revenues on the Consolidated Statements of Income. Additionally, we recognized revenue of $1.4 million and $1.8 million attributable to temporary rate increases from certain payors in our personal care segment for the three months ended March 31, 2022 and 2021, respectively.</w:t>
      </w:r>
    </w:p>
    <w:p>
      <w:pPr>
        <w:spacing w:after="0" w:line="187" w:lineRule="exact"/>
        <w:rPr>
          <w:sz w:val="20"/>
          <w:szCs w:val="20"/>
          <w:color w:val="auto"/>
        </w:rPr>
      </w:pPr>
    </w:p>
    <w:p>
      <w:pPr>
        <w:ind w:right="260" w:firstLine="477"/>
        <w:spacing w:after="0" w:line="301" w:lineRule="auto"/>
        <w:rPr>
          <w:sz w:val="20"/>
          <w:szCs w:val="20"/>
          <w:color w:val="auto"/>
        </w:rPr>
      </w:pPr>
      <w:r>
        <w:rPr>
          <w:rFonts w:ascii="Arial" w:cs="Arial" w:eastAsia="Arial" w:hAnsi="Arial"/>
          <w:sz w:val="16"/>
          <w:szCs w:val="16"/>
          <w:color w:val="auto"/>
        </w:rPr>
        <w:t>As of March 31, 2022, the Company deferred the recognition of $5.9 million of payments received from payors for COVID-19 reimbursement, included within accrued expenses, which will be recognized as we incur specific expenses related to the pandemic, such as expenses related to acquiring additional PPE and COVID-19 related paid time off, or will be returned to the extent COVID-19-related expenses are not incurred. We are not able to reasonably predict the total costs we will incur related to the COVID-19 pandemic, and such costs could be substantial.</w:t>
      </w:r>
    </w:p>
    <w:p>
      <w:pPr>
        <w:spacing w:after="0" w:line="157" w:lineRule="exact"/>
        <w:rPr>
          <w:sz w:val="20"/>
          <w:szCs w:val="20"/>
          <w:color w:val="auto"/>
        </w:rPr>
      </w:pPr>
    </w:p>
    <w:p>
      <w:pPr>
        <w:ind w:right="20" w:firstLine="477"/>
        <w:spacing w:after="0" w:line="271" w:lineRule="auto"/>
        <w:rPr>
          <w:sz w:val="20"/>
          <w:szCs w:val="20"/>
          <w:color w:val="auto"/>
        </w:rPr>
      </w:pPr>
      <w:r>
        <w:rPr>
          <w:rFonts w:ascii="Arial" w:cs="Arial" w:eastAsia="Arial" w:hAnsi="Arial"/>
          <w:sz w:val="17"/>
          <w:szCs w:val="17"/>
          <w:color w:val="auto"/>
        </w:rPr>
        <w:t>Federal and state agencies continue to issue regulations and guidance related to the COVID-19 pandemic, and the public health situation continues to evolve, and, therefore, we cannot currently predict with certainty the extent to which our business, results of operations, financial condition or liquidity will ultimately be impacted by the pandemic. We will continue to assess the impact and consequences of the COVID-19 pandemic and government responses to the pandemic, including the implementation of the CARES Act, the PPPHCE Act, the CAA, the ARPA, other stimulus and relief legislation, the President’s National COVID-19 Preparedness Plan, and existing and potential additional federal, state and local vaccine mandates,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7"/>
          <w:szCs w:val="17"/>
          <w:i w:val="1"/>
          <w:iCs w:val="1"/>
          <w:color w:val="auto"/>
        </w:rPr>
        <w:t>The COVID-19 pandemic could</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negatively affect our operations, business and financial condition, and our liquidity could also be negatively impacted, particularly if the U.S. economic and/or public health conditions deteriorate in connection with the pandemic</w:t>
      </w:r>
      <w:r>
        <w:rPr>
          <w:rFonts w:ascii="Arial" w:cs="Arial" w:eastAsia="Arial" w:hAnsi="Arial"/>
          <w:sz w:val="17"/>
          <w:szCs w:val="17"/>
          <w:color w:val="auto"/>
        </w:rPr>
        <w:t>” of our Annual Report on Form 10-K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SEC on February 25, 2022.</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pandemic relief.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w:t>
      </w:r>
    </w:p>
    <w:p>
      <w:pPr>
        <w:spacing w:after="0" w:line="117" w:lineRule="exact"/>
        <w:rPr>
          <w:sz w:val="20"/>
          <w:szCs w:val="20"/>
          <w:color w:val="auto"/>
        </w:rPr>
      </w:pPr>
    </w:p>
    <w:p>
      <w:pPr>
        <w:ind w:right="100" w:firstLine="477"/>
        <w:spacing w:after="0" w:line="257" w:lineRule="auto"/>
        <w:rPr>
          <w:sz w:val="20"/>
          <w:szCs w:val="20"/>
          <w:color w:val="auto"/>
        </w:rPr>
      </w:pPr>
      <w:r>
        <w:rPr>
          <w:rFonts w:ascii="Arial" w:cs="Arial" w:eastAsia="Arial" w:hAnsi="Arial"/>
          <w:sz w:val="18"/>
          <w:szCs w:val="18"/>
          <w:color w:val="auto"/>
        </w:rPr>
        <w:t>As the labor market has tightened and unemployment has declined in comparison to earlier levels, the competition for new caregivers, including skilled healthcare staff, has increased significantly. To the extent that we continue to experience a shortage of caregivers, it may hinder our ability to fully meet the continuing demand for both our non-clinical and clinical services. The increased staffing challenges, including quarantine requirements related to the Omicron surge, have resulted in increased labor cost to satisfy our staffing requirements during the three months ended March 31, 2022 compared to 2021 in our non-clinical and clinical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60" w:firstLine="477"/>
        <w:spacing w:after="0" w:line="263"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84"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with funding provided by our revolving credit facility. With the purchase of Armada, we expanded our home health and hospice services in the state of New Mexico.</w:t>
      </w:r>
    </w:p>
    <w:p>
      <w:pPr>
        <w:spacing w:after="0" w:line="187" w:lineRule="exact"/>
        <w:rPr>
          <w:sz w:val="20"/>
          <w:szCs w:val="20"/>
          <w:color w:val="auto"/>
        </w:rPr>
      </w:pPr>
    </w:p>
    <w:p>
      <w:pPr>
        <w:ind w:right="20" w:firstLine="477"/>
        <w:spacing w:after="0" w:line="277" w:lineRule="auto"/>
        <w:rPr>
          <w:sz w:val="20"/>
          <w:szCs w:val="20"/>
          <w:color w:val="auto"/>
        </w:rPr>
      </w:pPr>
      <w:r>
        <w:rPr>
          <w:rFonts w:ascii="Arial" w:cs="Arial" w:eastAsia="Arial" w:hAnsi="Arial"/>
          <w:sz w:val="18"/>
          <w:szCs w:val="18"/>
          <w:color w:val="auto"/>
        </w:rPr>
        <w:t>On October 1, 2021, we completed the acquisition of Summit Home Health, LLC (“Summit”) for approximately $8.1 million, with funding provided by available cash. With the purchase of Summit, we added clinical services in Illinois to our home health segment.</w:t>
      </w:r>
    </w:p>
    <w:p>
      <w:pPr>
        <w:spacing w:after="0" w:line="170" w:lineRule="exact"/>
        <w:rPr>
          <w:sz w:val="20"/>
          <w:szCs w:val="20"/>
          <w:color w:val="auto"/>
        </w:rPr>
      </w:pPr>
    </w:p>
    <w:p>
      <w:pPr>
        <w:ind w:right="300" w:firstLine="477"/>
        <w:spacing w:after="0" w:line="259" w:lineRule="auto"/>
        <w:rPr>
          <w:sz w:val="20"/>
          <w:szCs w:val="20"/>
          <w:color w:val="auto"/>
        </w:rPr>
      </w:pPr>
      <w:r>
        <w:rPr>
          <w:rFonts w:ascii="Arial" w:cs="Arial" w:eastAsia="Arial" w:hAnsi="Arial"/>
          <w:sz w:val="18"/>
          <w:szCs w:val="18"/>
          <w:color w:val="auto"/>
        </w:rPr>
        <w:t>On February 1, 2022, we completed the acquisition of the operations of JourneyCare, Inc. (“JourneyCare”) for approximately $85.0 million, including the amount of acquired excess cash held by JourneyCare at the closing of the acquisition (approximately $0.5 million), with funding provided through a combination of a $35.0 million draw under the revolving credit facility and available cash on hand. With the JourneyCare acquisition, the Company adds hospice services in Illinois.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240" w:firstLine="477"/>
        <w:spacing w:after="0" w:line="259" w:lineRule="auto"/>
        <w:rPr>
          <w:sz w:val="20"/>
          <w:szCs w:val="20"/>
          <w:color w:val="auto"/>
        </w:rPr>
      </w:pPr>
      <w:r>
        <w:rPr>
          <w:rFonts w:ascii="Arial" w:cs="Arial" w:eastAsia="Arial" w:hAnsi="Arial"/>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months ended March 31, 2022 and 2021, our revenue by payor and significant states by segment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Personal Care Segment</w:t>
            </w:r>
          </w:p>
        </w:tc>
        <w:tc>
          <w:tcPr>
            <w:tcW w:w="1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77,390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Commercial insurance</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personal care segment net service revenues</w:t>
            </w:r>
          </w:p>
        </w:tc>
        <w:tc>
          <w:tcPr>
            <w:tcW w:w="10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169,632</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Illinois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New Mexico</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25,440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personal care segment net service revenues</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169,632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1791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1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suspended materially all of its new patient admissions under the New York CDPAP program as discussed below.</w:t>
      </w:r>
    </w:p>
    <w:p>
      <w:pPr>
        <w:spacing w:after="0" w:line="25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Hospice Segment</w:t>
            </w:r>
          </w:p>
        </w:tc>
        <w:tc>
          <w:tcPr>
            <w:tcW w:w="1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43,485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Commercial insurance</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hospice segment net service revenues</w:t>
            </w:r>
          </w:p>
        </w:tc>
        <w:tc>
          <w:tcPr>
            <w:tcW w:w="1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47,727</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Ohio</w:t>
            </w:r>
          </w:p>
        </w:tc>
        <w:tc>
          <w:tcPr>
            <w:tcW w:w="1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16,328</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40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14,114</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(2)</w:t>
            </w: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New Mexico</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12,750</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hospice segment net service revenues</w:t>
            </w:r>
          </w:p>
        </w:tc>
        <w:tc>
          <w:tcPr>
            <w:tcW w:w="126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47,727</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17913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19"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With the JourneyCare acquisition, the Company expanded its hospice services in the state of Illinois.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Home Health Segment</w:t>
            </w: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home health segment net service revenues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home health segment net service revenues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93980</wp:posOffset>
            </wp:positionV>
            <wp:extent cx="1791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32"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With the acquisition of Summit, the Company expanded its home health services in the state of Illinois.</w:t>
      </w:r>
    </w:p>
    <w:p>
      <w:pPr>
        <w:spacing w:after="0" w:line="311" w:lineRule="exact"/>
        <w:rPr>
          <w:sz w:val="20"/>
          <w:szCs w:val="20"/>
          <w:color w:val="auto"/>
        </w:rPr>
      </w:pPr>
    </w:p>
    <w:p>
      <w:pPr>
        <w:ind w:right="40" w:firstLine="477"/>
        <w:spacing w:after="0" w:line="259" w:lineRule="auto"/>
        <w:rPr>
          <w:sz w:val="20"/>
          <w:szCs w:val="20"/>
          <w:color w:val="auto"/>
        </w:rPr>
      </w:pPr>
      <w:r>
        <w:rPr>
          <w:rFonts w:ascii="Arial" w:cs="Arial" w:eastAsia="Arial" w:hAnsi="Arial"/>
          <w:sz w:val="18"/>
          <w:szCs w:val="18"/>
          <w:color w:val="auto"/>
        </w:rPr>
        <w:t>We derive a significant amount of our net service revenues in Illinois, which represented 42.4% and 35.8% of our net service revenues for the three months ended March 31, 2022 and 2021, respectively. A significant amount of our net service revenues are derived from one payor, the Illinois Department on Aging, the largest payor program for our Illinois personal care operations, which accounted for 20.7% and 20.4% of our net service revenues for the three months ended March 31, 2022 and 2021,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Reimbursement Rates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Illinois</w:t>
      </w:r>
    </w:p>
    <w:p>
      <w:pPr>
        <w:spacing w:after="0" w:line="117" w:lineRule="exact"/>
        <w:rPr>
          <w:sz w:val="20"/>
          <w:szCs w:val="20"/>
          <w:color w:val="auto"/>
        </w:rPr>
      </w:pPr>
    </w:p>
    <w:p>
      <w:pPr>
        <w:ind w:right="120" w:firstLine="477"/>
        <w:spacing w:after="0" w:line="263"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and to $15 per hour beginning July 1, 2021. In subsequent years, minimum wage will be increased through a cost of living adjustment capped at 2.5%.</w:t>
      </w:r>
    </w:p>
    <w:p>
      <w:pPr>
        <w:spacing w:after="0" w:line="184" w:lineRule="exact"/>
        <w:rPr>
          <w:sz w:val="20"/>
          <w:szCs w:val="20"/>
          <w:color w:val="auto"/>
        </w:rPr>
      </w:pPr>
    </w:p>
    <w:p>
      <w:pPr>
        <w:jc w:val="both"/>
        <w:ind w:right="80" w:firstLine="477"/>
        <w:spacing w:after="0" w:line="259" w:lineRule="auto"/>
        <w:rPr>
          <w:sz w:val="20"/>
          <w:szCs w:val="20"/>
          <w:color w:val="auto"/>
        </w:rPr>
      </w:pPr>
      <w:r>
        <w:rPr>
          <w:rFonts w:ascii="Arial" w:cs="Arial" w:eastAsia="Arial" w:hAnsi="Arial"/>
          <w:sz w:val="18"/>
          <w:szCs w:val="18"/>
          <w:color w:val="auto"/>
        </w:rPr>
        <w:t>Effective January 1, 2021, the state of Illinois fiscal year 2021 budget increased hourly in-home care rates through the Community Care Program by 7.1%, to $23.40 from $21.84. However, the rate increase was delayed and did not take effect until April 1, 2021, as a result of the failure of the November 2020 referendum to revise the Illinois income tax code. The Company recognized $2.0 million related to the rate increase for the year ended December 31, 2021 which is expected to be received during the second quarter of 2022.</w:t>
      </w:r>
    </w:p>
    <w:p>
      <w:pPr>
        <w:spacing w:after="0" w:line="187"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Effective January 1, 2022, the Illinois fiscal year 2022 budget increased hourly in-home care rates to $24.96. On July 12, 2021, in connection with the temporary increase in federal funding for Medicaid home and community-based services authorized by the ARPA, Illinois submitted its Initial Spending Plan and Narrative to CMS for approval. Included in that plan is the acceleration of the rate increase to $24.96 from January 1, 2022, to November 1, 2021. The Company recognized $3.6 million related to the rate increase for the year ended December 31, 2021 which is expected to be received during the second quarter of 2022. CMS granted partial approval of the Illinois plan but highlighted that the state will need to submit an amendment for certain Medicaid waiver programs with regard to any rate change methodology. CMS has approved the waiver amendment to increase rates effective November 1, 2021.</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firstLine="477"/>
        <w:spacing w:after="0" w:line="277" w:lineRule="auto"/>
        <w:rPr>
          <w:sz w:val="20"/>
          <w:szCs w:val="20"/>
          <w:color w:val="auto"/>
        </w:rPr>
      </w:pPr>
      <w:r>
        <w:rPr>
          <w:rFonts w:ascii="Arial" w:cs="Arial" w:eastAsia="Arial" w:hAnsi="Arial"/>
          <w:sz w:val="18"/>
          <w:szCs w:val="18"/>
          <w:color w:val="auto"/>
        </w:rPr>
        <w:t>The Illinois fiscal year 2023 budget was signed into law by the Governor on April 19, 2022 and includes a $0.70 rate increase effective January 1, 2023. The Chicago minimum wage is projected to increase by 2.5% effective July 1, 2022.</w:t>
      </w:r>
    </w:p>
    <w:p>
      <w:pPr>
        <w:spacing w:after="0" w:line="170" w:lineRule="exact"/>
        <w:rPr>
          <w:sz w:val="20"/>
          <w:szCs w:val="20"/>
          <w:color w:val="auto"/>
        </w:rPr>
      </w:pPr>
    </w:p>
    <w:p>
      <w:pPr>
        <w:ind w:right="260" w:firstLine="476"/>
        <w:spacing w:after="0" w:line="263" w:lineRule="auto"/>
        <w:rPr>
          <w:sz w:val="20"/>
          <w:szCs w:val="20"/>
          <w:color w:val="auto"/>
        </w:rPr>
      </w:pPr>
      <w:r>
        <w:rPr>
          <w:rFonts w:ascii="Arial" w:cs="Arial" w:eastAsia="Arial" w:hAnsi="Arial"/>
          <w:sz w:val="18"/>
          <w:szCs w:val="18"/>
          <w:color w:val="auto"/>
        </w:rPr>
        <w:t>Our business will benefit from the rate increases noted above as planned for 2023, but there is no assurance that there will be additional offsetting rate increases in Illinois for fiscal years beyond fiscal year 2023,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firstLine="477"/>
        <w:spacing w:after="0" w:line="272" w:lineRule="auto"/>
        <w:rPr>
          <w:sz w:val="20"/>
          <w:szCs w:val="20"/>
          <w:color w:val="auto"/>
        </w:rPr>
      </w:pPr>
      <w:r>
        <w:rPr>
          <w:rFonts w:ascii="Arial" w:cs="Arial" w:eastAsia="Arial" w:hAnsi="Arial"/>
          <w:sz w:val="17"/>
          <w:szCs w:val="17"/>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77" w:lineRule="exact"/>
        <w:rPr>
          <w:sz w:val="20"/>
          <w:szCs w:val="20"/>
          <w:color w:val="auto"/>
        </w:rPr>
      </w:pPr>
    </w:p>
    <w:p>
      <w:pPr>
        <w:ind w:right="40" w:firstLine="477"/>
        <w:spacing w:after="0" w:line="293" w:lineRule="auto"/>
        <w:rPr>
          <w:sz w:val="20"/>
          <w:szCs w:val="20"/>
          <w:color w:val="auto"/>
        </w:rPr>
      </w:pPr>
      <w:r>
        <w:rPr>
          <w:rFonts w:ascii="Arial" w:cs="Arial" w:eastAsia="Arial" w:hAnsi="Arial"/>
          <w:sz w:val="16"/>
          <w:szCs w:val="16"/>
          <w:color w:val="auto"/>
        </w:rPr>
        <w:t>CMS updates the HHPPS payment rates each calendar year. For calendar year 2022, CMS increased HHPPS rates by an estimated 3.2%, which reflects a 3.1% market basket update and a productivity adjustment of negative 0.5 percentage points, among other changes. Home health providers that do not comply with quality data reporting requirements are subject to a 2-percentage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64"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Effective January 1, 2022, CMS began implementing a nationwide expansion of the Home Health Value-Based Purchasing (“HHVBP”) Model.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88" w:lineRule="exact"/>
        <w:rPr>
          <w:sz w:val="20"/>
          <w:szCs w:val="20"/>
          <w:color w:val="auto"/>
        </w:rPr>
      </w:pPr>
    </w:p>
    <w:p>
      <w:pPr>
        <w:ind w:firstLine="477"/>
        <w:spacing w:after="0" w:line="254" w:lineRule="auto"/>
        <w:rPr>
          <w:sz w:val="20"/>
          <w:szCs w:val="20"/>
          <w:color w:val="auto"/>
        </w:rPr>
      </w:pPr>
      <w:r>
        <w:rPr>
          <w:rFonts w:ascii="Arial" w:cs="Arial" w:eastAsia="Arial" w:hAnsi="Arial"/>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firstLine="477"/>
        <w:spacing w:after="0" w:line="275"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2021, CMS increased hospice payment rates by 2.0%. This reflects a 2.7% market basket increase and a negative 0.7 percentage point productivity adjustment. Hospices that do not satisfy quality reporting requirements are subject to a 2 percentage point reduction to the market basket update. Beginning in 2024, the reduction to the market basket update for failure to report quality data will increase to 4 percentage points.</w:t>
      </w:r>
    </w:p>
    <w:p>
      <w:pPr>
        <w:spacing w:after="0" w:line="176" w:lineRule="exact"/>
        <w:rPr>
          <w:sz w:val="20"/>
          <w:szCs w:val="20"/>
          <w:color w:val="auto"/>
        </w:rPr>
      </w:pPr>
    </w:p>
    <w:p>
      <w:pPr>
        <w:ind w:right="20" w:firstLine="477"/>
        <w:spacing w:after="0" w:line="257" w:lineRule="auto"/>
        <w:rPr>
          <w:sz w:val="20"/>
          <w:szCs w:val="20"/>
          <w:color w:val="auto"/>
        </w:rPr>
      </w:pPr>
      <w:r>
        <w:rPr>
          <w:rFonts w:ascii="Arial" w:cs="Arial" w:eastAsia="Arial" w:hAnsi="Arial"/>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$31,297.61 for federal fiscal year 2022. If a hospice’s Medicare payments exceed its inpatient or aggregate caps, it must repay Medicare the excess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320" w:firstLine="477"/>
        <w:spacing w:after="0" w:line="286" w:lineRule="auto"/>
        <w:rPr>
          <w:sz w:val="20"/>
          <w:szCs w:val="20"/>
          <w:color w:val="auto"/>
        </w:rPr>
      </w:pPr>
      <w:r>
        <w:rPr>
          <w:rFonts w:ascii="Arial" w:cs="Arial" w:eastAsia="Arial" w:hAnsi="Arial"/>
          <w:sz w:val="17"/>
          <w:szCs w:val="17"/>
          <w:color w:val="auto"/>
        </w:rPr>
        <w:t>The New York Consumer Directed Personal Assistance Program (“CDPAP”) is a self-directed care alternative program that allows eligible individuals who need help with activities of daily living or skilled nursing services to choose their caregivers. We provide support services as a CDPAP fiscal intermediary. In 2021, the Company was not selected to enter into contracts as a Lead Fiscal Intermediary and submitted a formal</w:t>
      </w:r>
    </w:p>
    <w:p>
      <w:pPr>
        <w:sectPr>
          <w:pgSz w:w="11900" w:h="16838" w:orient="portrait"/>
          <w:cols w:equalWidth="0" w:num="1">
            <w:col w:w="11220"/>
          </w:cols>
          <w:pgMar w:left="320" w:top="121" w:right="359" w:bottom="1440" w:gutter="0" w:footer="0" w:header="0"/>
        </w:sectPr>
      </w:pP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protest in response to the selection process, which was filed and accepted on March 19, 2021. The Company has not yet received a response to the formal protest.</w:t>
      </w:r>
    </w:p>
    <w:p>
      <w:pPr>
        <w:spacing w:after="0" w:line="170" w:lineRule="exact"/>
        <w:rPr>
          <w:sz w:val="20"/>
          <w:szCs w:val="20"/>
          <w:color w:val="auto"/>
        </w:rPr>
      </w:pPr>
    </w:p>
    <w:p>
      <w:pPr>
        <w:ind w:right="180" w:firstLine="477"/>
        <w:spacing w:after="0" w:line="299" w:lineRule="auto"/>
        <w:rPr>
          <w:sz w:val="20"/>
          <w:szCs w:val="20"/>
          <w:color w:val="auto"/>
        </w:rPr>
      </w:pPr>
      <w:r>
        <w:rPr>
          <w:rFonts w:ascii="Arial" w:cs="Arial" w:eastAsia="Arial" w:hAnsi="Arial"/>
          <w:sz w:val="16"/>
          <w:szCs w:val="16"/>
          <w:color w:val="auto"/>
        </w:rPr>
        <w:t>The New York fiscal year 2023 state budget, passed in April 2022, amends the current Fiscal Intermediary Request For Offer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their application. Under this provision, the Company would be allowed to continue to contract with all of its current payors for CDPAP services. The Company is currently assessing the future of its participation in this program. Given the status of the program, the Company suspended materially all of its new patient admissions under the New York CDPAP.</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ind w:firstLine="477"/>
        <w:spacing w:after="0" w:line="329"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34"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500" w:firstLine="477"/>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7"/>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60" w:firstLine="477"/>
        <w:spacing w:after="0" w:line="279"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80" w:firstLine="477"/>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27.9% and 19.0% for the three months ended March 31, 2022 and 2021, respectively, compared to our federal statutory rate of 21%. The difference between our federal statutory and effective income tax rates was principally due to the inclusion of state taxes, non-deductible compensation and excess tax expense, partially offset by the use of federal employment tax credits.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For the Three Months Ended March 31,</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2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w w:val="81"/>
              </w:rPr>
              <w:t>(Amounts in Thousands,</w:t>
            </w:r>
          </w:p>
        </w:tc>
        <w:tc>
          <w:tcPr>
            <w:tcW w:w="124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w w:val="75"/>
              </w:rPr>
              <w:t>Except Percentages)</w:t>
            </w:r>
          </w:p>
        </w:tc>
        <w:tc>
          <w:tcPr>
            <w:tcW w:w="8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226,634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205,302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156,448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53,152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45,426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56,673</w:t>
            </w:r>
          </w:p>
        </w:tc>
        <w:tc>
          <w:tcPr>
            <w:tcW w:w="200" w:type="dxa"/>
            <w:vAlign w:val="bottom"/>
            <w:tcBorders>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49,027</w:t>
            </w:r>
          </w:p>
        </w:tc>
        <w:tc>
          <w:tcPr>
            <w:tcW w:w="20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13,513</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477"/>
        <w:spacing w:after="0" w:line="275" w:lineRule="auto"/>
        <w:rPr>
          <w:sz w:val="20"/>
          <w:szCs w:val="20"/>
          <w:color w:val="auto"/>
        </w:rPr>
      </w:pPr>
      <w:r>
        <w:rPr>
          <w:rFonts w:ascii="Arial" w:cs="Arial" w:eastAsia="Arial" w:hAnsi="Arial"/>
          <w:sz w:val="17"/>
          <w:szCs w:val="17"/>
          <w:color w:val="auto"/>
        </w:rPr>
        <w:t>Net service revenues increased by 10.4% to $226.6 million for the three months ended March 31, 2022 compared to $205.3 million for the three months ended March 31, 2021. Revenue increased by $11.6 million in our hospice segment and by $4.9 million in our home health segment during the three months ended March 31, 2022, compared to the same period in 2021, largely due to acquisitions. In addition, revenue increased by $4.8 million in our personal care segment, during the three months ended March 31, 2022, compared to the same period in 2021 primarily due to an 8.7% increase in revenues per billable hour, partially offset by a decrease in the New York CDPAP program.</w:t>
      </w:r>
    </w:p>
    <w:p>
      <w:pPr>
        <w:spacing w:after="0" w:line="176" w:lineRule="exact"/>
        <w:rPr>
          <w:sz w:val="20"/>
          <w:szCs w:val="20"/>
          <w:color w:val="auto"/>
        </w:rPr>
      </w:pPr>
    </w:p>
    <w:p>
      <w:pPr>
        <w:ind w:right="120" w:firstLine="477"/>
        <w:spacing w:after="0" w:line="277" w:lineRule="auto"/>
        <w:rPr>
          <w:sz w:val="20"/>
          <w:szCs w:val="20"/>
          <w:color w:val="auto"/>
        </w:rPr>
      </w:pPr>
      <w:r>
        <w:rPr>
          <w:rFonts w:ascii="Arial" w:cs="Arial" w:eastAsia="Arial" w:hAnsi="Arial"/>
          <w:sz w:val="18"/>
          <w:szCs w:val="18"/>
          <w:color w:val="auto"/>
        </w:rPr>
        <w:t>Gross profit, expressed as a percentage of net service revenues, increased to 31.0% for the three months ended March 31, 2022, compared to 29.8% for the same period in 2021 due to growth in our higher margin hospice segment.</w:t>
      </w:r>
    </w:p>
    <w:p>
      <w:pPr>
        <w:spacing w:after="0" w:line="170"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General and administrative expenses increased to $53.2 million for the three months ended March 31, 2022 as compared to $45.4 million for the three months ended March 31, 2021. The increase in general and administrative expenses was primarily due to acquisitions that resulted in an increase in administrative employee wages, taxes and benefit costs of $4.9 million, an increase in acquisition expense of $1.3 million and an increase in rent expense of $0.6 million. General and administrative expenses, expressed as a percentage of net service revenues increased to 23.5% for the three months ended March 31, 2022, from 22.1% for the three months ended March 31, 2021.</w:t>
      </w:r>
    </w:p>
    <w:p>
      <w:pPr>
        <w:spacing w:after="0" w:line="188" w:lineRule="exact"/>
        <w:rPr>
          <w:sz w:val="20"/>
          <w:szCs w:val="20"/>
          <w:color w:val="auto"/>
        </w:rPr>
      </w:pPr>
    </w:p>
    <w:p>
      <w:pPr>
        <w:ind w:right="100" w:firstLine="477"/>
        <w:spacing w:after="0" w:line="277" w:lineRule="auto"/>
        <w:rPr>
          <w:sz w:val="20"/>
          <w:szCs w:val="20"/>
          <w:color w:val="auto"/>
        </w:rPr>
      </w:pPr>
      <w:r>
        <w:rPr>
          <w:rFonts w:ascii="Arial" w:cs="Arial" w:eastAsia="Arial" w:hAnsi="Arial"/>
          <w:sz w:val="18"/>
          <w:szCs w:val="18"/>
          <w:color w:val="auto"/>
        </w:rPr>
        <w:t>Depreciation and amortization expense decreased to $3.5 million for the three months ended March 31, 2022 from $3.6 million for the three months ended March 31, 2021.</w:t>
      </w:r>
    </w:p>
    <w:p>
      <w:pPr>
        <w:spacing w:after="0" w:line="170" w:lineRule="exact"/>
        <w:rPr>
          <w:sz w:val="20"/>
          <w:szCs w:val="20"/>
          <w:color w:val="auto"/>
        </w:rPr>
      </w:pPr>
    </w:p>
    <w:p>
      <w:pPr>
        <w:ind w:right="60" w:firstLine="477"/>
        <w:spacing w:after="0" w:line="263" w:lineRule="auto"/>
        <w:rPr>
          <w:sz w:val="20"/>
          <w:szCs w:val="20"/>
          <w:color w:val="auto"/>
        </w:rPr>
      </w:pPr>
      <w:r>
        <w:rPr>
          <w:rFonts w:ascii="Arial" w:cs="Arial" w:eastAsia="Arial" w:hAnsi="Arial"/>
          <w:sz w:val="18"/>
          <w:szCs w:val="18"/>
          <w:color w:val="auto"/>
        </w:rPr>
        <w:t>Interest expense increased to $1.8 million for the three months ended March 31, 2022 from $1.2 million for the three months ended March 31, 2021. The increase in interest expense was primarily due to higher outstanding borrowings under our credit facility for the three months ended March 31, 2022 compared to the three months ended March 31, 2021 due to the JourneyCare acquisition.</w:t>
      </w:r>
    </w:p>
    <w:p>
      <w:pPr>
        <w:spacing w:after="0" w:line="184" w:lineRule="exact"/>
        <w:rPr>
          <w:sz w:val="20"/>
          <w:szCs w:val="20"/>
          <w:color w:val="auto"/>
        </w:rPr>
      </w:pPr>
    </w:p>
    <w:p>
      <w:pPr>
        <w:ind w:right="140" w:firstLine="477"/>
        <w:spacing w:after="0" w:line="255"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27.9% and 19.0% for the three months ended March 31, 2022 and 2021, respectively. The difference between the federal statutory and our effective income tax rates was principally due to the inclusion of state taxes, non-deductible compensation and excess tax expense, partially offset by the use of federal employment tax credits. For the three months ended March 31, 2022 and 2021, the effective tax rates were inclusive of an excess tax expense of 2.7% and an excess tax benefit of 7.4%, respectively. The excess tax expense or benefit is a discrete item which requires the Company to recognize the expense or benefit fully in the quarter.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Three Months Ended March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2022</w:t>
            </w: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2021</w:t>
            </w:r>
          </w:p>
        </w:tc>
        <w:tc>
          <w:tcPr>
            <w:tcW w:w="86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58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0" w:type="dxa"/>
            <w:vAlign w:val="bottom"/>
            <w:gridSpan w:val="9"/>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169,632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164,868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126,291</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122,839</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43,341</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42,029</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15,004</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15,283</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28,337</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26,746</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2"/>
        </w:trPr>
        <w:tc>
          <w:tcPr>
            <w:tcW w:w="432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Except Billable Hours in Thousands)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Locations at period end</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billable census *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(1,745)</w:t>
            </w:r>
          </w:p>
        </w:tc>
        <w:tc>
          <w:tcPr>
            <w:tcW w:w="2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 xml:space="preserve">Billable hours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billable hours per census per month *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Billable hours per business day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110,951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118,237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(7,286)</w:t>
            </w:r>
          </w:p>
        </w:tc>
        <w:tc>
          <w:tcPr>
            <w:tcW w:w="2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Revenues per billable hour * </w:t>
            </w:r>
            <w:r>
              <w:rPr>
                <w:rFonts w:ascii="Arial" w:cs="Arial" w:eastAsia="Arial" w:hAnsi="Arial"/>
                <w:sz w:val="15"/>
                <w:szCs w:val="15"/>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Same store growth revenue % * </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right="140" w:hanging="472"/>
        <w:spacing w:after="0" w:line="293"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spacing w:after="0" w:line="23" w:lineRule="exact"/>
        <w:rPr>
          <w:rFonts w:ascii="Arial" w:cs="Arial" w:eastAsia="Arial" w:hAnsi="Arial"/>
          <w:sz w:val="16"/>
          <w:szCs w:val="16"/>
          <w:color w:val="auto"/>
        </w:rPr>
      </w:pPr>
    </w:p>
    <w:p>
      <w:pPr>
        <w:ind w:left="480" w:right="20" w:hanging="472"/>
        <w:spacing w:after="0" w:line="278"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35" w:lineRule="exact"/>
        <w:rPr>
          <w:rFonts w:ascii="Arial" w:cs="Arial" w:eastAsia="Arial" w:hAnsi="Arial"/>
          <w:sz w:val="16"/>
          <w:szCs w:val="16"/>
          <w:color w:val="auto"/>
        </w:rPr>
      </w:pPr>
    </w:p>
    <w:p>
      <w:pPr>
        <w:ind w:left="480" w:right="100" w:hanging="472"/>
        <w:spacing w:after="0" w:line="278"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the revenue associated with New York CDPAP and the ARPA.</w:t>
      </w:r>
    </w:p>
    <w:p>
      <w:pPr>
        <w:spacing w:after="0" w:line="36" w:lineRule="exact"/>
        <w:rPr>
          <w:sz w:val="20"/>
          <w:szCs w:val="20"/>
          <w:color w:val="auto"/>
        </w:rPr>
      </w:pPr>
    </w:p>
    <w:p>
      <w:pPr>
        <w:ind w:left="480" w:right="40" w:hanging="472"/>
        <w:spacing w:after="0" w:line="26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255" w:lineRule="exact"/>
        <w:rPr>
          <w:sz w:val="20"/>
          <w:szCs w:val="20"/>
          <w:color w:val="auto"/>
        </w:rPr>
      </w:pPr>
    </w:p>
    <w:p>
      <w:pPr>
        <w:ind w:right="180" w:firstLine="477"/>
        <w:spacing w:after="0" w:line="293" w:lineRule="auto"/>
        <w:rPr>
          <w:sz w:val="20"/>
          <w:szCs w:val="20"/>
          <w:color w:val="auto"/>
        </w:rPr>
      </w:pPr>
      <w:r>
        <w:rPr>
          <w:rFonts w:ascii="Arial" w:cs="Arial" w:eastAsia="Arial" w:hAnsi="Arial"/>
          <w:sz w:val="16"/>
          <w:szCs w:val="16"/>
          <w:color w:val="auto"/>
        </w:rPr>
        <w:t>The personal care segment derives a significant amount of its net service revenues from operations in Illinois, which represented 42.4% and 35.8% of net service revenues for the three months ended March 31, 2022 and 2021, respectively. One payor, the Illinois Department on Aging, accounted for 20.7% and 20.4% of net service revenues for the three months ended March 31, 2022 and 2021, respectively. Net service revenues from state, local and other governmental programs accounted for 49.5% and 49.0% of net service revenues for the three months ended March 31, 2022 and 2021, respectively. Managed care organizations accounted for 45.6% and 45.8% of net service revenues for the three months ended March 31, 2022 and 2021, respectively, with commercial insurance, private pay and other payors accounting for the remainder of net service revenues.</w:t>
      </w:r>
    </w:p>
    <w:p>
      <w:pPr>
        <w:spacing w:after="0" w:line="164" w:lineRule="exact"/>
        <w:rPr>
          <w:sz w:val="20"/>
          <w:szCs w:val="20"/>
          <w:color w:val="auto"/>
        </w:rPr>
      </w:pPr>
    </w:p>
    <w:p>
      <w:pPr>
        <w:ind w:right="160" w:firstLine="477"/>
        <w:spacing w:after="0" w:line="279" w:lineRule="auto"/>
        <w:rPr>
          <w:sz w:val="20"/>
          <w:szCs w:val="20"/>
          <w:color w:val="auto"/>
        </w:rPr>
      </w:pPr>
      <w:r>
        <w:rPr>
          <w:rFonts w:ascii="Arial" w:cs="Arial" w:eastAsia="Arial" w:hAnsi="Arial"/>
          <w:sz w:val="17"/>
          <w:szCs w:val="17"/>
          <w:color w:val="auto"/>
        </w:rPr>
        <w:t>Net service revenues increased by 2.9% for the three months ended March 31, 2022 compared to the three months ended March 31, 2021. Net service revenues increased primarily as a result of an 8.7% increase in revenues per billable hour, mainly attributed to rate increases discussed above. The Company experienced a decrease in New York net service revenues of $6.2 million for the three months ended March 31, 2022, primarily driven by a decrease in participation in the New York CDPAP program as discussed above, compared to 2021.</w:t>
      </w:r>
    </w:p>
    <w:p>
      <w:pPr>
        <w:spacing w:after="0" w:line="171" w:lineRule="exact"/>
        <w:rPr>
          <w:sz w:val="20"/>
          <w:szCs w:val="20"/>
          <w:color w:val="auto"/>
        </w:rPr>
      </w:pPr>
    </w:p>
    <w:p>
      <w:pPr>
        <w:ind w:right="100" w:firstLine="477"/>
        <w:spacing w:after="0" w:line="263" w:lineRule="auto"/>
        <w:rPr>
          <w:sz w:val="20"/>
          <w:szCs w:val="20"/>
          <w:color w:val="auto"/>
        </w:rPr>
      </w:pPr>
      <w:r>
        <w:rPr>
          <w:rFonts w:ascii="Arial" w:cs="Arial" w:eastAsia="Arial" w:hAnsi="Arial"/>
          <w:sz w:val="18"/>
          <w:szCs w:val="18"/>
          <w:color w:val="auto"/>
        </w:rPr>
        <w:t>Gross profit, expressed as a percentage of net service revenues, increased to 25.6% for the three months ended March 31, 2022 from 25.5% for the three months ended March 31, 2021. This increase was primarily due to a decrease in direct payroll as a percentage of net service revenues of 0.1% for the three months ended March 31, 2022 as compared to the three months ended March 31, 2021.</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firstLine="477"/>
        <w:spacing w:after="0" w:line="277" w:lineRule="auto"/>
        <w:rPr>
          <w:sz w:val="20"/>
          <w:szCs w:val="20"/>
          <w:color w:val="auto"/>
        </w:rPr>
      </w:pPr>
      <w:r>
        <w:rPr>
          <w:rFonts w:ascii="Arial" w:cs="Arial" w:eastAsia="Arial" w:hAnsi="Arial"/>
          <w:sz w:val="18"/>
          <w:szCs w:val="18"/>
          <w:color w:val="auto"/>
        </w:rPr>
        <w:t>General and administrative expenses remained relatively consistent for the three months ended March 31, 2022, as compared to the three months ended March 31, 2021.</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Hospice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2022</w:t>
            </w: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56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gridSpan w:val="7"/>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47,727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36,094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11,633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23,441</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24,286</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17,498</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6,788</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12,574</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4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w:t>
            </w:r>
          </w:p>
        </w:tc>
        <w:tc>
          <w:tcPr>
            <w:tcW w:w="2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Locations at period end</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Admissions *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 xml:space="preserve">Average daily census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discharge length of stay *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 xml:space="preserve">Patient days * </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275,488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216,007</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Revenue per patient day * </w:t>
            </w:r>
            <w:r>
              <w:rPr>
                <w:rFonts w:ascii="Arial" w:cs="Arial" w:eastAsia="Arial" w:hAnsi="Arial"/>
                <w:sz w:val="15"/>
                <w:szCs w:val="15"/>
                <w:color w:val="auto"/>
              </w:rPr>
              <w:t>(5)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Organic growth</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 Revenue * </w:t>
            </w:r>
            <w:r>
              <w:rPr>
                <w:rFonts w:ascii="Arial" w:cs="Arial" w:eastAsia="Arial" w:hAnsi="Arial"/>
                <w:sz w:val="15"/>
                <w:szCs w:val="15"/>
                <w:color w:val="auto"/>
              </w:rPr>
              <w:t>(6)</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 %</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 Average daily census * </w:t>
            </w:r>
            <w:r>
              <w:rPr>
                <w:rFonts w:ascii="Arial" w:cs="Arial" w:eastAsia="Arial" w:hAnsi="Arial"/>
                <w:sz w:val="15"/>
                <w:szCs w:val="15"/>
                <w:color w:val="auto"/>
              </w:rPr>
              <w:t>(6)</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 %</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23"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86" w:lineRule="exact"/>
        <w:rPr>
          <w:rFonts w:ascii="Arial" w:cs="Arial" w:eastAsia="Arial" w:hAnsi="Arial"/>
          <w:sz w:val="16"/>
          <w:szCs w:val="16"/>
          <w:color w:val="auto"/>
        </w:rPr>
      </w:pPr>
    </w:p>
    <w:p>
      <w:pPr>
        <w:ind w:left="480" w:right="120" w:hanging="472"/>
        <w:spacing w:after="0" w:line="278"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36" w:lineRule="exact"/>
        <w:rPr>
          <w:sz w:val="20"/>
          <w:szCs w:val="20"/>
          <w:color w:val="auto"/>
        </w:rPr>
      </w:pPr>
    </w:p>
    <w:p>
      <w:pPr>
        <w:ind w:left="480" w:right="40" w:hanging="472"/>
        <w:spacing w:after="0" w:line="268"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255" w:lineRule="exact"/>
        <w:rPr>
          <w:sz w:val="20"/>
          <w:szCs w:val="20"/>
          <w:color w:val="auto"/>
        </w:rPr>
      </w:pPr>
    </w:p>
    <w:p>
      <w:pPr>
        <w:ind w:right="380" w:firstLine="477"/>
        <w:spacing w:after="0" w:line="301" w:lineRule="auto"/>
        <w:rPr>
          <w:sz w:val="20"/>
          <w:szCs w:val="20"/>
          <w:color w:val="auto"/>
        </w:rPr>
      </w:pPr>
      <w:r>
        <w:rPr>
          <w:rFonts w:ascii="Arial" w:cs="Arial" w:eastAsia="Arial" w:hAnsi="Arial"/>
          <w:sz w:val="16"/>
          <w:szCs w:val="16"/>
          <w:color w:val="auto"/>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w:t>
      </w:r>
    </w:p>
    <w:p>
      <w:pPr>
        <w:spacing w:after="0" w:line="157" w:lineRule="exact"/>
        <w:rPr>
          <w:sz w:val="20"/>
          <w:szCs w:val="20"/>
          <w:color w:val="auto"/>
        </w:rPr>
      </w:pPr>
    </w:p>
    <w:p>
      <w:pPr>
        <w:ind w:right="80" w:firstLine="476"/>
        <w:spacing w:after="0" w:line="269" w:lineRule="auto"/>
        <w:rPr>
          <w:sz w:val="20"/>
          <w:szCs w:val="20"/>
          <w:color w:val="auto"/>
        </w:rPr>
      </w:pPr>
      <w:r>
        <w:rPr>
          <w:rFonts w:ascii="Arial" w:cs="Arial" w:eastAsia="Arial" w:hAnsi="Arial"/>
          <w:sz w:val="18"/>
          <w:szCs w:val="18"/>
          <w:color w:val="auto"/>
        </w:rPr>
        <w:t>Net service revenues from Medicare accounted for 91.1% and 94.2% and managed care organizations accounted for 3.6% and 4.1% of total hospice segment net service revenues for the three months ended March 31, 2022 and 2021, respectively. Net service revenues increased by $11.6 million for the three months ended March 31, 2022 compared to the three months ended March 31, 2021 primarily attributed to organic growth and the acquisitions of the operations of JourneyCare on February 1, 2022 and Armada on August 1, 2021.</w:t>
      </w:r>
    </w:p>
    <w:p>
      <w:pPr>
        <w:spacing w:after="0" w:line="179" w:lineRule="exact"/>
        <w:rPr>
          <w:sz w:val="20"/>
          <w:szCs w:val="20"/>
          <w:color w:val="auto"/>
        </w:rPr>
      </w:pPr>
    </w:p>
    <w:p>
      <w:pPr>
        <w:ind w:right="120" w:firstLine="476"/>
        <w:spacing w:after="0" w:line="263" w:lineRule="auto"/>
        <w:rPr>
          <w:sz w:val="20"/>
          <w:szCs w:val="20"/>
          <w:color w:val="auto"/>
        </w:rPr>
      </w:pPr>
      <w:r>
        <w:rPr>
          <w:rFonts w:ascii="Arial" w:cs="Arial" w:eastAsia="Arial" w:hAnsi="Arial"/>
          <w:sz w:val="18"/>
          <w:szCs w:val="18"/>
          <w:color w:val="auto"/>
        </w:rPr>
        <w:t>Gross profit, expressed as a percentage of net service revenues was 50.9% and 48.5% for the three months ended March 31, 2022 and 2021, respectively. For the three months ended March 31, 2022, the increase as a percentage of net service revenues was mainly attributed to a decrease of direct employee wages, taxes and benefit costs of 1.5%.</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24.6% and 23.5% for the three months ended March 31, 2022 and 2021, respectively. The increase in general and administrative expenses was primarily due to acquisitions that resulted in a $2.6 million increase in administrative employee wages, taxes and benefit costs and a $0.6 million increase in rent expenses for the three months ended March 31, 2022.</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2022</w:t>
            </w: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2021</w:t>
            </w:r>
          </w:p>
        </w:tc>
        <w:tc>
          <w:tcPr>
            <w:tcW w:w="8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56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40" w:type="dxa"/>
            <w:vAlign w:val="bottom"/>
            <w:gridSpan w:val="7"/>
          </w:tcPr>
          <w:p>
            <w:pPr>
              <w:jc w:val="right"/>
              <w:spacing w:after="0" w:line="155" w:lineRule="exact"/>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Locations at period end</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New admissions *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 xml:space="preserve">Recertifications *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volume *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 xml:space="preserve">Visits * </w:t>
            </w:r>
            <w:r>
              <w:rPr>
                <w:rFonts w:ascii="Arial" w:cs="Arial" w:eastAsia="Arial" w:hAnsi="Arial"/>
                <w:sz w:val="15"/>
                <w:szCs w:val="15"/>
                <w:color w:val="auto"/>
              </w:rPr>
              <w:t>(4)</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65,213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27,665</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Organic growth</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 Revenue * </w:t>
            </w:r>
            <w:r>
              <w:rPr>
                <w:rFonts w:ascii="Arial" w:cs="Arial" w:eastAsia="Arial" w:hAnsi="Arial"/>
                <w:sz w:val="15"/>
                <w:szCs w:val="15"/>
                <w:color w:val="auto"/>
              </w:rPr>
              <w:t>(5)</w:t>
            </w:r>
          </w:p>
        </w:tc>
        <w:tc>
          <w:tcPr>
            <w:tcW w:w="14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(0.5) %</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 Admissions * </w:t>
            </w:r>
            <w:r>
              <w:rPr>
                <w:rFonts w:ascii="Arial" w:cs="Arial" w:eastAsia="Arial" w:hAnsi="Arial"/>
                <w:sz w:val="15"/>
                <w:szCs w:val="15"/>
                <w:color w:val="auto"/>
              </w:rPr>
              <w:t>(5)</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86"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86" w:lineRule="exact"/>
        <w:rPr>
          <w:rFonts w:ascii="Arial" w:cs="Arial" w:eastAsia="Arial" w:hAnsi="Arial"/>
          <w:sz w:val="16"/>
          <w:szCs w:val="16"/>
          <w:color w:val="auto"/>
        </w:rPr>
      </w:pPr>
    </w:p>
    <w:p>
      <w:pPr>
        <w:ind w:left="480" w:right="300" w:hanging="472"/>
        <w:spacing w:after="0" w:line="278"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36" w:lineRule="exact"/>
        <w:rPr>
          <w:sz w:val="20"/>
          <w:szCs w:val="20"/>
          <w:color w:val="auto"/>
        </w:rPr>
      </w:pPr>
    </w:p>
    <w:p>
      <w:pPr>
        <w:ind w:left="480" w:right="40" w:hanging="472"/>
        <w:spacing w:after="0" w:line="26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255" w:lineRule="exact"/>
        <w:rPr>
          <w:sz w:val="20"/>
          <w:szCs w:val="20"/>
          <w:color w:val="auto"/>
        </w:rPr>
      </w:pPr>
    </w:p>
    <w:p>
      <w:pPr>
        <w:ind w:right="20" w:firstLine="477"/>
        <w:spacing w:after="0" w:line="254" w:lineRule="auto"/>
        <w:rPr>
          <w:sz w:val="20"/>
          <w:szCs w:val="20"/>
          <w:color w:val="auto"/>
        </w:rPr>
      </w:pPr>
      <w:r>
        <w:rPr>
          <w:rFonts w:ascii="Arial" w:cs="Arial" w:eastAsia="Arial" w:hAnsi="Arial"/>
          <w:sz w:val="18"/>
          <w:szCs w:val="18"/>
          <w:color w:val="auto"/>
        </w:rPr>
        <w:t>The home health segment generates net service revenues by providing home health services on a short-term, intermittent or episodic basis to individuals, generally to treat an illness or injury. Net service revenues from Medicare and managed care organizations accounted for 73.4% and 80.7% and 20.5% and 18.4%, of total home health segment net service revenues for the three months ended March 31, 2022 and 2021, respectively. Home health services provided to Medicare beneficiaries are paid under the Medicare Home Health Prospective Payment System (“HHPPS”).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92" w:lineRule="exact"/>
        <w:rPr>
          <w:sz w:val="20"/>
          <w:szCs w:val="20"/>
          <w:color w:val="auto"/>
        </w:rPr>
      </w:pPr>
    </w:p>
    <w:p>
      <w:pPr>
        <w:ind w:right="320" w:firstLine="477"/>
        <w:spacing w:after="0" w:line="263" w:lineRule="auto"/>
        <w:rPr>
          <w:sz w:val="20"/>
          <w:szCs w:val="20"/>
          <w:color w:val="auto"/>
        </w:rPr>
      </w:pPr>
      <w:r>
        <w:rPr>
          <w:rFonts w:ascii="Arial" w:cs="Arial" w:eastAsia="Arial" w:hAnsi="Arial"/>
          <w:sz w:val="18"/>
          <w:szCs w:val="18"/>
          <w:color w:val="auto"/>
        </w:rPr>
        <w:t>Net service revenues increased by $4.9 million for the three months ended March 31, 2022 compared to the three months ended March 31, 2021. Total visits increased for the three months ended March 31, 2022, mainly attributed to the acquisition of Armada on August 1, 2021 and Summit on October 1, 2021, partially offset by a decrease in revenue related to the Omicron surge.</w:t>
      </w:r>
    </w:p>
    <w:p>
      <w:pPr>
        <w:spacing w:after="0" w:line="184" w:lineRule="exact"/>
        <w:rPr>
          <w:sz w:val="20"/>
          <w:szCs w:val="20"/>
          <w:color w:val="auto"/>
        </w:rPr>
      </w:pPr>
    </w:p>
    <w:p>
      <w:pPr>
        <w:ind w:right="700" w:firstLine="439"/>
        <w:spacing w:after="0" w:line="342" w:lineRule="auto"/>
        <w:rPr>
          <w:sz w:val="20"/>
          <w:szCs w:val="20"/>
          <w:color w:val="auto"/>
        </w:rPr>
      </w:pPr>
      <w:r>
        <w:rPr>
          <w:rFonts w:ascii="Arial" w:cs="Arial" w:eastAsia="Arial" w:hAnsi="Arial"/>
          <w:sz w:val="16"/>
          <w:szCs w:val="16"/>
          <w:color w:val="auto"/>
        </w:rPr>
        <w:t>Gross profit, expressed as a percentage of net service revenues was 27.6% and 38.5% for the three months ended March 31, 2022 and 2021, respectively. For the three months ended March 31, 2022, the decrease was due to an increase of direct employee wages, taxes and benefit costs of</w:t>
      </w:r>
    </w:p>
    <w:p>
      <w:pPr>
        <w:sectPr>
          <w:pgSz w:w="11900" w:h="16838" w:orient="portrait"/>
          <w:cols w:equalWidth="0" w:num="1">
            <w:col w:w="11240"/>
          </w:cols>
          <w:pgMar w:left="320" w:top="121" w:right="33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8.7% as a percentage of net service revenues compared to the three months ended March 31, 2021. Cost of service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increased compared to the corresponding period in 2021, due to an increase in clinical caregiver training.</w:t>
      </w:r>
    </w:p>
    <w:p>
      <w:pPr>
        <w:spacing w:after="0" w:line="211" w:lineRule="exact"/>
        <w:rPr>
          <w:sz w:val="20"/>
          <w:szCs w:val="20"/>
          <w:color w:val="auto"/>
        </w:rPr>
      </w:pPr>
    </w:p>
    <w:p>
      <w:pPr>
        <w:ind w:right="40" w:firstLine="476"/>
        <w:spacing w:after="0" w:line="301" w:lineRule="auto"/>
        <w:rPr>
          <w:sz w:val="20"/>
          <w:szCs w:val="20"/>
          <w:color w:val="auto"/>
        </w:rPr>
      </w:pPr>
      <w:r>
        <w:rPr>
          <w:rFonts w:ascii="Arial" w:cs="Arial" w:eastAsia="Arial" w:hAnsi="Arial"/>
          <w:sz w:val="16"/>
          <w:szCs w:val="16"/>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25.4% and 22.3%, respectively, for the three months ended March 31, 2022 and 2021, respectively. The increase in general and administrative expenses was primarily due to acquisitions that resulted in a $1.2 million increase in administrative employee wages, taxes and benefit costs for the three months ended March 31,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77"/>
        <w:spacing w:after="0" w:line="259" w:lineRule="auto"/>
        <w:rPr>
          <w:sz w:val="20"/>
          <w:szCs w:val="20"/>
          <w:color w:val="auto"/>
        </w:rPr>
      </w:pPr>
      <w:r>
        <w:rPr>
          <w:rFonts w:ascii="Arial" w:cs="Arial" w:eastAsia="Arial" w:hAnsi="Arial"/>
          <w:sz w:val="18"/>
          <w:szCs w:val="18"/>
          <w:color w:val="auto"/>
        </w:rPr>
        <w:t>Our primary sources of liquidity are cash on hand and cash from operations and borrowings under our credit facility. At March 31, 2022 and December 31, 2021, we had cash balances of $124.8 million and $168.9 million, respectively. At March 31, 2022, we had a $600.0 million revolving credit facility and a $125.0 million incremental loan facility, which may be for term loans or an increase to the revolving loan commitments. The maturity of this credit facility is July 30, 2026.</w:t>
      </w:r>
    </w:p>
    <w:p>
      <w:pPr>
        <w:spacing w:after="0" w:line="187" w:lineRule="exact"/>
        <w:rPr>
          <w:sz w:val="20"/>
          <w:szCs w:val="20"/>
          <w:color w:val="auto"/>
        </w:rPr>
      </w:pPr>
    </w:p>
    <w:p>
      <w:pPr>
        <w:ind w:right="120" w:firstLine="477"/>
        <w:spacing w:after="0" w:line="255" w:lineRule="auto"/>
        <w:rPr>
          <w:sz w:val="20"/>
          <w:szCs w:val="20"/>
          <w:color w:val="auto"/>
        </w:rPr>
      </w:pPr>
      <w:r>
        <w:rPr>
          <w:rFonts w:ascii="Arial" w:cs="Arial" w:eastAsia="Arial" w:hAnsi="Arial"/>
          <w:sz w:val="18"/>
          <w:szCs w:val="18"/>
          <w:color w:val="auto"/>
        </w:rPr>
        <w:t>During the three months ended March 31, 2022, drew $35.0 million under our revolving credit facility to fund, in part, the JourneyCare acquisition. At March 31, 2022, we had a total of $259.9 million in revolving loans, with an interest rate of 2.46% outstanding on its credit facility and after giving effect to the amount drawn on our credit facility, approximately $8.1 million of outstanding letters of credit and borrowing limits based on an advance multiple of adjusted EBITDA (as defined in the Credit Agreement), we had $377.6 million of capacity and $109.6 million available for borrowing under our credit facility. At December 31, 2021, we had a total of $224.9 million revolving credit loans, with an interest rate of 2.10%, outstanding on our credit facility.</w:t>
      </w:r>
    </w:p>
    <w:p>
      <w:pPr>
        <w:spacing w:after="0" w:line="192" w:lineRule="exact"/>
        <w:rPr>
          <w:sz w:val="20"/>
          <w:szCs w:val="20"/>
          <w:color w:val="auto"/>
        </w:rPr>
      </w:pPr>
    </w:p>
    <w:p>
      <w:pPr>
        <w:ind w:right="180" w:firstLine="477"/>
        <w:spacing w:after="0" w:line="301" w:lineRule="auto"/>
        <w:rPr>
          <w:sz w:val="20"/>
          <w:szCs w:val="20"/>
          <w:color w:val="auto"/>
        </w:rPr>
      </w:pPr>
      <w:r>
        <w:rPr>
          <w:rFonts w:ascii="Arial" w:cs="Arial" w:eastAsia="Arial" w:hAnsi="Arial"/>
          <w:sz w:val="16"/>
          <w:szCs w:val="16"/>
          <w:color w:val="auto"/>
        </w:rPr>
        <w:t>Our credit facility requires us to maintain a total net leverage ratio not exceeding 3.75:1.00. At March 31, 2022,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See Note 8 to the Notes to Condensed Consolidated Financial Statements, </w:t>
      </w:r>
      <w:r>
        <w:rPr>
          <w:rFonts w:ascii="Arial" w:cs="Arial" w:eastAsia="Arial" w:hAnsi="Arial"/>
          <w:sz w:val="17"/>
          <w:szCs w:val="17"/>
          <w:i w:val="1"/>
          <w:iCs w:val="1"/>
          <w:color w:val="auto"/>
        </w:rPr>
        <w:t>Long-Term Debt</w:t>
      </w:r>
      <w:r>
        <w:rPr>
          <w:rFonts w:ascii="Arial" w:cs="Arial" w:eastAsia="Arial" w:hAnsi="Arial"/>
          <w:sz w:val="17"/>
          <w:szCs w:val="17"/>
          <w:color w:val="auto"/>
        </w:rPr>
        <w:t>, for additional details of our long-term debt.</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40" w:firstLine="477"/>
        <w:spacing w:after="0" w:line="272"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July 15, 2022, but HHS has indicated it will provide states with 60 days’ notice prior to termination of the declaration.</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right="20" w:firstLine="477"/>
        <w:spacing w:after="0" w:line="279" w:lineRule="auto"/>
        <w:rPr>
          <w:sz w:val="20"/>
          <w:szCs w:val="20"/>
          <w:color w:val="auto"/>
        </w:rPr>
      </w:pPr>
      <w:r>
        <w:rPr>
          <w:rFonts w:ascii="Arial" w:cs="Arial" w:eastAsia="Arial" w:hAnsi="Arial"/>
          <w:sz w:val="17"/>
          <w:szCs w:val="17"/>
          <w:color w:val="auto"/>
        </w:rPr>
        <w:t>In November 2020, the Company received grants in an aggregate principal amount of $13.7 million from the Provider Relief Fund, and fully utilized these funds as of December 31, 2021, including $0.9 million during the three months ended March 31, 2021, for healthcare related expenses, including retention payments, attributable to COVID-19 that were unreimbursed by other sources. We were required to properly and fully document the use of such funds in reports to HHS, which we were required to submit no later than March 31, 2022. We have submitted the required reports.</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The CARES Act allowed for the deferral of the employer portion of Social Security payroll taxes through December 31, 2020. As of March 31, 2022 and December 31, 2021, the deferred portion of employer Social Security payroll taxes was $4.1 million, which is included within Government stimulus advances on the Company’s Unaudited Condensed Consolidated Balance Sheets. The payroll tax deferral requires that the remaining deferred payroll taxes be paid by December 31, 2022.</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ARPA Spending Plans</w:t>
      </w:r>
    </w:p>
    <w:p>
      <w:pPr>
        <w:spacing w:after="0" w:line="117" w:lineRule="exact"/>
        <w:rPr>
          <w:sz w:val="20"/>
          <w:szCs w:val="20"/>
          <w:color w:val="auto"/>
        </w:rPr>
      </w:pPr>
    </w:p>
    <w:p>
      <w:pPr>
        <w:ind w:right="180" w:firstLine="477"/>
        <w:spacing w:after="0" w:line="286" w:lineRule="auto"/>
        <w:rPr>
          <w:sz w:val="20"/>
          <w:szCs w:val="20"/>
          <w:color w:val="auto"/>
        </w:rPr>
      </w:pPr>
      <w:r>
        <w:rPr>
          <w:rFonts w:ascii="Arial" w:cs="Arial" w:eastAsia="Arial" w:hAnsi="Arial"/>
          <w:sz w:val="17"/>
          <w:szCs w:val="17"/>
          <w:color w:val="auto"/>
        </w:rPr>
        <w:t>The ARPA, which became law on March 11, 2021, provided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w:t>
      </w:r>
    </w:p>
    <w:p>
      <w:pPr>
        <w:sectPr>
          <w:pgSz w:w="11900" w:h="16838" w:orient="portrait"/>
          <w:cols w:equalWidth="0" w:num="1">
            <w:col w:w="11220"/>
          </w:cols>
          <w:pgMar w:left="320" w:top="121" w:right="359" w:bottom="1440" w:gutter="0" w:footer="0" w:header="0"/>
        </w:sectPr>
      </w:pP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conditions. States are permitted to use the state funds equivalent to the additional federal funds through March 31, 2024. States must use the monies attributable to this matching fund increase to supplement, not supplant, their level of state spending for the implementation of activities enhanced under the Medicaid HCBS in effect as of April 1, 2021.</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right="180" w:firstLine="477"/>
        <w:spacing w:after="0" w:line="257" w:lineRule="auto"/>
        <w:rPr>
          <w:sz w:val="20"/>
          <w:szCs w:val="20"/>
          <w:color w:val="auto"/>
        </w:rPr>
      </w:pPr>
      <w:r>
        <w:rPr>
          <w:rFonts w:ascii="Arial" w:cs="Arial" w:eastAsia="Arial" w:hAnsi="Arial"/>
          <w:sz w:val="18"/>
          <w:szCs w:val="18"/>
          <w:color w:val="auto"/>
        </w:rPr>
        <w:t>The CARES Act and related legislation temporarily lifted the Medicare sequester that would have otherwise reduced payments to Medicare providers by 2% as required by the Budget Control Act of 2011, from May 1, 2020 through December 31, 2021. Congress further delayed these sequestration cuts through March 31, 2022, and reduced the sequestration adjustment to 1% from April 1 through June 30, 2022. The full 2% reduction is currently scheduled to resume July 1, 2022. These sequestration cuts have been extended through 2030, with the reductions for 2030 set to increase to 2.25% for the first six months and to 3% for the second six months.</w:t>
      </w:r>
    </w:p>
    <w:p>
      <w:pPr>
        <w:spacing w:after="0" w:line="188" w:lineRule="exact"/>
        <w:rPr>
          <w:sz w:val="20"/>
          <w:szCs w:val="20"/>
          <w:color w:val="auto"/>
        </w:rPr>
      </w:pPr>
    </w:p>
    <w:p>
      <w:pPr>
        <w:ind w:right="40" w:firstLine="477"/>
        <w:spacing w:after="0" w:line="263" w:lineRule="auto"/>
        <w:rPr>
          <w:sz w:val="20"/>
          <w:szCs w:val="20"/>
          <w:color w:val="auto"/>
        </w:rPr>
      </w:pPr>
      <w:r>
        <w:rPr>
          <w:rFonts w:ascii="Arial" w:cs="Arial" w:eastAsia="Arial" w:hAnsi="Arial"/>
          <w:sz w:val="18"/>
          <w:szCs w:val="18"/>
          <w:color w:val="auto"/>
        </w:rPr>
        <w:t>In our hospice segment, Medicare sequester relief resulted in an increase in net service revenues of $0.9 million and $0.7 million for the three months ended March 31, 2022 and 2021, respectively. In our home health segment, Medicare sequester relief resulted in an increase in net service revenues of $0.2 million and $0.1 million, for the three months ended March 31, 2022 and 2021, respectively.</w:t>
      </w:r>
    </w:p>
    <w:p>
      <w:pPr>
        <w:spacing w:after="0" w:line="184" w:lineRule="exact"/>
        <w:rPr>
          <w:sz w:val="20"/>
          <w:szCs w:val="20"/>
          <w:color w:val="auto"/>
        </w:rPr>
      </w:pPr>
    </w:p>
    <w:p>
      <w:pPr>
        <w:jc w:val="both"/>
        <w:ind w:right="20" w:firstLine="477"/>
        <w:spacing w:after="0" w:line="301" w:lineRule="auto"/>
        <w:rPr>
          <w:sz w:val="20"/>
          <w:szCs w:val="20"/>
          <w:color w:val="auto"/>
        </w:rPr>
      </w:pPr>
      <w:r>
        <w:rPr>
          <w:rFonts w:ascii="Arial" w:cs="Arial" w:eastAsia="Arial" w:hAnsi="Arial"/>
          <w:sz w:val="16"/>
          <w:szCs w:val="16"/>
          <w:color w:val="auto"/>
        </w:rPr>
        <w:t>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See Note 7 to the Notes to Condensed Consolidated Financial Statements, </w:t>
      </w:r>
      <w:r>
        <w:rPr>
          <w:rFonts w:ascii="Arial" w:cs="Arial" w:eastAsia="Arial" w:hAnsi="Arial"/>
          <w:sz w:val="16"/>
          <w:szCs w:val="16"/>
          <w:i w:val="1"/>
          <w:iCs w:val="1"/>
          <w:color w:val="auto"/>
        </w:rPr>
        <w:t>COVID-19 Pandemic</w:t>
      </w:r>
      <w:r>
        <w:rPr>
          <w:rFonts w:ascii="Arial" w:cs="Arial" w:eastAsia="Arial" w:hAnsi="Arial"/>
          <w:sz w:val="16"/>
          <w:szCs w:val="16"/>
          <w:color w:val="auto"/>
        </w:rPr>
        <w:t>, for additional details of the COVID-19 pandemic.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 for the three months ended March 31,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155"/>
        </w:trPr>
        <w:tc>
          <w:tcPr>
            <w:tcW w:w="77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5,983</w:t>
            </w:r>
          </w:p>
        </w:tc>
        <w:tc>
          <w:tcPr>
            <w:tcW w:w="7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(18,366)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w w:val="98"/>
              </w:rPr>
              <w:t>(85,594)</w:t>
            </w:r>
          </w:p>
        </w:tc>
        <w:tc>
          <w:tcPr>
            <w:tcW w:w="7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35,479</w:t>
            </w:r>
          </w:p>
        </w:tc>
        <w:tc>
          <w:tcPr>
            <w:tcW w:w="7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w:t>
            </w:r>
          </w:p>
        </w:tc>
      </w:tr>
    </w:tbl>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117" w:lineRule="exact"/>
        <w:rPr>
          <w:sz w:val="20"/>
          <w:szCs w:val="20"/>
          <w:color w:val="auto"/>
        </w:rPr>
      </w:pPr>
    </w:p>
    <w:p>
      <w:pPr>
        <w:ind w:right="180" w:firstLine="477"/>
        <w:spacing w:after="0" w:line="254" w:lineRule="auto"/>
        <w:rPr>
          <w:sz w:val="20"/>
          <w:szCs w:val="20"/>
          <w:color w:val="auto"/>
        </w:rPr>
      </w:pPr>
      <w:r>
        <w:rPr>
          <w:rFonts w:ascii="Arial" w:cs="Arial" w:eastAsia="Arial" w:hAnsi="Arial"/>
          <w:sz w:val="18"/>
          <w:szCs w:val="18"/>
          <w:color w:val="auto"/>
        </w:rPr>
        <w:t>Cash flows from operating activities represent the inflow of cash from our payors and the outflow of cash for payroll and payroll taxes, operating expenses, interest and taxes. Net cash provided by operating activities was $6.0 million for the three months ended March 31, 2022, compared to net cash used by operating activities of $18.4 million for the same period in 2021. The increase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three months ended March 31, 2022 compared to 2021, as described below. The related receivables due from the Illinois Department on Aging represented 16.1% of the Company’s net accounts receivable at both March 31, 2022 and December 31, 2021, as discussed below.</w:t>
      </w:r>
    </w:p>
    <w:p>
      <w:pPr>
        <w:spacing w:after="0" w:line="195" w:lineRule="exact"/>
        <w:rPr>
          <w:sz w:val="20"/>
          <w:szCs w:val="20"/>
          <w:color w:val="auto"/>
        </w:rPr>
      </w:pPr>
    </w:p>
    <w:p>
      <w:pPr>
        <w:jc w:val="both"/>
        <w:ind w:right="560" w:firstLine="477"/>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2022 primarily consisted of $84.5 million of net cash used for the JourneyCare acquisition. For the three months ended March 31, 2022 and 2021, property and equipment purchases, primarily related to our ongoing investments in our technology infrastructure, were $1.1 million and $1.0 million, respectively.</w:t>
      </w:r>
    </w:p>
    <w:p>
      <w:pPr>
        <w:spacing w:after="0" w:line="184" w:lineRule="exact"/>
        <w:rPr>
          <w:sz w:val="20"/>
          <w:szCs w:val="20"/>
          <w:color w:val="auto"/>
        </w:rPr>
      </w:pPr>
    </w:p>
    <w:p>
      <w:pPr>
        <w:jc w:val="both"/>
        <w:ind w:right="520" w:firstLine="477"/>
        <w:spacing w:after="0" w:line="263" w:lineRule="auto"/>
        <w:rPr>
          <w:sz w:val="20"/>
          <w:szCs w:val="20"/>
          <w:color w:val="auto"/>
        </w:rPr>
      </w:pPr>
      <w:r>
        <w:rPr>
          <w:rFonts w:ascii="Arial" w:cs="Arial" w:eastAsia="Arial" w:hAnsi="Arial"/>
          <w:sz w:val="18"/>
          <w:szCs w:val="18"/>
          <w:color w:val="auto"/>
        </w:rPr>
        <w:t>Our financing activities for the three months ended March 31, 2022 included borrowings of $35.0 million on the revolver portion of our credit facility to fund, in part, the JourneyCare acquisition. For the three months ended March 31, 2022 and 2021, net cash provided by financing activities included cash received from the exercise of stock options of $0.5 million and $0.1 million, respectively.</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Accounts Receivable</w:t>
      </w:r>
    </w:p>
    <w:p>
      <w:pPr>
        <w:spacing w:after="0" w:line="117"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Gross accounts receivable as of March 31, 2022 and December 31, 2021 were approximately $138.2 million and $138.4 million, respectively. Outstanding accounts receivable, net of allowance, decreased by $0.1 million as of March 31, 2022 as compared to December 31, 2021. Accounts receivable for the Illinois Department on Aging decreased approximately $0.2 million during the quarter ended March 31, 2022.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477"/>
        <w:spacing w:after="0" w:line="286" w:lineRule="auto"/>
        <w:rPr>
          <w:sz w:val="20"/>
          <w:szCs w:val="20"/>
          <w:color w:val="auto"/>
        </w:rPr>
      </w:pPr>
      <w:r>
        <w:rPr>
          <w:rFonts w:ascii="Arial" w:cs="Arial" w:eastAsia="Arial" w:hAnsi="Arial"/>
          <w:sz w:val="17"/>
          <w:szCs w:val="17"/>
          <w:color w:val="auto"/>
        </w:rPr>
        <w:t>We calculate our DSO by taking the trade accounts receivable outstanding, net of allowance for doubtful accounts, divided by the net service revenues for the last quarter, multiplied by the number of days in that quarter. Our DSOs were 52 and 54 days at March 31, 2022 and December 31, 2021. The DSO for our largest payor, the Illinois Department on Aging, was 43 days at both March 31, 2022 and December 31,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2022, we did not have any off-balance sheet guarantees or arrangements with unconsolidated entities.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2021, filed on February 25, 2022.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Condensed Consolidated Financial Statements (Unaudited) for further discussion.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477"/>
        <w:spacing w:after="0" w:line="257"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March 31, 2022, we had outstanding borrowings of approximately $109.6 million on our credit facility, all of such borrowings were subject to variable interest rates. If the variable rates on this debt were 100 basis points higher than the rate applicable to the borrowing during the three months period ended March 31, 2022, our net income would have decreased by $0.4 million, or $0.03 per diluted share. We do not currently have any derivative or hedging arrangements, or other known exposures,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77"/>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2022.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460" w:firstLine="477"/>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March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200" w:firstLine="477"/>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March 31, 2022 that have materially affected, or are reasonably likely to materially affect, our internal control over financial reporting.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80" w:firstLine="477"/>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77"/>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2021, filed on February 25, 2022.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29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90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INDEX</w:t>
            </w: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6"/>
              </w:rPr>
              <w:t>Exhibit</w:t>
            </w:r>
          </w:p>
        </w:tc>
        <w:tc>
          <w:tcPr>
            <w:tcW w:w="6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6"/>
              </w:rPr>
              <w:t>Incorporated by Reference</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34"/>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w w:val="92"/>
              </w:rPr>
              <w:t>Description of Document</w:t>
            </w:r>
          </w:p>
        </w:tc>
        <w:tc>
          <w:tcPr>
            <w:tcW w:w="2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File No.</w:t>
            </w: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Date Filing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960" w:right="100" w:hanging="616"/>
        <w:spacing w:after="0" w:line="277" w:lineRule="auto"/>
        <w:tabs>
          <w:tab w:leader="none" w:pos="940" w:val="left"/>
        </w:tabs>
        <w:rPr>
          <w:rFonts w:ascii="Arial" w:cs="Arial" w:eastAsia="Arial" w:hAnsi="Arial"/>
          <w:sz w:val="18"/>
          <w:szCs w:val="18"/>
          <w:u w:val="single" w:color="auto"/>
          <w:color w:val="0000EE"/>
        </w:rPr>
      </w:pPr>
      <w:hyperlink r:id="rId58">
        <w:r>
          <w:rPr>
            <w:rFonts w:ascii="Arial" w:cs="Arial" w:eastAsia="Arial" w:hAnsi="Arial"/>
            <w:sz w:val="18"/>
            <w:szCs w:val="18"/>
            <w:color w:val="0000EE"/>
          </w:rPr>
          <w:t>3.1</w:t>
        </w:r>
      </w:hyperlink>
      <w:r>
        <w:rPr>
          <w:rFonts w:ascii="Arial" w:cs="Arial" w:eastAsia="Arial" w:hAnsi="Arial"/>
          <w:sz w:val="18"/>
          <w:szCs w:val="18"/>
          <w:color w:val="0000EE"/>
        </w:rPr>
        <w:tab/>
      </w:r>
      <w:hyperlink r:id="rId58">
        <w:r>
          <w:rPr>
            <w:rFonts w:ascii="Arial" w:cs="Arial" w:eastAsia="Arial" w:hAnsi="Arial"/>
            <w:sz w:val="18"/>
            <w:szCs w:val="18"/>
            <w:u w:val="single" w:color="auto"/>
            <w:color w:val="0000EE"/>
          </w:rPr>
          <w:t>Amended and Restated Certificate of Incorporation of the Company dated as of</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October 27, 2009.</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184785</wp:posOffset>
            </wp:positionH>
            <wp:positionV relativeFrom="paragraph">
              <wp:posOffset>-182245</wp:posOffset>
            </wp:positionV>
            <wp:extent cx="171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0" w:lineRule="exact"/>
        <w:rPr>
          <w:rFonts w:ascii="Arial" w:cs="Arial" w:eastAsia="Arial" w:hAnsi="Arial"/>
          <w:sz w:val="18"/>
          <w:szCs w:val="18"/>
          <w:color w:val="0000EE"/>
        </w:rPr>
      </w:pPr>
    </w:p>
    <w:p>
      <w:pPr>
        <w:ind w:left="960" w:right="580" w:hanging="638"/>
        <w:spacing w:after="0" w:line="277" w:lineRule="auto"/>
        <w:tabs>
          <w:tab w:leader="none" w:pos="940" w:val="left"/>
        </w:tabs>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60">
        <w:r>
          <w:rPr>
            <w:rFonts w:ascii="Arial" w:cs="Arial" w:eastAsia="Arial" w:hAnsi="Arial"/>
            <w:sz w:val="18"/>
            <w:szCs w:val="18"/>
            <w:u w:val="single" w:color="auto"/>
            <w:color w:val="0000EE"/>
          </w:rPr>
          <w:t>Amended and Restated Bylaws of the Company, as amended by the First</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Amendment to the Amended and Restated Bylaws.</w:t>
        </w:r>
      </w:hyperlink>
    </w:p>
    <w:p>
      <w:pPr>
        <w:spacing w:after="0" w:line="170" w:lineRule="exact"/>
        <w:rPr>
          <w:rFonts w:ascii="Arial" w:cs="Arial" w:eastAsia="Arial" w:hAnsi="Arial"/>
          <w:sz w:val="18"/>
          <w:szCs w:val="18"/>
          <w:u w:val="single" w:color="auto"/>
          <w:color w:val="0000EE"/>
        </w:rPr>
      </w:pPr>
    </w:p>
    <w:p>
      <w:pPr>
        <w:ind w:left="320"/>
        <w:spacing w:after="0"/>
        <w:tabs>
          <w:tab w:leader="none" w:pos="940" w:val="left"/>
        </w:tabs>
        <w:rPr>
          <w:rFonts w:ascii="Arial" w:cs="Arial" w:eastAsia="Arial" w:hAnsi="Arial"/>
          <w:sz w:val="16"/>
          <w:szCs w:val="16"/>
          <w:u w:val="single" w:color="auto"/>
          <w:color w:val="0000EE"/>
        </w:rPr>
      </w:pPr>
      <w:hyperlink r:id="rId61">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61">
        <w:r>
          <w:rPr>
            <w:rFonts w:ascii="Arial" w:cs="Arial" w:eastAsia="Arial" w:hAnsi="Arial"/>
            <w:sz w:val="16"/>
            <w:szCs w:val="16"/>
            <w:u w:val="single" w:color="auto"/>
            <w:color w:val="0000EE"/>
          </w:rPr>
          <w:t>Form of Common Stock Certificate.</w:t>
        </w:r>
      </w:hyperlink>
    </w:p>
    <w:p>
      <w:pPr>
        <w:spacing w:after="0" w:line="225" w:lineRule="exact"/>
        <w:rPr>
          <w:sz w:val="20"/>
          <w:szCs w:val="20"/>
          <w:color w:val="auto"/>
        </w:rPr>
      </w:pPr>
    </w:p>
    <w:p>
      <w:pPr>
        <w:ind w:left="960" w:hanging="728"/>
        <w:spacing w:after="0" w:line="342" w:lineRule="auto"/>
        <w:tabs>
          <w:tab w:leader="none" w:pos="940" w:val="left"/>
        </w:tabs>
        <w:rPr>
          <w:rFonts w:ascii="Arial" w:cs="Arial" w:eastAsia="Arial" w:hAnsi="Arial"/>
          <w:sz w:val="16"/>
          <w:szCs w:val="16"/>
          <w:u w:val="single" w:color="auto"/>
          <w:color w:val="0000EE"/>
        </w:rPr>
      </w:pPr>
      <w:hyperlink w:anchor="page3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5">
        <w:r>
          <w:rPr>
            <w:rFonts w:ascii="Arial" w:cs="Arial" w:eastAsia="Arial" w:hAnsi="Arial"/>
            <w:sz w:val="16"/>
            <w:szCs w:val="16"/>
            <w:u w:val="single" w:color="auto"/>
            <w:color w:val="0000EE"/>
          </w:rPr>
          <w:t>Amended and Restated Employment and Non-Competition Agreement, effective</w:t>
        </w:r>
      </w:hyperlink>
      <w:r>
        <w:rPr>
          <w:rFonts w:ascii="Arial" w:cs="Arial" w:eastAsia="Arial" w:hAnsi="Arial"/>
          <w:sz w:val="16"/>
          <w:szCs w:val="16"/>
          <w:u w:val="single" w:color="auto"/>
          <w:color w:val="0000EE"/>
        </w:rPr>
        <w:t xml:space="preserve"> </w:t>
      </w:r>
      <w:hyperlink w:anchor="page35">
        <w:r>
          <w:rPr>
            <w:rFonts w:ascii="Arial" w:cs="Arial" w:eastAsia="Arial" w:hAnsi="Arial"/>
            <w:sz w:val="16"/>
            <w:szCs w:val="16"/>
            <w:u w:val="single" w:color="auto"/>
            <w:color w:val="0000EE"/>
          </w:rPr>
          <w:t>March 1, 2022, by and between Addus HealthCare, Inc. and Monica Raines.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90"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8"/>
              </w:rPr>
              <w:t>11/20/2009</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48"/>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05/9/2013</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40"/>
        </w:trPr>
        <w:tc>
          <w:tcPr>
            <w:tcW w:w="60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10/2/2009</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832" w:lineRule="exact"/>
        <w:rPr>
          <w:rFonts w:ascii="Arial" w:cs="Arial" w:eastAsia="Arial" w:hAnsi="Arial"/>
          <w:sz w:val="18"/>
          <w:szCs w:val="18"/>
          <w:u w:val="single" w:color="auto"/>
          <w:color w:val="0000EE"/>
        </w:rPr>
      </w:pPr>
    </w:p>
    <w:p>
      <w:pPr>
        <w:sectPr>
          <w:pgSz w:w="11900" w:h="16838" w:orient="portrait"/>
          <w:cols w:equalWidth="0" w:num="2">
            <w:col w:w="6780" w:space="360"/>
            <w:col w:w="4100"/>
          </w:cols>
          <w:pgMar w:left="320" w:top="108" w:right="339"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00" w:type="dxa"/>
            <w:vAlign w:val="bottom"/>
            <w:gridSpan w:val="2"/>
          </w:tcPr>
          <w:p>
            <w:pPr>
              <w:jc w:val="center"/>
              <w:ind w:right="380"/>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5720" w:type="dxa"/>
            <w:vAlign w:val="bottom"/>
            <w:gridSpan w:val="6"/>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Certification of Chief Executive Officer Pursuant to Rule 13a-14(a) of the</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Securities Exchange Act of 1934 as Adopted Pursuant to Section 302 of the</w:t>
              </w:r>
            </w:hyperlink>
          </w:p>
        </w:tc>
        <w:tc>
          <w:tcPr>
            <w:tcW w:w="280" w:type="dxa"/>
            <w:vAlign w:val="bottom"/>
            <w:gridSpan w:val="2"/>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Sarbanes-Oxley Act of 2002.</w:t>
              </w:r>
            </w:hyperlink>
          </w:p>
        </w:tc>
        <w:tc>
          <w:tcPr>
            <w:tcW w:w="3620" w:type="dxa"/>
            <w:vAlign w:val="bottom"/>
            <w:gridSpan w:val="5"/>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700" w:type="dxa"/>
            <w:vAlign w:val="bottom"/>
            <w:gridSpan w:val="2"/>
          </w:tcPr>
          <w:p>
            <w:pPr>
              <w:jc w:val="center"/>
              <w:ind w:right="380"/>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572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Chief Financial Officer Pursuant to Rule 13a-14(a) of the</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Securities Exchange Act of 1934 as Adopted Pursuant to Section 302 of the</w:t>
              </w:r>
            </w:hyperlink>
          </w:p>
        </w:tc>
        <w:tc>
          <w:tcPr>
            <w:tcW w:w="280" w:type="dxa"/>
            <w:vAlign w:val="bottom"/>
            <w:gridSpan w:val="2"/>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Sarbanes-Oxley Act of 2002.</w:t>
              </w:r>
            </w:hyperlink>
          </w:p>
        </w:tc>
        <w:tc>
          <w:tcPr>
            <w:tcW w:w="3620" w:type="dxa"/>
            <w:vAlign w:val="bottom"/>
            <w:gridSpan w:val="5"/>
          </w:tcPr>
          <w:p>
            <w:pPr>
              <w:spacing w:after="0"/>
              <w:rPr>
                <w:sz w:val="17"/>
                <w:szCs w:val="17"/>
                <w:color w:val="auto"/>
              </w:rPr>
            </w:pPr>
          </w:p>
        </w:tc>
      </w:tr>
      <w:tr>
        <w:trPr>
          <w:trHeight w:val="412"/>
        </w:trPr>
        <w:tc>
          <w:tcPr>
            <w:tcW w:w="880" w:type="dxa"/>
            <w:vAlign w:val="bottom"/>
            <w:gridSpan w:val="3"/>
          </w:tcPr>
          <w:p>
            <w:pPr>
              <w:jc w:val="center"/>
              <w:ind w:right="200"/>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5720" w:type="dxa"/>
            <w:vAlign w:val="bottom"/>
            <w:gridSpan w:val="6"/>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Certification of Chief Executive Officer Pursuant to 18 U.S.C. Section 1350, as</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Adopted Pursuant to Section 906 of the Sarbanes-Oxley Act of 2002.</w:t>
              </w:r>
            </w:hyperlink>
          </w:p>
        </w:tc>
        <w:tc>
          <w:tcPr>
            <w:tcW w:w="740" w:type="dxa"/>
            <w:vAlign w:val="bottom"/>
            <w:tcBorders>
              <w:top w:val="single" w:sz="8" w:color="0000EE"/>
            </w:tcBorders>
            <w:gridSpan w:val="4"/>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700" w:type="dxa"/>
            <w:vAlign w:val="bottom"/>
            <w:gridSpan w:val="2"/>
          </w:tcPr>
          <w:p>
            <w:pPr>
              <w:jc w:val="center"/>
              <w:ind w:right="380"/>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5720" w:type="dxa"/>
            <w:vAlign w:val="bottom"/>
            <w:gridSpan w:val="6"/>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Certification of Chief Financial Officer Pursuant to 18 U.S.C. Section 1350, as</w:t>
              </w:r>
            </w:hyperlink>
          </w:p>
        </w:tc>
      </w:tr>
      <w:tr>
        <w:trPr>
          <w:trHeight w:val="196"/>
        </w:trPr>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Adopted Pursuant to Section 906 of the Sarbanes-Oxley Act of 2002.</w:t>
              </w:r>
            </w:hyperlink>
          </w:p>
        </w:tc>
        <w:tc>
          <w:tcPr>
            <w:tcW w:w="6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101.INS</w:t>
            </w:r>
          </w:p>
        </w:tc>
        <w:tc>
          <w:tcPr>
            <w:tcW w:w="572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w w:val="95"/>
              </w:rPr>
              <w:t>Interactive Data File because its XBRL tags are embedded within the Inline</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6"/>
          </w:tcPr>
          <w:p>
            <w:pPr>
              <w:spacing w:after="0"/>
              <w:rPr>
                <w:sz w:val="20"/>
                <w:szCs w:val="20"/>
                <w:color w:val="auto"/>
              </w:rPr>
            </w:pPr>
            <w:r>
              <w:rPr>
                <w:rFonts w:ascii="Arial" w:cs="Arial" w:eastAsia="Arial" w:hAnsi="Arial"/>
                <w:sz w:val="18"/>
                <w:szCs w:val="18"/>
                <w:color w:val="auto"/>
              </w:rPr>
              <w:t>XBRL document).</w:t>
            </w:r>
          </w:p>
        </w:tc>
      </w:tr>
      <w:tr>
        <w:trPr>
          <w:trHeight w:val="432"/>
        </w:trPr>
        <w:tc>
          <w:tcPr>
            <w:tcW w:w="8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101.SCH</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97"/>
              </w:rPr>
              <w:t>101.CAL</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101.LAB</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432"/>
        </w:trPr>
        <w:tc>
          <w:tcPr>
            <w:tcW w:w="8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101.PRE</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432"/>
        </w:trPr>
        <w:tc>
          <w:tcPr>
            <w:tcW w:w="8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101.DEF</w:t>
            </w:r>
          </w:p>
        </w:tc>
        <w:tc>
          <w:tcPr>
            <w:tcW w:w="57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2" w:lineRule="exact"/>
        <w:rPr>
          <w:sz w:val="20"/>
          <w:szCs w:val="20"/>
          <w:color w:val="auto"/>
        </w:rPr>
      </w:pPr>
    </w:p>
    <w:p>
      <w:pPr>
        <w:ind w:left="960" w:right="4580" w:hanging="669"/>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57" w:lineRule="exact"/>
        <w:rPr>
          <w:sz w:val="20"/>
          <w:szCs w:val="20"/>
          <w:color w:val="auto"/>
        </w:rPr>
      </w:pPr>
    </w:p>
    <w:p>
      <w:pPr>
        <w:ind w:left="1100" w:hanging="74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May 3,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May 3,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60"/>
          </w:cols>
          <w:pgMar w:left="320" w:top="121" w:right="819" w:bottom="1440" w:gutter="0" w:footer="0" w:header="0"/>
        </w:sectPr>
      </w:pPr>
    </w:p>
    <w:bookmarkStart w:id="34" w:name="page35"/>
    <w:bookmarkEnd w:id="34"/>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AND NON-COMPETITION AGREEMENT</w:t>
      </w:r>
    </w:p>
    <w:p>
      <w:pPr>
        <w:spacing w:after="0" w:line="211" w:lineRule="exact"/>
        <w:rPr>
          <w:sz w:val="20"/>
          <w:szCs w:val="20"/>
          <w:color w:val="auto"/>
        </w:rPr>
      </w:pPr>
    </w:p>
    <w:p>
      <w:pPr>
        <w:jc w:val="both"/>
        <w:ind w:right="20" w:firstLine="1727"/>
        <w:spacing w:after="0" w:line="259" w:lineRule="auto"/>
        <w:rPr>
          <w:sz w:val="20"/>
          <w:szCs w:val="20"/>
          <w:color w:val="auto"/>
        </w:rPr>
      </w:pPr>
      <w:r>
        <w:rPr>
          <w:rFonts w:ascii="Arial" w:cs="Arial" w:eastAsia="Arial" w:hAnsi="Arial"/>
          <w:sz w:val="18"/>
          <w:szCs w:val="18"/>
          <w:color w:val="auto"/>
        </w:rPr>
        <w:t>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March 1,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Monica Raines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Executive are hereinafter sometimes referred to individually as a “Party”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desire to enter this Agreement to secure the Executive’s employment, all on the terms and conditions set forth herein;</w:t>
      </w:r>
    </w:p>
    <w:p>
      <w:pPr>
        <w:spacing w:after="0" w:line="24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by virtue of the Executive’s employment by the Company pursuant to the terms hereof, the Executive will obtain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familiar with certain valuable confidential and proprietary information relating to the Addus HealthCare Group;</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u w:val="single" w:color="auto"/>
          <w:color w:val="auto"/>
        </w:rPr>
        <w:t>Effectiveness; Term of Employment.</w:t>
      </w:r>
    </w:p>
    <w:p>
      <w:pPr>
        <w:spacing w:after="0" w:line="229" w:lineRule="exact"/>
        <w:rPr>
          <w:sz w:val="20"/>
          <w:szCs w:val="20"/>
          <w:color w:val="auto"/>
        </w:rPr>
      </w:pPr>
    </w:p>
    <w:p>
      <w:pPr>
        <w:ind w:left="1700" w:hanging="842"/>
        <w:spacing w:after="0"/>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252" w:lineRule="exact"/>
        <w:rPr>
          <w:rFonts w:ascii="Arial" w:cs="Arial" w:eastAsia="Arial" w:hAnsi="Arial"/>
          <w:sz w:val="18"/>
          <w:szCs w:val="18"/>
          <w:color w:val="auto"/>
        </w:rPr>
      </w:pPr>
    </w:p>
    <w:p>
      <w:pPr>
        <w:jc w:val="both"/>
        <w:ind w:left="1700" w:hanging="842"/>
        <w:spacing w:after="0" w:line="283" w:lineRule="auto"/>
        <w:tabs>
          <w:tab w:leader="none" w:pos="1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hereby employs the Executive, and the Executive hereby accepts employment by the Company, for the period commencing as of the Effective Date and ending on the first (1</w:t>
      </w:r>
      <w:r>
        <w:rPr>
          <w:rFonts w:ascii="Arial" w:cs="Arial" w:eastAsia="Arial" w:hAnsi="Arial"/>
          <w:sz w:val="13"/>
          <w:szCs w:val="13"/>
          <w:color w:val="auto"/>
        </w:rPr>
        <w:t>st</w:t>
      </w:r>
      <w:r>
        <w:rPr>
          <w:rFonts w:ascii="Arial" w:cs="Arial" w:eastAsia="Arial" w:hAnsi="Arial"/>
          <w:sz w:val="16"/>
          <w:szCs w:val="16"/>
          <w:color w:val="auto"/>
        </w:rPr>
        <w:t>) anniversary of the Effective Date, or on such earlier date as provided pursuant to the terms and conditions of this Agreement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6"/>
          <w:szCs w:val="16"/>
          <w:u w:val="single" w:color="auto"/>
          <w:color w:val="auto"/>
        </w:rPr>
        <w:t>Additional Employment Term</w:t>
      </w:r>
      <w:r>
        <w:rPr>
          <w:rFonts w:ascii="Arial" w:cs="Arial" w:eastAsia="Arial" w:hAnsi="Arial"/>
          <w:sz w:val="16"/>
          <w:szCs w:val="16"/>
          <w:color w:val="auto"/>
        </w:rPr>
        <w:t>” and together with the Initial Employment Term,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unless either Party provides notice to the other of its or his/her intention not to renew this Agreement at least thirty (30) days prior to the expiration of the Initial Employment Term or any Additional Employment Term (a “</w:t>
      </w:r>
      <w:r>
        <w:rPr>
          <w:rFonts w:ascii="Arial" w:cs="Arial" w:eastAsia="Arial" w:hAnsi="Arial"/>
          <w:sz w:val="16"/>
          <w:szCs w:val="16"/>
          <w:u w:val="single" w:color="auto"/>
          <w:color w:val="auto"/>
        </w:rPr>
        <w:t>Non-Renewal</w:t>
      </w:r>
      <w:r>
        <w:rPr>
          <w:rFonts w:ascii="Arial" w:cs="Arial" w:eastAsia="Arial" w:hAnsi="Arial"/>
          <w:sz w:val="16"/>
          <w:szCs w:val="16"/>
          <w:color w:val="auto"/>
        </w:rPr>
        <w:t>”). During the Employment Term, the Executive shall (i) devote substantially all of his/her professional time, loyalty, and efforts to discharge his/her duties hereunder on a timely basis; (ii) use his/her best efforts to loyally and diligently serve the business and affairs of the Addus HealthCare Group; and (iii) endeavor in all respects to promote, advance and further the Addus HealthCare Group’s interests in all matters. To the extent it does not interfere with Executive’s duties hereunder in any material respect, the Parties agree that this provision should not be construed as limiting Executive’s right to serve on up to one</w:t>
      </w:r>
    </w:p>
    <w:p>
      <w:pPr>
        <w:spacing w:after="0" w:line="2" w:lineRule="exact"/>
        <w:rPr>
          <w:rFonts w:ascii="Arial" w:cs="Arial" w:eastAsia="Arial" w:hAnsi="Arial"/>
          <w:sz w:val="16"/>
          <w:szCs w:val="16"/>
          <w:color w:val="auto"/>
        </w:rPr>
      </w:pPr>
    </w:p>
    <w:p>
      <w:pPr>
        <w:ind w:left="1700" w:right="20"/>
        <w:spacing w:after="0" w:line="260" w:lineRule="auto"/>
        <w:rPr>
          <w:rFonts w:ascii="Arial" w:cs="Arial" w:eastAsia="Arial" w:hAnsi="Arial"/>
          <w:sz w:val="16"/>
          <w:szCs w:val="16"/>
          <w:color w:val="auto"/>
        </w:rPr>
      </w:pPr>
      <w:r>
        <w:rPr>
          <w:rFonts w:ascii="Arial" w:cs="Arial" w:eastAsia="Arial" w:hAnsi="Arial"/>
          <w:sz w:val="18"/>
          <w:szCs w:val="18"/>
          <w:color w:val="auto"/>
        </w:rPr>
        <w:t>(1) board of, or otherwise engage in activities on behalf of, charitable and civic organizations and, upon prior written approval of the Company, one (1) board of a for profit entity that does not compete with the business of the Company.</w:t>
      </w:r>
    </w:p>
    <w:p>
      <w:pPr>
        <w:spacing w:after="0" w:line="181" w:lineRule="exact"/>
        <w:rPr>
          <w:rFonts w:ascii="Arial" w:cs="Arial" w:eastAsia="Arial" w:hAnsi="Arial"/>
          <w:sz w:val="16"/>
          <w:szCs w:val="16"/>
          <w:color w:val="auto"/>
        </w:rPr>
      </w:pPr>
    </w:p>
    <w:p>
      <w:pPr>
        <w:ind w:left="860" w:hanging="852"/>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Duties.</w:t>
      </w:r>
    </w:p>
    <w:p>
      <w:pPr>
        <w:spacing w:after="0" w:line="229"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7"/>
          <w:szCs w:val="17"/>
          <w:color w:val="auto"/>
        </w:rPr>
        <w:t>During the Employment Term, the Company will employ the Executive as its Executive Vice President - Chief Compliance and Quality Officer, a senior executive position that reports directly to the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of the Company. The Executive’s principal duties and responsibilities shall be to oversee and direct the operations of the Addus HealthCare Group including the management and delivery of home care and adult day care services and the performance of such other executive duties and responsibilities as may be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him/her by the CEO or the Board of Directors and are consistent with the Executive’s position as Chief Compliance and Quality Officer of the Company.</w:t>
      </w:r>
    </w:p>
    <w:p>
      <w:pPr>
        <w:spacing w:after="0" w:line="244" w:lineRule="exact"/>
        <w:rPr>
          <w:sz w:val="20"/>
          <w:szCs w:val="20"/>
          <w:color w:val="auto"/>
        </w:rPr>
      </w:pPr>
    </w:p>
    <w:p>
      <w:pPr>
        <w:ind w:left="860" w:hanging="852"/>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221" w:lineRule="exact"/>
        <w:rPr>
          <w:sz w:val="20"/>
          <w:szCs w:val="20"/>
          <w:color w:val="auto"/>
        </w:rPr>
      </w:pPr>
    </w:p>
    <w:p>
      <w:pPr>
        <w:jc w:val="both"/>
        <w:ind w:left="1700" w:hanging="842"/>
        <w:spacing w:after="0" w:line="256"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The Company shall pay the Executive a base salary at the annual rate of Three Hundred Thousand Dollars ($300,000),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b w:val="1"/>
          <w:bCs w:val="1"/>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b w:val="1"/>
          <w:bCs w:val="1"/>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1700" w:hanging="842"/>
        <w:spacing w:after="0" w:line="289" w:lineRule="auto"/>
        <w:tabs>
          <w:tab w:leader="none" w:pos="1700" w:val="left"/>
        </w:tabs>
        <w:numPr>
          <w:ilvl w:val="1"/>
          <w:numId w:val="18"/>
        </w:numPr>
        <w:rPr>
          <w:rFonts w:ascii="Arial" w:cs="Arial" w:eastAsia="Arial" w:hAnsi="Arial"/>
          <w:sz w:val="16"/>
          <w:szCs w:val="16"/>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color w:val="auto"/>
        </w:rPr>
        <w:t>. The Executive, at the discretion of the Compensation Committee, shall be eligible (but not entitled) to receive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bonus as set forth on Exhibit A hereto. The Compensation Committee, at its sole discretion, may 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166" w:lineRule="exact"/>
        <w:rPr>
          <w:rFonts w:ascii="Arial" w:cs="Arial" w:eastAsia="Arial" w:hAnsi="Arial"/>
          <w:sz w:val="16"/>
          <w:szCs w:val="16"/>
          <w:color w:val="auto"/>
        </w:rPr>
      </w:pPr>
    </w:p>
    <w:p>
      <w:pPr>
        <w:jc w:val="both"/>
        <w:ind w:left="1700" w:hanging="842"/>
        <w:spacing w:after="0" w:line="261"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The Executive shall be eligible to receive equity awards and, as of the Effective Date, Executive would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acquire 19,000 unrestricted shares of Addus common stock and granted 2,900 restricted shares of Addus common stock (the “Initial Grants”). The Initial Grants vest annually over a four-year period, subject to the terms and conditions set forth in the Company’s stock incentive plan and the respective stock agreements.</w:t>
      </w:r>
    </w:p>
    <w:p>
      <w:pPr>
        <w:spacing w:after="0" w:line="179" w:lineRule="exact"/>
        <w:rPr>
          <w:rFonts w:ascii="Arial" w:cs="Arial" w:eastAsia="Arial" w:hAnsi="Arial"/>
          <w:sz w:val="18"/>
          <w:szCs w:val="18"/>
          <w:color w:val="auto"/>
        </w:rPr>
      </w:pPr>
    </w:p>
    <w:p>
      <w:pPr>
        <w:ind w:left="860" w:hanging="852"/>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It is recognized that the Executive, in the performance of his/her duties hereunder, may be required to expend sums for travel (e.g., airfare, automobile rental, etc.), entertainment, and lodging. During the Employment Term, the Company shall reimburse the Executive for reasonable business expenses incurred by him/her during the Employment Term in connection with the performance of his/her duties hereunder conditioned upon and subject to the Company’s established policies and procedures, including written receipt from the Executive of an itemized accounting in accordance with the Company’s regular business expense verification practices.</w:t>
      </w:r>
    </w:p>
    <w:p>
      <w:pPr>
        <w:spacing w:after="0" w:line="184" w:lineRule="exact"/>
        <w:rPr>
          <w:sz w:val="20"/>
          <w:szCs w:val="20"/>
          <w:color w:val="auto"/>
        </w:rPr>
      </w:pPr>
    </w:p>
    <w:p>
      <w:pPr>
        <w:ind w:left="860" w:hanging="852"/>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184" w:lineRule="exact"/>
        <w:rPr>
          <w:sz w:val="20"/>
          <w:szCs w:val="20"/>
          <w:color w:val="auto"/>
        </w:rPr>
      </w:pPr>
    </w:p>
    <w:p>
      <w:pPr>
        <w:jc w:val="both"/>
        <w:ind w:left="1700" w:hanging="842"/>
        <w:spacing w:after="0" w:line="254"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has chosen to forgo a traditional sick or vacation accrual policy for its executives. Instead, executives may request Paid Time Off (PTO). Executives do not “accrue” PTO days as in traditional plans, and therefore will not be compensated for any unused PTO time upon separation of employment. The Company has discretion to approve or deny PTO requests under this program.</w:t>
      </w:r>
    </w:p>
    <w:p>
      <w:pPr>
        <w:spacing w:after="0" w:line="2" w:lineRule="exact"/>
        <w:rPr>
          <w:rFonts w:ascii="Arial" w:cs="Arial" w:eastAsia="Arial" w:hAnsi="Arial"/>
          <w:sz w:val="18"/>
          <w:szCs w:val="18"/>
          <w:color w:val="auto"/>
        </w:rPr>
      </w:pPr>
    </w:p>
    <w:p>
      <w:pPr>
        <w:ind w:left="1700" w:hanging="842"/>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ind w:left="1700" w:hanging="842"/>
        <w:spacing w:after="0" w:line="286"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Coverage under the health benefit plan provided by the Company to its executives, which may change, at the sole discretion of the Board of Directors, from time to time. The Company will cover the Executive and his/her dependents, if any, during the Employment Term to the same extent and according to the same terms as the Company’s other executives are covered.</w:t>
      </w:r>
    </w:p>
    <w:p>
      <w:pPr>
        <w:spacing w:after="0" w:line="165" w:lineRule="exact"/>
        <w:rPr>
          <w:rFonts w:ascii="Arial" w:cs="Arial" w:eastAsia="Arial" w:hAnsi="Arial"/>
          <w:sz w:val="17"/>
          <w:szCs w:val="17"/>
          <w:color w:val="auto"/>
        </w:rPr>
      </w:pPr>
    </w:p>
    <w:p>
      <w:pPr>
        <w:ind w:left="1700" w:hanging="842"/>
        <w:spacing w:after="0" w:line="27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Life insurance policy with a face amount of up to five (5) times the Base Salary, provided that the Company shall not be required to spend greater than three percent (3%) of the Base Salary in purchasing such insurance policy.</w:t>
      </w:r>
    </w:p>
    <w:p>
      <w:pPr>
        <w:spacing w:after="0" w:line="170" w:lineRule="exact"/>
        <w:rPr>
          <w:rFonts w:ascii="Arial" w:cs="Arial" w:eastAsia="Arial" w:hAnsi="Arial"/>
          <w:sz w:val="18"/>
          <w:szCs w:val="18"/>
          <w:color w:val="auto"/>
        </w:rPr>
      </w:pPr>
    </w:p>
    <w:p>
      <w:pPr>
        <w:ind w:left="1700" w:hanging="842"/>
        <w:spacing w:after="0" w:line="308"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Short-term and long-term disability insurance to the same extent and according to the same terms as the Company’s other similarly-situated executives are covered, which may change, at the sole discretion of the Board of Directors, from time to time.</w:t>
      </w:r>
    </w:p>
    <w:p>
      <w:pPr>
        <w:spacing w:after="0" w:line="146" w:lineRule="exact"/>
        <w:rPr>
          <w:rFonts w:ascii="Arial" w:cs="Arial" w:eastAsia="Arial" w:hAnsi="Arial"/>
          <w:sz w:val="17"/>
          <w:szCs w:val="17"/>
          <w:color w:val="auto"/>
        </w:rPr>
      </w:pPr>
    </w:p>
    <w:p>
      <w:pPr>
        <w:ind w:left="1700" w:hanging="842"/>
        <w:spacing w:after="0" w:line="27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Chief Executive Officer.</w:t>
      </w:r>
    </w:p>
    <w:p>
      <w:pPr>
        <w:spacing w:after="0" w:line="170" w:lineRule="exact"/>
        <w:rPr>
          <w:rFonts w:ascii="Arial" w:cs="Arial" w:eastAsia="Arial" w:hAnsi="Arial"/>
          <w:sz w:val="18"/>
          <w:szCs w:val="18"/>
          <w:color w:val="auto"/>
        </w:rPr>
      </w:pPr>
    </w:p>
    <w:p>
      <w:pPr>
        <w:jc w:val="both"/>
        <w:ind w:left="1700" w:hanging="842"/>
        <w:spacing w:after="0" w:line="311" w:lineRule="auto"/>
        <w:tabs>
          <w:tab w:leader="none" w:pos="17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Participation in the Company’s 401(k) plan up to the defined Internal Revenue Service limit beginning 30 days after the Effective Date or such other date as required under the plan. The Company may provide an annual discretionary match of the Executive’s annual contribution to such plan during the Employment Term, subject to the Company’s established policies and procedures.</w:t>
      </w:r>
    </w:p>
    <w:p>
      <w:pPr>
        <w:spacing w:after="0" w:line="144" w:lineRule="exact"/>
        <w:rPr>
          <w:rFonts w:ascii="Arial" w:cs="Arial" w:eastAsia="Arial" w:hAnsi="Arial"/>
          <w:sz w:val="16"/>
          <w:szCs w:val="16"/>
          <w:color w:val="auto"/>
        </w:rPr>
      </w:pPr>
    </w:p>
    <w:p>
      <w:pPr>
        <w:ind w:left="860" w:hanging="852"/>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w:t>
      </w:r>
    </w:p>
    <w:p>
      <w:pPr>
        <w:spacing w:after="0" w:line="229" w:lineRule="exact"/>
        <w:rPr>
          <w:rFonts w:ascii="Arial" w:cs="Arial" w:eastAsia="Arial" w:hAnsi="Arial"/>
          <w:sz w:val="18"/>
          <w:szCs w:val="18"/>
          <w:color w:val="auto"/>
        </w:rPr>
      </w:pPr>
    </w:p>
    <w:p>
      <w:pPr>
        <w:ind w:left="1700" w:hanging="842"/>
        <w:spacing w:after="0" w:line="277"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pacing w:after="0" w:line="170" w:lineRule="exact"/>
        <w:rPr>
          <w:rFonts w:ascii="Arial" w:cs="Arial" w:eastAsia="Arial" w:hAnsi="Arial"/>
          <w:sz w:val="18"/>
          <w:szCs w:val="18"/>
          <w:color w:val="auto"/>
        </w:rPr>
      </w:pPr>
    </w:p>
    <w:p>
      <w:pPr>
        <w:jc w:val="both"/>
        <w:ind w:left="1740" w:hanging="5"/>
        <w:spacing w:after="0" w:line="254" w:lineRule="auto"/>
        <w:tabs>
          <w:tab w:leader="none" w:pos="2558" w:val="left"/>
        </w:tabs>
        <w:numPr>
          <w:ilvl w:val="2"/>
          <w:numId w:val="23"/>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his/her duties or obligations under this Agreement (except due to Disability, as defined below) that the Executive shall fail to cure after receipt of written notice of such breach or omission from the Company’s CEO or Board of Directors, which notice shall designate a reasonable period of time, if curable at all, of not less than ten (10) business days within which the breach or omission must be cured to the reasonable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194" w:lineRule="exact"/>
        <w:rPr>
          <w:rFonts w:ascii="Arial" w:cs="Arial" w:eastAsia="Arial" w:hAnsi="Arial"/>
          <w:sz w:val="18"/>
          <w:szCs w:val="18"/>
          <w:color w:val="auto"/>
        </w:rPr>
      </w:pPr>
    </w:p>
    <w:p>
      <w:pPr>
        <w:ind w:left="1740" w:hanging="5"/>
        <w:spacing w:after="0" w:line="277" w:lineRule="auto"/>
        <w:tabs>
          <w:tab w:leader="none" w:pos="2608" w:val="left"/>
        </w:tabs>
        <w:numPr>
          <w:ilvl w:val="2"/>
          <w:numId w:val="23"/>
        </w:numPr>
        <w:rPr>
          <w:rFonts w:ascii="Arial" w:cs="Arial" w:eastAsia="Arial" w:hAnsi="Arial"/>
          <w:sz w:val="18"/>
          <w:szCs w:val="18"/>
          <w:color w:val="auto"/>
        </w:rPr>
      </w:pPr>
      <w:r>
        <w:rPr>
          <w:rFonts w:ascii="Arial" w:cs="Arial" w:eastAsia="Arial" w:hAnsi="Arial"/>
          <w:sz w:val="18"/>
          <w:szCs w:val="18"/>
          <w:color w:val="auto"/>
        </w:rPr>
        <w:t>Willfully engaging in any action that materially damages, or that may reasonably be expected to materially damage, the Addus HealthCare Group or the business or goodwill thereof;</w:t>
      </w:r>
    </w:p>
    <w:p>
      <w:pPr>
        <w:spacing w:after="0" w:line="170" w:lineRule="exact"/>
        <w:rPr>
          <w:rFonts w:ascii="Arial" w:cs="Arial" w:eastAsia="Arial" w:hAnsi="Arial"/>
          <w:sz w:val="18"/>
          <w:szCs w:val="18"/>
          <w:color w:val="auto"/>
        </w:rPr>
      </w:pPr>
    </w:p>
    <w:p>
      <w:pPr>
        <w:ind w:left="2660" w:hanging="925"/>
        <w:spacing w:after="0"/>
        <w:tabs>
          <w:tab w:leader="none" w:pos="2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Breaching the Executive’s fiduciary duty to the Addus HealthCare Group;</w:t>
      </w:r>
    </w:p>
    <w:p>
      <w:pPr>
        <w:spacing w:after="0" w:line="225" w:lineRule="exact"/>
        <w:rPr>
          <w:rFonts w:ascii="Arial" w:cs="Arial" w:eastAsia="Arial" w:hAnsi="Arial"/>
          <w:sz w:val="18"/>
          <w:szCs w:val="18"/>
          <w:color w:val="auto"/>
        </w:rPr>
      </w:pPr>
    </w:p>
    <w:p>
      <w:pPr>
        <w:jc w:val="both"/>
        <w:ind w:left="1740" w:hanging="5"/>
        <w:spacing w:after="0" w:line="263" w:lineRule="auto"/>
        <w:tabs>
          <w:tab w:leader="none" w:pos="2648"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Committing any act involving fraud, misusing or misappropriating money or other property of the Addus HealthCare Group, committing a felony, using illegal drugs, misusing or abusing prescriptive or over-the-counter drugs, habitually using other intoxicants, or chronic absenteeism;</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225" w:lineRule="exact"/>
        <w:rPr>
          <w:rFonts w:ascii="Arial" w:cs="Arial" w:eastAsia="Arial" w:hAnsi="Arial"/>
          <w:sz w:val="18"/>
          <w:szCs w:val="18"/>
          <w:color w:val="auto"/>
        </w:rPr>
      </w:pPr>
    </w:p>
    <w:p>
      <w:pPr>
        <w:ind w:left="1740" w:hanging="5"/>
        <w:spacing w:after="0" w:line="277" w:lineRule="auto"/>
        <w:tabs>
          <w:tab w:leader="none" w:pos="2648"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Committing acts constituting gross insubordination, such as, without limitation, the intentional disregard of any reasonable directive of the CEO or the Board of Directors; or</w:t>
      </w:r>
    </w:p>
    <w:p>
      <w:pPr>
        <w:spacing w:after="0" w:line="170" w:lineRule="exact"/>
        <w:rPr>
          <w:rFonts w:ascii="Arial" w:cs="Arial" w:eastAsia="Arial" w:hAnsi="Arial"/>
          <w:sz w:val="18"/>
          <w:szCs w:val="18"/>
          <w:color w:val="auto"/>
        </w:rPr>
      </w:pPr>
    </w:p>
    <w:p>
      <w:pPr>
        <w:jc w:val="both"/>
        <w:ind w:left="1740" w:hanging="5"/>
        <w:spacing w:after="0" w:line="273" w:lineRule="auto"/>
        <w:tabs>
          <w:tab w:leader="none" w:pos="2698" w:val="left"/>
        </w:tabs>
        <w:numPr>
          <w:ilvl w:val="2"/>
          <w:numId w:val="23"/>
        </w:numPr>
        <w:rPr>
          <w:rFonts w:ascii="Arial" w:cs="Arial" w:eastAsia="Arial" w:hAnsi="Arial"/>
          <w:sz w:val="17"/>
          <w:szCs w:val="17"/>
          <w:color w:val="auto"/>
        </w:rPr>
      </w:pPr>
      <w:r>
        <w:rPr>
          <w:rFonts w:ascii="Arial" w:cs="Arial" w:eastAsia="Arial" w:hAnsi="Arial"/>
          <w:sz w:val="17"/>
          <w:szCs w:val="17"/>
          <w:color w:val="auto"/>
        </w:rPr>
        <w:t>failing to perform any material duty in a timely and effective manner and failing to cure any such performance deficiency after receipt of written notice of the deficiency from the CEO or Board of Directors, which notice shall designate the reasonable period of time, if curable at all, of not less than ten (10) days within which the performance deficiency must be cured to the reasonable satisfaction of the CEO or the Board of Directors, as applicable, in order to prevent a termination for reasonable cause; provided, however, that the Executive shall only be permitted the opportunity to cure such performance deficiencies a total of two times in any twelve (12)-month rolling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jc w:val="both"/>
        <w:ind w:left="1700" w:hanging="842"/>
        <w:spacing w:after="0" w:line="275" w:lineRule="auto"/>
        <w:tabs>
          <w:tab w:leader="none" w:pos="17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Executive’s employment hereunder shall be terminated in the event of his/her death, and the Company may terminate the Executive’s employment hereunder if the Executive suffers a physical or mental disability (a “</w:t>
      </w:r>
      <w:r>
        <w:rPr>
          <w:rFonts w:ascii="Arial" w:cs="Arial" w:eastAsia="Arial" w:hAnsi="Arial"/>
          <w:sz w:val="17"/>
          <w:szCs w:val="17"/>
          <w:u w:val="single" w:color="auto"/>
          <w:color w:val="auto"/>
        </w:rPr>
        <w:t>Disability</w:t>
      </w:r>
      <w:r>
        <w:rPr>
          <w:rFonts w:ascii="Arial" w:cs="Arial" w:eastAsia="Arial" w:hAnsi="Arial"/>
          <w:sz w:val="17"/>
          <w:szCs w:val="17"/>
          <w:color w:val="auto"/>
        </w:rPr>
        <w:t>”) so that the Executive is or, in the opinion of an independent physician retained by the Company for purposes of this determination will be, unable to perform his/her duties in a manner satisfactory to the Company for a period of ninety (90) days out of any one hundred eighty (180) consecutive-day period (in which event the Executive shall be deemed to have suffered a permanent Disability).</w:t>
      </w:r>
    </w:p>
    <w:p>
      <w:pPr>
        <w:spacing w:after="0" w:line="176" w:lineRule="exact"/>
        <w:rPr>
          <w:rFonts w:ascii="Arial" w:cs="Arial" w:eastAsia="Arial" w:hAnsi="Arial"/>
          <w:sz w:val="17"/>
          <w:szCs w:val="17"/>
          <w:color w:val="auto"/>
        </w:rPr>
      </w:pPr>
    </w:p>
    <w:p>
      <w:pPr>
        <w:ind w:left="1700" w:hanging="842"/>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252" w:lineRule="exact"/>
        <w:rPr>
          <w:rFonts w:ascii="Arial" w:cs="Arial" w:eastAsia="Arial" w:hAnsi="Arial"/>
          <w:sz w:val="18"/>
          <w:szCs w:val="18"/>
          <w:color w:val="auto"/>
        </w:rPr>
      </w:pPr>
    </w:p>
    <w:p>
      <w:pPr>
        <w:ind w:left="1700" w:hanging="842"/>
        <w:spacing w:after="0" w:line="308" w:lineRule="auto"/>
        <w:tabs>
          <w:tab w:leader="none" w:pos="17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142" w:lineRule="exact"/>
        <w:rPr>
          <w:rFonts w:ascii="Arial" w:cs="Arial" w:eastAsia="Arial" w:hAnsi="Arial"/>
          <w:sz w:val="17"/>
          <w:szCs w:val="17"/>
          <w:color w:val="auto"/>
        </w:rPr>
      </w:pPr>
    </w:p>
    <w:p>
      <w:pPr>
        <w:ind w:left="860" w:hanging="852"/>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Executive.</w:t>
      </w:r>
    </w:p>
    <w:p>
      <w:pPr>
        <w:spacing w:after="0" w:line="229"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6"/>
          <w:szCs w:val="16"/>
          <w:color w:val="auto"/>
        </w:rPr>
        <w:t xml:space="preserve">The Executive may terminate his/her employment with the Company (a) for Good Reason (as defined below) or (b) without Good Reason, in each case, upon not less than thirty (30) days prior written notice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(i) any reduction in the Executive’s Base Salary,</w:t>
      </w:r>
    </w:p>
    <w:p>
      <w:pPr>
        <w:spacing w:after="0" w:line="2" w:lineRule="exact"/>
        <w:rPr>
          <w:sz w:val="20"/>
          <w:szCs w:val="20"/>
          <w:color w:val="auto"/>
        </w:rPr>
      </w:pPr>
    </w:p>
    <w:p>
      <w:pPr>
        <w:jc w:val="both"/>
        <w:ind w:firstLine="8"/>
        <w:spacing w:after="0" w:line="253"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material reduction to the Executive’s employment duties and responsibilities, (iii) any material breach by the Company of any material term of this Agreement, other than a breach which is remedied by the Company within 10 days after receipt of written notice given by the Executive, (iv) a change in the Executive’s direct reporting duty to a person other than the CEO of the Company or the Board of Directors; or (v) the relocation of the Executive’s principal office to a location more than fifty (50) miles from Frisco, Texas.</w:t>
      </w:r>
    </w:p>
    <w:p>
      <w:pPr>
        <w:spacing w:after="0" w:line="189" w:lineRule="exact"/>
        <w:rPr>
          <w:sz w:val="20"/>
          <w:szCs w:val="20"/>
          <w:color w:val="auto"/>
        </w:rPr>
      </w:pPr>
    </w:p>
    <w:p>
      <w:pPr>
        <w:ind w:left="860" w:hanging="852"/>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and Obligations Upon Termination.</w:t>
      </w:r>
    </w:p>
    <w:p>
      <w:pPr>
        <w:spacing w:after="0" w:line="229" w:lineRule="exact"/>
        <w:rPr>
          <w:rFonts w:ascii="Arial" w:cs="Arial" w:eastAsia="Arial" w:hAnsi="Arial"/>
          <w:sz w:val="18"/>
          <w:szCs w:val="18"/>
          <w:color w:val="auto"/>
        </w:rPr>
      </w:pPr>
    </w:p>
    <w:p>
      <w:pPr>
        <w:jc w:val="both"/>
        <w:ind w:left="1700" w:hanging="842"/>
        <w:spacing w:after="0" w:line="286" w:lineRule="auto"/>
        <w:tabs>
          <w:tab w:leader="none" w:pos="1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Company pursuant to Section 6(a) or 6(b) hereof or by the Executive pursuant to Section 7(b) hereof, the Executive or his/her estate shall have no further rights against the Addus HealthCare Group hereunder, except for the right to receive, with respect to the period prior to the effective date of termination:</w:t>
      </w:r>
    </w:p>
    <w:p>
      <w:pPr>
        <w:spacing w:after="0" w:line="165" w:lineRule="exact"/>
        <w:rPr>
          <w:rFonts w:ascii="Arial" w:cs="Arial" w:eastAsia="Arial" w:hAnsi="Arial"/>
          <w:sz w:val="17"/>
          <w:szCs w:val="17"/>
          <w:color w:val="auto"/>
        </w:rPr>
      </w:pPr>
    </w:p>
    <w:p>
      <w:pPr>
        <w:ind w:left="2560" w:hanging="825"/>
        <w:spacing w:after="0"/>
        <w:tabs>
          <w:tab w:leader="none" w:pos="25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2"/>
          <w:numId w:val="27"/>
        </w:numPr>
        <w:rPr>
          <w:rFonts w:ascii="Arial" w:cs="Arial" w:eastAsia="Arial" w:hAnsi="Arial"/>
          <w:sz w:val="16"/>
          <w:szCs w:val="16"/>
          <w:color w:val="auto"/>
        </w:rPr>
      </w:pPr>
      <w:r>
        <w:rPr>
          <w:rFonts w:ascii="Arial" w:cs="Arial" w:eastAsia="Arial" w:hAnsi="Arial"/>
          <w:sz w:val="16"/>
          <w:szCs w:val="16"/>
          <w:color w:val="auto"/>
        </w:rPr>
        <w:t>Any accrued but unpaid benefits under Section 5 hereof for any period prior to the effective date of termination; and</w:t>
      </w:r>
    </w:p>
    <w:p>
      <w:pPr>
        <w:spacing w:after="0" w:line="248" w:lineRule="exact"/>
        <w:rPr>
          <w:rFonts w:ascii="Arial" w:cs="Arial" w:eastAsia="Arial" w:hAnsi="Arial"/>
          <w:sz w:val="16"/>
          <w:szCs w:val="16"/>
          <w:color w:val="auto"/>
        </w:rPr>
      </w:pPr>
    </w:p>
    <w:p>
      <w:pPr>
        <w:ind w:left="1740" w:hanging="5"/>
        <w:spacing w:after="0" w:line="277" w:lineRule="auto"/>
        <w:tabs>
          <w:tab w:leader="none" w:pos="2658" w:val="left"/>
        </w:tabs>
        <w:numPr>
          <w:ilvl w:val="2"/>
          <w:numId w:val="27"/>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as applicable.</w:t>
      </w:r>
    </w:p>
    <w:p>
      <w:pPr>
        <w:spacing w:after="0" w:line="170" w:lineRule="exact"/>
        <w:rPr>
          <w:sz w:val="20"/>
          <w:szCs w:val="20"/>
          <w:color w:val="auto"/>
        </w:rPr>
      </w:pPr>
    </w:p>
    <w:p>
      <w:pPr>
        <w:ind w:left="174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170" w:lineRule="exact"/>
        <w:rPr>
          <w:sz w:val="20"/>
          <w:szCs w:val="20"/>
          <w:color w:val="auto"/>
        </w:rPr>
      </w:pPr>
    </w:p>
    <w:p>
      <w:pPr>
        <w:jc w:val="both"/>
        <w:ind w:left="1700" w:hanging="842"/>
        <w:spacing w:after="0" w:line="263" w:lineRule="auto"/>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183" w:lineRule="exact"/>
        <w:rPr>
          <w:rFonts w:ascii="Arial" w:cs="Arial" w:eastAsia="Arial" w:hAnsi="Arial"/>
          <w:sz w:val="18"/>
          <w:szCs w:val="18"/>
          <w:color w:val="auto"/>
        </w:rPr>
      </w:pPr>
    </w:p>
    <w:p>
      <w:pPr>
        <w:ind w:left="2560" w:hanging="825"/>
        <w:spacing w:after="0"/>
        <w:tabs>
          <w:tab w:leader="none" w:pos="2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ind w:left="882" w:hanging="5"/>
        <w:spacing w:after="0" w:line="279" w:lineRule="auto"/>
        <w:tabs>
          <w:tab w:leader="none" w:pos="17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 rata portion of the bonus under Section 3(b) hereof based on what Executive would have been entitled to receive pursuant to the Company’s then-effective bonus plan had his/her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171" w:lineRule="exact"/>
        <w:rPr>
          <w:rFonts w:ascii="Arial" w:cs="Arial" w:eastAsia="Arial" w:hAnsi="Arial"/>
          <w:sz w:val="17"/>
          <w:szCs w:val="17"/>
          <w:color w:val="auto"/>
        </w:rPr>
      </w:pPr>
    </w:p>
    <w:p>
      <w:pPr>
        <w:ind w:left="882" w:hanging="5"/>
        <w:spacing w:after="0" w:line="277" w:lineRule="auto"/>
        <w:tabs>
          <w:tab w:leader="none" w:pos="17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170" w:lineRule="exact"/>
        <w:rPr>
          <w:rFonts w:ascii="Arial" w:cs="Arial" w:eastAsia="Arial" w:hAnsi="Arial"/>
          <w:sz w:val="18"/>
          <w:szCs w:val="18"/>
          <w:color w:val="auto"/>
        </w:rPr>
      </w:pPr>
    </w:p>
    <w:p>
      <w:pPr>
        <w:jc w:val="both"/>
        <w:ind w:left="882" w:hanging="5"/>
        <w:spacing w:after="0" w:line="253" w:lineRule="auto"/>
        <w:tabs>
          <w:tab w:leader="none" w:pos="17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8"/>
          <w:szCs w:val="18"/>
          <w:u w:val="single" w:color="auto"/>
          <w:color w:val="auto"/>
        </w:rPr>
        <w:t>Base Severance Pay</w:t>
      </w:r>
      <w:r>
        <w:rPr>
          <w:rFonts w:ascii="Arial" w:cs="Arial" w:eastAsia="Arial" w:hAnsi="Arial"/>
          <w:sz w:val="18"/>
          <w:szCs w:val="18"/>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94" w:lineRule="exact"/>
        <w:rPr>
          <w:sz w:val="20"/>
          <w:szCs w:val="20"/>
          <w:color w:val="auto"/>
        </w:rPr>
      </w:pPr>
    </w:p>
    <w:p>
      <w:pPr>
        <w:ind w:left="882"/>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Base Cash Compensation</w:t>
      </w:r>
      <w:r>
        <w:rPr>
          <w:rFonts w:ascii="Arial" w:cs="Arial" w:eastAsia="Arial" w:hAnsi="Arial"/>
          <w:sz w:val="16"/>
          <w:szCs w:val="16"/>
          <w:color w:val="auto"/>
        </w:rPr>
        <w:t>” shall mean the highest annual Base Salary in effect for the Executive.</w:t>
      </w:r>
    </w:p>
    <w:p>
      <w:pPr>
        <w:spacing w:after="0" w:line="248" w:lineRule="exact"/>
        <w:rPr>
          <w:sz w:val="20"/>
          <w:szCs w:val="20"/>
          <w:color w:val="auto"/>
        </w:rPr>
      </w:pPr>
    </w:p>
    <w:p>
      <w:pPr>
        <w:jc w:val="both"/>
        <w:ind w:left="842" w:hanging="842"/>
        <w:spacing w:after="0" w:line="291" w:lineRule="auto"/>
        <w:tabs>
          <w:tab w:leader="none" w:pos="8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if the Executive’s employment is terminated by the Company pursuant to Section 6(c) or by the Executive pursuant to Section 7(a) or as a result of Non-Renewal by the Company, in each case within six</w:t>
      </w:r>
    </w:p>
    <w:p>
      <w:pPr>
        <w:jc w:val="both"/>
        <w:ind w:left="842"/>
        <w:spacing w:after="0" w:line="266" w:lineRule="auto"/>
        <w:rPr>
          <w:rFonts w:ascii="Arial" w:cs="Arial" w:eastAsia="Arial" w:hAnsi="Arial"/>
          <w:sz w:val="16"/>
          <w:szCs w:val="16"/>
          <w:color w:val="auto"/>
        </w:rPr>
      </w:pPr>
      <w:r>
        <w:rPr>
          <w:rFonts w:ascii="Arial" w:cs="Arial" w:eastAsia="Arial" w:hAnsi="Arial"/>
          <w:sz w:val="17"/>
          <w:szCs w:val="17"/>
          <w:color w:val="auto"/>
        </w:rPr>
        <w:t>(6)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7"/>
          <w:szCs w:val="17"/>
          <w:u w:val="single" w:color="auto"/>
          <w:color w:val="auto"/>
        </w:rPr>
        <w:t>Change of Control Severance Pay</w:t>
      </w:r>
      <w:r>
        <w:rPr>
          <w:rFonts w:ascii="Arial" w:cs="Arial" w:eastAsia="Arial" w:hAnsi="Arial"/>
          <w:sz w:val="17"/>
          <w:szCs w:val="17"/>
          <w:color w:val="auto"/>
        </w:rPr>
        <w:t>” and, together with Base Severance Pay, “</w:t>
      </w:r>
      <w:r>
        <w:rPr>
          <w:rFonts w:ascii="Arial" w:cs="Arial" w:eastAsia="Arial" w:hAnsi="Arial"/>
          <w:sz w:val="17"/>
          <w:szCs w:val="17"/>
          <w:u w:val="single" w:color="auto"/>
          <w:color w:val="auto"/>
        </w:rPr>
        <w:t>Severance Pay</w:t>
      </w:r>
      <w:r>
        <w:rPr>
          <w:rFonts w:ascii="Arial" w:cs="Arial" w:eastAsia="Arial" w:hAnsi="Arial"/>
          <w:sz w:val="17"/>
          <w:szCs w:val="17"/>
          <w:color w:val="auto"/>
        </w:rPr>
        <w:t>”),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“Change in Control”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w:t>
      </w:r>
    </w:p>
    <w:p>
      <w:pPr>
        <w:spacing w:after="0" w:line="396"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57" w:right="339" w:bottom="1440" w:gutter="0" w:footer="0" w:header="0"/>
        </w:sectPr>
      </w:pPr>
    </w:p>
    <w:bookmarkStart w:id="39" w:name="page40"/>
    <w:bookmarkEnd w:id="39"/>
    <w:p>
      <w:pPr>
        <w:jc w:val="both"/>
        <w:ind w:left="1700"/>
        <w:spacing w:after="0" w:line="255" w:lineRule="auto"/>
        <w:rPr>
          <w:sz w:val="20"/>
          <w:szCs w:val="20"/>
          <w:color w:val="auto"/>
        </w:rPr>
      </w:pPr>
      <w:r>
        <w:rPr>
          <w:rFonts w:ascii="Arial" w:cs="Arial" w:eastAsia="Arial" w:hAnsi="Arial"/>
          <w:sz w:val="18"/>
          <w:szCs w:val="18"/>
          <w:color w:val="auto"/>
        </w:rPr>
        <w:t>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192" w:lineRule="exact"/>
        <w:rPr>
          <w:sz w:val="20"/>
          <w:szCs w:val="20"/>
          <w:color w:val="auto"/>
        </w:rPr>
      </w:pPr>
    </w:p>
    <w:p>
      <w:pPr>
        <w:jc w:val="both"/>
        <w:ind w:left="1740"/>
        <w:spacing w:after="0" w:line="269"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179" w:lineRule="exact"/>
        <w:rPr>
          <w:sz w:val="20"/>
          <w:szCs w:val="20"/>
          <w:color w:val="auto"/>
        </w:rPr>
      </w:pPr>
    </w:p>
    <w:p>
      <w:pPr>
        <w:jc w:val="both"/>
        <w:ind w:left="1700" w:hanging="842"/>
        <w:spacing w:after="0" w:line="271" w:lineRule="auto"/>
        <w:tabs>
          <w:tab w:leader="none" w:pos="1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7"/>
          <w:szCs w:val="17"/>
          <w:u w:val="single" w:color="auto"/>
          <w:color w:val="auto"/>
        </w:rPr>
        <w:t>Code §409A</w:t>
      </w:r>
      <w:r>
        <w:rPr>
          <w:rFonts w:ascii="Arial" w:cs="Arial" w:eastAsia="Arial" w:hAnsi="Arial"/>
          <w:sz w:val="17"/>
          <w:szCs w:val="17"/>
          <w:color w:val="auto"/>
        </w:rPr>
        <w:t>”) and (ii) conditioned upon the release, shall be made before the first day of the second calendar year, regardless of when the release is actually executed and returned to the Company.</w:t>
      </w:r>
    </w:p>
    <w:p>
      <w:pPr>
        <w:spacing w:after="0" w:line="174" w:lineRule="exact"/>
        <w:rPr>
          <w:rFonts w:ascii="Arial" w:cs="Arial" w:eastAsia="Arial" w:hAnsi="Arial"/>
          <w:sz w:val="17"/>
          <w:szCs w:val="17"/>
          <w:color w:val="auto"/>
        </w:rPr>
      </w:pPr>
    </w:p>
    <w:p>
      <w:pPr>
        <w:ind w:left="860" w:hanging="852"/>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Executive.</w:t>
      </w:r>
    </w:p>
    <w:p>
      <w:pPr>
        <w:spacing w:after="0" w:line="225" w:lineRule="exact"/>
        <w:rPr>
          <w:rFonts w:ascii="Arial" w:cs="Arial" w:eastAsia="Arial" w:hAnsi="Arial"/>
          <w:sz w:val="18"/>
          <w:szCs w:val="18"/>
          <w:color w:val="auto"/>
        </w:rPr>
      </w:pPr>
    </w:p>
    <w:p>
      <w:pPr>
        <w:ind w:left="1700" w:right="20" w:hanging="842"/>
        <w:spacing w:after="0" w:line="312" w:lineRule="auto"/>
        <w:tabs>
          <w:tab w:leader="none" w:pos="1700" w:val="left"/>
        </w:tabs>
        <w:numPr>
          <w:ilvl w:val="1"/>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Conflicts.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represents and warrants that he is not personally subject to any agreement, order, or decree that</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restricts his/her acceptance of this Agreement and performance of his/her duties with the Company hereunder.</w:t>
      </w:r>
    </w:p>
    <w:p>
      <w:pPr>
        <w:spacing w:after="0" w:line="139" w:lineRule="exact"/>
        <w:rPr>
          <w:rFonts w:ascii="Arial" w:cs="Arial" w:eastAsia="Arial" w:hAnsi="Arial"/>
          <w:sz w:val="17"/>
          <w:szCs w:val="17"/>
          <w:color w:val="auto"/>
        </w:rPr>
      </w:pPr>
    </w:p>
    <w:p>
      <w:pPr>
        <w:jc w:val="both"/>
        <w:ind w:left="1700" w:hanging="842"/>
        <w:spacing w:after="0" w:line="258" w:lineRule="auto"/>
        <w:tabs>
          <w:tab w:leader="none" w:pos="1700" w:val="left"/>
        </w:tabs>
        <w:numPr>
          <w:ilvl w:val="1"/>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 Non-Solicitation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Employment Term and during the Restrictive Period (as defined below),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without the prior written consent of the Company, directly or indirectly, in any capacity whatsoever, either on his/her own behalf or on behalf of any other person or entity whom he may manage, control, participate in, consult with, render services for, or be employed by or associated with, compete with the Business (as defined below) in any of the following described manners:</w:t>
      </w:r>
    </w:p>
    <w:p>
      <w:pPr>
        <w:spacing w:after="0" w:line="187" w:lineRule="exact"/>
        <w:rPr>
          <w:rFonts w:ascii="Arial" w:cs="Arial" w:eastAsia="Arial" w:hAnsi="Arial"/>
          <w:sz w:val="18"/>
          <w:szCs w:val="18"/>
          <w:color w:val="auto"/>
        </w:rPr>
      </w:pPr>
    </w:p>
    <w:p>
      <w:pPr>
        <w:jc w:val="both"/>
        <w:ind w:left="1740" w:hanging="5"/>
        <w:spacing w:after="0" w:line="263" w:lineRule="auto"/>
        <w:tabs>
          <w:tab w:leader="none" w:pos="2558" w:val="left"/>
        </w:tabs>
        <w:numPr>
          <w:ilvl w:val="2"/>
          <w:numId w:val="32"/>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183" w:lineRule="exact"/>
        <w:rPr>
          <w:rFonts w:ascii="Arial" w:cs="Arial" w:eastAsia="Arial" w:hAnsi="Arial"/>
          <w:sz w:val="18"/>
          <w:szCs w:val="18"/>
          <w:color w:val="auto"/>
        </w:rPr>
      </w:pPr>
    </w:p>
    <w:p>
      <w:pPr>
        <w:jc w:val="both"/>
        <w:ind w:left="1740" w:hanging="5"/>
        <w:spacing w:after="0" w:line="263" w:lineRule="auto"/>
        <w:tabs>
          <w:tab w:leader="none" w:pos="2608" w:val="left"/>
        </w:tabs>
        <w:numPr>
          <w:ilvl w:val="2"/>
          <w:numId w:val="32"/>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183" w:lineRule="exact"/>
        <w:rPr>
          <w:rFonts w:ascii="Arial" w:cs="Arial" w:eastAsia="Arial" w:hAnsi="Arial"/>
          <w:sz w:val="18"/>
          <w:szCs w:val="18"/>
          <w:color w:val="auto"/>
        </w:rPr>
      </w:pPr>
    </w:p>
    <w:p>
      <w:pPr>
        <w:jc w:val="both"/>
        <w:ind w:left="1740" w:hanging="5"/>
        <w:spacing w:after="0" w:line="263" w:lineRule="auto"/>
        <w:tabs>
          <w:tab w:leader="none" w:pos="2658"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83" w:lineRule="exact"/>
        <w:rPr>
          <w:rFonts w:ascii="Arial" w:cs="Arial" w:eastAsia="Arial" w:hAnsi="Arial"/>
          <w:sz w:val="18"/>
          <w:szCs w:val="18"/>
          <w:color w:val="auto"/>
        </w:rPr>
      </w:pPr>
    </w:p>
    <w:p>
      <w:pPr>
        <w:jc w:val="both"/>
        <w:ind w:left="1740" w:hanging="5"/>
        <w:spacing w:after="0" w:line="263" w:lineRule="auto"/>
        <w:tabs>
          <w:tab w:leader="none" w:pos="2648"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882"/>
        <w:spacing w:after="0"/>
        <w:rPr>
          <w:sz w:val="20"/>
          <w:szCs w:val="20"/>
          <w:color w:val="auto"/>
        </w:rPr>
      </w:pPr>
      <w:r>
        <w:rPr>
          <w:rFonts w:ascii="Arial" w:cs="Arial" w:eastAsia="Arial" w:hAnsi="Arial"/>
          <w:sz w:val="16"/>
          <w:szCs w:val="16"/>
          <w:color w:val="auto"/>
        </w:rPr>
        <w:t>source, supplier, vendor, licensee, or business relation, on the one hand, and the Addus HealthCare Group, on the other hand.</w:t>
      </w:r>
    </w:p>
    <w:p>
      <w:pPr>
        <w:spacing w:after="0" w:line="248" w:lineRule="exact"/>
        <w:rPr>
          <w:sz w:val="20"/>
          <w:szCs w:val="20"/>
          <w:color w:val="auto"/>
        </w:rPr>
      </w:pPr>
    </w:p>
    <w:p>
      <w:pPr>
        <w:jc w:val="both"/>
        <w:ind w:left="882"/>
        <w:spacing w:after="0" w:line="279"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Business</w:t>
      </w:r>
      <w:r>
        <w:rPr>
          <w:rFonts w:ascii="Arial" w:cs="Arial" w:eastAsia="Arial" w:hAnsi="Arial"/>
          <w:sz w:val="17"/>
          <w:szCs w:val="17"/>
          <w:color w:val="auto"/>
        </w:rPr>
        <w:t>” means the business of providing home care services of the type and nature that the Addus HealthCare Group performs and/or any other business activity in which the Addus HealthCare Group performs or program or service under active development proposed to be performed and/or any other business activity in which the Addus HealthCare Group becomes engaged in on or after the date hereof while the Executive is employed by the Company.</w:t>
      </w:r>
    </w:p>
    <w:p>
      <w:pPr>
        <w:spacing w:after="0" w:line="171" w:lineRule="exact"/>
        <w:rPr>
          <w:sz w:val="20"/>
          <w:szCs w:val="20"/>
          <w:color w:val="auto"/>
        </w:rPr>
      </w:pPr>
    </w:p>
    <w:p>
      <w:pPr>
        <w:jc w:val="both"/>
        <w:ind w:left="882"/>
        <w:spacing w:after="0" w:line="257"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Restrictive Period</w:t>
      </w:r>
      <w:r>
        <w:rPr>
          <w:rFonts w:ascii="Arial" w:cs="Arial" w:eastAsia="Arial" w:hAnsi="Arial"/>
          <w:sz w:val="18"/>
          <w:szCs w:val="18"/>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pacing w:after="0" w:line="188" w:lineRule="exact"/>
        <w:rPr>
          <w:sz w:val="20"/>
          <w:szCs w:val="20"/>
          <w:color w:val="auto"/>
        </w:rPr>
      </w:pPr>
    </w:p>
    <w:p>
      <w:pPr>
        <w:jc w:val="both"/>
        <w:ind w:left="882"/>
        <w:spacing w:after="0" w:line="255" w:lineRule="auto"/>
        <w:rPr>
          <w:sz w:val="20"/>
          <w:szCs w:val="20"/>
          <w:color w:val="auto"/>
        </w:rPr>
      </w:pPr>
      <w:r>
        <w:rPr>
          <w:rFonts w:ascii="Arial" w:cs="Arial" w:eastAsia="Arial" w:hAnsi="Arial"/>
          <w:sz w:val="18"/>
          <w:szCs w:val="18"/>
          <w:color w:val="auto"/>
        </w:rPr>
        <w:t>Notwithstanding the foregoing provisions, nothing herein shall prohibit the Executive from owning one percent (1%) or less of any securities of an Addus HealthCare Group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spacing w:after="0" w:line="188" w:lineRule="exact"/>
        <w:rPr>
          <w:sz w:val="20"/>
          <w:szCs w:val="20"/>
          <w:color w:val="auto"/>
        </w:rPr>
      </w:pPr>
    </w:p>
    <w:p>
      <w:pPr>
        <w:jc w:val="both"/>
        <w:ind w:left="842" w:hanging="842"/>
        <w:spacing w:after="0" w:line="282" w:lineRule="auto"/>
        <w:tabs>
          <w:tab w:leader="none" w:pos="842"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i w:val="1"/>
          <w:i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his/her duties hereunder, or as required by law, disclose any of such confidential information to any person, entity, or governmental authority without express authorization of the Company. This restriction shall not, however, prohibit the Executive from communicating with any Government Agency or otherwise participating in any investigation or proceeding that may be conducted by any Government Agency, including providing Company documents or other information, without consent of the Company. The Executive further agrees that he shall not, at any time during the Employment Term or thereafter, without the express prior written consent of the Company, directly or indirectly, in any capacity whatsoever, either on his/her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w:t>
      </w:r>
    </w:p>
    <w:p>
      <w:pPr>
        <w:spacing w:after="0" w:line="14" w:lineRule="exact"/>
        <w:rPr>
          <w:rFonts w:ascii="Arial" w:cs="Arial" w:eastAsia="Arial" w:hAnsi="Arial"/>
          <w:sz w:val="16"/>
          <w:szCs w:val="16"/>
          <w:color w:val="auto"/>
        </w:rPr>
      </w:pPr>
    </w:p>
    <w:p>
      <w:pPr>
        <w:jc w:val="both"/>
        <w:ind w:left="842" w:firstLine="9"/>
        <w:spacing w:after="0" w:line="253"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his/her employment that could have been obtained by him/her from public</w:t>
      </w:r>
    </w:p>
    <w:p>
      <w:pPr>
        <w:spacing w:after="0" w:line="200" w:lineRule="exact"/>
        <w:rPr>
          <w:sz w:val="20"/>
          <w:szCs w:val="20"/>
          <w:color w:val="auto"/>
        </w:rPr>
      </w:pPr>
    </w:p>
    <w:p>
      <w:pPr>
        <w:spacing w:after="0" w:line="202"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57" w:right="339" w:bottom="1440" w:gutter="0" w:footer="0" w:header="0"/>
        </w:sectPr>
      </w:pPr>
    </w:p>
    <w:bookmarkStart w:id="41" w:name="page42"/>
    <w:bookmarkEnd w:id="41"/>
    <w:p>
      <w:pPr>
        <w:jc w:val="both"/>
        <w:ind w:left="842"/>
        <w:spacing w:after="0" w:line="263" w:lineRule="auto"/>
        <w:rPr>
          <w:sz w:val="20"/>
          <w:szCs w:val="20"/>
          <w:color w:val="auto"/>
        </w:rPr>
      </w:pPr>
      <w:r>
        <w:rPr>
          <w:rFonts w:ascii="Arial" w:cs="Arial" w:eastAsia="Arial" w:hAnsi="Arial"/>
          <w:sz w:val="18"/>
          <w:szCs w:val="18"/>
          <w:color w:val="auto"/>
        </w:rPr>
        <w:t>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180" w:lineRule="exact"/>
        <w:rPr>
          <w:sz w:val="20"/>
          <w:szCs w:val="20"/>
          <w:color w:val="auto"/>
        </w:rPr>
      </w:pPr>
    </w:p>
    <w:p>
      <w:pPr>
        <w:jc w:val="both"/>
        <w:ind w:left="842" w:hanging="842"/>
        <w:spacing w:after="0" w:line="267" w:lineRule="auto"/>
        <w:tabs>
          <w:tab w:leader="none" w:pos="842"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Covenant Regarding Confidential and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will promptly disclose in writing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each 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his/her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186" w:lineRule="exact"/>
        <w:rPr>
          <w:rFonts w:ascii="Arial" w:cs="Arial" w:eastAsia="Arial" w:hAnsi="Arial"/>
          <w:sz w:val="17"/>
          <w:szCs w:val="17"/>
          <w:color w:val="auto"/>
        </w:rPr>
      </w:pPr>
    </w:p>
    <w:p>
      <w:pPr>
        <w:jc w:val="both"/>
        <w:ind w:left="842" w:hanging="842"/>
        <w:spacing w:after="0" w:line="261" w:lineRule="auto"/>
        <w:tabs>
          <w:tab w:leader="none" w:pos="84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179" w:lineRule="exact"/>
        <w:rPr>
          <w:rFonts w:ascii="Arial" w:cs="Arial" w:eastAsia="Arial" w:hAnsi="Arial"/>
          <w:sz w:val="18"/>
          <w:szCs w:val="18"/>
          <w:color w:val="auto"/>
        </w:rPr>
      </w:pPr>
    </w:p>
    <w:p>
      <w:pPr>
        <w:jc w:val="both"/>
        <w:ind w:left="842" w:hanging="842"/>
        <w:spacing w:after="0" w:line="266" w:lineRule="auto"/>
        <w:tabs>
          <w:tab w:leader="none" w:pos="84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color w:val="auto"/>
        </w:rPr>
        <w:t>. Upon termination of employment, the Executive shall return all originals and copies</w:t>
      </w:r>
      <w:r>
        <w:rPr>
          <w:rFonts w:ascii="Arial" w:cs="Arial" w:eastAsia="Arial" w:hAnsi="Arial"/>
          <w:sz w:val="18"/>
          <w:szCs w:val="18"/>
          <w:b w:val="1"/>
          <w:bCs w:val="1"/>
          <w:color w:val="auto"/>
        </w:rPr>
        <w:t xml:space="preserve"> </w:t>
      </w:r>
      <w:r>
        <w:rPr>
          <w:rFonts w:ascii="Arial" w:cs="Arial" w:eastAsia="Arial" w:hAnsi="Arial"/>
          <w:sz w:val="18"/>
          <w:szCs w:val="18"/>
          <w:color w:val="auto"/>
        </w:rPr>
        <w:t>of books, records, documents, customer lists, sales materials, tapes, keys, credit cards and other tangible property of Addus HealthCare Group within the Executive’s possession or under his/her control.</w:t>
      </w:r>
    </w:p>
    <w:p>
      <w:pPr>
        <w:spacing w:after="0" w:line="175" w:lineRule="exact"/>
        <w:rPr>
          <w:rFonts w:ascii="Arial" w:cs="Arial" w:eastAsia="Arial" w:hAnsi="Arial"/>
          <w:sz w:val="18"/>
          <w:szCs w:val="18"/>
          <w:color w:val="auto"/>
        </w:rPr>
      </w:pPr>
    </w:p>
    <w:p>
      <w:pPr>
        <w:jc w:val="both"/>
        <w:ind w:left="842" w:hanging="842"/>
        <w:spacing w:after="0" w:line="270" w:lineRule="auto"/>
        <w:tabs>
          <w:tab w:leader="none" w:pos="842" w:val="left"/>
        </w:tabs>
        <w:numPr>
          <w:ilvl w:val="0"/>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for Breach</w:t>
      </w:r>
      <w:r>
        <w:rPr>
          <w:rFonts w:ascii="Arial" w:cs="Arial" w:eastAsia="Arial" w:hAnsi="Arial"/>
          <w:sz w:val="17"/>
          <w:szCs w:val="17"/>
          <w:color w:val="auto"/>
        </w:rPr>
        <w:t>. In the event of a breach or threat of a breach of the provisions of this Section 9, the Executive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that such breach or threat of a breach will cause the Company to suffer irreparable harm and that the Company shall be entitled to an injunction restraining the Executive from breaching such provisions. The foregoing shall not, however, be construed as prohibiting the Company from having available to it any other remedy, either at law or in equity, for such breach or threatened breach, including, but not limited to, the immediate cessation of employment and any remaining Severance Pay and benefits pursuant to Section 8, the recovery of damages from the Executive, and the notification of any employer or prospective employer of the Executive as to the limitations and restrictions contained in this Agreement (without limiting or affecting the Executive’s obligations under the other paragraphs of this Section 9). In addition, the Executive also expressly acknowledges and agrees that, in addition to the foregoing rights and remedies, the Executive shall reimburse the Company for all attorneys’ fees, costs, and expenses incurred by Company to enforce the provisions of this Section 9.</w:t>
      </w:r>
    </w:p>
    <w:p>
      <w:pPr>
        <w:spacing w:after="0" w:line="390"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131445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57" w:right="339" w:bottom="1440" w:gutter="0" w:footer="0" w:header="0"/>
        </w:sectPr>
      </w:pPr>
    </w:p>
    <w:bookmarkStart w:id="42" w:name="page43"/>
    <w:bookmarkEnd w:id="42"/>
    <w:p>
      <w:pPr>
        <w:jc w:val="both"/>
        <w:ind w:left="1700" w:hanging="842"/>
        <w:spacing w:after="0" w:line="253"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color w:val="auto"/>
        </w:rPr>
        <w:t>. The Executive acknowledges that he will be directly and materially involved as a senior executive in all</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his/her employment with the Company, will have had access to the most confidential and important information of Addus HealthCare Group, its Business, and future plans. The Executive furthermore acknowledges that no unreasonable harm or injury will be suffered by him/her from enforcement of the covenants contained herein and that he will be able to earn a reasonable livelihood following termination of his/her employment notwithstanding enforcement of the covenants contained herein.</w:t>
      </w:r>
    </w:p>
    <w:p>
      <w:pPr>
        <w:spacing w:after="0" w:line="194" w:lineRule="exact"/>
        <w:rPr>
          <w:rFonts w:ascii="Arial" w:cs="Arial" w:eastAsia="Arial" w:hAnsi="Arial"/>
          <w:sz w:val="18"/>
          <w:szCs w:val="18"/>
          <w:color w:val="auto"/>
        </w:rPr>
      </w:pPr>
    </w:p>
    <w:p>
      <w:pPr>
        <w:jc w:val="both"/>
        <w:ind w:left="1700" w:hanging="842"/>
        <w:spacing w:after="0" w:line="256"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Set Off</w:t>
      </w:r>
      <w:r>
        <w:rPr>
          <w:rFonts w:ascii="Arial" w:cs="Arial" w:eastAsia="Arial" w:hAnsi="Arial"/>
          <w:sz w:val="18"/>
          <w:szCs w:val="18"/>
          <w:color w:val="auto"/>
        </w:rPr>
        <w:t>. In the event of a breach by the Executive of the provisions of this Agreement, the Company is hereby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187" w:lineRule="exact"/>
        <w:rPr>
          <w:rFonts w:ascii="Arial" w:cs="Arial" w:eastAsia="Arial" w:hAnsi="Arial"/>
          <w:sz w:val="18"/>
          <w:szCs w:val="18"/>
          <w:color w:val="auto"/>
        </w:rPr>
      </w:pPr>
    </w:p>
    <w:p>
      <w:pPr>
        <w:ind w:left="860" w:hanging="852"/>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 Agreement.</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This Agreement contains the entire understanding of the Parties with respect to the matters set forth herein. Each Party acknowledges that there are no warranties, representations, promises, covenants, or understandings of any kind except those that are expressly set forth in this Agreement. This Agreement supersedes and is in lieu of any and all other agreements between the Executive and the Company or its predecessor or any subsidiary, and any and all such employment agreements or arrangements are hereby terminated and deemed of no further force or effect.</w:t>
      </w:r>
    </w:p>
    <w:p>
      <w:pPr>
        <w:spacing w:after="0" w:line="167" w:lineRule="exact"/>
        <w:rPr>
          <w:sz w:val="20"/>
          <w:szCs w:val="20"/>
          <w:color w:val="auto"/>
        </w:rPr>
      </w:pPr>
    </w:p>
    <w:p>
      <w:pPr>
        <w:ind w:left="860" w:hanging="852"/>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him/her shall be void. The Company may assign all or any of its rights hereunder.</w:t>
      </w:r>
    </w:p>
    <w:p>
      <w:pPr>
        <w:spacing w:after="0" w:line="166" w:lineRule="exact"/>
        <w:rPr>
          <w:sz w:val="20"/>
          <w:szCs w:val="20"/>
          <w:color w:val="auto"/>
        </w:rPr>
      </w:pPr>
    </w:p>
    <w:p>
      <w:pPr>
        <w:ind w:left="860" w:hanging="852"/>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(except that email shall not be deemed given upon refusal thereof). Notice to each Party, if mailed or sent by overnight courier service, shall be to the following addresses:</w:t>
      </w:r>
    </w:p>
    <w:p>
      <w:pPr>
        <w:spacing w:after="0" w:line="171" w:lineRule="exact"/>
        <w:rPr>
          <w:sz w:val="20"/>
          <w:szCs w:val="20"/>
          <w:color w:val="auto"/>
        </w:rPr>
      </w:pPr>
    </w:p>
    <w:p>
      <w:pPr>
        <w:ind w:left="1700" w:hanging="84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Monica Raines</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6303 Cowboys Way</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Sean Gaffney, Chief Legal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left="1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221"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p>
    <w:p>
      <w:pPr>
        <w:spacing w:after="0" w:line="22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221" w:lineRule="exact"/>
        <w:rPr>
          <w:rFonts w:ascii="Arial" w:cs="Arial" w:eastAsia="Arial" w:hAnsi="Arial"/>
          <w:sz w:val="18"/>
          <w:szCs w:val="18"/>
          <w:color w:val="auto"/>
        </w:rPr>
      </w:pPr>
    </w:p>
    <w:p>
      <w:pPr>
        <w:ind w:left="860" w:hanging="852"/>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p>
    <w:p>
      <w:pPr>
        <w:spacing w:after="0" w:line="22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66" w:lineRule="exact"/>
        <w:rPr>
          <w:sz w:val="20"/>
          <w:szCs w:val="20"/>
          <w:color w:val="auto"/>
        </w:rPr>
      </w:pPr>
    </w:p>
    <w:p>
      <w:pPr>
        <w:ind w:left="860" w:hanging="852"/>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Invalidity of Any Provision.</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180" w:lineRule="exact"/>
        <w:rPr>
          <w:sz w:val="20"/>
          <w:szCs w:val="20"/>
          <w:color w:val="auto"/>
        </w:rPr>
      </w:pPr>
    </w:p>
    <w:p>
      <w:pPr>
        <w:ind w:left="860" w:hanging="852"/>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409A Compliance.</w:t>
      </w:r>
    </w:p>
    <w:p>
      <w:pPr>
        <w:spacing w:after="0" w:line="229"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6"/>
          <w:szCs w:val="16"/>
          <w:u w:val="single" w:color="auto"/>
          <w:color w:val="auto"/>
        </w:rPr>
        <w:t>Delay Period</w:t>
      </w:r>
      <w:r>
        <w:rPr>
          <w:rFonts w:ascii="Arial" w:cs="Arial" w:eastAsia="Arial" w:hAnsi="Arial"/>
          <w:sz w:val="16"/>
          <w:szCs w:val="16"/>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180" w:lineRule="exact"/>
        <w:rPr>
          <w:sz w:val="20"/>
          <w:szCs w:val="20"/>
          <w:color w:val="auto"/>
        </w:rPr>
      </w:pPr>
    </w:p>
    <w:p>
      <w:pPr>
        <w:ind w:left="860" w:hanging="852"/>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ind w:right="20" w:firstLine="864"/>
        <w:spacing w:after="0" w:line="308" w:lineRule="auto"/>
        <w:rPr>
          <w:sz w:val="20"/>
          <w:szCs w:val="20"/>
          <w:color w:val="auto"/>
        </w:rPr>
      </w:pPr>
      <w:r>
        <w:rPr>
          <w:rFonts w:ascii="Arial" w:cs="Arial" w:eastAsia="Arial" w:hAnsi="Arial"/>
          <w:sz w:val="17"/>
          <w:szCs w:val="17"/>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142" w:lineRule="exact"/>
        <w:rPr>
          <w:sz w:val="20"/>
          <w:szCs w:val="20"/>
          <w:color w:val="auto"/>
        </w:rPr>
      </w:pPr>
    </w:p>
    <w:p>
      <w:pPr>
        <w:ind w:left="860" w:hanging="852"/>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p>
    <w:p>
      <w:pPr>
        <w:spacing w:after="0" w:line="22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Obligations under this Agreement which by their nature would continue beyond the termination of this Agreement, including without limitation Sections 8 and 9, shall survive termination of this Agreement for any reason.</w:t>
      </w:r>
    </w:p>
    <w:p>
      <w:pPr>
        <w:spacing w:after="0" w:line="166" w:lineRule="exact"/>
        <w:rPr>
          <w:sz w:val="20"/>
          <w:szCs w:val="20"/>
          <w:color w:val="auto"/>
        </w:rPr>
      </w:pPr>
    </w:p>
    <w:p>
      <w:pPr>
        <w:ind w:left="860" w:hanging="852"/>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p>
    <w:p>
      <w:pPr>
        <w:spacing w:after="0" w:line="229"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w:t>
      </w:r>
    </w:p>
    <w:p>
      <w:pPr>
        <w:spacing w:after="0" w:line="4" w:lineRule="exact"/>
        <w:rPr>
          <w:sz w:val="20"/>
          <w:szCs w:val="20"/>
          <w:color w:val="auto"/>
        </w:rPr>
      </w:pPr>
    </w:p>
    <w:p>
      <w:pPr>
        <w:jc w:val="both"/>
        <w:ind w:firstLine="8"/>
        <w:spacing w:after="0" w:line="267" w:lineRule="auto"/>
        <w:tabs>
          <w:tab w:leader="none" w:pos="359" w:val="left"/>
        </w:tabs>
        <w:numPr>
          <w:ilvl w:val="0"/>
          <w:numId w:val="46"/>
        </w:numPr>
        <w:rPr>
          <w:rFonts w:ascii="Arial" w:cs="Arial" w:eastAsia="Arial" w:hAnsi="Arial"/>
          <w:sz w:val="17"/>
          <w:szCs w:val="17"/>
          <w:color w:val="auto"/>
        </w:rPr>
      </w:pPr>
      <w:r>
        <w:rPr>
          <w:rFonts w:ascii="Arial" w:cs="Arial" w:eastAsia="Arial" w:hAnsi="Arial"/>
          <w:sz w:val="17"/>
          <w:szCs w:val="17"/>
          <w:color w:val="auto"/>
        </w:rPr>
        <w:t>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180" w:lineRule="exact"/>
        <w:rPr>
          <w:sz w:val="20"/>
          <w:szCs w:val="20"/>
          <w:color w:val="auto"/>
        </w:rPr>
      </w:pPr>
    </w:p>
    <w:p>
      <w:pPr>
        <w:ind w:left="860" w:hanging="852"/>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p>
    <w:p>
      <w:pPr>
        <w:spacing w:after="0" w:line="229"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20 HAVE BEEN FULLY DISCUSSED BY THE PARTIES HERETO, AND THESE PROVISIONS SHALL BE SUBJECT TO NO EXCEPTIONS. NO PARTY HERETO HAS IN ANY WAY AGREED WITH OR REPRESENTED TO ANY OTHER PARTY HERETO THAT THE PROVISIONS OF THIS SECTION 20 WILL NOT BE FULLY ENFORCED IN ALL INSTANCES.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written above.</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Dirk Allison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 Dirk Allison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ind w:left="4740"/>
        <w:spacing w:after="0"/>
        <w:rPr>
          <w:sz w:val="20"/>
          <w:szCs w:val="20"/>
          <w:color w:val="auto"/>
        </w:rPr>
      </w:pPr>
      <w:r>
        <w:rPr>
          <w:rFonts w:ascii="Arial" w:cs="Arial" w:eastAsia="Arial" w:hAnsi="Arial"/>
          <w:sz w:val="18"/>
          <w:szCs w:val="18"/>
          <w:color w:val="auto"/>
        </w:rPr>
        <w:t>/s/ Monica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5715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Monica Raines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920"/>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131445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769" w:right="339" w:bottom="1440" w:gutter="0" w:footer="0" w:header="0"/>
        </w:sectPr>
      </w:pPr>
    </w:p>
    <w:bookmarkStart w:id="46" w:name="page47"/>
    <w:bookmarkEnd w:id="46"/>
    <w:p>
      <w:pPr>
        <w:ind w:left="52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 Executive is eligible to receive a bonus with a target amount of 75% of the Executive’s annual Base Salary during the applicable calendar year (pro-rated for any partial year, including, without limitation, the 2022 calendar year, during which Executive’s bonus will be pro-rated based on 2 months of employment at the Senior Vice President level and 10 months of employment as EVP, Chief Compliance and Quality Officer),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1240"/>
          </w:cols>
          <w:pgMar w:left="320" w:top="76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Date: May 3, 2022</w:t>
            </w:r>
          </w:p>
        </w:tc>
        <w:tc>
          <w:tcPr>
            <w:tcW w:w="7880" w:type="dxa"/>
            <w:vAlign w:val="bottom"/>
            <w:gridSpan w:val="2"/>
          </w:tcPr>
          <w:p>
            <w:pPr>
              <w:ind w:left="2120"/>
              <w:spacing w:after="0"/>
              <w:rPr>
                <w:sz w:val="20"/>
                <w:szCs w:val="20"/>
                <w:color w:val="auto"/>
              </w:rPr>
            </w:pPr>
            <w:r>
              <w:rPr>
                <w:rFonts w:ascii="Arial" w:cs="Arial" w:eastAsia="Arial" w:hAnsi="Arial"/>
                <w:sz w:val="16"/>
                <w:szCs w:val="16"/>
                <w:color w:val="auto"/>
              </w:rPr>
              <w:t>By: /s/ R. Dirk Allison</w:t>
            </w:r>
          </w:p>
        </w:tc>
      </w:tr>
      <w:tr>
        <w:trPr>
          <w:trHeight w:val="189"/>
        </w:trPr>
        <w:tc>
          <w:tcPr>
            <w:tcW w:w="3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60" w:type="dxa"/>
            <w:vAlign w:val="bottom"/>
          </w:tcPr>
          <w:p>
            <w:pPr>
              <w:spacing w:after="0"/>
              <w:rPr>
                <w:sz w:val="20"/>
                <w:szCs w:val="20"/>
                <w:color w:val="auto"/>
              </w:rPr>
            </w:pPr>
            <w:r>
              <w:rPr>
                <w:rFonts w:ascii="Arial" w:cs="Arial" w:eastAsia="Arial" w:hAnsi="Arial"/>
                <w:sz w:val="16"/>
                <w:szCs w:val="16"/>
                <w:color w:val="auto"/>
              </w:rPr>
              <w:t>Date: May 3, 2022</w:t>
            </w:r>
          </w:p>
        </w:tc>
        <w:tc>
          <w:tcPr>
            <w:tcW w:w="7880" w:type="dxa"/>
            <w:vAlign w:val="bottom"/>
            <w:gridSpan w:val="2"/>
          </w:tcPr>
          <w:p>
            <w:pPr>
              <w:ind w:left="2120"/>
              <w:spacing w:after="0"/>
              <w:rPr>
                <w:sz w:val="20"/>
                <w:szCs w:val="20"/>
                <w:color w:val="auto"/>
              </w:rPr>
            </w:pPr>
            <w:r>
              <w:rPr>
                <w:rFonts w:ascii="Arial" w:cs="Arial" w:eastAsia="Arial" w:hAnsi="Arial"/>
                <w:sz w:val="16"/>
                <w:szCs w:val="16"/>
                <w:color w:val="auto"/>
              </w:rPr>
              <w:t>By: /s/ Brian Poff</w:t>
            </w:r>
          </w:p>
        </w:tc>
      </w:tr>
      <w:tr>
        <w:trPr>
          <w:trHeight w:val="189"/>
        </w:trPr>
        <w:tc>
          <w:tcPr>
            <w:tcW w:w="3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March 31, 2022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May 3, 2022</w:t>
            </w:r>
          </w:p>
        </w:tc>
        <w:tc>
          <w:tcPr>
            <w:tcW w:w="7760" w:type="dxa"/>
            <w:vAlign w:val="bottom"/>
            <w:gridSpan w:val="2"/>
          </w:tcPr>
          <w:p>
            <w:pPr>
              <w:ind w:left="2260"/>
              <w:spacing w:after="0"/>
              <w:rPr>
                <w:sz w:val="20"/>
                <w:szCs w:val="20"/>
                <w:color w:val="auto"/>
              </w:rPr>
            </w:pPr>
            <w:r>
              <w:rPr>
                <w:rFonts w:ascii="Arial" w:cs="Arial" w:eastAsia="Arial" w:hAnsi="Arial"/>
                <w:sz w:val="16"/>
                <w:szCs w:val="16"/>
                <w:color w:val="auto"/>
              </w:rPr>
              <w:t>By:   /s/ R. Dirk Allison</w:t>
            </w:r>
          </w:p>
        </w:tc>
      </w:tr>
      <w:tr>
        <w:trPr>
          <w:trHeight w:val="189"/>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Chairman and Chief Executive Officer</w:t>
            </w: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on Form 10-Q for the fiscal quarter ended March 31, 2022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75" w:lineRule="exact"/>
        <w:rPr>
          <w:sz w:val="20"/>
          <w:szCs w:val="20"/>
          <w:color w:val="auto"/>
        </w:rPr>
      </w:pPr>
    </w:p>
    <w:p>
      <w:pPr>
        <w:ind w:left="880" w:hanging="841"/>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May 3, 2022</w:t>
            </w:r>
          </w:p>
        </w:tc>
        <w:tc>
          <w:tcPr>
            <w:tcW w:w="7760" w:type="dxa"/>
            <w:vAlign w:val="bottom"/>
            <w:gridSpan w:val="2"/>
          </w:tcPr>
          <w:p>
            <w:pPr>
              <w:ind w:left="2260"/>
              <w:spacing w:after="0"/>
              <w:rPr>
                <w:sz w:val="20"/>
                <w:szCs w:val="20"/>
                <w:color w:val="auto"/>
              </w:rPr>
            </w:pPr>
            <w:r>
              <w:rPr>
                <w:rFonts w:ascii="Arial" w:cs="Arial" w:eastAsia="Arial" w:hAnsi="Arial"/>
                <w:sz w:val="16"/>
                <w:szCs w:val="16"/>
                <w:color w:val="auto"/>
              </w:rPr>
              <w:t>By:   /s/ Brian Poff</w:t>
            </w:r>
          </w:p>
        </w:tc>
      </w:tr>
      <w:tr>
        <w:trPr>
          <w:trHeight w:val="189"/>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lvl w:ilvl="1">
      <w:lvlJc w:val="left"/>
      <w:lvlText w:val="(%2)"/>
      <w:numFmt w:val="decimal"/>
      <w:start w:val="1"/>
    </w:lvl>
  </w:abstractNum>
  <w:abstractNum w:abstractNumId="3">
    <w:nsid w:val="71F32454"/>
    <w:multiLevelType w:val="hybridMultilevel"/>
    <w:lvl w:ilvl="0">
      <w:lvlJc w:val="left"/>
      <w:lvlText w:val="%1."/>
      <w:numFmt w:val="decimal"/>
      <w:start w:val="7"/>
    </w:lvl>
    <w:lvl w:ilvl="1">
      <w:lvlJc w:val="left"/>
      <w:lvlText w:val="%2"/>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04"/>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lvl w:ilvl="1">
      <w:lvlJc w:val="left"/>
      <w:lvlText w:val="(%2)"/>
      <w:numFmt w:val="lowerLetter"/>
      <w:start w:val="1"/>
    </w:lvl>
  </w:abstractNum>
  <w:abstractNum w:abstractNumId="15">
    <w:nsid w:val="3006C83E"/>
    <w:multiLevelType w:val="hybridMultilevel"/>
    <w:lvl w:ilvl="0">
      <w:lvlJc w:val="left"/>
      <w:lvlText w:val="%1."/>
      <w:numFmt w:val="decimal"/>
      <w:start w:val="2"/>
    </w:lvl>
    <w:lvl w:ilvl="1">
      <w:lvlJc w:val="left"/>
      <w:lvlText w:val="%2"/>
      <w:numFmt w:val="lowerLetter"/>
      <w:start w:val="1"/>
    </w:lvl>
  </w:abstractNum>
  <w:abstractNum w:abstractNumId="16">
    <w:nsid w:val="614FD4A1"/>
    <w:multiLevelType w:val="hybridMultilevel"/>
    <w:lvl w:ilvl="0">
      <w:lvlJc w:val="left"/>
      <w:lvlText w:val="%1."/>
      <w:numFmt w:val="decimal"/>
      <w:start w:val="3"/>
    </w:lvl>
  </w:abstractNum>
  <w:abstractNum w:abstractNumId="17">
    <w:nsid w:val="419AC241"/>
    <w:multiLevelType w:val="hybridMultilevel"/>
    <w:lvl w:ilvl="0">
      <w:lvlJc w:val="left"/>
      <w:lvlText w:val="%1"/>
      <w:numFmt w:val="decimal"/>
      <w:start w:val="1"/>
    </w:lvl>
    <w:lvl w:ilvl="1">
      <w:lvlJc w:val="left"/>
      <w:lvlText w:val="(%2)"/>
      <w:numFmt w:val="lowerLetter"/>
      <w:start w:val="1"/>
    </w:lvl>
  </w:abstractNum>
  <w:abstractNum w:abstractNumId="18">
    <w:nsid w:val="5577F8E1"/>
    <w:multiLevelType w:val="hybridMultilevel"/>
    <w:lvl w:ilvl="0">
      <w:lvlJc w:val="left"/>
      <w:lvlText w:val="%1."/>
      <w:numFmt w:val="decimal"/>
      <w:start w:val="4"/>
    </w:lvl>
    <w:lvl w:ilvl="1">
      <w:lvlJc w:val="left"/>
      <w:lvlText w:val="%2"/>
      <w:numFmt w:val="lowerLetter"/>
      <w:start w:val="1"/>
    </w:lvl>
  </w:abstractNum>
  <w:abstractNum w:abstractNumId="19">
    <w:nsid w:val="440BADFC"/>
    <w:multiLevelType w:val="hybridMultilevel"/>
    <w:lvl w:ilvl="0">
      <w:lvlJc w:val="left"/>
      <w:lvlText w:val="%1."/>
      <w:numFmt w:val="decimal"/>
      <w:start w:val="5"/>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7724C67E"/>
    <w:multiLevelType w:val="hybridMultilevel"/>
    <w:lvl w:ilvl="0">
      <w:lvlJc w:val="left"/>
      <w:lvlText w:val="%1"/>
      <w:numFmt w:val="decimal"/>
      <w:start w:val="1"/>
    </w:lvl>
    <w:lvl w:ilvl="1">
      <w:lvlJc w:val="left"/>
      <w:lvlText w:val="(%2)"/>
      <w:numFmt w:val="lowerLetter"/>
      <w:start w:val="2"/>
    </w:lvl>
  </w:abstractNum>
  <w:abstractNum w:abstractNumId="24">
    <w:nsid w:val="5C482A97"/>
    <w:multiLevelType w:val="hybridMultilevel"/>
    <w:lvl w:ilvl="0">
      <w:lvlJc w:val="left"/>
      <w:lvlText w:val="%1."/>
      <w:numFmt w:val="decimal"/>
      <w:start w:val="7"/>
    </w:lvl>
    <w:lvl w:ilvl="1">
      <w:lvlJc w:val="left"/>
      <w:lvlText w:val="%2"/>
      <w:numFmt w:val="lowerLetter"/>
      <w:start w:val="1"/>
    </w:lvl>
  </w:abstractNum>
  <w:abstractNum w:abstractNumId="25">
    <w:nsid w:val="2463B9EA"/>
    <w:multiLevelType w:val="hybridMultilevel"/>
    <w:lvl w:ilvl="0">
      <w:lvlJc w:val="left"/>
      <w:lvlText w:val="(%1)"/>
      <w:numFmt w:val="lowerRoman"/>
      <w:start w:val="2"/>
    </w:lvl>
  </w:abstractNum>
  <w:abstractNum w:abstractNumId="26">
    <w:nsid w:val="5E884AD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
    <w:nsid w:val="51EAD36B"/>
    <w:multiLevelType w:val="hybridMultilevel"/>
    <w:lvl w:ilvl="0">
      <w:lvlJc w:val="left"/>
      <w:lvlText w:val="(%1)"/>
      <w:numFmt w:val="lowerLetter"/>
      <w:start w:val="2"/>
    </w:lvl>
    <w:lvl w:ilvl="1">
      <w:lvlJc w:val="left"/>
      <w:lvlText w:val="(%2)"/>
      <w:numFmt w:val="lowerLetter"/>
      <w:start w:val="9"/>
    </w:lvl>
  </w:abstractNum>
  <w:abstractNum w:abstractNumId="28">
    <w:nsid w:val="2D517796"/>
    <w:multiLevelType w:val="hybridMultilevel"/>
    <w:lvl w:ilvl="0">
      <w:lvlJc w:val="left"/>
      <w:lvlText w:val="(%1)"/>
      <w:numFmt w:val="lowerRoman"/>
      <w:start w:val="2"/>
    </w:lvl>
  </w:abstractNum>
  <w:abstractNum w:abstractNumId="29">
    <w:nsid w:val="580BD78F"/>
    <w:multiLevelType w:val="hybridMultilevel"/>
    <w:lvl w:ilvl="0">
      <w:lvlJc w:val="left"/>
      <w:lvlText w:val="(%1)"/>
      <w:numFmt w:val="lowerLetter"/>
      <w:start w:val="3"/>
    </w:lvl>
  </w:abstractNum>
  <w:abstractNum w:abstractNumId="30">
    <w:nsid w:val="153EA43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1">
    <w:nsid w:val="3855585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
    <w:nsid w:val="70A64E2A"/>
    <w:multiLevelType w:val="hybridMultilevel"/>
    <w:lvl w:ilvl="0">
      <w:lvlJc w:val="left"/>
      <w:lvlText w:val="(%1)"/>
      <w:numFmt w:val="lowerLetter"/>
      <w:start w:val="3"/>
    </w:lvl>
    <w:lvl w:ilvl="1">
      <w:lvlJc w:val="left"/>
      <w:lvlText w:val="(%2)"/>
      <w:numFmt w:val="lowerRoman"/>
      <w:start w:val="4"/>
    </w:lvl>
  </w:abstractNum>
  <w:abstractNum w:abstractNumId="33">
    <w:nsid w:val="6A2342EC"/>
    <w:multiLevelType w:val="hybridMultilevel"/>
    <w:lvl w:ilvl="0">
      <w:lvlJc w:val="left"/>
      <w:lvlText w:val="(%1)"/>
      <w:numFmt w:val="lowerLetter"/>
      <w:start w:val="4"/>
    </w:lvl>
  </w:abstractNum>
  <w:abstractNum w:abstractNumId="34">
    <w:nsid w:val="2A487CB0"/>
    <w:multiLevelType w:val="hybridMultilevel"/>
    <w:lvl w:ilvl="0">
      <w:lvlJc w:val="left"/>
      <w:lvlText w:val="%1"/>
      <w:numFmt w:val="decimal"/>
      <w:start w:val="1"/>
    </w:lvl>
    <w:lvl w:ilvl="1">
      <w:lvlJc w:val="left"/>
      <w:lvlText w:val="(%2)"/>
      <w:numFmt w:val="lowerLetter"/>
      <w:start w:val="8"/>
    </w:lvl>
  </w:abstractNum>
  <w:abstractNum w:abstractNumId="35">
    <w:nsid w:val="1D4ED43B"/>
    <w:multiLevelType w:val="hybridMultilevel"/>
    <w:lvl w:ilvl="0">
      <w:lvlJc w:val="left"/>
      <w:lvlText w:val="%1."/>
      <w:numFmt w:val="decimal"/>
      <w:start w:val="10"/>
    </w:lvl>
    <w:lvl w:ilvl="1">
      <w:lvlJc w:val="left"/>
      <w:lvlText w:val="%2"/>
      <w:numFmt w:val="lowerLetter"/>
      <w:start w:val="1"/>
    </w:lvl>
  </w:abstractNum>
  <w:abstractNum w:abstractNumId="36">
    <w:nsid w:val="725A06FB"/>
    <w:multiLevelType w:val="hybridMultilevel"/>
    <w:lvl w:ilvl="0">
      <w:lvlJc w:val="left"/>
      <w:lvlText w:val="%1."/>
      <w:numFmt w:val="decimal"/>
      <w:start w:val="11"/>
    </w:lvl>
  </w:abstractNum>
  <w:abstractNum w:abstractNumId="37">
    <w:nsid w:val="2CD89A32"/>
    <w:multiLevelType w:val="hybridMultilevel"/>
    <w:lvl w:ilvl="0">
      <w:lvlJc w:val="left"/>
      <w:lvlText w:val="%1."/>
      <w:numFmt w:val="decimal"/>
      <w:start w:val="12"/>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decimal"/>
      <w:start w:val="13"/>
    </w:lvl>
  </w:abstractNum>
  <w:abstractNum w:abstractNumId="40">
    <w:nsid w:val="4B588F54"/>
    <w:multiLevelType w:val="hybridMultilevel"/>
    <w:lvl w:ilvl="0">
      <w:lvlJc w:val="left"/>
      <w:lvlText w:val="%1."/>
      <w:numFmt w:val="decimal"/>
      <w:start w:val="15"/>
    </w:lvl>
  </w:abstractNum>
  <w:abstractNum w:abstractNumId="41">
    <w:nsid w:val="542289EC"/>
    <w:multiLevelType w:val="hybridMultilevel"/>
    <w:lvl w:ilvl="0">
      <w:lvlJc w:val="left"/>
      <w:lvlText w:val="%1."/>
      <w:numFmt w:val="decimal"/>
      <w:start w:val="16"/>
    </w:lvl>
  </w:abstractNum>
  <w:abstractNum w:abstractNumId="42">
    <w:nsid w:val="6DE91B18"/>
    <w:multiLevelType w:val="hybridMultilevel"/>
    <w:lvl w:ilvl="0">
      <w:lvlJc w:val="left"/>
      <w:lvlText w:val="%1."/>
      <w:numFmt w:val="decimal"/>
      <w:start w:val="17"/>
    </w:lvl>
  </w:abstractNum>
  <w:abstractNum w:abstractNumId="43">
    <w:nsid w:val="38437FDB"/>
    <w:multiLevelType w:val="hybridMultilevel"/>
    <w:lvl w:ilvl="0">
      <w:lvlJc w:val="left"/>
      <w:lvlText w:val="%1."/>
      <w:numFmt w:val="decimal"/>
      <w:start w:val="18"/>
    </w:lvl>
  </w:abstractNum>
  <w:abstractNum w:abstractNumId="44">
    <w:nsid w:val="7644A45C"/>
    <w:multiLevelType w:val="hybridMultilevel"/>
    <w:lvl w:ilvl="0">
      <w:lvlJc w:val="left"/>
      <w:lvlText w:val="%1."/>
      <w:numFmt w:val="decimal"/>
      <w:start w:val="19"/>
    </w:lvl>
  </w:abstractNum>
  <w:abstractNum w:abstractNumId="45">
    <w:nsid w:val="32FFF902"/>
    <w:multiLevelType w:val="hybridMultilevel"/>
    <w:lvl w:ilvl="0">
      <w:lvlJc w:val="left"/>
      <w:lvlText w:val="(%1)"/>
      <w:numFmt w:val="decimal"/>
      <w:start w:val="15"/>
    </w:lvl>
  </w:abstractNum>
  <w:abstractNum w:abstractNumId="46">
    <w:nsid w:val="684A481A"/>
    <w:multiLevelType w:val="hybridMultilevel"/>
    <w:lvl w:ilvl="0">
      <w:lvlJc w:val="left"/>
      <w:lvlText w:val="%1."/>
      <w:numFmt w:val="decimal"/>
      <w:start w:val="20"/>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58" Type="http://schemas.openxmlformats.org/officeDocument/2006/relationships/hyperlink" Target="http://www.sec.gov/Archives/edgar/data/1468328/000119312509238641/dex31.htm" TargetMode="External"/><Relationship Id="rId60" Type="http://schemas.openxmlformats.org/officeDocument/2006/relationships/hyperlink" Target="http://www.sec.gov/Archives/edgar/data/1468328/000119312513211165/d535575dex32.htm" TargetMode="External"/><Relationship Id="rId61" Type="http://schemas.openxmlformats.org/officeDocument/2006/relationships/hyperlink" Target="http://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2022-05-03T15:17:20Z</dcterms:created>
  <dcterms:modified xsi:type="dcterms:W3CDTF">2022-05-03T15:17:20Z</dcterms:modified>
</cp:coreProperties>
</file>