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55880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75565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66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September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-294640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8"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Borders>
              <w:top w:val="single" w:sz="8" w:color="auto"/>
            </w:tcBorders>
          </w:tcPr>
          <w:p>
            <w:pPr>
              <w:spacing w:after="0"/>
              <w:rPr>
                <w:sz w:val="19"/>
                <w:szCs w:val="19"/>
                <w:color w:val="auto"/>
              </w:rPr>
            </w:pP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2080" w:type="dxa"/>
            <w:vAlign w:val="bottom"/>
          </w:tcPr>
          <w:p>
            <w:pPr>
              <w:spacing w:after="0"/>
              <w:rPr>
                <w:sz w:val="18"/>
                <w:szCs w:val="18"/>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080" w:type="dxa"/>
            <w:vAlign w:val="bottom"/>
          </w:tcPr>
          <w:p>
            <w:pPr>
              <w:spacing w:after="0"/>
              <w:rPr>
                <w:sz w:val="20"/>
                <w:szCs w:val="20"/>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Identification No.)</w:t>
            </w:r>
          </w:p>
        </w:tc>
      </w:tr>
      <w:tr>
        <w:trPr>
          <w:trHeight w:val="387"/>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6303 Cowboys Way, Suite 600</w:t>
            </w:r>
          </w:p>
        </w:tc>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Frisco, TX</w:t>
            </w:r>
          </w:p>
        </w:tc>
        <w:tc>
          <w:tcPr>
            <w:tcW w:w="4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34"/>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80" w:type="dxa"/>
            <w:vAlign w:val="bottom"/>
          </w:tcPr>
          <w:p>
            <w:pPr>
              <w:spacing w:after="0"/>
              <w:rPr>
                <w:sz w:val="20"/>
                <w:szCs w:val="20"/>
                <w:color w:val="auto"/>
              </w:rPr>
            </w:pPr>
          </w:p>
        </w:tc>
        <w:tc>
          <w:tcPr>
            <w:tcW w:w="2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(Zip Code)</w:t>
            </w:r>
          </w:p>
        </w:tc>
      </w:tr>
    </w:tbl>
    <w:p>
      <w:pPr>
        <w:ind w:left="5060"/>
        <w:spacing w:after="0"/>
        <w:rPr>
          <w:sz w:val="20"/>
          <w:szCs w:val="20"/>
          <w:color w:val="auto"/>
        </w:rPr>
      </w:pPr>
      <w:r>
        <w:rPr>
          <w:rFonts w:ascii="Arial" w:cs="Arial" w:eastAsia="Arial" w:hAnsi="Arial"/>
          <w:sz w:val="18"/>
          <w:szCs w:val="18"/>
          <w:b w:val="1"/>
          <w:bCs w:val="1"/>
          <w:color w:val="auto"/>
        </w:rPr>
        <w:t>(469) 535-8200</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34" w:lineRule="exact"/>
        <w:rPr>
          <w:sz w:val="24"/>
          <w:szCs w:val="24"/>
          <w:color w:val="auto"/>
        </w:rPr>
      </w:pPr>
    </w:p>
    <w:p>
      <w:pPr>
        <w:ind w:right="6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7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95" w:lineRule="exact"/>
        <w:rPr>
          <w:sz w:val="24"/>
          <w:szCs w:val="24"/>
          <w:color w:val="auto"/>
        </w:rPr>
      </w:pPr>
    </w:p>
    <w:p>
      <w:pPr>
        <w:jc w:val="both"/>
        <w:ind w:right="40" w:firstLine="47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80" w:right="1340"/>
        <w:spacing w:after="0" w:line="24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25, 2021, Addus HomeCare Corporation had 15,927,411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68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6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99"/>
              </w:rPr>
              <w:t>ADDUS HOMECARE CORPORATION</w:t>
            </w:r>
          </w:p>
        </w:tc>
        <w:tc>
          <w:tcPr>
            <w:tcW w:w="6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0" w:type="dxa"/>
            <w:vAlign w:val="bottom"/>
            <w:gridSpan w:val="8"/>
          </w:tcPr>
          <w:p>
            <w:pPr>
              <w:jc w:val="center"/>
              <w:ind w:right="4180"/>
              <w:spacing w:after="0"/>
              <w:rPr>
                <w:sz w:val="20"/>
                <w:szCs w:val="20"/>
                <w:color w:val="auto"/>
              </w:rPr>
            </w:pPr>
            <w:r>
              <w:rPr>
                <w:rFonts w:ascii="Arial" w:cs="Arial" w:eastAsia="Arial" w:hAnsi="Arial"/>
                <w:sz w:val="18"/>
                <w:szCs w:val="18"/>
                <w:b w:val="1"/>
                <w:bCs w:val="1"/>
                <w:color w:val="auto"/>
                <w:w w:val="99"/>
              </w:rPr>
              <w:t>FORM 10-Q</w:t>
            </w:r>
          </w:p>
        </w:tc>
        <w:tc>
          <w:tcPr>
            <w:tcW w:w="6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0" w:type="dxa"/>
            <w:vAlign w:val="bottom"/>
            <w:gridSpan w:val="8"/>
          </w:tcPr>
          <w:p>
            <w:pPr>
              <w:jc w:val="center"/>
              <w:ind w:right="418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10460" w:type="dxa"/>
            <w:vAlign w:val="bottom"/>
            <w:gridSpan w:val="21"/>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2021 and December 31, 2020</w:t>
              </w:r>
            </w:hyperlink>
          </w:p>
        </w:tc>
        <w:tc>
          <w:tcPr>
            <w:tcW w:w="322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and Nine Months Ended September 30, 2021 and 2020</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Stockholders’ Equity For the Three and Nine Months Ended September 30, 2021 and 2020</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4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2021 and 2020</w:t>
              </w:r>
            </w:hyperlink>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960" w:type="dxa"/>
            <w:vAlign w:val="bottom"/>
            <w:tcBorders>
              <w:top w:val="single" w:sz="8" w:color="0000EE"/>
            </w:tcBorders>
            <w:gridSpan w:val="5"/>
          </w:tcPr>
          <w:p>
            <w:pPr>
              <w:spacing w:after="0"/>
              <w:rPr>
                <w:sz w:val="24"/>
                <w:szCs w:val="24"/>
                <w:color w:val="auto"/>
              </w:rPr>
            </w:pPr>
          </w:p>
        </w:tc>
        <w:tc>
          <w:tcPr>
            <w:tcW w:w="184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2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Item 4. Controls and Procedures</w:t>
              </w:r>
            </w:hyperlink>
          </w:p>
        </w:tc>
        <w:tc>
          <w:tcPr>
            <w:tcW w:w="780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60" w:type="dxa"/>
            <w:vAlign w:val="bottom"/>
          </w:tcPr>
          <w:p>
            <w:pPr>
              <w:spacing w:after="0"/>
              <w:rPr>
                <w:sz w:val="24"/>
                <w:szCs w:val="24"/>
                <w:color w:val="auto"/>
              </w:rPr>
            </w:pPr>
          </w:p>
        </w:tc>
        <w:tc>
          <w:tcPr>
            <w:tcW w:w="2580" w:type="dxa"/>
            <w:vAlign w:val="bottom"/>
            <w:tcBorders>
              <w:bottom w:val="single" w:sz="8" w:color="0000EE"/>
            </w:tcBorders>
            <w:gridSpan w:val="8"/>
          </w:tcPr>
          <w:p>
            <w:pPr>
              <w:ind w:left="20"/>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PART II. OTHER INFORMATION</w:t>
              </w:r>
            </w:hyperlink>
          </w:p>
        </w:tc>
        <w:tc>
          <w:tcPr>
            <w:tcW w:w="78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2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 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824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2. Unregistered Sales of Equity Securities and Use of Proceeds</w:t>
              </w:r>
            </w:hyperlink>
          </w:p>
        </w:tc>
        <w:tc>
          <w:tcPr>
            <w:tcW w:w="52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7"/>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3. Defaults Upon Senior Securities</w:t>
              </w:r>
            </w:hyperlink>
          </w:p>
        </w:tc>
        <w:tc>
          <w:tcPr>
            <w:tcW w:w="724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 Mine Safety Disclosures</w:t>
              </w:r>
            </w:hyperlink>
          </w:p>
        </w:tc>
        <w:tc>
          <w:tcPr>
            <w:tcW w:w="780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2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5.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 Exhibits</w:t>
              </w:r>
            </w:hyperlink>
          </w:p>
        </w:tc>
        <w:tc>
          <w:tcPr>
            <w:tcW w:w="826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76"/>
        </w:trPr>
        <w:tc>
          <w:tcPr>
            <w:tcW w:w="500" w:type="dxa"/>
            <w:vAlign w:val="bottom"/>
            <w:gridSpan w:val="2"/>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760" w:type="dxa"/>
            <w:vAlign w:val="bottom"/>
            <w:gridSpan w:val="12"/>
          </w:tcPr>
          <w:p>
            <w:pPr>
              <w:jc w:val="center"/>
              <w:ind w:left="2119"/>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1"/>
        </w:trPr>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 and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133,814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132,650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13,514</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299,707</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287,697</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497,919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71,549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36,424</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37,991</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606,594</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585,136</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924,915</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892,582</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35,815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Government stimulus advances</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32,087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112,533</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143,901</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220,707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193,901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254,331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230,005</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366,864</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373,906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15,913 and 15,826 shares</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September 30, 2021 and December 31, 2020, respectively</w:t>
            </w:r>
          </w:p>
        </w:tc>
        <w:tc>
          <w:tcPr>
            <w:tcW w:w="5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376,802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369,495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181,233</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558,051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924,915</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4"/>
              </w:rPr>
              <w:t>For the Three Months</w:t>
            </w:r>
          </w:p>
        </w:tc>
        <w:tc>
          <w:tcPr>
            <w:tcW w:w="240" w:type="dxa"/>
            <w:vAlign w:val="bottom"/>
          </w:tcPr>
          <w:p>
            <w:pPr>
              <w:spacing w:after="0"/>
              <w:rPr>
                <w:sz w:val="17"/>
                <w:szCs w:val="17"/>
                <w:color w:val="auto"/>
              </w:rPr>
            </w:pPr>
          </w:p>
        </w:tc>
        <w:tc>
          <w:tcPr>
            <w:tcW w:w="2400" w:type="dxa"/>
            <w:vAlign w:val="bottom"/>
            <w:gridSpan w:val="6"/>
          </w:tcPr>
          <w:p>
            <w:pPr>
              <w:ind w:left="300"/>
              <w:spacing w:after="0"/>
              <w:rPr>
                <w:sz w:val="20"/>
                <w:szCs w:val="20"/>
                <w:color w:val="auto"/>
              </w:rPr>
            </w:pPr>
            <w:r>
              <w:rPr>
                <w:rFonts w:ascii="Arial" w:cs="Arial" w:eastAsia="Arial" w:hAnsi="Arial"/>
                <w:sz w:val="16"/>
                <w:szCs w:val="16"/>
                <w:b w:val="1"/>
                <w:bCs w:val="1"/>
                <w:color w:val="auto"/>
              </w:rPr>
              <w:t>For the Nine Months</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90"/>
              </w:rPr>
              <w:t>Ended September 30,</w:t>
            </w:r>
          </w:p>
        </w:tc>
        <w:tc>
          <w:tcPr>
            <w:tcW w:w="240" w:type="dxa"/>
            <w:vAlign w:val="bottom"/>
          </w:tcPr>
          <w:p>
            <w:pPr>
              <w:spacing w:after="0"/>
              <w:rPr>
                <w:sz w:val="18"/>
                <w:szCs w:val="18"/>
                <w:color w:val="auto"/>
              </w:rPr>
            </w:pPr>
          </w:p>
        </w:tc>
        <w:tc>
          <w:tcPr>
            <w:tcW w:w="2400" w:type="dxa"/>
            <w:vAlign w:val="bottom"/>
            <w:gridSpan w:val="6"/>
          </w:tcPr>
          <w:p>
            <w:pPr>
              <w:ind w:left="28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442,804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139,881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For the Three Months Ended September 30, 2021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240" w:type="dxa"/>
            <w:vAlign w:val="bottom"/>
            <w:gridSpan w:val="5"/>
            <w:vMerge w:val="restart"/>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240" w:type="dxa"/>
            <w:vAlign w:val="bottom"/>
            <w:tcBorders>
              <w:bottom w:val="single" w:sz="8" w:color="auto"/>
            </w:tcBorders>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374,383</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169,656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544,055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376,802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181,233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For the Nine Months Ended September 30, 2021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240" w:type="dxa"/>
            <w:vAlign w:val="bottom"/>
            <w:gridSpan w:val="5"/>
            <w:vMerge w:val="restart"/>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240" w:type="dxa"/>
            <w:vAlign w:val="bottom"/>
            <w:tcBorders>
              <w:bottom w:val="single" w:sz="8" w:color="auto"/>
            </w:tcBorders>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558,051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For the Three Months Ended September 30, 2020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240" w:type="dxa"/>
            <w:vAlign w:val="bottom"/>
            <w:gridSpan w:val="5"/>
            <w:vMerge w:val="restart"/>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240" w:type="dxa"/>
            <w:vAlign w:val="bottom"/>
            <w:tcBorders>
              <w:bottom w:val="single" w:sz="8" w:color="auto"/>
            </w:tcBorders>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363,248</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131,597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366,868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140,716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For the Nine Months Ended September 30, 2020</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240" w:type="dxa"/>
            <w:vAlign w:val="bottom"/>
            <w:gridSpan w:val="5"/>
            <w:vMerge w:val="restart"/>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240" w:type="dxa"/>
            <w:vAlign w:val="bottom"/>
            <w:tcBorders>
              <w:bottom w:val="single" w:sz="8" w:color="auto"/>
            </w:tcBorders>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For the Nine Months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Ended 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FF0FC"/>
            </w:tcBorders>
          </w:tcPr>
          <w:p>
            <w:pPr>
              <w:spacing w:after="0"/>
              <w:rPr>
                <w:sz w:val="18"/>
                <w:szCs w:val="18"/>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32,068</w:t>
            </w:r>
          </w:p>
        </w:tc>
        <w:tc>
          <w:tcPr>
            <w:tcW w:w="2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24,684</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10,594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7,105</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(gain) of disposal of assets and asset impairment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(1,906)</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(3,610)</w:t>
            </w: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(2,592)</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Government stimulus advances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(24,413)</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(2,496)</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payroll</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(4,553)</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(4,567)</w:t>
            </w: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14,287</w:t>
            </w: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(3,214)</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(5,893)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(29,219)</w:t>
            </w: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(11,869)</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(32,433)</w:t>
            </w:r>
          </w:p>
        </w:tc>
        <w:tc>
          <w:tcPr>
            <w:tcW w:w="2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Borrowings on revolver — credit facility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46,395</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(18,130)</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for debt issuance costs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(3,020)</w:t>
            </w:r>
          </w:p>
        </w:tc>
        <w:tc>
          <w:tcPr>
            <w:tcW w:w="6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25,447</w:t>
            </w: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change in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7,301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58,617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145,078</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end of period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152,379</w:t>
            </w:r>
          </w:p>
        </w:tc>
        <w:tc>
          <w:tcPr>
            <w:tcW w:w="28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3,648</w:t>
            </w:r>
          </w:p>
        </w:tc>
        <w:tc>
          <w:tcPr>
            <w:tcW w:w="2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14,767</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12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121" w:lineRule="exact"/>
        <w:rPr>
          <w:sz w:val="20"/>
          <w:szCs w:val="20"/>
          <w:color w:val="auto"/>
        </w:rPr>
      </w:pPr>
    </w:p>
    <w:p>
      <w:pPr>
        <w:ind w:firstLine="476"/>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2020 has been derived from the Company’s audited financial statements for the year ended December 31, 2020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2020 included in our Annual Report on Form 10-K, which includes information and disclosures not included herein.</w:t>
      </w:r>
    </w:p>
    <w:p>
      <w:pPr>
        <w:spacing w:after="0" w:line="195" w:lineRule="exact"/>
        <w:rPr>
          <w:sz w:val="20"/>
          <w:szCs w:val="20"/>
          <w:color w:val="auto"/>
        </w:rPr>
      </w:pPr>
    </w:p>
    <w:p>
      <w:pPr>
        <w:jc w:val="both"/>
        <w:ind w:right="60" w:firstLine="476"/>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40" w:firstLine="476"/>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right="200" w:firstLine="476"/>
        <w:spacing w:after="0" w:line="301" w:lineRule="auto"/>
        <w:rPr>
          <w:sz w:val="20"/>
          <w:szCs w:val="20"/>
          <w:color w:val="auto"/>
        </w:rPr>
      </w:pPr>
      <w:r>
        <w:rPr>
          <w:rFonts w:ascii="Arial" w:cs="Arial" w:eastAsia="Arial" w:hAnsi="Arial"/>
          <w:sz w:val="16"/>
          <w:szCs w:val="16"/>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allowance for doubtful accounts, intangible assets acquired in business combinations and, when required, the quantitative impairment assessment of goodwill and indefinite lived intangible assets.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360" w:firstLine="477"/>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right="640" w:firstLine="477"/>
        <w:spacing w:after="0" w:line="277" w:lineRule="auto"/>
        <w:rPr>
          <w:sz w:val="20"/>
          <w:szCs w:val="20"/>
          <w:color w:val="auto"/>
        </w:rPr>
      </w:pPr>
      <w:r>
        <w:rPr>
          <w:rFonts w:ascii="Arial" w:cs="Arial" w:eastAsia="Arial" w:hAnsi="Arial"/>
          <w:sz w:val="18"/>
          <w:szCs w:val="18"/>
          <w:color w:val="auto"/>
        </w:rPr>
        <w:t>As of September 30, 2021 and 2020, dilutive stock options outstanding were approximately 521,000 and 523,000, respectively, and dilutive restricted stock awards outstanding were approximately 162,000 and 149,000, respectively.</w:t>
      </w:r>
    </w:p>
    <w:p>
      <w:pPr>
        <w:spacing w:after="0" w:line="170"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nine months ended September 30, 2021, dilutive stock options outstanding were approximately 267,000 and 288,000, respectively. In addition, dilutive restricted stock awards outstanding were approximately 16,000 and 44,000 for the three and nine months ended September 30, 2021, respectively.</w:t>
      </w:r>
    </w:p>
    <w:p>
      <w:pPr>
        <w:spacing w:after="0" w:line="184"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nine months ended September 30, 2020, dilutive stock options outstanding were approximately 301,000 and 303,000, respectively. In addition, dilutive restricted stock awards outstanding were approximately 38,000 and 58,000 for the three and nine months ended September 30, 2020, respectively.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simplifies various aspects related to accounting for income taxes and removes certain exceptions to the general guidance in ASC 740. In addition, the ASU clarifies and amends existing guidance to improve consistent application of its requirements. The ASU was adopted as of January 1, 2021 and did not have an impact on the Company’s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0" w:firstLine="477"/>
        <w:spacing w:after="0" w:line="28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On July 30, 2021, the Company entered into a Second Amendment (the “Second Amendment”) to its Credit Agreement as discussed further in Note 7. The Credit Agreement contemplates a transition from LIBOR, specifically identifies the secured overnight financing rate (“SOFR”) as the replacement reference rate and details the mechanism for transition at LIBOR cessation, which is anticipated to occur on June 30, 2023. Adoption of the new standard is not expected to have a material impact on the Company’s results of operations or liquidity.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right="460" w:firstLine="476"/>
        <w:spacing w:after="0" w:line="277" w:lineRule="auto"/>
        <w:rPr>
          <w:sz w:val="20"/>
          <w:szCs w:val="20"/>
          <w:color w:val="auto"/>
        </w:rPr>
      </w:pPr>
      <w:r>
        <w:rPr>
          <w:rFonts w:ascii="Arial" w:cs="Arial" w:eastAsia="Arial" w:hAnsi="Arial"/>
          <w:sz w:val="18"/>
          <w:szCs w:val="18"/>
          <w:color w:val="auto"/>
        </w:rPr>
        <w:t>Amounts reported in the Company’s Unaudited Condensed Consolidated Balance Sheets as of September 30, 2021 and December 31, 2020 for operating leases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155"/>
        </w:trPr>
        <w:tc>
          <w:tcPr>
            <w:tcW w:w="7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700" w:type="dxa"/>
            <w:vAlign w:val="bottom"/>
            <w:tcBorders>
              <w:top w:val="single" w:sz="8" w:color="auto"/>
              <w:bottom w:val="single" w:sz="8" w:color="auto"/>
            </w:tcBorders>
            <w:gridSpan w:val="4"/>
          </w:tcPr>
          <w:p>
            <w:pPr>
              <w:jc w:val="right"/>
              <w:ind w:right="111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37,991</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35,516</w:t>
            </w:r>
          </w:p>
        </w:tc>
        <w:tc>
          <w:tcPr>
            <w:tcW w:w="120" w:type="dxa"/>
            <w:vAlign w:val="bottom"/>
            <w:tcBorders>
              <w:bottom w:val="single" w:sz="8" w:color="CFF0FC"/>
            </w:tcBorders>
          </w:tcPr>
          <w:p>
            <w:pPr>
              <w:spacing w:after="0"/>
              <w:rPr>
                <w:sz w:val="19"/>
                <w:szCs w:val="19"/>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77" w:lineRule="exact"/>
        <w:rPr>
          <w:sz w:val="20"/>
          <w:szCs w:val="20"/>
          <w:color w:val="auto"/>
        </w:rPr>
      </w:pPr>
    </w:p>
    <w:p>
      <w:pPr>
        <w:ind w:right="180" w:firstLine="476"/>
        <w:spacing w:after="0" w:line="259" w:lineRule="auto"/>
        <w:rPr>
          <w:sz w:val="20"/>
          <w:szCs w:val="20"/>
          <w:color w:val="auto"/>
        </w:rPr>
      </w:pPr>
      <w:r>
        <w:rPr>
          <w:rFonts w:ascii="Arial" w:cs="Arial" w:eastAsia="Arial" w:hAnsi="Arial"/>
          <w:sz w:val="18"/>
          <w:szCs w:val="18"/>
          <w:color w:val="auto"/>
        </w:rPr>
        <w:t>Components of lease costs were reported in general and administrative expenses in the Company’s Unaudited Condensed Consolidated Statements of Income as follows:</w:t>
      </w: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302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w w:val="98"/>
              </w:rPr>
              <w:t>For the Three Months Ended September 30,</w:t>
            </w:r>
          </w:p>
        </w:tc>
        <w:tc>
          <w:tcPr>
            <w:tcW w:w="120" w:type="dxa"/>
            <w:vAlign w:val="bottom"/>
          </w:tcPr>
          <w:p>
            <w:pPr>
              <w:spacing w:after="0"/>
              <w:rPr>
                <w:sz w:val="12"/>
                <w:szCs w:val="12"/>
                <w:color w:val="auto"/>
              </w:rPr>
            </w:pPr>
          </w:p>
        </w:tc>
        <w:tc>
          <w:tcPr>
            <w:tcW w:w="282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5"/>
              </w:rPr>
              <w:t>For the Nine Months Ended September 30,</w:t>
            </w:r>
          </w:p>
        </w:tc>
      </w:tr>
      <w:tr>
        <w:trPr>
          <w:trHeight w:val="161"/>
        </w:trPr>
        <w:tc>
          <w:tcPr>
            <w:tcW w:w="5280" w:type="dxa"/>
            <w:vAlign w:val="bottom"/>
          </w:tcPr>
          <w:p>
            <w:pPr>
              <w:spacing w:after="0"/>
              <w:rPr>
                <w:sz w:val="14"/>
                <w:szCs w:val="14"/>
                <w:color w:val="auto"/>
              </w:rPr>
            </w:pPr>
          </w:p>
        </w:tc>
        <w:tc>
          <w:tcPr>
            <w:tcW w:w="2320" w:type="dxa"/>
            <w:vAlign w:val="bottom"/>
            <w:gridSpan w:val="5"/>
          </w:tcPr>
          <w:p>
            <w:pPr>
              <w:jc w:val="right"/>
              <w:ind w:right="147"/>
              <w:spacing w:after="0"/>
              <w:rPr>
                <w:sz w:val="20"/>
                <w:szCs w:val="20"/>
                <w:color w:val="auto"/>
              </w:rPr>
            </w:pPr>
            <w:r>
              <w:rPr>
                <w:rFonts w:ascii="Arial" w:cs="Arial" w:eastAsia="Arial" w:hAnsi="Arial"/>
                <w:sz w:val="13"/>
                <w:szCs w:val="13"/>
                <w:b w:val="1"/>
                <w:bCs w:val="1"/>
                <w:color w:val="auto"/>
              </w:rPr>
              <w:t>(Amounts in Thousands)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(Amounts in Thousands)</w:t>
            </w:r>
          </w:p>
        </w:tc>
      </w:tr>
      <w:tr>
        <w:trPr>
          <w:trHeight w:val="156"/>
        </w:trPr>
        <w:tc>
          <w:tcPr>
            <w:tcW w:w="528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820" w:type="dxa"/>
            <w:vAlign w:val="bottom"/>
            <w:tcBorders>
              <w:top w:val="single" w:sz="8" w:color="auto"/>
            </w:tcBorders>
            <w:shd w:val="clear" w:color="auto" w:fill="CFF0FC"/>
          </w:tcPr>
          <w:p>
            <w:pPr>
              <w:jc w:val="right"/>
              <w:ind w:right="66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2,285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Short-term lease costs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sublease income</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lease costs, net</w:t>
            </w: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2,358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Weighted average remaining lease terms and discount rates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2021</w:t>
            </w: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 2020</w:t>
            </w:r>
          </w:p>
        </w:tc>
      </w:tr>
      <w:tr>
        <w:trPr>
          <w:trHeight w:val="236"/>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900" w:type="dxa"/>
            <w:vAlign w:val="bottom"/>
            <w:tcBorders>
              <w:top w:val="single" w:sz="8" w:color="CFF0FC"/>
            </w:tcBorders>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4720" w:type="dxa"/>
            <w:vAlign w:val="bottom"/>
            <w:gridSpan w:val="2"/>
          </w:tcPr>
          <w:p>
            <w:pPr>
              <w:ind w:left="4380"/>
              <w:spacing w:after="0"/>
              <w:rPr>
                <w:sz w:val="20"/>
                <w:szCs w:val="20"/>
                <w:color w:val="auto"/>
              </w:rPr>
            </w:pPr>
            <w:r>
              <w:rPr>
                <w:rFonts w:ascii="Arial" w:cs="Arial" w:eastAsia="Arial" w:hAnsi="Arial"/>
                <w:sz w:val="18"/>
                <w:szCs w:val="18"/>
                <w:color w:val="auto"/>
                <w:w w:val="91"/>
              </w:rPr>
              <w:t>6.55</w:t>
            </w:r>
          </w:p>
        </w:tc>
        <w:tc>
          <w:tcPr>
            <w:tcW w:w="320" w:type="dxa"/>
            <w:vAlign w:val="bottom"/>
          </w:tcPr>
          <w:p>
            <w:pPr>
              <w:spacing w:after="0"/>
              <w:rPr>
                <w:sz w:val="19"/>
                <w:szCs w:val="19"/>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w w:val="85"/>
              </w:rPr>
              <w:t>6.97</w:t>
            </w: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5040" w:type="dxa"/>
            <w:vAlign w:val="bottom"/>
            <w:gridSpan w:val="3"/>
            <w:shd w:val="clear" w:color="auto" w:fill="CFF0FC"/>
          </w:tcPr>
          <w:p>
            <w:pPr>
              <w:ind w:left="4380"/>
              <w:spacing w:after="0"/>
              <w:rPr>
                <w:sz w:val="20"/>
                <w:szCs w:val="20"/>
                <w:color w:val="auto"/>
              </w:rPr>
            </w:pPr>
            <w:r>
              <w:rPr>
                <w:rFonts w:ascii="Arial" w:cs="Arial" w:eastAsia="Arial" w:hAnsi="Arial"/>
                <w:sz w:val="18"/>
                <w:szCs w:val="18"/>
                <w:color w:val="auto"/>
              </w:rPr>
              <w:t>3.95%</w:t>
            </w:r>
          </w:p>
        </w:tc>
        <w:tc>
          <w:tcPr>
            <w:tcW w:w="1980" w:type="dxa"/>
            <w:vAlign w:val="bottom"/>
            <w:gridSpan w:val="2"/>
            <w:shd w:val="clear" w:color="auto" w:fill="CFF0FC"/>
          </w:tcPr>
          <w:p>
            <w:pPr>
              <w:ind w:left="1480"/>
              <w:spacing w:after="0"/>
              <w:rPr>
                <w:sz w:val="20"/>
                <w:szCs w:val="20"/>
                <w:color w:val="auto"/>
              </w:rPr>
            </w:pPr>
            <w:r>
              <w:rPr>
                <w:rFonts w:ascii="Arial" w:cs="Arial" w:eastAsia="Arial" w:hAnsi="Arial"/>
                <w:sz w:val="18"/>
                <w:szCs w:val="18"/>
                <w:color w:val="auto"/>
                <w:w w:val="93"/>
              </w:rPr>
              <w:t>4.18%</w:t>
            </w:r>
          </w:p>
        </w:tc>
      </w:tr>
      <w:tr>
        <w:trPr>
          <w:trHeight w:val="615"/>
        </w:trPr>
        <w:tc>
          <w:tcPr>
            <w:tcW w:w="4220" w:type="dxa"/>
            <w:vAlign w:val="bottom"/>
          </w:tcPr>
          <w:p>
            <w:pPr>
              <w:spacing w:after="0"/>
              <w:rPr>
                <w:sz w:val="24"/>
                <w:szCs w:val="24"/>
                <w:color w:val="auto"/>
              </w:rPr>
            </w:pPr>
          </w:p>
        </w:tc>
        <w:tc>
          <w:tcPr>
            <w:tcW w:w="2900" w:type="dxa"/>
            <w:vAlign w:val="bottom"/>
          </w:tcPr>
          <w:p>
            <w:pPr>
              <w:jc w:val="right"/>
              <w:ind w:right="1373"/>
              <w:spacing w:after="0"/>
              <w:rPr>
                <w:sz w:val="20"/>
                <w:szCs w:val="20"/>
                <w:color w:val="auto"/>
              </w:rPr>
            </w:pPr>
            <w:r>
              <w:rPr>
                <w:rFonts w:ascii="Arial" w:cs="Arial" w:eastAsia="Arial" w:hAnsi="Arial"/>
                <w:sz w:val="16"/>
                <w:szCs w:val="16"/>
                <w:color w:val="auto"/>
              </w:rPr>
              <w:t>9</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1"/>
        </w:trPr>
        <w:tc>
          <w:tcPr>
            <w:tcW w:w="42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Remaining operating lease payments as of September 30, 2021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Operating Leases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the 12-month period ended September 30,</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2026</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minimum rental commitments</w:t>
            </w:r>
          </w:p>
        </w:tc>
        <w:tc>
          <w:tcPr>
            <w:tcW w:w="1060" w:type="dxa"/>
            <w:vAlign w:val="bottom"/>
            <w:tcBorders>
              <w:bottom w:val="single" w:sz="8" w:color="CFF0FC"/>
            </w:tcBorders>
          </w:tcPr>
          <w:p>
            <w:pPr>
              <w:spacing w:after="0"/>
              <w:rPr>
                <w:sz w:val="22"/>
                <w:szCs w:val="22"/>
                <w:color w:val="auto"/>
              </w:rPr>
            </w:pPr>
          </w:p>
        </w:tc>
        <w:tc>
          <w:tcPr>
            <w:tcW w:w="11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49,328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(6,106)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2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508"/>
              <w:spacing w:after="0"/>
              <w:rPr>
                <w:sz w:val="20"/>
                <w:szCs w:val="20"/>
                <w:color w:val="auto"/>
              </w:rPr>
            </w:pPr>
            <w:r>
              <w:rPr>
                <w:rFonts w:ascii="Arial" w:cs="Arial" w:eastAsia="Arial" w:hAnsi="Arial"/>
                <w:sz w:val="14"/>
                <w:szCs w:val="14"/>
                <w:b w:val="1"/>
                <w:bCs w:val="1"/>
                <w:color w:val="auto"/>
                <w:w w:val="92"/>
              </w:rPr>
              <w:t>(Amounts in Thousands)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1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8,237</w:t>
            </w:r>
          </w:p>
        </w:tc>
        <w:tc>
          <w:tcPr>
            <w:tcW w:w="152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88"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Armada Skilled Homecare</w:t>
      </w:r>
    </w:p>
    <w:p>
      <w:pPr>
        <w:spacing w:after="0" w:line="11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The purchase of Armada was funded with the Company’s revolving credit facility. With the purchase of Armada, the Company expanded its home health and hospice services in the state of New Mexico. The related acquisition and integration costs were $0.3 million and $0.4 million for the three and nine months ended September 30, 2021, respectively. These costs were included in general and administrative expenses on the Unaudited Condensed Consolidated Statements of Income and were expensed as incurred.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Identifiable intangible assets acquired included $0.6 million of non-competition agreements with estimated useful lives of five years and $0.4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 City Hospice</w:t>
      </w:r>
    </w:p>
    <w:p>
      <w:pPr>
        <w:spacing w:after="0" w:line="117" w:lineRule="exact"/>
        <w:rPr>
          <w:sz w:val="20"/>
          <w:szCs w:val="20"/>
          <w:color w:val="auto"/>
        </w:rPr>
      </w:pPr>
    </w:p>
    <w:p>
      <w:pPr>
        <w:ind w:right="40" w:firstLine="476"/>
        <w:spacing w:after="0" w:line="272" w:lineRule="auto"/>
        <w:rPr>
          <w:sz w:val="20"/>
          <w:szCs w:val="20"/>
          <w:color w:val="auto"/>
        </w:rPr>
      </w:pPr>
      <w:r>
        <w:rPr>
          <w:rFonts w:ascii="Arial" w:cs="Arial" w:eastAsia="Arial" w:hAnsi="Arial"/>
          <w:sz w:val="17"/>
          <w:szCs w:val="17"/>
          <w:color w:val="auto"/>
        </w:rPr>
        <w:t>On December 4, 2020, we completed the acquisition of Queen City Hospice, LLC and its affiliate Miracle City Hospice, LLC (together “Queen City Hospice”). The purchase price was approximately $194.8 million, including the amount of acquired excess cash held by Queen City Hospice at the closing of the acquisition (approximately $15.4 million). The purchase of Queen City Hospice was funded with the Company’s revolving credit facility and available cash. With the purchase of Queen City Hospice, the Company expanded its hospice services in the state of Ohio. The related acquisition costs were $0.2 million for the nine months ended September 30, 2021 and the integration costs were $0.4 million and $2.1 million for the three and nine months ended September 30, 2021, respectively. These costs were included in general and administrative expenses on the Unaudited Condensed Consolidated Statements of Income and were expensed as incurred.</w:t>
      </w:r>
    </w:p>
    <w:p>
      <w:pPr>
        <w:spacing w:after="0" w:line="123"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(2,281)</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Government stimulus advances</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(12,694)</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(2,765)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75" w:lineRule="auto"/>
        <w:rPr>
          <w:sz w:val="20"/>
          <w:szCs w:val="20"/>
          <w:color w:val="auto"/>
        </w:rPr>
      </w:pPr>
      <w:r>
        <w:rPr>
          <w:rFonts w:ascii="Arial" w:cs="Arial" w:eastAsia="Arial" w:hAnsi="Arial"/>
          <w:sz w:val="17"/>
          <w:szCs w:val="17"/>
          <w:color w:val="auto"/>
        </w:rPr>
        <w:t>Identifiable intangible assets acquired included $11.0 million in trade names and $1.5 million of non-competition agreements with estimated useful lives of fifteen years and five years, respectively, and $7.5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County Homemakers</w:t>
      </w:r>
    </w:p>
    <w:p>
      <w:pPr>
        <w:spacing w:after="0" w:line="117" w:lineRule="exact"/>
        <w:rPr>
          <w:sz w:val="20"/>
          <w:szCs w:val="20"/>
          <w:color w:val="auto"/>
        </w:rPr>
      </w:pPr>
    </w:p>
    <w:p>
      <w:pPr>
        <w:ind w:right="20" w:firstLine="476"/>
        <w:spacing w:after="0" w:line="255" w:lineRule="auto"/>
        <w:rPr>
          <w:sz w:val="20"/>
          <w:szCs w:val="20"/>
          <w:color w:val="auto"/>
        </w:rPr>
      </w:pPr>
      <w:r>
        <w:rPr>
          <w:rFonts w:ascii="Arial" w:cs="Arial" w:eastAsia="Arial" w:hAnsi="Arial"/>
          <w:sz w:val="18"/>
          <w:szCs w:val="18"/>
          <w:color w:val="auto"/>
        </w:rPr>
        <w:t>On November 1, 2020, we completed the acquisition of County Homemakers, Inc. (“County Homemakers”). The purchase price was approximately $15.8 million, including the amount of acquired excess cash held by County Homemakers at the closing of the acquisition (approximately $1.1 million). The purchase of County Homemakers was funded with the Company’s available cash. With the purchase of County Homemakers, the Company expanded its personal care services in the state of Pennsylvania. The related integration costs were $0.2 million for the nine months ended September 30, 2021. These costs were included in general and administrative expenses on the Unaudited Condensed Consolidated Statements of Income and were expensed as incurred.</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Identifiable intangible assets acquired included approximately $0.3 million in state licenses and $0.1 million in trade names with estimated useful lives of eight years and one year, respectively.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Plus Health Care</w:t>
      </w:r>
    </w:p>
    <w:p>
      <w:pPr>
        <w:spacing w:after="0" w:line="117" w:lineRule="exact"/>
        <w:rPr>
          <w:sz w:val="20"/>
          <w:szCs w:val="20"/>
          <w:color w:val="auto"/>
        </w:rPr>
      </w:pPr>
    </w:p>
    <w:p>
      <w:pPr>
        <w:ind w:right="320" w:firstLine="476"/>
        <w:spacing w:after="0" w:line="255" w:lineRule="auto"/>
        <w:rPr>
          <w:sz w:val="20"/>
          <w:szCs w:val="20"/>
          <w:color w:val="auto"/>
        </w:rPr>
      </w:pPr>
      <w:r>
        <w:rPr>
          <w:rFonts w:ascii="Arial" w:cs="Arial" w:eastAsia="Arial" w:hAnsi="Arial"/>
          <w:sz w:val="18"/>
          <w:szCs w:val="18"/>
          <w:color w:val="auto"/>
        </w:rPr>
        <w:t>On July 1, 2020, we completed the acquisition of A Plus Health Care, Inc. (“A Plus”). The purchase price was approximately $14.5 million, including the amount of acquired excess cash held by A Plus at the closing of the acquisition (approximately $2.8 million). The purchase of A Plus was funded with the Company’s available cash. With the purchase of A Plus, the Company expanded its personal care services in the state of Montana. The related integration costs were $0.1 million for the nine months ended September 30, 2021 and acquisition costs were $0.3 million for the three and nine months ended September 30, 2020. These costs were included in general and administrative expenses on the Unaudited Condensed Consolidated Statements of Income and were expensed as incurred.</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final valuations, the fair values of the assets and liabilities acquired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476"/>
        <w:spacing w:after="0" w:line="279" w:lineRule="auto"/>
        <w:rPr>
          <w:sz w:val="20"/>
          <w:szCs w:val="20"/>
          <w:color w:val="auto"/>
        </w:rPr>
      </w:pPr>
      <w:r>
        <w:rPr>
          <w:rFonts w:ascii="Arial" w:cs="Arial" w:eastAsia="Arial" w:hAnsi="Arial"/>
          <w:sz w:val="17"/>
          <w:szCs w:val="17"/>
          <w:color w:val="auto"/>
        </w:rPr>
        <w:t>Identifiable intangible assets acquired included $1.4 million in trade names with an estimated useful life of fifteen years.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SunLife Home Care</w:t>
      </w:r>
    </w:p>
    <w:p>
      <w:pPr>
        <w:spacing w:after="0" w:line="117" w:lineRule="exact"/>
        <w:rPr>
          <w:sz w:val="20"/>
          <w:szCs w:val="20"/>
          <w:color w:val="auto"/>
        </w:rPr>
      </w:pPr>
    </w:p>
    <w:p>
      <w:pPr>
        <w:ind w:right="220" w:firstLine="506"/>
        <w:spacing w:after="0" w:line="311" w:lineRule="auto"/>
        <w:rPr>
          <w:sz w:val="20"/>
          <w:szCs w:val="20"/>
          <w:color w:val="auto"/>
        </w:rPr>
      </w:pPr>
      <w:r>
        <w:rPr>
          <w:rFonts w:ascii="Arial" w:cs="Arial" w:eastAsia="Arial" w:hAnsi="Arial"/>
          <w:sz w:val="16"/>
          <w:szCs w:val="16"/>
          <w:color w:val="auto"/>
        </w:rPr>
        <w:t>On December 1, 2020, we completed the acquisition of SunLife Home Care (“SunLife”) for approximately $1.7 million and recorded goodwill of $1.6 million. With the purchase of SunLife, the Company expanded its personal care services in the state of Arizona. Goodwill generated from the acquisition is primarily attributable to expected synergies with existing Company operations and the goodwill acquired is deductible for tax purposes.</w:t>
      </w:r>
    </w:p>
    <w:p>
      <w:pPr>
        <w:sectPr>
          <w:pgSz w:w="11900" w:h="16838" w:orient="portrait"/>
          <w:cols w:equalWidth="0" w:num="1">
            <w:col w:w="11240"/>
          </w:cols>
          <w:pgMar w:left="320" w:top="121" w:right="3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380" w:firstLine="476"/>
        <w:spacing w:after="0" w:line="263"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for the three and nine months ended September 30, 2021 and 2020 as if each of the acquisitions of Armada, Queen City Hospice, County Homemakers and A Plus closed on January 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gridSpan w:val="5"/>
          </w:tcPr>
          <w:p>
            <w:pPr>
              <w:jc w:val="right"/>
              <w:ind w:right="233"/>
              <w:spacing w:after="0"/>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(Amounts in Thousands)</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3"/>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218,474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652,908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17,613</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11,832</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188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90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 income per share</w:t>
            </w:r>
          </w:p>
        </w:tc>
        <w:tc>
          <w:tcPr>
            <w:tcW w:w="9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firstLine="476"/>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Armada, Queen City, Hospice, County Homemakers and A Plus had been acquired effective January 1, 2020.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goodwill for the Company was $497.9 million and $469.1 million as of September 30, 2021 and December 31, 2020, respectively.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activity for the nine months ended September 30, 2021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Goodwill</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Home Health</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2020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Goodwill as of September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328,307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497,919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right="220" w:firstLine="476"/>
        <w:spacing w:after="0" w:line="342" w:lineRule="auto"/>
        <w:rPr>
          <w:sz w:val="20"/>
          <w:szCs w:val="20"/>
          <w:color w:val="auto"/>
        </w:rPr>
      </w:pPr>
      <w:r>
        <w:rPr>
          <w:rFonts w:ascii="Arial" w:cs="Arial" w:eastAsia="Arial" w:hAnsi="Arial"/>
          <w:sz w:val="16"/>
          <w:szCs w:val="16"/>
          <w:color w:val="auto"/>
        </w:rPr>
        <w:t>In connection with the acquisition of Armanda, the Company recognized goodwill in its hospice and home health segments of $13.4 million and $15.1 million, respectively, during the three and nine months ended September 30, 2021. See Note 4 for additional information regarding the acquisition.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(35,866)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(17,800)</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(61,779)</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9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intangible assets at September 30, 2021</w:t>
            </w:r>
          </w:p>
        </w:tc>
        <w:tc>
          <w:tcPr>
            <w:tcW w:w="9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firstLine="476"/>
        <w:spacing w:after="0" w:line="271" w:lineRule="auto"/>
        <w:rPr>
          <w:sz w:val="20"/>
          <w:szCs w:val="20"/>
          <w:color w:val="auto"/>
        </w:rPr>
      </w:pPr>
      <w:r>
        <w:rPr>
          <w:rFonts w:ascii="Arial" w:cs="Arial" w:eastAsia="Arial" w:hAnsi="Arial"/>
          <w:sz w:val="18"/>
          <w:szCs w:val="18"/>
          <w:color w:val="auto"/>
        </w:rPr>
        <w:t>Amortization expense related to the identifiable intangible assets amounted to $1.9 million and $6.2 million for the three and nine months ended September 30, 2021, respectively, and $1.7 million and $5.3 million for the three and nine months ended September 30, 2020, respectively. The weighted average remaining useful lives of identifiable intangible assets as of September 30, 2021 is 9.4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tcPr>
          <w:p>
            <w:pPr>
              <w:jc w:val="right"/>
              <w:ind w:right="852"/>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payroll taxes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Workers' compensation insurance receivable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 insurance receivable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480"/>
              <w:spacing w:after="0"/>
              <w:rPr>
                <w:sz w:val="20"/>
                <w:szCs w:val="20"/>
                <w:color w:val="auto"/>
              </w:rPr>
            </w:pPr>
            <w:r>
              <w:rPr>
                <w:rFonts w:ascii="Arial" w:cs="Arial" w:eastAsia="Arial" w:hAnsi="Arial"/>
                <w:sz w:val="18"/>
                <w:szCs w:val="18"/>
                <w:color w:val="auto"/>
              </w:rPr>
              <w:t>Accrued expenses consisted of the following:</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tcPr>
          <w:p>
            <w:pPr>
              <w:jc w:val="right"/>
              <w:ind w:right="852"/>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Payor advances (1)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6,684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health insurance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 taxes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35,780</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20" w:type="dxa"/>
            <w:vAlign w:val="bottom"/>
            <w:tcBorders>
              <w:bottom w:val="single" w:sz="8" w:color="auto"/>
            </w:tcBorders>
          </w:tcPr>
          <w:p>
            <w:pPr>
              <w:spacing w:after="0"/>
              <w:rPr>
                <w:sz w:val="10"/>
                <w:szCs w:val="10"/>
                <w:color w:val="auto"/>
              </w:rPr>
            </w:pPr>
          </w:p>
        </w:tc>
        <w:tc>
          <w:tcPr>
            <w:tcW w:w="4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80" w:right="140" w:hanging="472"/>
        <w:spacing w:after="0" w:line="369" w:lineRule="auto"/>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121"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8"/>
          <w:szCs w:val="18"/>
          <w:color w:val="auto"/>
        </w:rPr>
        <w:t>Government stimulus advances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55"/>
        </w:trPr>
        <w:tc>
          <w:tcPr>
            <w:tcW w:w="7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 deferral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Provider Relief Fund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12,252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CMS advanced payment program — Queen City Hospice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Provider Relief Fund — Queen City Hospice</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government stimulus advances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06"/>
        <w:spacing w:after="0" w:line="25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CARES Act, which was expanded by the PPPHCE Act, and the CAA. The American Rescue Plan Act of 2021 (“ARPA”), another relief package with numerous provisions that affect healthcare providers, was signed into law in March 2021. See Note 9 for additional information regarding government actions to mitigate COVID-19’s impact.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right="60" w:firstLine="506"/>
        <w:spacing w:after="0" w:line="269" w:lineRule="auto"/>
        <w:rPr>
          <w:sz w:val="20"/>
          <w:szCs w:val="20"/>
          <w:color w:val="auto"/>
        </w:rPr>
      </w:pPr>
      <w:r>
        <w:rPr>
          <w:rFonts w:ascii="Arial" w:cs="Arial" w:eastAsia="Arial" w:hAnsi="Arial"/>
          <w:sz w:val="17"/>
          <w:szCs w:val="17"/>
          <w:color w:val="auto"/>
        </w:rPr>
        <w:t>In total, the CARES Act and other relief legislation include over $178 billion in funding to be distributed through the Provider Relief Fund to eligible providers, including public entities and Medicare- and/or Medicaid-enrolled providers. In November 2020, the Company received grants in an aggregate principal amount of $13.7 million from the Provider Relief Fund, for which we had previously applied. The Company utilized $0.4 million and $11.7 million of these funds for the three and nine months ended September 30, 2021, respectively, for healthcare related expenses, including retention payments, attributable to COVID-19 that were unreimbursed by other sources. In accordance with the current guidance issued by HHS, the Company expects to utilize additional funds through December 31, 2021, at which point we anticipate any unused funds will be returned. We are required to properly and fully document the use of such funds in reports to HHS, which must be submitted no later than March 31, 2022. The Company’s ability to utilize and retain some or all of such funds will depend on the magnitude, timing and nature of the impact of the COVID-19 pandemic, as well as the terms and conditions of the funds received. Queen City Hospice administered retention payments totaling $1.9 million to caregivers for the nine months ended September 30, 2021, which we believe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40" w:firstLine="506"/>
        <w:spacing w:after="0" w:line="254" w:lineRule="auto"/>
        <w:rPr>
          <w:sz w:val="20"/>
          <w:szCs w:val="20"/>
          <w:color w:val="auto"/>
        </w:rPr>
      </w:pPr>
      <w:r>
        <w:rPr>
          <w:rFonts w:ascii="Arial" w:cs="Arial" w:eastAsia="Arial" w:hAnsi="Arial"/>
          <w:sz w:val="18"/>
          <w:szCs w:val="18"/>
          <w:color w:val="auto"/>
        </w:rPr>
        <w:t>The CARES Act expanded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its acquisition in March 2021, prior to any Centers for Medicare and Medicaid Services (“CMS”) recoupment and before any interest accrual.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80" w:firstLine="506"/>
        <w:spacing w:after="0" w:line="255" w:lineRule="auto"/>
        <w:rPr>
          <w:sz w:val="20"/>
          <w:szCs w:val="20"/>
          <w:color w:val="auto"/>
        </w:rPr>
      </w:pPr>
      <w:r>
        <w:rPr>
          <w:rFonts w:ascii="Arial" w:cs="Arial" w:eastAsia="Arial" w:hAnsi="Arial"/>
          <w:sz w:val="18"/>
          <w:szCs w:val="18"/>
          <w:color w:val="auto"/>
        </w:rPr>
        <w:t>The CARES Act also provides for certain federal income and other tax changes, including allowing for the deferral of the employer portion of Social Security payroll taxes through December 31, 2020. The payroll tax deferral requires that the deferred payroll taxes be paid over two years, with half of the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half of the $7.1 million in the fourth quarter of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3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issuance costs</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(4,146)</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35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220,707</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Long-term debt</w:t>
            </w:r>
          </w:p>
        </w:tc>
        <w:tc>
          <w:tcPr>
            <w:tcW w:w="3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220,707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20" w:type="dxa"/>
            <w:vAlign w:val="bottom"/>
            <w:vMerge w:val="restart"/>
          </w:tcPr>
          <w:p>
            <w:pPr>
              <w:jc w:val="right"/>
              <w:ind w:right="1935"/>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2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2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firstLine="476"/>
        <w:spacing w:after="0" w:line="284" w:lineRule="auto"/>
        <w:rPr>
          <w:sz w:val="20"/>
          <w:szCs w:val="20"/>
          <w:color w:val="auto"/>
        </w:rPr>
      </w:pPr>
      <w:r>
        <w:rPr>
          <w:rFonts w:ascii="Arial" w:cs="Arial" w:eastAsia="Arial" w:hAnsi="Arial"/>
          <w:sz w:val="16"/>
          <w:szCs w:val="16"/>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and the Second Amendment (as hereinafter defined), the “Credit Agreement”). This credit facility totaled $269.6 million, inclusive of a $250.0 million revolving loan and a $19.6 million delayed draw term loan, and is evidenced by the Credit Agreement. This credit facility amended and restated the Company’s existing senior secured credit facility totaling $250.0 million. As used throughout this Quarterly Report on Form 10-Q,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 (ii) a base rate equal to the greatest of</w:t>
      </w:r>
    </w:p>
    <w:p>
      <w:pPr>
        <w:spacing w:after="0" w:line="2" w:lineRule="exact"/>
        <w:rPr>
          <w:sz w:val="20"/>
          <w:szCs w:val="20"/>
          <w:color w:val="auto"/>
        </w:rPr>
      </w:pPr>
    </w:p>
    <w:p>
      <w:pPr>
        <w:ind w:right="280" w:firstLine="8"/>
        <w:spacing w:after="0" w:line="281"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w:t>
      </w:r>
    </w:p>
    <w:p>
      <w:pPr>
        <w:spacing w:after="0" w:line="1" w:lineRule="exact"/>
        <w:rPr>
          <w:rFonts w:ascii="Arial" w:cs="Arial" w:eastAsia="Arial" w:hAnsi="Arial"/>
          <w:sz w:val="16"/>
          <w:szCs w:val="16"/>
          <w:color w:val="auto"/>
        </w:rPr>
      </w:pPr>
    </w:p>
    <w:p>
      <w:pPr>
        <w:ind w:right="240"/>
        <w:spacing w:after="0" w:line="290" w:lineRule="auto"/>
        <w:rPr>
          <w:rFonts w:ascii="Arial" w:cs="Arial" w:eastAsia="Arial" w:hAnsi="Arial"/>
          <w:sz w:val="16"/>
          <w:szCs w:val="16"/>
          <w:color w:val="auto"/>
        </w:rPr>
      </w:pPr>
      <w:r>
        <w:rPr>
          <w:rFonts w:ascii="Arial" w:cs="Arial" w:eastAsia="Arial" w:hAnsi="Arial"/>
          <w:sz w:val="16"/>
          <w:szCs w:val="16"/>
          <w:color w:val="auto"/>
        </w:rPr>
        <w:t>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64"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8"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right="60" w:firstLine="476"/>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September 30, 2021, the Company was in compliance with all financial covenants under the Credit Agreement.</w:t>
      </w:r>
    </w:p>
    <w:p>
      <w:pPr>
        <w:spacing w:after="0" w:line="168" w:lineRule="exact"/>
        <w:rPr>
          <w:sz w:val="20"/>
          <w:szCs w:val="20"/>
          <w:color w:val="auto"/>
        </w:rPr>
      </w:pPr>
    </w:p>
    <w:p>
      <w:pPr>
        <w:ind w:right="120" w:firstLine="476"/>
        <w:spacing w:after="0" w:line="301" w:lineRule="auto"/>
        <w:rPr>
          <w:sz w:val="20"/>
          <w:szCs w:val="20"/>
          <w:color w:val="auto"/>
        </w:rPr>
      </w:pPr>
      <w:r>
        <w:rPr>
          <w:rFonts w:ascii="Arial" w:cs="Arial" w:eastAsia="Arial" w:hAnsi="Arial"/>
          <w:sz w:val="16"/>
          <w:szCs w:val="16"/>
          <w:color w:val="auto"/>
        </w:rPr>
        <w:t>On September 12, 2019, the Company entered into a First Amendment (the “First Amendment”) to its Credit Agreement. The First Amendment increased the Company’s credit facility by $50.0 million in incremental revolving loans, for an aggregate $300.0 million in revolving loans. The First Amendment provides that future incremental loans may be for term loans or an increase to the revolving loan commitments. The First Amendment further provides that the proceeds of such $50.0 million incremental revolving loans may be used for, among other things, general corporate purposes.</w:t>
      </w:r>
    </w:p>
    <w:p>
      <w:pPr>
        <w:spacing w:after="0" w:line="157" w:lineRule="exact"/>
        <w:rPr>
          <w:sz w:val="20"/>
          <w:szCs w:val="20"/>
          <w:color w:val="auto"/>
        </w:rPr>
      </w:pPr>
    </w:p>
    <w:p>
      <w:pPr>
        <w:ind w:right="140" w:firstLine="477"/>
        <w:spacing w:after="0" w:line="270" w:lineRule="auto"/>
        <w:rPr>
          <w:sz w:val="20"/>
          <w:szCs w:val="20"/>
          <w:color w:val="auto"/>
        </w:rPr>
      </w:pPr>
      <w:r>
        <w:rPr>
          <w:rFonts w:ascii="Arial" w:cs="Arial" w:eastAsia="Arial" w:hAnsi="Arial"/>
          <w:sz w:val="17"/>
          <w:szCs w:val="17"/>
          <w:color w:val="auto"/>
        </w:rPr>
        <w:t>On July 30, 2021, the Company entered into the Second Amendment to its Credit Agreement. The Second Amendment, among other things, reallocated and refinanced the Company’s outstanding initial term loans as revolving loans (such that the Company has no outstanding initial term loans and no further initial term loans may be borrowed) and increased the Company’s revolving credit facility to an aggregate amount of $600.0 million. Moreover, the Second Amendment increased the Company’s incremental loan facility to an aggregate amount $125.0 million, which incremental loan facility may be for term loans or an increase to the revolving loan commitments. The maturity of the revolving credit facility was also extended from May 8, 2023 to July 30, 2026. Additionally, the Credit Agreement contemplates a transition from LIBOR, specifically identifies SOFR as the replacement reference rate and details the mechanism for transition at LIBOR cessation, which is anticipated to occur on June 30, 2023. The transition to SOFR is not expected to have a material impact on the Company’s results of operations or liquidity. In connection with the Second Amendment, we incurred approximately $3.0 million of debt issuance costs.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nine months ended September 30, 2021, the Company drew $29.0 million under its credit facility to fund the acquisition of Armada.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the Company had no draws under its credit facility.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476"/>
        <w:spacing w:after="0" w:line="280" w:lineRule="auto"/>
        <w:rPr>
          <w:sz w:val="20"/>
          <w:szCs w:val="20"/>
          <w:color w:val="auto"/>
        </w:rPr>
      </w:pPr>
      <w:r>
        <w:rPr>
          <w:rFonts w:ascii="Arial" w:cs="Arial" w:eastAsia="Arial" w:hAnsi="Arial"/>
          <w:sz w:val="17"/>
          <w:szCs w:val="17"/>
          <w:color w:val="auto"/>
        </w:rPr>
        <w:t>As of September 30, 2021, the Company had a total of $224.9 million of revolving loans, with an interest rate of 2.08%, outstanding on its credit facility. After giving effect to the amount drawn on its credit facility, approximately $8.2 million of outstanding letters of credit and borrowing limits based on an advance multiple of adjusted EBITDA (as defined in the Credit Agreement), the Company had $367.0 million of capacity and $123.8 million available for borrowing under its credit facility. As of December 31, 2020, the Company had a total of $178.5 million of revolving loans, with an interest rate of 1.90%, and $18.1 million of term loans, with an interest rate of 1.90%, outstanding on its credit facility.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81" w:lineRule="exact"/>
        <w:rPr>
          <w:sz w:val="20"/>
          <w:szCs w:val="20"/>
          <w:color w:val="auto"/>
        </w:rPr>
      </w:pPr>
    </w:p>
    <w:p>
      <w:pPr>
        <w:ind w:right="380" w:firstLine="476"/>
        <w:spacing w:after="0" w:line="263" w:lineRule="auto"/>
        <w:rPr>
          <w:sz w:val="20"/>
          <w:szCs w:val="20"/>
          <w:color w:val="auto"/>
        </w:rPr>
      </w:pPr>
      <w:r>
        <w:rPr>
          <w:rFonts w:ascii="Arial" w:cs="Arial" w:eastAsia="Arial" w:hAnsi="Arial"/>
          <w:sz w:val="18"/>
          <w:szCs w:val="18"/>
          <w:color w:val="auto"/>
        </w:rPr>
        <w:t>The effective income tax rates were 26.6% and 23.6% for the three months ended September 30, 2021 and 2020, respectively. The difference between our federal statutory and effective income tax rates is principally due to the inclusion of state taxes and non-deductible compensation partially offset by the use of federal employment tax credits.</w:t>
      </w:r>
    </w:p>
    <w:p>
      <w:pPr>
        <w:spacing w:after="0" w:line="130" w:lineRule="exact"/>
        <w:rPr>
          <w:sz w:val="20"/>
          <w:szCs w:val="20"/>
          <w:color w:val="auto"/>
        </w:rPr>
      </w:pPr>
    </w:p>
    <w:p>
      <w:pPr>
        <w:ind w:firstLine="476"/>
        <w:spacing w:after="0" w:line="290" w:lineRule="auto"/>
        <w:rPr>
          <w:sz w:val="20"/>
          <w:szCs w:val="20"/>
          <w:color w:val="auto"/>
        </w:rPr>
      </w:pPr>
      <w:r>
        <w:rPr>
          <w:rFonts w:ascii="Arial" w:cs="Arial" w:eastAsia="Arial" w:hAnsi="Arial"/>
          <w:sz w:val="16"/>
          <w:szCs w:val="16"/>
          <w:color w:val="auto"/>
        </w:rPr>
        <w:t>The effective income tax rates were 24.7% and 20.5% for the nine months ended September 30, 2021 and 2020, respectively. For the nine months ended September 30, 2021, the difference between our federal statutory and effective income tax rates was principally due to the inclusion of state taxes and non-deductible compensation partially offset by the use of federal employment tax credits and excess tax benefit. For the nine months ended September 30, 2020, the difference between our federal statutory and effective income tax rates was principally due to the inclusion of an excess tax benefit and the use of federal employment tax credits partially offset by state taxes and non-deductible compensation. For the nine months ended September 30, 2021 and 2020, the effective tax rates were inclusive of an excess tax benefit of 2.1% and 6.8%, respectively. The excess tax benefit is a discrete item, related to the vesting of equity shares, which requires the Company to recognize the benefit fully in the period. An excess tax benefit results if the Company’s income tax deduction exceeds the cumulative costs of the award recognized on the Unaudited Condensed Consolidated Statements of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117" w:lineRule="exact"/>
        <w:rPr>
          <w:sz w:val="20"/>
          <w:szCs w:val="20"/>
          <w:color w:val="auto"/>
        </w:rPr>
      </w:pPr>
    </w:p>
    <w:p>
      <w:pPr>
        <w:ind w:right="40" w:firstLine="476"/>
        <w:spacing w:after="0" w:line="263"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outbreak of COVID-19, a disease caused by this novel coronavirus, a pandemic. This disease continues to impact the United States and other parts of the world.</w:t>
      </w:r>
    </w:p>
    <w:p>
      <w:pPr>
        <w:spacing w:after="0" w:line="184" w:lineRule="exact"/>
        <w:rPr>
          <w:sz w:val="20"/>
          <w:szCs w:val="20"/>
          <w:color w:val="auto"/>
        </w:rPr>
      </w:pPr>
    </w:p>
    <w:p>
      <w:pPr>
        <w:ind w:right="20" w:firstLine="476"/>
        <w:spacing w:after="0" w:line="271" w:lineRule="auto"/>
        <w:rPr>
          <w:sz w:val="20"/>
          <w:szCs w:val="20"/>
          <w:color w:val="auto"/>
        </w:rPr>
      </w:pPr>
      <w:r>
        <w:rPr>
          <w:rFonts w:ascii="Arial" w:cs="Arial" w:eastAsia="Arial" w:hAnsi="Arial"/>
          <w:sz w:val="17"/>
          <w:szCs w:val="17"/>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on March 27, 2020, the CARES Act, a sweeping stimulus bill intended to bolster the U.S. economy, was enacted. The PPPHCE Act and the CAA both expansions of the CARES Act, were signed into law on April 24, 2020 and December 27, 2020, respectively. In total, the CARES Act, the PPPHCE Act and CAA authorize $178 billion in funding to be distributed to health care providers through the Provider Relief Fund. This funding is intended to support healthcare providers by reimbursing them for healthcare-related expenses or lost revenues attributable to COVID-19. On March 11, 2021, the ARPA was signed into law, another COVID-19 relief package with numerous provisions that affect healthcare providers, including additional funding targeted to specified healthcare providers and to improve coronavirus testing and vaccine-related activities.</w:t>
      </w:r>
    </w:p>
    <w:p>
      <w:pPr>
        <w:spacing w:after="0" w:line="178"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In addition to the Provider Relief Fund, the CARES Act and related laws include temporary changes to Medicare and Medicaid payment rules and relief from certain accounting provisions. For example, the laws temporarily lift the Medicare sequester, which would have otherwise reduced payments to Medicare providers by 2% as required by the Budget Control Act of 2011, from May 1, 2020, through December 31, 2021 (but also extend sequestration through 2030).</w:t>
      </w:r>
    </w:p>
    <w:p>
      <w:pPr>
        <w:spacing w:after="0" w:line="187"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In the hospice segment, Medicare sequester relief resulted in an increase in net service revenues of $0.7 million and $0.5 million, for the three months ended September 30, 2021 and 2020, respectively, and $2.1 million and $0.8 million for the nine months ended September 30, 2021 and 2020, respectively. In the home health segment, Medicare sequester relief resulted in an increase in net service revenues of $0.1 million, for both the three months ended September 2021 and 2020, and $0.3 million and $0.2 million, for the nine months ended September 2021 and 2020, respectively.</w:t>
      </w:r>
    </w:p>
    <w:p>
      <w:pPr>
        <w:spacing w:after="0" w:line="157"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However, the ARPA increases the federal budget deficit in a manner that triggers an additional statutorily mandated sequestration under the Pay-As-You-Go Act of 2010 (“PAYGO Act”). As a result, absent congressional action, Medicare spending will be reduced by up to 4% in fiscal year 2022, to begin to take effect in January 2022, in addition to the existing sequestration requirements of the Budget Control Act of 2011. We cannot currently determine if, or to what extent, our business, results of operations, financial condition or liquidity will ultimately be impacted by mandated sequestration triggers under the PAYGO Act, or if the mandated sequestration will occur.</w:t>
      </w:r>
    </w:p>
    <w:p>
      <w:pPr>
        <w:spacing w:after="0" w:line="188"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While conditions related to the COVID-19 pandemic have improved in the United States as vaccinations have become widely available, during the third quarter of 2021, the number of COVID-19 cases and deaths increased in the United States due in part to the emergence of a new variant of the novel coronavirus that causes COVID-19, as well as low vaccination rates in many parts of the country. In response, various governmental authorities and private businesses in the United States continued to implement, or reinstituted, certain mitigation strategies, such as masking and vaccine requirements. The rate of new cases and deaths in the United States are currently decreasing again but longer-term</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trends are unknown. As such, it is impossible to predict the effect and ultimate impact of the COVID-19 pandemic on the Company as conditions related to the COVID-19 pandemic continue to evolve. See Note 6 for additional information regarding government stimulus advances associated with the COVID-19 pandemic that the Company has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40" w:firstLine="476"/>
        <w:spacing w:after="0" w:line="291" w:lineRule="auto"/>
        <w:rPr>
          <w:sz w:val="20"/>
          <w:szCs w:val="20"/>
          <w:color w:val="auto"/>
        </w:rPr>
      </w:pPr>
      <w:r>
        <w:rPr>
          <w:rFonts w:ascii="Arial" w:cs="Arial" w:eastAsia="Arial" w:hAnsi="Arial"/>
          <w:sz w:val="16"/>
          <w:szCs w:val="16"/>
          <w:color w:val="auto"/>
        </w:rPr>
        <w:t>On June 2, 2021, the Company received a $6.5 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66" w:lineRule="exact"/>
        <w:rPr>
          <w:sz w:val="20"/>
          <w:szCs w:val="20"/>
          <w:color w:val="auto"/>
        </w:rPr>
      </w:pPr>
    </w:p>
    <w:p>
      <w:pPr>
        <w:ind w:right="820" w:firstLine="476"/>
        <w:spacing w:after="0" w:line="308" w:lineRule="auto"/>
        <w:rPr>
          <w:sz w:val="20"/>
          <w:szCs w:val="20"/>
          <w:color w:val="auto"/>
        </w:rPr>
      </w:pPr>
      <w:r>
        <w:rPr>
          <w:rFonts w:ascii="Arial" w:cs="Arial" w:eastAsia="Arial" w:hAnsi="Arial"/>
          <w:sz w:val="17"/>
          <w:szCs w:val="17"/>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81"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60" w:firstLine="476"/>
        <w:spacing w:after="0" w:line="311" w:lineRule="auto"/>
        <w:rPr>
          <w:sz w:val="20"/>
          <w:szCs w:val="20"/>
          <w:color w:val="auto"/>
        </w:rPr>
      </w:pPr>
      <w:r>
        <w:rPr>
          <w:rFonts w:ascii="Arial" w:cs="Arial" w:eastAsia="Arial" w:hAnsi="Arial"/>
          <w:sz w:val="16"/>
          <w:szCs w:val="16"/>
          <w:color w:val="auto"/>
        </w:rPr>
        <w:t>The tables below set forth information about the Company’s reportable segments for the three and nine months ended September 30, 2021 and 2020,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49" w:lineRule="exact"/>
        <w:rPr>
          <w:sz w:val="20"/>
          <w:szCs w:val="20"/>
          <w:color w:val="auto"/>
        </w:rPr>
      </w:pPr>
    </w:p>
    <w:p>
      <w:pPr>
        <w:ind w:right="320" w:firstLine="476"/>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9"/>
          </w:tcPr>
          <w:p>
            <w:pPr>
              <w:jc w:val="center"/>
              <w:ind w:right="150"/>
              <w:spacing w:after="0"/>
              <w:rPr>
                <w:sz w:val="20"/>
                <w:szCs w:val="20"/>
                <w:color w:val="auto"/>
              </w:rPr>
            </w:pPr>
            <w:r>
              <w:rPr>
                <w:rFonts w:ascii="Arial" w:cs="Arial" w:eastAsia="Arial" w:hAnsi="Arial"/>
                <w:sz w:val="14"/>
                <w:szCs w:val="14"/>
                <w:b w:val="1"/>
                <w:bCs w:val="1"/>
                <w:color w:val="auto"/>
                <w:w w:val="93"/>
              </w:rPr>
              <w:t>For the Three Months Ended September 30, 2021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w w:val="96"/>
              </w:rPr>
              <w:t>Personal Care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169,609</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125,647</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67,046</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28,796</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center"/>
              <w:ind w:right="150"/>
              <w:spacing w:after="0"/>
              <w:rPr>
                <w:sz w:val="20"/>
                <w:szCs w:val="20"/>
                <w:color w:val="auto"/>
              </w:rPr>
            </w:pPr>
            <w:r>
              <w:rPr>
                <w:rFonts w:ascii="Arial" w:cs="Arial" w:eastAsia="Arial" w:hAnsi="Arial"/>
                <w:sz w:val="14"/>
                <w:szCs w:val="14"/>
                <w:b w:val="1"/>
                <w:bCs w:val="1"/>
                <w:color w:val="auto"/>
                <w:w w:val="93"/>
              </w:rPr>
              <w:t>For the Three Months Ended September 30, 2020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165,916</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124,493</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14,837</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26,586</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3"/>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For the Nine Months Ended September 30, 2021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Home Health</w:t>
            </w: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510,744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112,098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639,857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56,500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10,560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442,804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55,598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6,455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26,016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3,410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76,233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88,193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29,582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3,045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120,820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For the Nine Months Ended September 30, 2020</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Home Health</w:t>
            </w: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482,849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73,723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568,779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33,749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8,553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401,646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39,974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3,654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18,658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2,831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66,531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21,316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100,602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3"/>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120,820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3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Payors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and nine months ended September 30, 2021 and 2020, the Company’s revenue by payor type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Personal Care</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gridSpan w:val="16"/>
          </w:tcPr>
          <w:p>
            <w:pPr>
              <w:jc w:val="right"/>
              <w:ind w:right="760"/>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gridSpan w:val="14"/>
          </w:tcPr>
          <w:p>
            <w:pPr>
              <w:ind w:left="60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5"/>
              <w:spacing w:after="0" w:line="13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18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1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14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83"/>
              </w:rPr>
              <w:t>%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85,344</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253,052</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FF0FC"/>
          </w:tcPr>
          <w:p>
            <w:pPr>
              <w:spacing w:after="0"/>
              <w:rPr>
                <w:sz w:val="20"/>
                <w:szCs w:val="20"/>
                <w:color w:val="auto"/>
              </w:rPr>
            </w:pPr>
          </w:p>
        </w:tc>
        <w:tc>
          <w:tcPr>
            <w:tcW w:w="4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242,751</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76,890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213,087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Commercial insurance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 personal care segment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169,609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83"/>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165,916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510,744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420" w:type="dxa"/>
            <w:vAlign w:val="bottom"/>
            <w:gridSpan w:val="3"/>
          </w:tcPr>
          <w:p>
            <w:pPr>
              <w:ind w:left="100"/>
              <w:spacing w:after="0"/>
              <w:rPr>
                <w:sz w:val="20"/>
                <w:szCs w:val="20"/>
                <w:color w:val="auto"/>
              </w:rPr>
            </w:pPr>
            <w:r>
              <w:rPr>
                <w:rFonts w:ascii="Arial" w:cs="Arial" w:eastAsia="Arial" w:hAnsi="Arial"/>
                <w:sz w:val="18"/>
                <w:szCs w:val="18"/>
                <w:color w:val="auto"/>
                <w:w w:val="96"/>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482,849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Hospice</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16"/>
          </w:tcPr>
          <w:p>
            <w:pPr>
              <w:jc w:val="right"/>
              <w:ind w:right="720"/>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14"/>
          </w:tcPr>
          <w:p>
            <w:pPr>
              <w:ind w:left="62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Service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36,278</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92.8</w:t>
            </w:r>
          </w:p>
        </w:tc>
        <w:tc>
          <w:tcPr>
            <w:tcW w:w="28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22,404</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104,715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93.4</w:t>
            </w:r>
          </w:p>
        </w:tc>
        <w:tc>
          <w:tcPr>
            <w:tcW w:w="3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68,372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4,396</w:t>
            </w:r>
          </w:p>
        </w:tc>
        <w:tc>
          <w:tcPr>
            <w:tcW w:w="2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39,095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23,986</w:t>
            </w:r>
          </w:p>
        </w:tc>
        <w:tc>
          <w:tcPr>
            <w:tcW w:w="1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112,098</w:t>
            </w:r>
          </w:p>
        </w:tc>
        <w:tc>
          <w:tcPr>
            <w:tcW w:w="2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73,723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Home Health</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16"/>
          </w:tcPr>
          <w:p>
            <w:pPr>
              <w:jc w:val="right"/>
              <w:ind w:right="720"/>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14"/>
          </w:tcPr>
          <w:p>
            <w:pPr>
              <w:ind w:left="62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Service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6,372</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80.1</w:t>
            </w:r>
          </w:p>
        </w:tc>
        <w:tc>
          <w:tcPr>
            <w:tcW w:w="28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80.5</w:t>
            </w:r>
          </w:p>
        </w:tc>
        <w:tc>
          <w:tcPr>
            <w:tcW w:w="3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9,667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2,838</w:t>
            </w:r>
          </w:p>
        </w:tc>
        <w:tc>
          <w:tcPr>
            <w:tcW w:w="2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w w:val="92"/>
              </w:rPr>
              <w:t>Total home health segment net</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4,085</w:t>
            </w:r>
          </w:p>
        </w:tc>
        <w:tc>
          <w:tcPr>
            <w:tcW w:w="1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17,015</w:t>
            </w:r>
          </w:p>
        </w:tc>
        <w:tc>
          <w:tcPr>
            <w:tcW w:w="2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12,207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80" w:firstLine="476"/>
        <w:spacing w:after="0" w:line="308" w:lineRule="auto"/>
        <w:rPr>
          <w:sz w:val="20"/>
          <w:szCs w:val="20"/>
          <w:color w:val="auto"/>
        </w:rPr>
      </w:pPr>
      <w:r>
        <w:rPr>
          <w:rFonts w:ascii="Arial" w:cs="Arial" w:eastAsia="Arial" w:hAnsi="Arial"/>
          <w:sz w:val="17"/>
          <w:szCs w:val="17"/>
          <w:color w:val="auto"/>
        </w:rPr>
        <w:t>The Company derives a significant amount of its revenue from its operations in Illinois, New York and New Mexico. The percentages of segment revenue for each of these significant states for the three and nine months ended September 30, 2021 and 2020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Personal Care</w:t>
            </w: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8"/>
          </w:tcPr>
          <w:p>
            <w:pPr>
              <w:jc w:val="right"/>
              <w:ind w:right="659"/>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8"/>
          </w:tcPr>
          <w:p>
            <w:pPr>
              <w:ind w:left="60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7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81,959</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74,448</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240,131</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215,047</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24,127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28,381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77,237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87,463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21,878</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39,309</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120,085</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Total personal care segment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169,609</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165,916</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510,744</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482,849</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Hospice</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8"/>
          </w:tcPr>
          <w:p>
            <w:pPr>
              <w:ind w:left="520"/>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8"/>
          </w:tcPr>
          <w:p>
            <w:pPr>
              <w:ind w:left="58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3"/>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63"/>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3"/>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3"/>
              <w:spacing w:after="0"/>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
              <w:spacing w:after="0"/>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3"/>
              </w:rPr>
              <w:t>Amount</w:t>
            </w:r>
          </w:p>
        </w:tc>
        <w:tc>
          <w:tcPr>
            <w:tcW w:w="680" w:type="dxa"/>
            <w:vAlign w:val="bottom"/>
          </w:tcPr>
          <w:p>
            <w:pPr>
              <w:jc w:val="center"/>
              <w:ind w:right="63"/>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7"/>
              </w:rPr>
              <w:t>Amount</w:t>
            </w:r>
          </w:p>
        </w:tc>
        <w:tc>
          <w:tcPr>
            <w:tcW w:w="720" w:type="dxa"/>
            <w:vAlign w:val="bottom"/>
          </w:tcPr>
          <w:p>
            <w:pPr>
              <w:jc w:val="center"/>
              <w:ind w:right="23"/>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20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(in Thousands)</w:t>
            </w:r>
          </w:p>
        </w:tc>
        <w:tc>
          <w:tcPr>
            <w:tcW w:w="68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4"/>
              </w:rPr>
              <w:t>(in Thousands)</w:t>
            </w:r>
          </w:p>
        </w:tc>
        <w:tc>
          <w:tcPr>
            <w:tcW w:w="720" w:type="dxa"/>
            <w:vAlign w:val="bottom"/>
          </w:tcPr>
          <w:p>
            <w:pPr>
              <w:jc w:val="center"/>
              <w:ind w:right="23"/>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Ohio</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44,676</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New Mexico</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27,216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40,206</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39,095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23,986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112,098</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73,723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the acquisition of Queen City Hospice, the Company expanded our hospice services in the state of Ohio.</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Home Health</w:t>
            </w: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8"/>
          </w:tcPr>
          <w:p>
            <w:pPr>
              <w:ind w:left="520"/>
              <w:spacing w:after="0" w:line="155" w:lineRule="exact"/>
              <w:rPr>
                <w:sz w:val="20"/>
                <w:szCs w:val="20"/>
                <w:color w:val="auto"/>
              </w:rPr>
            </w:pPr>
            <w:r>
              <w:rPr>
                <w:rFonts w:ascii="Arial" w:cs="Arial" w:eastAsia="Arial" w:hAnsi="Arial"/>
                <w:sz w:val="14"/>
                <w:szCs w:val="14"/>
                <w:b w:val="1"/>
                <w:bCs w:val="1"/>
                <w:color w:val="auto"/>
                <w:w w:val="93"/>
              </w:rPr>
              <w:t>For the Three Months Ended September 30,</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8"/>
          </w:tcPr>
          <w:p>
            <w:pPr>
              <w:ind w:left="600"/>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6"/>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6"/>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66"/>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6"/>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6"/>
              <w:spacing w:after="0"/>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6"/>
              <w:spacing w:after="0"/>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80" w:type="dxa"/>
            <w:vAlign w:val="bottom"/>
          </w:tcPr>
          <w:p>
            <w:pPr>
              <w:jc w:val="center"/>
              <w:ind w:right="66"/>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jc w:val="center"/>
              <w:ind w:right="26"/>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0"/>
              </w:rPr>
              <w:t>(in Thousands)</w:t>
            </w:r>
          </w:p>
        </w:tc>
        <w:tc>
          <w:tcPr>
            <w:tcW w:w="680" w:type="dxa"/>
            <w:vAlign w:val="bottom"/>
          </w:tcPr>
          <w:p>
            <w:pPr>
              <w:jc w:val="center"/>
              <w:ind w:right="46"/>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6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Pr>
          <w:p>
            <w:pPr>
              <w:jc w:val="center"/>
              <w:ind w:right="26"/>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w w:val="98"/>
              </w:rPr>
              <w:t>Total home health segment 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7,958</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17,015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12,207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76"/>
        <w:spacing w:after="0" w:line="254" w:lineRule="auto"/>
        <w:rPr>
          <w:sz w:val="20"/>
          <w:szCs w:val="20"/>
          <w:color w:val="auto"/>
        </w:rPr>
      </w:pPr>
      <w:r>
        <w:rPr>
          <w:rFonts w:ascii="Arial" w:cs="Arial" w:eastAsia="Arial" w:hAnsi="Arial"/>
          <w:sz w:val="18"/>
          <w:szCs w:val="18"/>
          <w:color w:val="auto"/>
        </w:rPr>
        <w:t>A substantial portion of the Company’s revenue and accounts receivable are derived from services performed for federal, state and local governmental agencies. We derive a significant amount of our net service revenues in Illinois, which represented 37.8%, and 38.5% of our net service revenues for the three months ended September 30, 2021, and 2020, respectively, and accounted for 37.5% and 37.8% of our net service revenues for the nine months ended September 30, 2021 and 2020, respectively. The Illinois Department on Aging, the largest payor program for the Company’s Illinois personal care operations, accounted for 21.3% and 22.9% of the Company’s net service revenues for the three months ended September 30, 2021 and 2020, respectively, and accounted for 21.4% and 23.1% of the Company’s net service revenues for the nine months ended September 30, 2021 and 2020, respectively.</w:t>
      </w:r>
    </w:p>
    <w:p>
      <w:pPr>
        <w:spacing w:after="0" w:line="195" w:lineRule="exact"/>
        <w:rPr>
          <w:sz w:val="20"/>
          <w:szCs w:val="20"/>
          <w:color w:val="auto"/>
        </w:rPr>
      </w:pPr>
    </w:p>
    <w:p>
      <w:pPr>
        <w:ind w:right="540" w:firstLine="476"/>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14.4% and 15.9% of the Company’s net accounts receivable at September 30, 2021 and December 31,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40" w:firstLine="702"/>
        <w:spacing w:after="0" w:line="259" w:lineRule="auto"/>
        <w:rPr>
          <w:sz w:val="20"/>
          <w:szCs w:val="20"/>
          <w:color w:val="auto"/>
        </w:rPr>
      </w:pPr>
      <w:r>
        <w:rPr>
          <w:rFonts w:ascii="Arial" w:cs="Arial" w:eastAsia="Arial" w:hAnsi="Arial"/>
          <w:sz w:val="18"/>
          <w:szCs w:val="18"/>
          <w:color w:val="auto"/>
        </w:rPr>
        <w:t>On October 1, 2021, we completed the acquisition of Summit Home Health, LLC (“Summit”) for approximately $8.1 million, with funding provided by available cash. With the purchase of Summit, the Company added clinical services to its home health segment in Illinois. The initial accounting is incomplete, therefore the related business combination disclosures cannot be completed. The Company is currently assessing the fair value of identifiable net assets acquired.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future impact to our business with respect to developments related to the COVID-19 pandemic, including, without limitation, the impact of government regulation and stimulus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other stimulus legislation, as well as the six-point COVID-19 plan announced by the current Presidential administration, along with the related uncertainties regarding the implementation of such stimulus measures and any future stimulus measures related to COVID-19; increased expenses related to personal protective equipment (“PPE”), labor, supply chain, or other expenditures; workforce disruptions and supply shortages and disruptions;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 including economic and business conditions resulting from the COVID-19 pandemic,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ability to prevent cyber-attacks or security breaches to protect our computer systems and confidential consumer data;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the acquisition of Queen City Hospice, LLC and its affiliate Miracle City Hospice, LLC (together “Queen City Hospice”); the potential impact of the discontinuation or modification of LIBOR; the effectiveness, quality and cost of our services; our ability to successfully execute our growth strategy; changes in tax rates, including, without limitation, increases in the corporate tax rate; the impact of public health emergencies;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2020, filed with the SEC on March 1, 2021.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We are a home care services provider operating in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36.7% and 38.0% of our net service revenues during the three months ended September 30, 2021 and 2020, respectively, and 37.3% and 38.5% of our net service revenues during the nine months ended September 30, 2021 and 2020,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financial results for the three and nine months ended September 30, 2021 and 2020 is provided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w w:val="94"/>
              </w:rPr>
              <w:t>For the Three Months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For the Nine Months</w:t>
            </w:r>
          </w:p>
        </w:tc>
      </w:tr>
      <w:tr>
        <w:trPr>
          <w:trHeight w:val="17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w w:val="91"/>
              </w:rPr>
              <w:t>Ended September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Ended September 30,</w:t>
            </w:r>
          </w:p>
        </w:tc>
      </w:tr>
      <w:tr>
        <w:trPr>
          <w:trHeight w:val="156"/>
        </w:trPr>
        <w:tc>
          <w:tcPr>
            <w:tcW w:w="57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jc w:val="center"/>
              <w:ind w:right="196"/>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4"/>
          </w:tcPr>
          <w:p>
            <w:pPr>
              <w:jc w:val="center"/>
              <w:ind w:right="176"/>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20" w:type="dxa"/>
            <w:vAlign w:val="bottom"/>
          </w:tcPr>
          <w:p>
            <w:pPr>
              <w:spacing w:after="0"/>
              <w:rPr>
                <w:sz w:val="13"/>
                <w:szCs w:val="13"/>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568,779</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9,119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32,068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24,684</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476"/>
        <w:spacing w:after="0" w:line="263" w:lineRule="auto"/>
        <w:rPr>
          <w:sz w:val="20"/>
          <w:szCs w:val="20"/>
          <w:color w:val="auto"/>
        </w:rPr>
      </w:pPr>
      <w:r>
        <w:rPr>
          <w:rFonts w:ascii="Arial" w:cs="Arial" w:eastAsia="Arial" w:hAnsi="Arial"/>
          <w:sz w:val="18"/>
          <w:szCs w:val="18"/>
          <w:color w:val="auto"/>
        </w:rPr>
        <w:t>As of September 30, 2021, we provided our services in 22 states through 207 offices. For the nine months ended September 30, 2021 and 2020, we served approximately 64,000 and 59,000 discrete individuals, respectively. Our personal care segment also includes staffing services, with clients including assisted living facilities, nursing homes and hospice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17" w:lineRule="exact"/>
        <w:rPr>
          <w:sz w:val="20"/>
          <w:szCs w:val="20"/>
          <w:color w:val="auto"/>
        </w:rPr>
      </w:pPr>
    </w:p>
    <w:p>
      <w:pPr>
        <w:ind w:right="20" w:firstLine="476"/>
        <w:spacing w:after="0" w:line="289" w:lineRule="auto"/>
        <w:rPr>
          <w:sz w:val="20"/>
          <w:szCs w:val="20"/>
          <w:color w:val="auto"/>
        </w:rPr>
      </w:pPr>
      <w:r>
        <w:rPr>
          <w:rFonts w:ascii="Arial" w:cs="Arial" w:eastAsia="Arial" w:hAnsi="Arial"/>
          <w:sz w:val="16"/>
          <w:szCs w:val="16"/>
          <w:color w:val="auto"/>
        </w:rPr>
        <w:t>COVID-19, the disease caused by a novel coronavirus, continues to be widespread throughout the United States and other parts of the world. Governments and public health officials continue to recommend and mandate certain precautions to mitigate the spread of the virus. The number of cases of COVID-19 decreased in the United States as vaccines became widely available, and a significant number of restrictions related to the COVID-19 pandemic in the United States have been eliminated or relaxed as the result of such decrease. In connection with the decrease in the number of COVID-19 cases and the change of restrictions in the United States, economic conditions in the United States have significantly improved during 2021. However, during the third quarter of 2021, the number of COVID-19 case and deaths increased in the United States due in part to the emergence of a new variant of the novel coronavirus that causes COVID-19, as well as low vaccination rates in many parts of the country. In response, various governmental authorities and private businesses in the United States continued to implement, or reinstituted, certain mitigation strategies, such as masking and vaccine requirements. The rate of new cases and deaths in the United States are currently decreasing again but longer-term trends are unknown.</w:t>
      </w:r>
    </w:p>
    <w:p>
      <w:pPr>
        <w:spacing w:after="0" w:line="166"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In September 2021, President Biden announced a six-point plan for responding to the COVID-19 pandemic. Part of this plan provides that the Occupational Safety and Health Administration (“OSHA”) will develop a rule which will require all employers with 100 or more employees to require their workforce to be fully vaccinated against COVID-19 (or, alternatively, to provide a negative COVID-19 test result on a weekly basis). The employer mandate has not yet gone into effect and further details, including any proposed OSHA rules, have not been released. Some states have also imposed or have plans to impose vaccine mandates, particularly in healthcare settings. In addition, CMS is expected to issue an emergency regulation requiring COVID-19 vaccination of staff within all Medicare and Medicaid-certified facilities. CMS has indicated that compliance with the vaccine mandate will be a condition of participation in the Medicare and Medicaid programs. The exact scope and other details of the OSHA and CMS mandates are not yet known, but we expect that these rules will impact our home health and hospice segments.</w:t>
      </w:r>
    </w:p>
    <w:p>
      <w:pPr>
        <w:spacing w:after="0" w:line="178" w:lineRule="exact"/>
        <w:rPr>
          <w:sz w:val="20"/>
          <w:szCs w:val="20"/>
          <w:color w:val="auto"/>
        </w:rPr>
      </w:pPr>
    </w:p>
    <w:p>
      <w:pPr>
        <w:jc w:val="both"/>
        <w:ind w:firstLine="476"/>
        <w:spacing w:after="0" w:line="293" w:lineRule="auto"/>
        <w:rPr>
          <w:sz w:val="20"/>
          <w:szCs w:val="20"/>
          <w:color w:val="auto"/>
        </w:rPr>
      </w:pPr>
      <w:r>
        <w:rPr>
          <w:rFonts w:ascii="Arial" w:cs="Arial" w:eastAsia="Arial" w:hAnsi="Arial"/>
          <w:sz w:val="16"/>
          <w:szCs w:val="16"/>
          <w:color w:val="auto"/>
        </w:rPr>
        <w:t>We are monitoring developments related to these plans as information becomes available to assess how these plans, including any national or state vaccine mandates, may impact our workforce in personal care, home health, hospice and our corporate support centers. While the Company has not mandated vaccines for our employees, we have developed a multistep program in order to strongly encourage our employees to get the COVID-19 vaccine, which includes offering a vaccine stipend and prizes as well as creating educational and motivational leadership communication. We are actively engaged in an effort to track vaccination rates among caregivers and to continue to improve those rates. However, it is difficult to predict the future impact of the pandemic or the six-point COVID-19 plan and state vaccine mandates on economic conditions in the United States and our business at this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For the three and nine months ended September 30, 2021, COVID-19-related expenses in our personal care segment were approximately $1.3 million and $14.6 million, respectively, which were offset by $0.4 million and $11.7 million, respectively, related to the utilization of a portion of the funds received from the Provider Relief Fund in November 2020 and are included in cost of service revenues on the Condensed Consolidated Statements of Income. As of September 30, 2021, the Company deferred the recognition of the remaining Provider Relief Fund of approximately $0.5 million, which will be recognized as we incur specific expenses related to the pandemic, or we anticipate will be returned, to the extent COVID-19-related expenses are not incurred, by December 31, 2021. Additionally, we recognized revenue of $1.3 million and $6.1 million attributable to temporary rate increases from certain payors in our personal care segment for the three and nine months ended September 30, 2021, respectively.</w:t>
      </w:r>
    </w:p>
    <w:p>
      <w:pPr>
        <w:spacing w:after="0" w:line="177" w:lineRule="exact"/>
        <w:rPr>
          <w:sz w:val="20"/>
          <w:szCs w:val="20"/>
          <w:color w:val="auto"/>
        </w:rPr>
      </w:pPr>
    </w:p>
    <w:p>
      <w:pPr>
        <w:ind w:firstLine="476"/>
        <w:spacing w:after="0" w:line="263" w:lineRule="auto"/>
        <w:rPr>
          <w:sz w:val="20"/>
          <w:szCs w:val="20"/>
          <w:color w:val="auto"/>
        </w:rPr>
      </w:pPr>
      <w:r>
        <w:rPr>
          <w:rFonts w:ascii="Arial" w:cs="Arial" w:eastAsia="Arial" w:hAnsi="Arial"/>
          <w:sz w:val="18"/>
          <w:szCs w:val="18"/>
          <w:color w:val="auto"/>
        </w:rPr>
        <w:t>For the nine months ended September 30, 2021, COVID-19-related expenses in our hospice segment were approximately $1.9 million, which were offset by $1.9 million, related to the utilization of a portion of the funds received from the Queen City Hospice Provider Relief Fund and included in cost of service revenues on the Condensed Consolidated Statements of Income.</w:t>
      </w:r>
    </w:p>
    <w:p>
      <w:pPr>
        <w:spacing w:after="0" w:line="184" w:lineRule="exact"/>
        <w:rPr>
          <w:sz w:val="20"/>
          <w:szCs w:val="20"/>
          <w:color w:val="auto"/>
        </w:rPr>
      </w:pPr>
    </w:p>
    <w:p>
      <w:pPr>
        <w:ind w:right="120" w:firstLine="476"/>
        <w:spacing w:after="0" w:line="259" w:lineRule="auto"/>
        <w:rPr>
          <w:sz w:val="20"/>
          <w:szCs w:val="20"/>
          <w:color w:val="auto"/>
        </w:rPr>
      </w:pPr>
      <w:r>
        <w:rPr>
          <w:rFonts w:ascii="Arial" w:cs="Arial" w:eastAsia="Arial" w:hAnsi="Arial"/>
          <w:sz w:val="18"/>
          <w:szCs w:val="18"/>
          <w:color w:val="auto"/>
        </w:rPr>
        <w:t>As of September 30, 2021, the Company deferred the recognition of $6.7 million of payments received from payors for COVID-19 reimbursement, included within accrued expenses, which will be recognized as we incur specific expenses related to the pandemic, such as expenses related to acquiring additional PPE, or will be returned to the extent COVID-19-related expenses are not incurred. We are not able to reasonably predict the total costs we will incur related to the COVID-19 pandemic, and such costs could be substantial.</w:t>
      </w:r>
    </w:p>
    <w:p>
      <w:pPr>
        <w:spacing w:after="0" w:line="187" w:lineRule="exact"/>
        <w:rPr>
          <w:sz w:val="20"/>
          <w:szCs w:val="20"/>
          <w:color w:val="auto"/>
        </w:rPr>
      </w:pPr>
    </w:p>
    <w:p>
      <w:pPr>
        <w:ind w:right="60" w:firstLine="476"/>
        <w:spacing w:after="0" w:line="273" w:lineRule="auto"/>
        <w:rPr>
          <w:sz w:val="20"/>
          <w:szCs w:val="20"/>
          <w:color w:val="auto"/>
        </w:rPr>
      </w:pPr>
      <w:r>
        <w:rPr>
          <w:rFonts w:ascii="Arial" w:cs="Arial" w:eastAsia="Arial" w:hAnsi="Arial"/>
          <w:sz w:val="17"/>
          <w:szCs w:val="17"/>
          <w:color w:val="auto"/>
        </w:rPr>
        <w:t>As the labor market continues to be tight and unemployment has declined in comparison to earlier levels, the competition for new caregivers has increased, which will continue to impact our ability to attract and retain new caregivers. In addition, the competition for skilled healthcare staff has increased significantly, which continues to impact our ability to attract and retain qualified skilled healthcare staff. To the extent that we continue to have lower unemployment levels in the United States and shortages of caregivers and skilled healthcare staff, it may continue to hinder our ability to attract and retain sufficient caregivers and skilled healthcare staff to meet the continuing demand for both our non-clinical and clinical services. The increased staffing challenges may also result in increased labor cost to satisfy our staffing requirements.</w:t>
      </w:r>
    </w:p>
    <w:p>
      <w:pPr>
        <w:spacing w:after="0" w:line="178"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 xml:space="preserve">Federal and state agencies continue to issue regulations and guidance related to the COVID-19 pandemic, and the public health situation continues to evolve, and, therefore, we cannot currently predict with certainty the extent to which our business, results of operations, financial condition or liquidity will ultimately be impacted. We will continue to assess the impact and consequences of COVID-19 and government responses to the pandemic, including the enactment and implementation of the CARES Act, the PPPHCE Act, the CAA, the ARPA and other stimulus legislation, as well as the implementation of the President’s six-point COVID-19 plan and any federal and state vaccine mandates,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6"/>
          <w:szCs w:val="16"/>
          <w:i w:val="1"/>
          <w:iCs w:val="1"/>
          <w:color w:val="auto"/>
        </w:rPr>
        <w:t>The COVID-19 pandemic could negatively affect our operations,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condition, and our liquidity could also be negatively impacted, particularly if the U.S. economy remains unstable for a significant amount of time</w:t>
      </w:r>
      <w:r>
        <w:rPr>
          <w:rFonts w:ascii="Arial" w:cs="Arial" w:eastAsia="Arial" w:hAnsi="Arial"/>
          <w:sz w:val="16"/>
          <w:szCs w:val="16"/>
          <w:color w:val="auto"/>
        </w:rPr>
        <w:t>” of our Annual Report on Form 10-K for the period ended December 31, 2020, filed with the SEC on March 1, 2021.</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relief.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40" w:firstLine="477"/>
        <w:spacing w:after="0" w:line="263"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with the goal of having all three levels of home care in additional markets, or facilitating our entry into new markets where in-home care has been moving to managed care organizations.</w:t>
      </w:r>
    </w:p>
    <w:p>
      <w:pPr>
        <w:spacing w:after="0" w:line="184"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On July 1, 2020, we completed the acquisition of A Plus Health Care, Inc. (“A Plus”) for approximately $14.5 million, including the amount of excess cash held by A Plus at the closing of the acquisition (approximately $2.8 million), with funding provided by available cash. With the purchase of A Plus, we expanded our personal care services in the state of Montana.</w:t>
      </w:r>
    </w:p>
    <w:p>
      <w:pPr>
        <w:spacing w:after="0" w:line="184" w:lineRule="exact"/>
        <w:rPr>
          <w:sz w:val="20"/>
          <w:szCs w:val="20"/>
          <w:color w:val="auto"/>
        </w:rPr>
      </w:pPr>
    </w:p>
    <w:p>
      <w:pPr>
        <w:ind w:right="340" w:firstLine="477"/>
        <w:spacing w:after="0" w:line="311" w:lineRule="auto"/>
        <w:rPr>
          <w:sz w:val="20"/>
          <w:szCs w:val="20"/>
          <w:color w:val="auto"/>
        </w:rPr>
      </w:pPr>
      <w:r>
        <w:rPr>
          <w:rFonts w:ascii="Arial" w:cs="Arial" w:eastAsia="Arial" w:hAnsi="Arial"/>
          <w:sz w:val="16"/>
          <w:szCs w:val="16"/>
          <w:color w:val="auto"/>
        </w:rPr>
        <w:t>On November 1, 2020, we completed the acquisition of County Homemakers, Inc. (“County Homemakers”) for approximately $15.8 million, including the amount of acquired excess cash held by County Homemakers at the closing of the acquisition (approximately $1.1 million), with funding provided by available cash. With the purchase of County Homemakers, we expanded our personal care services in the state of Pennsylvania.</w:t>
      </w:r>
    </w:p>
    <w:p>
      <w:pPr>
        <w:spacing w:after="0" w:line="149"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On December 4, 2020, we completed the acquisition of Queen City Hospice for approximately $194.8 million, including the amount of acquired excess cash held by Queen City Hospice at the closing of the acquisition (approximately $15.4 million). With the purchase of Queen City Hospice, we expanded our hospice services in the state of Ohio. Additionally, on December 1, 2020, we completed the acquisition of SunLife Home Care (“SunLife”) for approximately $1.7 million. With the purchase of SunLife, we expanded our personal care services in the state of Arizona. We funded these acquisitions through a combination of our revolving credit facility and available cash.</w:t>
      </w:r>
    </w:p>
    <w:p>
      <w:pPr>
        <w:spacing w:after="0" w:line="188" w:lineRule="exact"/>
        <w:rPr>
          <w:sz w:val="20"/>
          <w:szCs w:val="20"/>
          <w:color w:val="auto"/>
        </w:rPr>
      </w:pPr>
    </w:p>
    <w:p>
      <w:pPr>
        <w:ind w:right="280" w:firstLine="477"/>
        <w:spacing w:after="0" w:line="308" w:lineRule="auto"/>
        <w:rPr>
          <w:sz w:val="20"/>
          <w:szCs w:val="20"/>
          <w:color w:val="auto"/>
        </w:rPr>
      </w:pPr>
      <w:r>
        <w:rPr>
          <w:rFonts w:ascii="Arial" w:cs="Arial" w:eastAsia="Arial" w:hAnsi="Arial"/>
          <w:sz w:val="17"/>
          <w:szCs w:val="17"/>
          <w:color w:val="auto"/>
        </w:rPr>
        <w:t>On August 1, 2021, we completed the acquisition of Armada Skilled Homecare of New Mexico LLC, Armada Hospice of New Mexico LLC and Armada Hospice of Santa Fe LLC (collectively, “Armada”) for approximately $29.8 million, including the amount of acquired excess</w:t>
      </w:r>
    </w:p>
    <w:p>
      <w:pPr>
        <w:sectPr>
          <w:pgSz w:w="11900" w:h="16838" w:orient="portrait"/>
          <w:cols w:equalWidth="0" w:num="1">
            <w:col w:w="11220"/>
          </w:cols>
          <w:pgMar w:left="320" w:top="121" w:right="35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cash held by Armada at the closing of the acquisition (approximately $0.7 million), with funding provided by our revolving credit facility. With the purchase of Armada, we expanded our home health and hospice services in the state of New Mexico.</w:t>
      </w:r>
    </w:p>
    <w:p>
      <w:pPr>
        <w:spacing w:after="0" w:line="170" w:lineRule="exact"/>
        <w:rPr>
          <w:sz w:val="20"/>
          <w:szCs w:val="20"/>
          <w:color w:val="auto"/>
        </w:rPr>
      </w:pPr>
    </w:p>
    <w:p>
      <w:pPr>
        <w:ind w:right="20" w:firstLine="477"/>
        <w:spacing w:after="0" w:line="277" w:lineRule="auto"/>
        <w:rPr>
          <w:sz w:val="20"/>
          <w:szCs w:val="20"/>
          <w:color w:val="auto"/>
        </w:rPr>
      </w:pPr>
      <w:r>
        <w:rPr>
          <w:rFonts w:ascii="Arial" w:cs="Arial" w:eastAsia="Arial" w:hAnsi="Arial"/>
          <w:sz w:val="18"/>
          <w:szCs w:val="18"/>
          <w:color w:val="auto"/>
        </w:rPr>
        <w:t>On October 1, 2021, we completed the acquisition of Summit Home Health, LLC (“Summit”) for approximately $8.1 million, with funding provided by available cash. With the purchase of Summit, we added clinical services to our home health segment in Illinois.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the three and nine months ended September 30, 2021 and 2020, our revenue by payor and significant states by segment were as follows: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Personal Care</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gridSpan w:val="8"/>
          </w:tcPr>
          <w:p>
            <w:pPr>
              <w:jc w:val="right"/>
              <w:ind w:right="636"/>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7"/>
          </w:tcPr>
          <w:p>
            <w:pPr>
              <w:jc w:val="center"/>
              <w:ind w:left="514"/>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 programs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83,821</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85,344</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253,052</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242,751</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76,890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71,700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231,211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213,087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Commercial insurance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2,459</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7,468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6"/>
              </w:rPr>
              <w:t>Total personal care segment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169,609</w:t>
            </w:r>
          </w:p>
        </w:tc>
        <w:tc>
          <w:tcPr>
            <w:tcW w:w="1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165,916</w:t>
            </w: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510,744</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482,849</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Illinois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81,959</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74,448</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240,131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215,047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24,127</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28,381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77,237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87,463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21,878</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39,309</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120,085</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115,937</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personal care segment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169,609</w:t>
            </w:r>
          </w:p>
        </w:tc>
        <w:tc>
          <w:tcPr>
            <w:tcW w:w="1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165,916</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510,744</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482,849</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88"/>
              </w:rPr>
              <w:t>Hospice</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gridSpan w:val="8"/>
          </w:tcPr>
          <w:p>
            <w:pPr>
              <w:jc w:val="right"/>
              <w:ind w:right="636"/>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7"/>
          </w:tcPr>
          <w:p>
            <w:pPr>
              <w:jc w:val="center"/>
              <w:ind w:left="514"/>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38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22,404</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104,715</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68,372</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39,095</w:t>
            </w:r>
          </w:p>
        </w:tc>
        <w:tc>
          <w:tcPr>
            <w:tcW w:w="1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23,986</w:t>
            </w: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112,098</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73,723</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Ohio</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15,868</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44,676</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New Mexico</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9,268</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10,979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27,216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33,431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13,007</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40,206</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40,292</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39,095</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23,986</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112,098</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73,723</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ind w:right="576"/>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the acquisition of Queen City Hospice, the Company expanded our hospice services in the state of Ohio.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Home Health</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gridSpan w:val="8"/>
          </w:tcPr>
          <w:p>
            <w:pPr>
              <w:jc w:val="right"/>
              <w:ind w:right="638"/>
              <w:spacing w:after="0" w:line="155" w:lineRule="exact"/>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7"/>
          </w:tcPr>
          <w:p>
            <w:pPr>
              <w:jc w:val="center"/>
              <w:ind w:left="516"/>
              <w:spacing w:after="0" w:line="155"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38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9,667</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home health segment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17,015</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18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home health segment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17,015</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476"/>
        <w:spacing w:after="0" w:line="263" w:lineRule="auto"/>
        <w:rPr>
          <w:sz w:val="20"/>
          <w:szCs w:val="20"/>
          <w:color w:val="auto"/>
        </w:rPr>
      </w:pPr>
      <w:r>
        <w:rPr>
          <w:rFonts w:ascii="Arial" w:cs="Arial" w:eastAsia="Arial" w:hAnsi="Arial"/>
          <w:sz w:val="18"/>
          <w:szCs w:val="18"/>
          <w:color w:val="auto"/>
        </w:rPr>
        <w:t>We derive a significant amount of our net service revenues in Illinois, which represented 37.8% and 38.5% of our net service revenues for the three months ended September 30, 2021 and 2020, respectively, and accounted for 37.5% and 37.8% of our net service revenues for the nine months ended September 30, 2021 and 2020, respectively.</w:t>
      </w:r>
    </w:p>
    <w:p>
      <w:pPr>
        <w:spacing w:after="0" w:line="184" w:lineRule="exact"/>
        <w:rPr>
          <w:sz w:val="20"/>
          <w:szCs w:val="20"/>
          <w:color w:val="auto"/>
        </w:rPr>
      </w:pPr>
    </w:p>
    <w:p>
      <w:pPr>
        <w:ind w:firstLine="476"/>
        <w:spacing w:after="0" w:line="259" w:lineRule="auto"/>
        <w:rPr>
          <w:sz w:val="20"/>
          <w:szCs w:val="20"/>
          <w:color w:val="auto"/>
        </w:rPr>
      </w:pPr>
      <w:r>
        <w:rPr>
          <w:rFonts w:ascii="Arial" w:cs="Arial" w:eastAsia="Arial" w:hAnsi="Arial"/>
          <w:sz w:val="18"/>
          <w:szCs w:val="18"/>
          <w:color w:val="auto"/>
        </w:rPr>
        <w:t>A significant amount of our net service revenues are derived from one payor client, the Illinois Department on Aging, the largest payor program for our Illinois personal care operations, which accounted for 21.3% and 22.9% of our net service revenues for the three months ended September 30, 2021 and 2020, respectively, and accounted for 21.4% and 23.1% of the Company’s net service revenues for the nine months ended September 30, 2021 and 2020, respectively.</w:t>
      </w:r>
    </w:p>
    <w:p>
      <w:pPr>
        <w:spacing w:after="0" w:line="187"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and to $15 per hour beginning July 1, 2021.</w:t>
      </w:r>
    </w:p>
    <w:p>
      <w:pPr>
        <w:spacing w:after="0" w:line="170" w:lineRule="exact"/>
        <w:rPr>
          <w:sz w:val="20"/>
          <w:szCs w:val="20"/>
          <w:color w:val="auto"/>
        </w:rPr>
      </w:pPr>
    </w:p>
    <w:p>
      <w:pPr>
        <w:ind w:firstLine="477"/>
        <w:spacing w:after="0" w:line="289" w:lineRule="auto"/>
        <w:rPr>
          <w:sz w:val="20"/>
          <w:szCs w:val="20"/>
          <w:color w:val="auto"/>
        </w:rPr>
      </w:pPr>
      <w:r>
        <w:rPr>
          <w:rFonts w:ascii="Arial" w:cs="Arial" w:eastAsia="Arial" w:hAnsi="Arial"/>
          <w:sz w:val="16"/>
          <w:szCs w:val="16"/>
          <w:color w:val="auto"/>
        </w:rPr>
        <w:t>Effective January 1, 2021, the state of Illinois fiscal year 2021 budget increased in-home care rates through the Community Care Program by 7.1%, to $23.40 from $21.84. However, the rate increase was delayed and did not take effect until April 1, 2021, as a result of on-going state revenue declines due to COVID-19 and the failure of the November 2020 referendum to revise the Illinois income tax code. On June 29, 2021, the Governor announced the authorization of bonus payments to providers in an amount equivalent to the rate increase for services delivered from January 1, 2021 to March 31, 2021 for state reimbursed hours of care. The bonus payment of $3.0 million was recognized as net service revenues during the three months ended June 30, 2021, and was received in September 2021. On June 17, 2021, the Governor of Illinois signed the fiscal year 2022 budget, which funds an increase of in-home care rates to $24.96 effective January 1, 2022. On July 12, 2021, the State of Illinois submitted its Initial Illinois Spending Plan and Narrative for Home and Community Based Services investments as part of the ARPA. Included in that plan is the acceleration of the rate increase to $24.96 from January 1, 2022, to November 1, 2021, for which the state appears confident that it will receive approval during the fourth quarter of 2021.</w:t>
      </w:r>
    </w:p>
    <w:p>
      <w:pPr>
        <w:spacing w:after="0" w:line="166" w:lineRule="exact"/>
        <w:rPr>
          <w:sz w:val="20"/>
          <w:szCs w:val="20"/>
          <w:color w:val="auto"/>
        </w:rPr>
      </w:pPr>
    </w:p>
    <w:p>
      <w:pPr>
        <w:jc w:val="both"/>
        <w:ind w:right="200" w:firstLine="476"/>
        <w:spacing w:after="0" w:line="263" w:lineRule="auto"/>
        <w:rPr>
          <w:sz w:val="20"/>
          <w:szCs w:val="20"/>
          <w:color w:val="auto"/>
        </w:rPr>
      </w:pPr>
      <w:r>
        <w:rPr>
          <w:rFonts w:ascii="Arial" w:cs="Arial" w:eastAsia="Arial" w:hAnsi="Arial"/>
          <w:sz w:val="18"/>
          <w:szCs w:val="18"/>
          <w:color w:val="auto"/>
        </w:rPr>
        <w:t>Our business will benefit from the rate increases noted above as planned for 2022, but there is no assurance that additional offsetting rate increases will be adopted in Illinois for fiscal years beyond fiscal year 2022,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Home health services provided to Medicare beneficiaries are paid under the Medicare Home Health Prospective Payment System (“HHPPS”). CMS updates the HHPPS payment rates each calendar year. Effective calendar year 2021, HHPPS rates increased by 2.0%, which reflects a 2.3% market basket update, reduced by a multifactor productivity adjustment of 0.3 percentage points. CMS expects Medicare payments to home health agencies in 2021 to increase in the aggregate by 1.9% after accounting for a 0.1 percentage point decrease in payments to home health agencies due to changes in the rural add-on percentages mandated by the Bipartisan Budget Act of 2018. Home health providers that do not comply with quality data reporting requirements are subject to a 2 percentage point reduction to their market basket update.</w:t>
      </w:r>
    </w:p>
    <w:p>
      <w:pPr>
        <w:spacing w:after="0" w:line="178"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Historically, CMS paid home health providers 50% to 60% of anticipated payment at the beginning of a patient’s care episode through a request for anticipated payment (“RAP”). However, to address potential program integrity risks, CMS has phased out RAP payments. In calendar year 2021, CMS will not provide any up-front payments in response to a RAP but will continue to require home health providers to submit streamlined RAPs as notice that a beneficiary is under a home health period of care. In calendar year 2022, CMS will replace the RAP with a “Notice of Admission.”</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2021, CMS increased hospice payment rates by 2.0%. This reflects a 2.7% market basket increase reduced by a productivity adjustment of 0.7 percentage points. Additionally, the aggregate cap, which limits the total Medicare reimbursement that a hospice may receive based on an annual per-beneficiary cap amount and the number of Medicare patients served, was updated to $31,297.61 for federal fiscal year 2022. If a hospice’s Medicare payments exceed its aggregate cap, it must repay Medicare the excess amount. Hospices that do not satisfy quality reporting requirements are subject to a 2 percentage point reduction to the market basket update.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60" w:firstLine="477"/>
        <w:spacing w:after="0" w:line="290" w:lineRule="auto"/>
        <w:rPr>
          <w:sz w:val="20"/>
          <w:szCs w:val="20"/>
          <w:color w:val="auto"/>
        </w:rPr>
      </w:pPr>
      <w:r>
        <w:rPr>
          <w:rFonts w:ascii="Arial" w:cs="Arial" w:eastAsia="Arial" w:hAnsi="Arial"/>
          <w:sz w:val="16"/>
          <w:szCs w:val="16"/>
          <w:color w:val="auto"/>
        </w:rPr>
        <w:t>On February 11, 2021, the state of New York announced its initial selection of parties to enter into contracts as a Lead Fiscal Intermediary under its previously announced Request for Offer (“RFO”) process related to its Consumer Directed Personal Assistance Program (“CDPAP”), in which the Company currently participates as a provider. The Company was not one of the selected entities in the initial RFO process. The announcement followed an extended RFO process first begun in 2019, with responses originally due in February 2020. The Company has submitted a formal protest in response to the selection process, which was filed and accepted on March 19, 2021. The Company has not yet received a response to the formal protest. Based on its current run rate, the Company estimates it will receive $44 million and $3 million in revenue and operating income, respectively, from the program for the year ended December 31, 2021. The Company continues to explore its options, including appeals, other arrangements under which the Company may continue to provide these services, and expense reductions to minimize any potential final impact of the RFO process.</w:t>
      </w:r>
    </w:p>
    <w:p>
      <w:pPr>
        <w:spacing w:after="0" w:line="165"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The New York fiscal year 2022 state budget included a provision to add additional fiscal intermediaries (one or two entities per county with specified population sizes, plus entities that meet various other requirements) to those awarded contracts as a Lead Fiscal Intermediary under the initial RFO process, based on the scoring of the original RFO. As scoring of RFOs was not publicly released, it is unknown at this time if the Company’s score ranked high enough to qualify for these additional awards. The Company has submitted a response to the survey issued by the New York Department of Health to determine the additional contract awards. The New York Department of Health has published an anticipated contract start date for all awards to be no earlier than November 1, 2021. No later than the contract start date, we will be required to transition patients within the CDPAP to a fiscal intermediary that has been awarded a contract and cease providing services to those patients. We continue to consider other arrangements and to pursue our protest of the award. Given the uncertainty surrounding the program, the Company has suspended materially all of its new patient admissions under the New York CDPAP program.</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ind w:firstLine="476"/>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pay consumers.</w:t>
      </w:r>
    </w:p>
    <w:p>
      <w:pPr>
        <w:spacing w:after="0" w:line="149" w:lineRule="exact"/>
        <w:rPr>
          <w:sz w:val="20"/>
          <w:szCs w:val="20"/>
          <w:color w:val="auto"/>
        </w:rPr>
      </w:pPr>
    </w:p>
    <w:p>
      <w:pPr>
        <w:ind w:right="120" w:firstLine="476"/>
        <w:spacing w:after="0" w:line="255"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500" w:firstLine="476"/>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476"/>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40" w:firstLine="476"/>
        <w:spacing w:after="0" w:line="279"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and nine months ended September 30, 2021 and 2020, the federal statutory rate was 21.0%. The effective income tax rate was 26.6% and 23.6% for the three months ended September 30, 2021 and 2020, respectively. The effective income tax rate was 24.7% and 20.5% for the nine months ended September 30, 2021 and 2020, respectively. The difference between our federal statutory and effective income tax rates is due to the inclusion of state taxes, non-deductible compensation, excess tax benefit and the use of federal employment tax credits.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17"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For the Three Months</w:t>
      </w:r>
    </w:p>
    <w:p>
      <w:pPr>
        <w:ind w:left="5620"/>
        <w:spacing w:after="0" w:line="236" w:lineRule="auto"/>
        <w:rPr>
          <w:sz w:val="20"/>
          <w:szCs w:val="20"/>
          <w:color w:val="auto"/>
        </w:rPr>
      </w:pPr>
      <w:r>
        <w:rPr>
          <w:rFonts w:ascii="Arial" w:cs="Arial" w:eastAsia="Arial" w:hAnsi="Arial"/>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6"/>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33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216,662</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149,616</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67,046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46,280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49,686</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76"/>
        <w:spacing w:after="0" w:line="279" w:lineRule="auto"/>
        <w:rPr>
          <w:sz w:val="20"/>
          <w:szCs w:val="20"/>
          <w:color w:val="auto"/>
        </w:rPr>
      </w:pPr>
      <w:r>
        <w:rPr>
          <w:rFonts w:ascii="Arial" w:cs="Arial" w:eastAsia="Arial" w:hAnsi="Arial"/>
          <w:sz w:val="17"/>
          <w:szCs w:val="17"/>
          <w:color w:val="auto"/>
        </w:rPr>
        <w:t>Net service revenues increased by 11.7% to $216.7 million for the three months ended September 30, 2021 compared to $194.0 million for the three months ended September 30, 2020. This increase was primarily due to an increase of $15.1 million from our hospice segment during the three months ended September 30, 2021, compared to the same period in 2020. The increase in our hospice segment revenue was primarily due to an increase in average daily census and revenue per patient day, mainly attributed to the acquisition of Queen City Hospice on December 4, 2020.</w:t>
      </w:r>
    </w:p>
    <w:p>
      <w:pPr>
        <w:spacing w:after="0" w:line="171" w:lineRule="exact"/>
        <w:rPr>
          <w:sz w:val="20"/>
          <w:szCs w:val="20"/>
          <w:color w:val="auto"/>
        </w:rPr>
      </w:pPr>
    </w:p>
    <w:p>
      <w:pPr>
        <w:jc w:val="both"/>
        <w:ind w:right="340" w:firstLine="476"/>
        <w:spacing w:after="0" w:line="263" w:lineRule="auto"/>
        <w:rPr>
          <w:sz w:val="20"/>
          <w:szCs w:val="20"/>
          <w:color w:val="auto"/>
        </w:rPr>
      </w:pPr>
      <w:r>
        <w:rPr>
          <w:rFonts w:ascii="Arial" w:cs="Arial" w:eastAsia="Arial" w:hAnsi="Arial"/>
          <w:sz w:val="18"/>
          <w:szCs w:val="18"/>
          <w:color w:val="auto"/>
        </w:rPr>
        <w:t>Gross profit, expressed as a percentage of net service revenues, increased to 30.9% for the three months ended September 30, 2021, compared to 29.0% for the same period in 2020. The increase was mainly attributed to the full-quarter effect in 2021 of the acquisition of a relatively higher margin hospice segment business in 2020.</w:t>
      </w:r>
    </w:p>
    <w:p>
      <w:pPr>
        <w:spacing w:after="0" w:line="184" w:lineRule="exact"/>
        <w:rPr>
          <w:sz w:val="20"/>
          <w:szCs w:val="20"/>
          <w:color w:val="auto"/>
        </w:rPr>
      </w:pPr>
    </w:p>
    <w:p>
      <w:pPr>
        <w:ind w:right="20" w:firstLine="476"/>
        <w:spacing w:after="0" w:line="255" w:lineRule="auto"/>
        <w:rPr>
          <w:sz w:val="20"/>
          <w:szCs w:val="20"/>
          <w:color w:val="auto"/>
        </w:rPr>
      </w:pPr>
      <w:r>
        <w:rPr>
          <w:rFonts w:ascii="Arial" w:cs="Arial" w:eastAsia="Arial" w:hAnsi="Arial"/>
          <w:sz w:val="18"/>
          <w:szCs w:val="18"/>
          <w:color w:val="auto"/>
        </w:rPr>
        <w:t>General and administrative expenses increased to $46.3 million for the three months ended September 30, 2021, as compared to $40.7 million for the three months ended September 30, 2020. The increase in general and administrative expenses was primarily due to acquisitions that resulted in an increase in administrative employee wages, taxes and benefit costs of $3.3 million and an increase in data processing of $0.4 million. In addition, stock-based compensation increased by $0.9 million for the three months ended September 30, 2021 compared to the three months ended September 30, 2020. General and administrative expenses, expressed as a percentage of net service revenues increased to 21.4% for the three months ended September 30, 2021, from 21.0% for the three months ended September 30, 2020.</w:t>
      </w:r>
    </w:p>
    <w:p>
      <w:pPr>
        <w:spacing w:after="0" w:line="192" w:lineRule="exact"/>
        <w:rPr>
          <w:sz w:val="20"/>
          <w:szCs w:val="20"/>
          <w:color w:val="auto"/>
        </w:rPr>
      </w:pPr>
    </w:p>
    <w:p>
      <w:pPr>
        <w:ind w:right="580" w:firstLine="476"/>
        <w:spacing w:after="0" w:line="308" w:lineRule="auto"/>
        <w:rPr>
          <w:sz w:val="20"/>
          <w:szCs w:val="20"/>
          <w:color w:val="auto"/>
        </w:rPr>
      </w:pPr>
      <w:r>
        <w:rPr>
          <w:rFonts w:ascii="Arial" w:cs="Arial" w:eastAsia="Arial" w:hAnsi="Arial"/>
          <w:sz w:val="17"/>
          <w:szCs w:val="17"/>
          <w:color w:val="auto"/>
        </w:rPr>
        <w:t>Depreciation and amortization expense increased to $3.4 million from $3.0 million for the three months ended September 30, 2021 and 2020, respectively, primarily due to the intangible assets and property and equipment acquired in the fiscal year 2020 acquisitions.</w:t>
      </w:r>
    </w:p>
    <w:p>
      <w:pPr>
        <w:spacing w:after="0" w:line="146" w:lineRule="exact"/>
        <w:rPr>
          <w:sz w:val="20"/>
          <w:szCs w:val="20"/>
          <w:color w:val="auto"/>
        </w:rPr>
      </w:pPr>
    </w:p>
    <w:p>
      <w:pPr>
        <w:ind w:right="360" w:firstLine="477"/>
        <w:spacing w:after="0" w:line="263" w:lineRule="auto"/>
        <w:rPr>
          <w:sz w:val="20"/>
          <w:szCs w:val="20"/>
          <w:color w:val="auto"/>
        </w:rPr>
      </w:pPr>
      <w:r>
        <w:rPr>
          <w:rFonts w:ascii="Arial" w:cs="Arial" w:eastAsia="Arial" w:hAnsi="Arial"/>
          <w:sz w:val="18"/>
          <w:szCs w:val="18"/>
          <w:color w:val="auto"/>
        </w:rPr>
        <w:t>Interest expense increased to $1.6 million for the three months ended September 30, 2021 from $0.6 million for the three months ended September 30, 2020. The increase in interest expense was primarily due to higher outstanding borrowings under our credit facility for the three months ended September 30, 2021 compared to the three months ended September 30, 2020.</w:t>
      </w:r>
    </w:p>
    <w:p>
      <w:pPr>
        <w:spacing w:after="0" w:line="184" w:lineRule="exact"/>
        <w:rPr>
          <w:sz w:val="20"/>
          <w:szCs w:val="20"/>
          <w:color w:val="auto"/>
        </w:rPr>
      </w:pPr>
    </w:p>
    <w:p>
      <w:pPr>
        <w:jc w:val="both"/>
        <w:ind w:right="180" w:firstLine="476"/>
        <w:spacing w:after="0" w:line="311"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26.6% and 23.6% for the three months ended September 30, 2021 and 2020, respectively. The difference between the federal statutory and our effective income tax rates was principally due to the inclusion of state taxes and non-deductible compensation partially offset by the use of federal employment tax credits.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For the Nine Months</w:t>
      </w:r>
    </w:p>
    <w:p>
      <w:pPr>
        <w:ind w:left="5620"/>
        <w:spacing w:after="0" w:line="236" w:lineRule="auto"/>
        <w:rPr>
          <w:sz w:val="20"/>
          <w:szCs w:val="20"/>
          <w:color w:val="auto"/>
        </w:rPr>
      </w:pPr>
      <w:r>
        <w:rPr>
          <w:rFonts w:ascii="Arial" w:cs="Arial" w:eastAsia="Arial" w:hAnsi="Arial"/>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6"/>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33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639,857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568,779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442,804</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401,646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197,053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139,881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125,470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150,475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46,578</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32,791</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32,068</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24,684</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76"/>
        <w:spacing w:after="0" w:line="296" w:lineRule="auto"/>
        <w:rPr>
          <w:sz w:val="20"/>
          <w:szCs w:val="20"/>
          <w:color w:val="auto"/>
        </w:rPr>
      </w:pPr>
      <w:r>
        <w:rPr>
          <w:rFonts w:ascii="Arial" w:cs="Arial" w:eastAsia="Arial" w:hAnsi="Arial"/>
          <w:sz w:val="16"/>
          <w:szCs w:val="16"/>
          <w:color w:val="auto"/>
        </w:rPr>
        <w:t>Net service revenues increased by 12.5% to $639.9 million for the nine months ended September 30, 2021 compared to $568.8 million for the nine months ended September 30, 2020. This increase was primarily due to an increase in revenue of $38.4 million from our hospice segment during the nine months ended September 30, 2021, compared to the same period in 2020. The increase in our hospice segment revenue was primarily due to an increase in average daily census and revenue per patient day, mainly attributed to the acquisition of Queen City Hospice on December 4, 2020. Additionally, net service revenue increased due to a 6.3% increase in revenues per billable hour for the nine months ended September 30, 2021 in our personal care segment.</w:t>
      </w:r>
    </w:p>
    <w:p>
      <w:pPr>
        <w:spacing w:after="0" w:line="161" w:lineRule="exact"/>
        <w:rPr>
          <w:sz w:val="20"/>
          <w:szCs w:val="20"/>
          <w:color w:val="auto"/>
        </w:rPr>
      </w:pPr>
    </w:p>
    <w:p>
      <w:pPr>
        <w:ind w:right="380" w:firstLine="476"/>
        <w:spacing w:after="0" w:line="342" w:lineRule="auto"/>
        <w:rPr>
          <w:sz w:val="20"/>
          <w:szCs w:val="20"/>
          <w:color w:val="auto"/>
        </w:rPr>
      </w:pPr>
      <w:r>
        <w:rPr>
          <w:rFonts w:ascii="Arial" w:cs="Arial" w:eastAsia="Arial" w:hAnsi="Arial"/>
          <w:sz w:val="16"/>
          <w:szCs w:val="16"/>
          <w:color w:val="auto"/>
        </w:rPr>
        <w:t>Gross profit, expressed as a percentage of net service revenues, increased to 30.8% for the nine months ended September 30, 2021, compared to 29.4% for the same period in 2020. The increase was mainly attributed to the acquisition of a relatively higher margin hospice business in 2020.</w:t>
      </w:r>
    </w:p>
    <w:p>
      <w:pPr>
        <w:spacing w:after="0" w:line="124" w:lineRule="exact"/>
        <w:rPr>
          <w:sz w:val="20"/>
          <w:szCs w:val="20"/>
          <w:color w:val="auto"/>
        </w:rPr>
      </w:pPr>
    </w:p>
    <w:p>
      <w:pPr>
        <w:ind w:right="80" w:firstLine="476"/>
        <w:spacing w:after="0" w:line="255" w:lineRule="auto"/>
        <w:rPr>
          <w:sz w:val="20"/>
          <w:szCs w:val="20"/>
          <w:color w:val="auto"/>
        </w:rPr>
      </w:pPr>
      <w:r>
        <w:rPr>
          <w:rFonts w:ascii="Arial" w:cs="Arial" w:eastAsia="Arial" w:hAnsi="Arial"/>
          <w:sz w:val="18"/>
          <w:szCs w:val="18"/>
          <w:color w:val="auto"/>
        </w:rPr>
        <w:t>General and administrative expenses increased to $139.9 million for the nine months ended September 30, 2021 as compared to $125.5 million for the nine months ended September 30, 2020. The increase in general and administrative expenses was primarily due to acquisitions that resulted in an increase in administrative employee wages, taxes and benefit costs of $8.6 million and an increase in rent expense of $0.6 million. In addition, stock-based compensation increased by $3.1 million for the nine months ended September 30, 2021 compared to the nine months ended September 30, 2020. General and administrative expenses, expressed as a percentage of net service revenues decreased to 21.9% for the nine months ended September 30, 2021, from 22.1% for the nine months ended September 30, 2020.</w:t>
      </w:r>
    </w:p>
    <w:p>
      <w:pPr>
        <w:spacing w:after="0" w:line="192" w:lineRule="exact"/>
        <w:rPr>
          <w:sz w:val="20"/>
          <w:szCs w:val="20"/>
          <w:color w:val="auto"/>
        </w:rPr>
      </w:pPr>
    </w:p>
    <w:p>
      <w:pPr>
        <w:ind w:right="540" w:firstLine="476"/>
        <w:spacing w:after="0" w:line="308" w:lineRule="auto"/>
        <w:rPr>
          <w:sz w:val="20"/>
          <w:szCs w:val="20"/>
          <w:color w:val="auto"/>
        </w:rPr>
      </w:pPr>
      <w:r>
        <w:rPr>
          <w:rFonts w:ascii="Arial" w:cs="Arial" w:eastAsia="Arial" w:hAnsi="Arial"/>
          <w:sz w:val="17"/>
          <w:szCs w:val="17"/>
          <w:color w:val="auto"/>
        </w:rPr>
        <w:t>Depreciation and amortization expense increased to $10.6 million from $8.9 million for the nine months ended September 30, 2021 and 2020, respectively, primarily due to the intangible assets and property and equipment acquired in the fiscal year 2020 acquisitions.</w:t>
      </w:r>
    </w:p>
    <w:p>
      <w:pPr>
        <w:spacing w:after="0" w:line="146" w:lineRule="exact"/>
        <w:rPr>
          <w:sz w:val="20"/>
          <w:szCs w:val="20"/>
          <w:color w:val="auto"/>
        </w:rPr>
      </w:pPr>
    </w:p>
    <w:p>
      <w:pPr>
        <w:ind w:right="180" w:firstLine="477"/>
        <w:spacing w:after="0" w:line="263" w:lineRule="auto"/>
        <w:rPr>
          <w:sz w:val="20"/>
          <w:szCs w:val="20"/>
          <w:color w:val="auto"/>
        </w:rPr>
      </w:pPr>
      <w:r>
        <w:rPr>
          <w:rFonts w:ascii="Arial" w:cs="Arial" w:eastAsia="Arial" w:hAnsi="Arial"/>
          <w:sz w:val="18"/>
          <w:szCs w:val="18"/>
          <w:color w:val="auto"/>
        </w:rPr>
        <w:t>Interest expense increased to $4.1 million from $2.3 million for the nine months ended September 30, 2021, as compared to the nine months ended September 30, 2020. The increase in interest expense was primarily due to higher outstanding borrowings under our credit facility for the nine months ended September 30, 2021, compared to the nine months ended September 30, 2020.</w:t>
      </w:r>
    </w:p>
    <w:p>
      <w:pPr>
        <w:spacing w:after="0" w:line="184"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All of our income is from domestic sources. We incur state and local taxes in states in which we operate. The effective income tax rate was 24.7% and 20.5% for the nine months ended September 30, 2021 and 2020, respectively. For the nine months ended September 30, 2021, the difference between our federal statutory and effective income tax rates was principally due to the inclusion of state taxes and non-deductible compensation partially offset by the use of federal employment tax credits and excess tax benefit. For the nine months ended September 30, 2020, the difference between our federal statutory and effective income tax rates was principally due to the inclusion of an excess tax benefit and the use of federal employment tax credits partially offset by state taxes and non-deductible compensation. For the nine months ended September 30, 2021 and 2020, the effective tax rates were inclusive of an excess tax benefit of 2.1% and 6.8%, respectively. The excess tax benefit is a discrete item, related to the vesting of equity shares, which requires the Company to recognize the benefit fully in the period.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88"/>
              </w:rPr>
              <w:t>For the Three Months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89"/>
              </w:rPr>
              <w:t>For the Nine Months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3"/>
                <w:szCs w:val="13"/>
                <w:b w:val="1"/>
                <w:bCs w:val="1"/>
                <w:color w:val="auto"/>
                <w:w w:val="87"/>
              </w:rPr>
              <w:t>Ended September 30,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3"/>
                <w:szCs w:val="13"/>
                <w:b w:val="1"/>
                <w:bCs w:val="1"/>
                <w:color w:val="auto"/>
                <w:w w:val="87"/>
              </w:rPr>
              <w:t>Ended September 30,</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8"/>
              <w:spacing w:after="0" w:line="142" w:lineRule="exact"/>
              <w:rPr>
                <w:sz w:val="20"/>
                <w:szCs w:val="20"/>
                <w:color w:val="auto"/>
              </w:rPr>
            </w:pPr>
            <w:r>
              <w:rPr>
                <w:rFonts w:ascii="Arial" w:cs="Arial" w:eastAsia="Arial" w:hAnsi="Arial"/>
                <w:sz w:val="13"/>
                <w:szCs w:val="13"/>
                <w:b w:val="1"/>
                <w:bCs w:val="1"/>
                <w:color w:val="auto"/>
                <w:w w:val="82"/>
              </w:rPr>
              <w:t>2021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78"/>
              <w:spacing w:after="0" w:line="142" w:lineRule="exact"/>
              <w:rPr>
                <w:sz w:val="20"/>
                <w:szCs w:val="20"/>
                <w:color w:val="auto"/>
              </w:rPr>
            </w:pPr>
            <w:r>
              <w:rPr>
                <w:rFonts w:ascii="Arial" w:cs="Arial" w:eastAsia="Arial" w:hAnsi="Arial"/>
                <w:sz w:val="13"/>
                <w:szCs w:val="13"/>
                <w:b w:val="1"/>
                <w:bCs w:val="1"/>
                <w:color w:val="auto"/>
                <w:w w:val="82"/>
              </w:rPr>
              <w:t>2020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8"/>
              <w:spacing w:after="0" w:line="142" w:lineRule="exact"/>
              <w:rPr>
                <w:sz w:val="20"/>
                <w:szCs w:val="20"/>
                <w:color w:val="auto"/>
              </w:rPr>
            </w:pPr>
            <w:r>
              <w:rPr>
                <w:rFonts w:ascii="Arial" w:cs="Arial" w:eastAsia="Arial" w:hAnsi="Arial"/>
                <w:sz w:val="13"/>
                <w:szCs w:val="13"/>
                <w:b w:val="1"/>
                <w:bCs w:val="1"/>
                <w:color w:val="auto"/>
                <w:w w:val="82"/>
              </w:rPr>
              <w:t>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498"/>
              <w:spacing w:after="0" w:line="142" w:lineRule="exact"/>
              <w:rPr>
                <w:sz w:val="20"/>
                <w:szCs w:val="20"/>
                <w:color w:val="auto"/>
              </w:rPr>
            </w:pPr>
            <w:r>
              <w:rPr>
                <w:rFonts w:ascii="Arial" w:cs="Arial" w:eastAsia="Arial" w:hAnsi="Arial"/>
                <w:sz w:val="13"/>
                <w:szCs w:val="13"/>
                <w:b w:val="1"/>
                <w:bCs w:val="1"/>
                <w:color w:val="auto"/>
                <w:w w:val="82"/>
              </w:rPr>
              <w:t>2020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Segment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Segment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Segment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Net Service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3"/>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3"/>
                <w:szCs w:val="13"/>
                <w:b w:val="1"/>
                <w:bCs w:val="1"/>
                <w:color w:val="auto"/>
              </w:rPr>
              <w:t>Personal Care Segment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Revenues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12"/>
          </w:tcPr>
          <w:p>
            <w:pPr>
              <w:jc w:val="center"/>
              <w:ind w:left="138"/>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13"/>
          </w:tcPr>
          <w:p>
            <w:pPr>
              <w:jc w:val="center"/>
              <w:ind w:left="178"/>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rPr>
                <w:sz w:val="20"/>
                <w:szCs w:val="20"/>
                <w:color w:val="auto"/>
              </w:rPr>
            </w:pPr>
            <w:r>
              <w:rPr>
                <w:rFonts w:ascii="Arial" w:cs="Arial" w:eastAsia="Arial" w:hAnsi="Arial"/>
                <w:sz w:val="13"/>
                <w:szCs w:val="13"/>
                <w:color w:val="auto"/>
              </w:rPr>
              <w:t>Net service 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169,609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165,916</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2"/>
              </w:rPr>
              <w:t>3,693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510,744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482,849</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0"/>
              </w:rPr>
              <w:t>27,895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125,647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124,493</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1,154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375,744</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73.6</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359,344</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74.4</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16,400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2"/>
          </w:tcPr>
          <w:p>
            <w:pPr>
              <w:spacing w:after="0" w:line="142" w:lineRule="exact"/>
              <w:rPr>
                <w:sz w:val="20"/>
                <w:szCs w:val="20"/>
                <w:color w:val="auto"/>
              </w:rPr>
            </w:pPr>
            <w:r>
              <w:rPr>
                <w:rFonts w:ascii="Arial" w:cs="Arial" w:eastAsia="Arial" w:hAnsi="Arial"/>
                <w:sz w:val="13"/>
                <w:szCs w:val="13"/>
                <w:color w:val="auto"/>
              </w:rPr>
              <w:t>Gross profit</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43,962</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41,423</w:t>
            </w: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2,539</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135,000</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123,505</w:t>
            </w: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11,495</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15,166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14,837</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46,807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45,042</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1,765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Segment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28,796</w:t>
            </w:r>
          </w:p>
        </w:tc>
        <w:tc>
          <w:tcPr>
            <w:tcW w:w="20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26,586</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2,210</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88,193</w:t>
            </w:r>
          </w:p>
        </w:tc>
        <w:tc>
          <w:tcPr>
            <w:tcW w:w="20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78,463</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16.3</w:t>
            </w: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9,730</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12.4</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920" w:type="dxa"/>
            <w:vAlign w:val="bottom"/>
            <w:gridSpan w:val="2"/>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Numbers, Except Billable</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Hours in Thousands)</w:t>
            </w: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rPr>
                <w:sz w:val="20"/>
                <w:szCs w:val="20"/>
                <w:color w:val="auto"/>
              </w:rPr>
            </w:pPr>
            <w:r>
              <w:rPr>
                <w:rFonts w:ascii="Arial" w:cs="Arial" w:eastAsia="Arial" w:hAnsi="Arial"/>
                <w:sz w:val="13"/>
                <w:szCs w:val="13"/>
                <w:color w:val="auto"/>
              </w:rPr>
              <w:t>Location at period end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162</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Average billable census * </w:t>
            </w:r>
            <w:r>
              <w:rPr>
                <w:rFonts w:ascii="Arial" w:cs="Arial" w:eastAsia="Arial" w:hAnsi="Arial"/>
                <w:sz w:val="10"/>
                <w:szCs w:val="10"/>
                <w:color w:val="auto"/>
              </w:rPr>
              <w:t>(1)</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37,979</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38,589</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38,266</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38,443</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(0.5)</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rPr>
                <w:sz w:val="20"/>
                <w:szCs w:val="20"/>
                <w:color w:val="auto"/>
              </w:rPr>
            </w:pPr>
            <w:r>
              <w:rPr>
                <w:rFonts w:ascii="Arial" w:cs="Arial" w:eastAsia="Arial" w:hAnsi="Arial"/>
                <w:sz w:val="13"/>
                <w:szCs w:val="13"/>
                <w:color w:val="auto"/>
              </w:rPr>
              <w:t xml:space="preserve">Billable hours * </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7,537</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7,778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22,712</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22,825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7"/>
              </w:rPr>
              <w:t>Average billable hours per census</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 xml:space="preserve">per month * </w:t>
            </w:r>
            <w:r>
              <w:rPr>
                <w:rFonts w:ascii="Arial" w:cs="Arial" w:eastAsia="Arial" w:hAnsi="Arial"/>
                <w:sz w:val="10"/>
                <w:szCs w:val="10"/>
                <w:color w:val="auto"/>
              </w:rPr>
              <w:t>(2)</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gridSpan w:val="2"/>
          </w:tcPr>
          <w:p>
            <w:pPr>
              <w:spacing w:after="0" w:line="140" w:lineRule="exact"/>
              <w:rPr>
                <w:sz w:val="20"/>
                <w:szCs w:val="20"/>
                <w:color w:val="auto"/>
              </w:rPr>
            </w:pPr>
            <w:r>
              <w:rPr>
                <w:rFonts w:ascii="Arial" w:cs="Arial" w:eastAsia="Arial" w:hAnsi="Arial"/>
                <w:sz w:val="13"/>
                <w:szCs w:val="13"/>
                <w:color w:val="auto"/>
              </w:rPr>
              <w:t>Billable hours per business day *</w:t>
            </w: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114,195</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117,841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87"/>
              </w:rPr>
              <w:t>(3,646)</w:t>
            </w:r>
          </w:p>
        </w:tc>
        <w:tc>
          <w:tcPr>
            <w:tcW w:w="120" w:type="dxa"/>
            <w:vAlign w:val="bottom"/>
          </w:tcPr>
          <w:p>
            <w:pPr>
              <w:spacing w:after="0"/>
              <w:rPr>
                <w:sz w:val="12"/>
                <w:szCs w:val="12"/>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116,472</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116,454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Revenues per billable hour * </w:t>
            </w:r>
            <w:r>
              <w:rPr>
                <w:rFonts w:ascii="Arial" w:cs="Arial" w:eastAsia="Arial" w:hAnsi="Arial"/>
                <w:sz w:val="10"/>
                <w:szCs w:val="10"/>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22.47</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21.29</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22.45</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21.11</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3"/>
                <w:szCs w:val="13"/>
                <w:color w:val="auto"/>
                <w:w w:val="95"/>
              </w:rPr>
              <w:t xml:space="preserve">Same store revenue growth % * </w:t>
            </w:r>
            <w:r>
              <w:rPr>
                <w:rFonts w:ascii="Arial" w:cs="Arial" w:eastAsia="Arial" w:hAnsi="Arial"/>
                <w:sz w:val="10"/>
                <w:szCs w:val="10"/>
                <w:color w:val="auto"/>
                <w:w w:val="95"/>
              </w:rPr>
              <w:t>(3)</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6.6</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right="300" w:hanging="472"/>
        <w:spacing w:after="0" w:line="29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billable census is the average number of unique clients receiving a billable service during the year and is the total census divided by months in operation during the period.</w:t>
      </w:r>
    </w:p>
    <w:p>
      <w:pPr>
        <w:spacing w:after="0" w:line="36"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35" w:lineRule="exact"/>
        <w:rPr>
          <w:rFonts w:ascii="Arial" w:cs="Arial" w:eastAsia="Arial" w:hAnsi="Arial"/>
          <w:sz w:val="16"/>
          <w:szCs w:val="16"/>
          <w:color w:val="auto"/>
        </w:rPr>
      </w:pPr>
    </w:p>
    <w:p>
      <w:pPr>
        <w:ind w:left="480" w:right="120" w:hanging="472"/>
        <w:spacing w:after="0" w:line="27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In addition, the Company has suspended materially all of its new patient admissions under the New York CDPAP program based on program uncertainty and therefore excludes associated revenues from this calculation.</w:t>
      </w:r>
    </w:p>
    <w:p>
      <w:pPr>
        <w:spacing w:after="0" w:line="40" w:lineRule="exact"/>
        <w:rPr>
          <w:sz w:val="20"/>
          <w:szCs w:val="20"/>
          <w:color w:val="auto"/>
        </w:rPr>
      </w:pPr>
    </w:p>
    <w:p>
      <w:pPr>
        <w:ind w:left="480" w:right="20" w:hanging="472"/>
        <w:spacing w:after="0" w:line="288" w:lineRule="auto"/>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them provide direct correlation to the results of operations from period to period and we believe these metrics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62" w:lineRule="exact"/>
        <w:rPr>
          <w:sz w:val="20"/>
          <w:szCs w:val="20"/>
          <w:color w:val="auto"/>
        </w:rPr>
      </w:pPr>
    </w:p>
    <w:p>
      <w:pPr>
        <w:ind w:right="100" w:firstLine="476"/>
        <w:spacing w:after="0" w:line="257" w:lineRule="auto"/>
        <w:rPr>
          <w:sz w:val="20"/>
          <w:szCs w:val="20"/>
          <w:color w:val="auto"/>
        </w:rPr>
      </w:pPr>
      <w:r>
        <w:rPr>
          <w:rFonts w:ascii="Arial" w:cs="Arial" w:eastAsia="Arial" w:hAnsi="Arial"/>
          <w:sz w:val="18"/>
          <w:szCs w:val="18"/>
          <w:color w:val="auto"/>
        </w:rPr>
        <w:t>We derive a significant amount of our net service revenues from operations in Illinois, which represented 37.8% and 38.5% of our net service revenues for the three months ended September 30, 2021 and 2020, respectively, and accounted for 37.5% and 37.8% of our net service revenues for the nine months ended September 30, 2021 and 2020, respectively. One payor client, the Illinois Department on Aging, accounted for 21.3% and 22.9% of net service revenues for the three months ended September 30, 2021 and 2020, respectively, and accounted for 21.4% and 23.1% of net service revenues for the nine months ended September 30, 2021 and 2020, respectively.</w:t>
      </w:r>
    </w:p>
    <w:p>
      <w:pPr>
        <w:spacing w:after="0" w:line="188" w:lineRule="exact"/>
        <w:rPr>
          <w:sz w:val="20"/>
          <w:szCs w:val="20"/>
          <w:color w:val="auto"/>
        </w:rPr>
      </w:pPr>
    </w:p>
    <w:p>
      <w:pPr>
        <w:ind w:right="40" w:firstLine="476"/>
        <w:spacing w:after="0" w:line="254" w:lineRule="auto"/>
        <w:rPr>
          <w:sz w:val="20"/>
          <w:szCs w:val="20"/>
          <w:color w:val="auto"/>
        </w:rPr>
      </w:pPr>
      <w:r>
        <w:rPr>
          <w:rFonts w:ascii="Arial" w:cs="Arial" w:eastAsia="Arial" w:hAnsi="Arial"/>
          <w:sz w:val="18"/>
          <w:szCs w:val="18"/>
          <w:color w:val="auto"/>
        </w:rPr>
        <w:t>Net service revenues from state, local and other governmental payors accounted for 49.5% and 51.5% of net service revenues for the three months ended September 30, 2021 and 2020, respectively. Managed care organizations accounted for 45.3% and 43.2% of net service revenues for the three months ended September 30, 2021 and 2020, respectively, with commercial insurance, private pay and other payors accounting for the remainder of net service revenues. Net service revenues from state, local and other governmental payors accounted for 49.5% and 50.3% of net service revenues for the nine months ended September 30, 2021 and 2020, respectively. Managed care organizations accounted for 45.3% and 44.1% of net service revenues for the nine months ended September 30, 2021 and 2020, respectively with commercial insurance, private pay and other payors accounting for the remainder of net service revenues.</w:t>
      </w:r>
    </w:p>
    <w:p>
      <w:pPr>
        <w:spacing w:after="0" w:line="195" w:lineRule="exact"/>
        <w:rPr>
          <w:sz w:val="20"/>
          <w:szCs w:val="20"/>
          <w:color w:val="auto"/>
        </w:rPr>
      </w:pPr>
    </w:p>
    <w:p>
      <w:pPr>
        <w:ind w:right="140" w:firstLine="477"/>
        <w:spacing w:after="0" w:line="279" w:lineRule="auto"/>
        <w:rPr>
          <w:sz w:val="20"/>
          <w:szCs w:val="20"/>
          <w:color w:val="auto"/>
        </w:rPr>
      </w:pPr>
      <w:r>
        <w:rPr>
          <w:rFonts w:ascii="Arial" w:cs="Arial" w:eastAsia="Arial" w:hAnsi="Arial"/>
          <w:sz w:val="17"/>
          <w:szCs w:val="17"/>
          <w:color w:val="auto"/>
        </w:rPr>
        <w:t>Net service revenues increased by 2.2% and 5.8% for the three and nine months ended September 30, 2021, respectively, compared to the three and nine months ended September 30, 2020. Net service revenues included a 5.5% and 6.3% increase in revenues per billable hour for the three and nine months ended September 30, 2021, respectively, mainly attributed to rate increases discussed above, as compared to the three and nine months ended September 30, 2020. The Company experienced a decrease in New York net service revenues of $4.3 million and $10.2</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million for the three and nine months ended September 30, 2021, respectively, driven by a decrease in the New York CDPAP program as discussed above, compared to the three and nine months ended September 30, 2020.</w:t>
      </w:r>
    </w:p>
    <w:p>
      <w:pPr>
        <w:spacing w:after="0" w:line="170" w:lineRule="exact"/>
        <w:rPr>
          <w:sz w:val="20"/>
          <w:szCs w:val="20"/>
          <w:color w:val="auto"/>
        </w:rPr>
      </w:pPr>
    </w:p>
    <w:p>
      <w:pPr>
        <w:ind w:right="80" w:firstLine="476"/>
        <w:spacing w:after="0" w:line="279" w:lineRule="auto"/>
        <w:rPr>
          <w:sz w:val="20"/>
          <w:szCs w:val="20"/>
          <w:color w:val="auto"/>
        </w:rPr>
      </w:pPr>
      <w:r>
        <w:rPr>
          <w:rFonts w:ascii="Arial" w:cs="Arial" w:eastAsia="Arial" w:hAnsi="Arial"/>
          <w:sz w:val="17"/>
          <w:szCs w:val="17"/>
          <w:color w:val="auto"/>
        </w:rPr>
        <w:t>Gross profit, expressed as a percentage of net service revenues, increased to 25.9% for the three months ended September 30, 2021 from 25.0% for the three months ended September 30, 2020 and to 26.4% for the nine months ended September 30, 2021 from 25.6% for the nine months ended September 30, 2020. This increase was primarily due to a decrease in direct payroll as a percentage of net service revenues of 0.5% and 0.6%, for the three and nine months ended September 30, 2021, respectively, as compared to the three months ended September 30, 2020.</w:t>
      </w:r>
    </w:p>
    <w:p>
      <w:pPr>
        <w:spacing w:after="0" w:line="171" w:lineRule="exact"/>
        <w:rPr>
          <w:sz w:val="20"/>
          <w:szCs w:val="20"/>
          <w:color w:val="auto"/>
        </w:rPr>
      </w:pPr>
    </w:p>
    <w:p>
      <w:pPr>
        <w:ind w:right="200" w:firstLine="476"/>
        <w:spacing w:after="0" w:line="308" w:lineRule="auto"/>
        <w:rPr>
          <w:sz w:val="20"/>
          <w:szCs w:val="20"/>
          <w:color w:val="auto"/>
        </w:rPr>
      </w:pPr>
      <w:r>
        <w:rPr>
          <w:rFonts w:ascii="Arial" w:cs="Arial" w:eastAsia="Arial" w:hAnsi="Arial"/>
          <w:sz w:val="17"/>
          <w:szCs w:val="17"/>
          <w:color w:val="auto"/>
        </w:rPr>
        <w:t>For the three months ended September 30, 2021 and 2020, general and administrative expenses, expressed as a percentage of net service revenues, remained flat at 8.9% for each period, and 9.2% and 9.3% for the nine months ended September 30, 2021 and 2020,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5"/>
          </w:tcPr>
          <w:p>
            <w:pPr>
              <w:jc w:val="center"/>
              <w:ind w:right="137"/>
              <w:spacing w:after="0"/>
              <w:rPr>
                <w:sz w:val="20"/>
                <w:szCs w:val="20"/>
                <w:color w:val="auto"/>
              </w:rPr>
            </w:pPr>
            <w:r>
              <w:rPr>
                <w:rFonts w:ascii="Arial" w:cs="Arial" w:eastAsia="Arial" w:hAnsi="Arial"/>
                <w:sz w:val="13"/>
                <w:szCs w:val="13"/>
                <w:b w:val="1"/>
                <w:bCs w:val="1"/>
                <w:color w:val="auto"/>
                <w:w w:val="88"/>
              </w:rPr>
              <w:t>For the Three Months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5"/>
          </w:tcPr>
          <w:p>
            <w:pPr>
              <w:jc w:val="center"/>
              <w:ind w:right="157"/>
              <w:spacing w:after="0"/>
              <w:rPr>
                <w:sz w:val="20"/>
                <w:szCs w:val="20"/>
                <w:color w:val="auto"/>
              </w:rPr>
            </w:pPr>
            <w:r>
              <w:rPr>
                <w:rFonts w:ascii="Arial" w:cs="Arial" w:eastAsia="Arial" w:hAnsi="Arial"/>
                <w:sz w:val="13"/>
                <w:szCs w:val="13"/>
                <w:b w:val="1"/>
                <w:bCs w:val="1"/>
                <w:color w:val="auto"/>
                <w:w w:val="90"/>
              </w:rPr>
              <w:t>For the Nine Months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right="137"/>
              <w:spacing w:after="0"/>
              <w:rPr>
                <w:sz w:val="20"/>
                <w:szCs w:val="20"/>
                <w:color w:val="auto"/>
              </w:rPr>
            </w:pPr>
            <w:r>
              <w:rPr>
                <w:rFonts w:ascii="Arial" w:cs="Arial" w:eastAsia="Arial" w:hAnsi="Arial"/>
                <w:sz w:val="13"/>
                <w:szCs w:val="13"/>
                <w:b w:val="1"/>
                <w:bCs w:val="1"/>
                <w:color w:val="auto"/>
                <w:w w:val="86"/>
              </w:rPr>
              <w:t>Ended September 30,</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center"/>
              <w:ind w:right="157"/>
              <w:spacing w:after="0"/>
              <w:rPr>
                <w:sz w:val="20"/>
                <w:szCs w:val="20"/>
                <w:color w:val="auto"/>
              </w:rPr>
            </w:pPr>
            <w:r>
              <w:rPr>
                <w:rFonts w:ascii="Arial" w:cs="Arial" w:eastAsia="Arial" w:hAnsi="Arial"/>
                <w:sz w:val="13"/>
                <w:szCs w:val="13"/>
                <w:b w:val="1"/>
                <w:bCs w:val="1"/>
                <w:color w:val="auto"/>
                <w:w w:val="86"/>
              </w:rPr>
              <w:t>Ended September 30,</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497"/>
              <w:spacing w:after="0" w:line="142" w:lineRule="exact"/>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497"/>
              <w:spacing w:after="0" w:line="142"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497"/>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477"/>
              <w:spacing w:after="0" w:line="142"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92"/>
              </w:rPr>
              <w:t>Change</w:t>
            </w: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4"/>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Hospice Segment</w:t>
            </w: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10"/>
          </w:tcPr>
          <w:p>
            <w:pPr>
              <w:jc w:val="center"/>
              <w:ind w:left="15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10"/>
          </w:tcPr>
          <w:p>
            <w:pPr>
              <w:jc w:val="center"/>
              <w:ind w:left="15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1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Net service revenues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39,095</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23,986</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15,109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63.0</w:t>
            </w:r>
          </w:p>
        </w:tc>
        <w:tc>
          <w:tcPr>
            <w:tcW w:w="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112,098</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73,723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38,375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52.1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148"/>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18,992</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10,508</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8,484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56,500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33,749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45.8</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22,751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2"/>
        </w:trPr>
        <w:tc>
          <w:tcPr>
            <w:tcW w:w="170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20,103</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13,478</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56.2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6,625</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55,598</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39,974</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15,624</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39.1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1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49"/>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5,904</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26,016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82"/>
        </w:trPr>
        <w:tc>
          <w:tcPr>
            <w:tcW w:w="17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11,223</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28.7</w:t>
            </w: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7,574</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31.6</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3,649</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48.2</w:t>
            </w: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29,582</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26.4</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21,316</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29.0</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8,266</w:t>
            </w:r>
          </w:p>
        </w:tc>
        <w:tc>
          <w:tcPr>
            <w:tcW w:w="1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38.8</w:t>
            </w: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w w:val="86"/>
              </w:rPr>
              <w:t>%</w:t>
            </w:r>
          </w:p>
        </w:tc>
      </w:tr>
      <w:tr>
        <w:trPr>
          <w:trHeight w:val="111"/>
        </w:trPr>
        <w:tc>
          <w:tcPr>
            <w:tcW w:w="170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Numbers)</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48"/>
        </w:trPr>
        <w:tc>
          <w:tcPr>
            <w:tcW w:w="170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Admissions * </w:t>
            </w:r>
            <w:r>
              <w:rPr>
                <w:rFonts w:ascii="Arial" w:cs="Arial" w:eastAsia="Arial" w:hAnsi="Arial"/>
                <w:sz w:val="10"/>
                <w:szCs w:val="10"/>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91.6</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64.1</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w:t>
            </w:r>
          </w:p>
        </w:tc>
      </w:tr>
      <w:tr>
        <w:trPr>
          <w:trHeight w:val="148"/>
        </w:trPr>
        <w:tc>
          <w:tcPr>
            <w:tcW w:w="1700" w:type="dxa"/>
            <w:vAlign w:val="bottom"/>
          </w:tcPr>
          <w:p>
            <w:pPr>
              <w:spacing w:after="0"/>
              <w:rPr>
                <w:sz w:val="20"/>
                <w:szCs w:val="20"/>
                <w:color w:val="auto"/>
              </w:rPr>
            </w:pPr>
            <w:r>
              <w:rPr>
                <w:rFonts w:ascii="Arial" w:cs="Arial" w:eastAsia="Arial" w:hAnsi="Arial"/>
                <w:sz w:val="13"/>
                <w:szCs w:val="13"/>
                <w:color w:val="auto"/>
              </w:rPr>
              <w:t xml:space="preserve">Average daily census * </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2,629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1,681</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56.4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2,523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1,762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1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88"/>
              </w:rPr>
              <w:t>Average discharge length of stay</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49"/>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9"/>
              </w:rPr>
              <w:t>(12.7)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w:t>
            </w: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FF0FC"/>
          </w:tcPr>
          <w:p>
            <w:pPr>
              <w:spacing w:after="0"/>
              <w:rPr>
                <w:sz w:val="12"/>
                <w:szCs w:val="12"/>
                <w:color w:val="auto"/>
              </w:rPr>
            </w:pPr>
          </w:p>
        </w:tc>
      </w:tr>
      <w:tr>
        <w:trPr>
          <w:trHeight w:val="148"/>
        </w:trPr>
        <w:tc>
          <w:tcPr>
            <w:tcW w:w="1700" w:type="dxa"/>
            <w:vAlign w:val="bottom"/>
          </w:tcPr>
          <w:p>
            <w:pPr>
              <w:spacing w:after="0"/>
              <w:rPr>
                <w:sz w:val="20"/>
                <w:szCs w:val="20"/>
                <w:color w:val="auto"/>
              </w:rPr>
            </w:pPr>
            <w:r>
              <w:rPr>
                <w:rFonts w:ascii="Arial" w:cs="Arial" w:eastAsia="Arial" w:hAnsi="Arial"/>
                <w:sz w:val="13"/>
                <w:szCs w:val="13"/>
                <w:color w:val="auto"/>
              </w:rPr>
              <w:t xml:space="preserve">Patient days *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240,692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154,609</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86,083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55.7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680,600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482,765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197,835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Revenue per patient day * </w:t>
            </w:r>
            <w:r>
              <w:rPr>
                <w:rFonts w:ascii="Arial" w:cs="Arial" w:eastAsia="Arial" w:hAnsi="Arial"/>
                <w:sz w:val="10"/>
                <w:szCs w:val="10"/>
                <w:color w:val="auto"/>
              </w:rPr>
              <w:t>(5)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162.43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155.14</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w:t>
            </w:r>
          </w:p>
        </w:tc>
      </w:t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Organic growth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1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 xml:space="preserve">- Revenue * </w:t>
            </w:r>
            <w:r>
              <w:rPr>
                <w:rFonts w:ascii="Arial" w:cs="Arial" w:eastAsia="Arial" w:hAnsi="Arial"/>
                <w:sz w:val="10"/>
                <w:szCs w:val="10"/>
                <w:color w:val="auto"/>
              </w:rPr>
              <w:t>(6)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(4.8) %</w:t>
            </w: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(5.6) %</w:t>
            </w: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(7.2) %</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60"/>
        </w:trPr>
        <w:tc>
          <w:tcPr>
            <w:tcW w:w="1700" w:type="dxa"/>
            <w:vAlign w:val="bottom"/>
          </w:tcPr>
          <w:p>
            <w:pPr>
              <w:ind w:left="140"/>
              <w:spacing w:after="0"/>
              <w:rPr>
                <w:sz w:val="20"/>
                <w:szCs w:val="20"/>
                <w:color w:val="auto"/>
              </w:rPr>
            </w:pPr>
            <w:r>
              <w:rPr>
                <w:rFonts w:ascii="Arial" w:cs="Arial" w:eastAsia="Arial" w:hAnsi="Arial"/>
                <w:sz w:val="13"/>
                <w:szCs w:val="13"/>
                <w:color w:val="auto"/>
                <w:w w:val="98"/>
              </w:rPr>
              <w:t xml:space="preserve">- Average daily census * </w:t>
            </w:r>
            <w:r>
              <w:rPr>
                <w:rFonts w:ascii="Arial" w:cs="Arial" w:eastAsia="Arial" w:hAnsi="Arial"/>
                <w:sz w:val="10"/>
                <w:szCs w:val="10"/>
                <w:color w:val="auto"/>
                <w:w w:val="98"/>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(7.6) %</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(6.2) %</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(24.6) %</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3.9</w:t>
            </w:r>
          </w:p>
        </w:tc>
        <w:tc>
          <w:tcPr>
            <w:tcW w:w="22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181"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99"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23"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113" w:lineRule="exact"/>
        <w:rPr>
          <w:rFonts w:ascii="Arial" w:cs="Arial" w:eastAsia="Arial" w:hAnsi="Arial"/>
          <w:sz w:val="16"/>
          <w:szCs w:val="16"/>
          <w:color w:val="auto"/>
        </w:rPr>
      </w:pPr>
    </w:p>
    <w:p>
      <w:pPr>
        <w:ind w:left="480" w:right="120" w:hanging="472"/>
        <w:spacing w:after="0" w:line="278"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49" w:lineRule="exact"/>
        <w:rPr>
          <w:sz w:val="20"/>
          <w:szCs w:val="20"/>
          <w:color w:val="auto"/>
        </w:rPr>
      </w:pPr>
    </w:p>
    <w:p>
      <w:pPr>
        <w:ind w:left="480" w:right="40" w:hanging="472"/>
        <w:spacing w:after="0" w:line="288" w:lineRule="auto"/>
        <w:tabs>
          <w:tab w:leader="none" w:pos="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them provide direct correlation to the results of operations from period to period and we believe that these metrics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62"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Hospice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care, continuous care, general inpatient care and respite care. Our Hospice segment principally provides routine care, but with the acquisition of Queen City Hospice, the Company expanded continuous care services.</w:t>
      </w:r>
    </w:p>
    <w:p>
      <w:pPr>
        <w:spacing w:after="0" w:line="187" w:lineRule="exact"/>
        <w:rPr>
          <w:sz w:val="20"/>
          <w:szCs w:val="20"/>
          <w:color w:val="auto"/>
        </w:rPr>
      </w:pPr>
    </w:p>
    <w:p>
      <w:pPr>
        <w:ind w:right="340" w:firstLine="476"/>
        <w:spacing w:after="0" w:line="286" w:lineRule="auto"/>
        <w:rPr>
          <w:sz w:val="20"/>
          <w:szCs w:val="20"/>
          <w:color w:val="auto"/>
        </w:rPr>
      </w:pPr>
      <w:r>
        <w:rPr>
          <w:rFonts w:ascii="Arial" w:cs="Arial" w:eastAsia="Arial" w:hAnsi="Arial"/>
          <w:sz w:val="17"/>
          <w:szCs w:val="17"/>
          <w:color w:val="auto"/>
        </w:rPr>
        <w:t>Net service revenues from Medicare accounted for 92.8% and 93.4% and managed care organizations accounted for 3.9% and 4.7% for the three months ended September 30, 2021 and 2020, respectively. Net service revenues from Medicare accounted for 93.4% and 92.8% and managed care organizations accounted for 3.9% and 5.0% for the nine months ended September 30, 2021 and 2020, respectively.</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477"/>
        <w:spacing w:after="0" w:line="279" w:lineRule="auto"/>
        <w:rPr>
          <w:sz w:val="20"/>
          <w:szCs w:val="20"/>
          <w:color w:val="auto"/>
        </w:rPr>
      </w:pPr>
      <w:r>
        <w:rPr>
          <w:rFonts w:ascii="Arial" w:cs="Arial" w:eastAsia="Arial" w:hAnsi="Arial"/>
          <w:sz w:val="17"/>
          <w:szCs w:val="17"/>
          <w:color w:val="auto"/>
        </w:rPr>
        <w:t>Net service revenues increased by $15.1 million and $38.4 for the three and nine months ended September 30, 2021, compared to the three and nine months ended September 30, 2020. For the three and nine months ended September 30, 2021, net service revenues increased primarily due to increases in average daily census and revenue per patient day mainly attributed to the acquisition of Queen City Hospice on December 4, 2020, partially offset by a decrease in organic growth, compared to the three and nine months ended September 30, 2020.</w:t>
      </w:r>
    </w:p>
    <w:p>
      <w:pPr>
        <w:spacing w:after="0" w:line="171" w:lineRule="exact"/>
        <w:rPr>
          <w:sz w:val="20"/>
          <w:szCs w:val="20"/>
          <w:color w:val="auto"/>
        </w:rPr>
      </w:pPr>
    </w:p>
    <w:p>
      <w:pPr>
        <w:ind w:right="140" w:firstLine="477"/>
        <w:spacing w:after="0" w:line="259" w:lineRule="auto"/>
        <w:rPr>
          <w:sz w:val="20"/>
          <w:szCs w:val="20"/>
          <w:color w:val="auto"/>
        </w:rPr>
      </w:pPr>
      <w:r>
        <w:rPr>
          <w:rFonts w:ascii="Arial" w:cs="Arial" w:eastAsia="Arial" w:hAnsi="Arial"/>
          <w:sz w:val="18"/>
          <w:szCs w:val="18"/>
          <w:color w:val="auto"/>
        </w:rPr>
        <w:t>Gross profit, expressed as a percentage of net service revenues was 51.4% and 56.2% for the three months ended September 30, 2021 and 2020, respectively, and 49.6% and 54.2%, for the nine months ended September 30, 2021 and 2020, respectively. For the three and nine months ended September 30, 2021, the decrease as a percentage of net service revenues was mainly attributed to an increase of direct employee wages, taxes and benefit costs of 4.7% and 4.5%, respectively.</w:t>
      </w:r>
    </w:p>
    <w:p>
      <w:pPr>
        <w:spacing w:after="0" w:line="187" w:lineRule="exact"/>
        <w:rPr>
          <w:sz w:val="20"/>
          <w:szCs w:val="20"/>
          <w:color w:val="auto"/>
        </w:rPr>
      </w:pPr>
    </w:p>
    <w:p>
      <w:pPr>
        <w:ind w:right="60" w:firstLine="476"/>
        <w:spacing w:after="0" w:line="293" w:lineRule="auto"/>
        <w:rPr>
          <w:sz w:val="20"/>
          <w:szCs w:val="20"/>
          <w:color w:val="auto"/>
        </w:rPr>
      </w:pPr>
      <w:r>
        <w:rPr>
          <w:rFonts w:ascii="Arial" w:cs="Arial" w:eastAsia="Arial" w:hAnsi="Arial"/>
          <w:sz w:val="16"/>
          <w:szCs w:val="16"/>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22.7% and 24.6% for the three months ended September 30, 2021 and 2020, respectively, and 23.2% and 25.3% for the nine months ended September 30, 2021 and 2020, respectively. These decreases for the three and nine months ended September 30, 2021 compared to corresponding periods in 2020 are primarily due to acquisitions synergies. The increase in general and administrative expenses for the three and nine months ended September 30, 2021, was primarily due to acquisitions that resulted in a $2.3 million and $5.5 million increase in administrative employee wages, taxes and benefit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6"/>
          </w:tcPr>
          <w:p>
            <w:pPr>
              <w:jc w:val="center"/>
              <w:ind w:right="77"/>
              <w:spacing w:after="0"/>
              <w:rPr>
                <w:sz w:val="20"/>
                <w:szCs w:val="20"/>
                <w:color w:val="auto"/>
              </w:rPr>
            </w:pPr>
            <w:r>
              <w:rPr>
                <w:rFonts w:ascii="Arial" w:cs="Arial" w:eastAsia="Arial" w:hAnsi="Arial"/>
                <w:sz w:val="13"/>
                <w:szCs w:val="13"/>
                <w:b w:val="1"/>
                <w:bCs w:val="1"/>
                <w:color w:val="auto"/>
                <w:w w:val="88"/>
              </w:rPr>
              <w:t>For the Three Months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6"/>
          </w:tcPr>
          <w:p>
            <w:pPr>
              <w:jc w:val="center"/>
              <w:ind w:right="157"/>
              <w:spacing w:after="0"/>
              <w:rPr>
                <w:sz w:val="20"/>
                <w:szCs w:val="20"/>
                <w:color w:val="auto"/>
              </w:rPr>
            </w:pPr>
            <w:r>
              <w:rPr>
                <w:rFonts w:ascii="Arial" w:cs="Arial" w:eastAsia="Arial" w:hAnsi="Arial"/>
                <w:sz w:val="13"/>
                <w:szCs w:val="13"/>
                <w:b w:val="1"/>
                <w:bCs w:val="1"/>
                <w:color w:val="auto"/>
                <w:w w:val="89"/>
              </w:rPr>
              <w:t>For the Nine Months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3"/>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jc w:val="center"/>
              <w:ind w:right="77"/>
              <w:spacing w:after="0"/>
              <w:rPr>
                <w:sz w:val="20"/>
                <w:szCs w:val="20"/>
                <w:color w:val="auto"/>
              </w:rPr>
            </w:pPr>
            <w:r>
              <w:rPr>
                <w:rFonts w:ascii="Arial" w:cs="Arial" w:eastAsia="Arial" w:hAnsi="Arial"/>
                <w:sz w:val="13"/>
                <w:szCs w:val="13"/>
                <w:b w:val="1"/>
                <w:bCs w:val="1"/>
                <w:color w:val="auto"/>
                <w:w w:val="86"/>
              </w:rPr>
              <w:t>Ended September 30,</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jc w:val="center"/>
              <w:ind w:right="157"/>
              <w:spacing w:after="0"/>
              <w:rPr>
                <w:sz w:val="20"/>
                <w:szCs w:val="20"/>
                <w:color w:val="auto"/>
              </w:rPr>
            </w:pPr>
            <w:r>
              <w:rPr>
                <w:rFonts w:ascii="Arial" w:cs="Arial" w:eastAsia="Arial" w:hAnsi="Arial"/>
                <w:sz w:val="13"/>
                <w:szCs w:val="13"/>
                <w:b w:val="1"/>
                <w:bCs w:val="1"/>
                <w:color w:val="auto"/>
                <w:w w:val="87"/>
              </w:rPr>
              <w:t>Ended September 30,</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477"/>
              <w:spacing w:after="0" w:line="142" w:lineRule="exact"/>
              <w:rPr>
                <w:sz w:val="20"/>
                <w:szCs w:val="20"/>
                <w:color w:val="auto"/>
              </w:rPr>
            </w:pPr>
            <w:r>
              <w:rPr>
                <w:rFonts w:ascii="Arial" w:cs="Arial" w:eastAsia="Arial" w:hAnsi="Arial"/>
                <w:sz w:val="13"/>
                <w:szCs w:val="13"/>
                <w:b w:val="1"/>
                <w:bCs w:val="1"/>
                <w:color w:val="auto"/>
                <w:w w:val="82"/>
              </w:rPr>
              <w:t>2021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3"/>
                <w:szCs w:val="13"/>
                <w:b w:val="1"/>
                <w:bCs w:val="1"/>
                <w:color w:val="auto"/>
                <w:w w:val="88"/>
              </w:rPr>
              <w:t>Change</w:t>
            </w: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4"/>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3"/>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Home Health Segment</w:t>
            </w:r>
          </w:p>
        </w:tc>
        <w:tc>
          <w:tcPr>
            <w:tcW w:w="8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r>
      <w:tr>
        <w:trPr>
          <w:trHeight w:val="142"/>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gridSpan w:val="13"/>
          </w:tcPr>
          <w:p>
            <w:pPr>
              <w:jc w:val="center"/>
              <w:ind w:right="38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11"/>
          </w:tcPr>
          <w:p>
            <w:pPr>
              <w:jc w:val="center"/>
              <w:ind w:left="13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9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Net service revenues</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7,958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4,085</w:t>
            </w: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400" w:type="dxa"/>
            <w:vAlign w:val="bottom"/>
          </w:tcPr>
          <w:p>
            <w:pPr>
              <w:jc w:val="right"/>
              <w:spacing w:after="0"/>
              <w:rPr>
                <w:sz w:val="20"/>
                <w:szCs w:val="20"/>
                <w:color w:val="auto"/>
              </w:rPr>
            </w:pPr>
            <w:r>
              <w:rPr>
                <w:rFonts w:ascii="Arial" w:cs="Arial" w:eastAsia="Arial" w:hAnsi="Arial"/>
                <w:sz w:val="13"/>
                <w:szCs w:val="13"/>
                <w:color w:val="auto"/>
              </w:rPr>
              <w:t>3,873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94.8</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17,015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0"/>
              </w:rPr>
              <w:t>12,207</w:t>
            </w: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4,808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39.4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2,685</w:t>
            </w:r>
          </w:p>
        </w:tc>
        <w:tc>
          <w:tcPr>
            <w:tcW w:w="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85.4</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10,560</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8,553</w:t>
            </w:r>
          </w:p>
        </w:tc>
        <w:tc>
          <w:tcPr>
            <w:tcW w:w="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70.1</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80" w:type="dxa"/>
            <w:vAlign w:val="bottom"/>
            <w:shd w:val="clear" w:color="auto" w:fill="CFF0FC"/>
          </w:tcPr>
          <w:p>
            <w:pPr>
              <w:spacing w:after="0"/>
              <w:rPr>
                <w:sz w:val="12"/>
                <w:szCs w:val="12"/>
                <w:color w:val="auto"/>
              </w:rPr>
            </w:pPr>
          </w:p>
        </w:tc>
      </w:tr>
      <w:tr>
        <w:trPr>
          <w:trHeight w:val="142"/>
        </w:trPr>
        <w:tc>
          <w:tcPr>
            <w:tcW w:w="196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2,981</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34.3</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1,581</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112.9</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6,455</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3,654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29.9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2,801</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76.7</w:t>
            </w:r>
          </w:p>
        </w:tc>
        <w:tc>
          <w:tcPr>
            <w:tcW w:w="180" w:type="dxa"/>
            <w:vAlign w:val="bottom"/>
          </w:tcPr>
          <w:p>
            <w:pPr>
              <w:spacing w:after="0"/>
              <w:rPr>
                <w:sz w:val="12"/>
                <w:szCs w:val="12"/>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0"/>
              </w:rPr>
              <w:t>General and administrative expenses</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925</w:t>
            </w:r>
          </w:p>
        </w:tc>
        <w:tc>
          <w:tcPr>
            <w:tcW w:w="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3,410</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w:t>
            </w:r>
          </w:p>
        </w:tc>
        <w:tc>
          <w:tcPr>
            <w:tcW w:w="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23.2</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w:t>
            </w:r>
          </w:p>
        </w:tc>
        <w:tc>
          <w:tcPr>
            <w:tcW w:w="180" w:type="dxa"/>
            <w:vAlign w:val="bottom"/>
            <w:shd w:val="clear" w:color="auto" w:fill="CFF0FC"/>
          </w:tcPr>
          <w:p>
            <w:pPr>
              <w:spacing w:after="0"/>
              <w:rPr>
                <w:sz w:val="12"/>
                <w:szCs w:val="12"/>
                <w:color w:val="auto"/>
              </w:rPr>
            </w:pPr>
          </w:p>
        </w:tc>
      </w:tr>
      <w:tr>
        <w:trPr>
          <w:trHeight w:val="182"/>
        </w:trPr>
        <w:tc>
          <w:tcPr>
            <w:tcW w:w="19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1,504</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18.9</w:t>
            </w: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475</w:t>
            </w:r>
          </w:p>
        </w:tc>
        <w:tc>
          <w:tcPr>
            <w:tcW w:w="4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w:t>
            </w:r>
          </w:p>
        </w:tc>
        <w:tc>
          <w:tcPr>
            <w:tcW w:w="320" w:type="dxa"/>
            <w:vAlign w:val="bottom"/>
            <w:tcBorders>
              <w:bottom w:val="single" w:sz="8" w:color="CFF0FC"/>
            </w:tcBorders>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1,029</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216.6</w:t>
            </w:r>
          </w:p>
        </w:tc>
        <w:tc>
          <w:tcPr>
            <w:tcW w:w="30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3,045</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17.9</w:t>
            </w: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823</w:t>
            </w:r>
          </w:p>
        </w:tc>
        <w:tc>
          <w:tcPr>
            <w:tcW w:w="4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2,222</w:t>
            </w:r>
          </w:p>
        </w:tc>
        <w:tc>
          <w:tcPr>
            <w:tcW w:w="20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270.0</w:t>
            </w: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r>
      <w:tr>
        <w:trPr>
          <w:trHeight w:val="129"/>
        </w:trPr>
        <w:tc>
          <w:tcPr>
            <w:tcW w:w="19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w w:val="88"/>
              </w:rPr>
              <w:t>Business Metrics (Actual Numbers)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New admissions * </w:t>
            </w:r>
            <w:r>
              <w:rPr>
                <w:rFonts w:ascii="Arial" w:cs="Arial" w:eastAsia="Arial" w:hAnsi="Arial"/>
                <w:sz w:val="10"/>
                <w:szCs w:val="10"/>
                <w:color w:val="auto"/>
              </w:rPr>
              <w:t>(1)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2,608</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1,096</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138.0</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3,186</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1,776</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 xml:space="preserve">Recertifications *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1,081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607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2,476</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2,006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23.4</w:t>
            </w:r>
          </w:p>
        </w:tc>
        <w:tc>
          <w:tcPr>
            <w:tcW w:w="180" w:type="dxa"/>
            <w:vAlign w:val="bottom"/>
          </w:tcPr>
          <w:p>
            <w:pPr>
              <w:spacing w:after="0"/>
              <w:rPr>
                <w:sz w:val="12"/>
                <w:szCs w:val="12"/>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Total volume * </w:t>
            </w:r>
            <w:r>
              <w:rPr>
                <w:rFonts w:ascii="Arial" w:cs="Arial" w:eastAsia="Arial" w:hAnsi="Arial"/>
                <w:sz w:val="10"/>
                <w:szCs w:val="10"/>
                <w:color w:val="auto"/>
              </w:rPr>
              <w:t>(3)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3,689</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116.6</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7,438</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5,192</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2,246</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w:t>
            </w:r>
          </w:p>
        </w:tc>
        <w:tc>
          <w:tcPr>
            <w:tcW w:w="180" w:type="dxa"/>
            <w:vAlign w:val="bottom"/>
            <w:shd w:val="clear" w:color="auto" w:fill="CFF0FC"/>
          </w:tcPr>
          <w:p>
            <w:pPr>
              <w:spacing w:after="0"/>
              <w:rPr>
                <w:sz w:val="12"/>
                <w:szCs w:val="12"/>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 xml:space="preserve">Visits * </w:t>
            </w: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55,963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28,073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27,890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99.3</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115,210</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91,580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23,630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Organic growth *</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9"/>
        </w:trPr>
        <w:tc>
          <w:tcPr>
            <w:tcW w:w="1960" w:type="dxa"/>
            <w:vAlign w:val="bottom"/>
          </w:tcPr>
          <w:p>
            <w:pPr>
              <w:ind w:left="140"/>
              <w:spacing w:after="0"/>
              <w:rPr>
                <w:sz w:val="20"/>
                <w:szCs w:val="20"/>
                <w:color w:val="auto"/>
              </w:rPr>
            </w:pPr>
            <w:r>
              <w:rPr>
                <w:rFonts w:ascii="Arial" w:cs="Arial" w:eastAsia="Arial" w:hAnsi="Arial"/>
                <w:sz w:val="13"/>
                <w:szCs w:val="13"/>
                <w:color w:val="auto"/>
              </w:rPr>
              <w:t xml:space="preserve">- Revenue * </w:t>
            </w:r>
            <w:r>
              <w:rPr>
                <w:rFonts w:ascii="Arial" w:cs="Arial" w:eastAsia="Arial" w:hAnsi="Arial"/>
                <w:sz w:val="10"/>
                <w:szCs w:val="10"/>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(8.9)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15.9</w:t>
            </w:r>
          </w:p>
        </w:tc>
        <w:tc>
          <w:tcPr>
            <w:tcW w:w="200" w:type="dxa"/>
            <w:vAlign w:val="bottom"/>
          </w:tcPr>
          <w:p>
            <w:pPr>
              <w:jc w:val="center"/>
              <w:ind w:left="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9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 xml:space="preserve">- New Admissions * </w:t>
            </w:r>
            <w:r>
              <w:rPr>
                <w:rFonts w:ascii="Arial" w:cs="Arial" w:eastAsia="Arial" w:hAnsi="Arial"/>
                <w:sz w:val="10"/>
                <w:szCs w:val="10"/>
                <w:color w:val="auto"/>
              </w:rPr>
              <w:t>(5)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200" w:type="dxa"/>
            <w:vAlign w:val="bottom"/>
            <w:shd w:val="clear" w:color="auto" w:fill="CFF0FC"/>
          </w:tcPr>
          <w:p>
            <w:pPr>
              <w:jc w:val="center"/>
              <w:ind w:lef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bl>
    <w:p>
      <w:pPr>
        <w:spacing w:after="0" w:line="193"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86"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126"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organic growth and new admissions organic growth reflect the change in year-over-year revenue and new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36" w:lineRule="exact"/>
        <w:rPr>
          <w:sz w:val="20"/>
          <w:szCs w:val="20"/>
          <w:color w:val="auto"/>
        </w:rPr>
      </w:pPr>
    </w:p>
    <w:p>
      <w:pPr>
        <w:ind w:left="480" w:right="40" w:hanging="472"/>
        <w:spacing w:after="0" w:line="288" w:lineRule="auto"/>
        <w:tabs>
          <w:tab w:leader="none" w:pos="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them provide direct correlation to the results of operations from period to period and we believe that these metrics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76" w:lineRule="exact"/>
        <w:rPr>
          <w:sz w:val="20"/>
          <w:szCs w:val="20"/>
          <w:color w:val="auto"/>
        </w:rPr>
      </w:pPr>
    </w:p>
    <w:p>
      <w:pPr>
        <w:ind w:right="460" w:firstLine="476"/>
        <w:spacing w:after="0" w:line="291" w:lineRule="auto"/>
        <w:rPr>
          <w:sz w:val="20"/>
          <w:szCs w:val="20"/>
          <w:color w:val="auto"/>
        </w:rPr>
      </w:pPr>
      <w:r>
        <w:rPr>
          <w:rFonts w:ascii="Arial" w:cs="Arial" w:eastAsia="Arial" w:hAnsi="Arial"/>
          <w:sz w:val="16"/>
          <w:szCs w:val="16"/>
          <w:color w:val="auto"/>
        </w:rPr>
        <w:t>Home health generates net service revenues by providing home health services on a short-term, intermittent or episodic basis to individuals, generally to treat an illness or injury. Net service revenues from Medicare accounted for 80.1% and 78.0%, managed care organizations accounted for</w:t>
      </w:r>
    </w:p>
    <w:p>
      <w:pPr>
        <w:ind w:right="200"/>
        <w:spacing w:after="0" w:line="253" w:lineRule="auto"/>
        <w:rPr>
          <w:sz w:val="20"/>
          <w:szCs w:val="20"/>
          <w:color w:val="auto"/>
        </w:rPr>
      </w:pPr>
      <w:r>
        <w:rPr>
          <w:rFonts w:ascii="Arial" w:cs="Arial" w:eastAsia="Arial" w:hAnsi="Arial"/>
          <w:sz w:val="18"/>
          <w:szCs w:val="18"/>
          <w:color w:val="auto"/>
        </w:rPr>
        <w:t>15.3% and 20.3% and other accounted for 4.6% and 1.7% for the three months ended September 30, 2021 and 2020, respectively. Net service revenues from Medicare accounted for 80.5% and 79.2%, managed care organizations accounted for 16.7% and 19.0% and other accounted for 2.8% and 1.8% for the nine months ended September 30, 2021 and 2020, respectively. Home health services provided to Medicare beneficiaries are paid under the Medicare Home Health Prospective Payment System (“HHPPS”). Effective January 1, 2020, CMS began using a 30-day episode of care for home health payments and implemented the Patient-Driven Groupings Model (“PDGM”)</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part of the shift toward value-based care. The PDGM classifies patients based on clinical characteristics and other patient information into payment categories and eliminates the use of therapy service thresholds for determination of payments. Also effective January 1, 2020, CMS finalized a policy allowing therapy assistants to provide maintenance therapy services in the home and modified certain requirements relating to the home health plan of care.</w:t>
      </w:r>
    </w:p>
    <w:p>
      <w:pPr>
        <w:spacing w:after="0" w:line="149" w:lineRule="exact"/>
        <w:rPr>
          <w:sz w:val="20"/>
          <w:szCs w:val="20"/>
          <w:color w:val="auto"/>
        </w:rPr>
      </w:pPr>
    </w:p>
    <w:p>
      <w:pPr>
        <w:ind w:firstLine="476"/>
        <w:spacing w:after="0" w:line="263" w:lineRule="auto"/>
        <w:rPr>
          <w:sz w:val="20"/>
          <w:szCs w:val="20"/>
          <w:color w:val="auto"/>
        </w:rPr>
      </w:pPr>
      <w:r>
        <w:rPr>
          <w:rFonts w:ascii="Arial" w:cs="Arial" w:eastAsia="Arial" w:hAnsi="Arial"/>
          <w:sz w:val="18"/>
          <w:szCs w:val="18"/>
          <w:color w:val="auto"/>
        </w:rPr>
        <w:t>Net service revenues increased by $3.9 million and $4.8 million for the three and nine months ended September 30, 2021 compared to the three and nine months ended September 30, 2020. Total visits increased for the three and nine months ended September 30, 2021, mainly attributed to organic growth and the acquisition of Armada on August 1, 2021.</w:t>
      </w:r>
    </w:p>
    <w:p>
      <w:pPr>
        <w:spacing w:after="0" w:line="184" w:lineRule="exact"/>
        <w:rPr>
          <w:sz w:val="20"/>
          <w:szCs w:val="20"/>
          <w:color w:val="auto"/>
        </w:rPr>
      </w:pPr>
    </w:p>
    <w:p>
      <w:pPr>
        <w:ind w:right="80" w:firstLine="476"/>
        <w:spacing w:after="0" w:line="296" w:lineRule="auto"/>
        <w:rPr>
          <w:sz w:val="20"/>
          <w:szCs w:val="20"/>
          <w:color w:val="auto"/>
        </w:rPr>
      </w:pPr>
      <w:r>
        <w:rPr>
          <w:rFonts w:ascii="Arial" w:cs="Arial" w:eastAsia="Arial" w:hAnsi="Arial"/>
          <w:sz w:val="16"/>
          <w:szCs w:val="16"/>
          <w:color w:val="auto"/>
        </w:rPr>
        <w:t>Gross profit, expressed as a percentage of net service revenues was 37.5% and 34.3% for the three months ended September 30, 2021 and 2020, respectively, and 37.9% and 29.9%, for the nine months ended September 30, 2021 and 2020, respectively. For the three and nine months ended September 30, 2021, the increase was due to a decrease of direct employee wages, taxes and benefit costs of 2.7% and 6.9%, respectively, as a percentage of net service revenues. Gross profit, expressed as a percentage of net service revenues, for the three and nine months ended September 30, 2021 improved compared to the corresponding periods in 2020, due to PDGM case mix and improvements as restrictions related to COVID-19 ease.</w:t>
      </w:r>
    </w:p>
    <w:p>
      <w:pPr>
        <w:spacing w:after="0" w:line="161" w:lineRule="exact"/>
        <w:rPr>
          <w:sz w:val="20"/>
          <w:szCs w:val="20"/>
          <w:color w:val="auto"/>
        </w:rPr>
      </w:pPr>
    </w:p>
    <w:p>
      <w:pPr>
        <w:jc w:val="both"/>
        <w:ind w:right="20" w:firstLine="476"/>
        <w:spacing w:after="0" w:line="340" w:lineRule="auto"/>
        <w:rPr>
          <w:sz w:val="20"/>
          <w:szCs w:val="20"/>
          <w:color w:val="auto"/>
        </w:rPr>
      </w:pPr>
      <w:r>
        <w:rPr>
          <w:rFonts w:ascii="Arial" w:cs="Arial" w:eastAsia="Arial" w:hAnsi="Arial"/>
          <w:sz w:val="15"/>
          <w:szCs w:val="15"/>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18.6% and 22.6% for the three months ended September 30, 2021 and 2020, respectively, and 20.0% and 23.2% for the nine months ended September 30, 2021 and 2020,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0" w:firstLine="476"/>
        <w:spacing w:after="0" w:line="277" w:lineRule="auto"/>
        <w:rPr>
          <w:sz w:val="20"/>
          <w:szCs w:val="20"/>
          <w:color w:val="auto"/>
        </w:rPr>
      </w:pPr>
      <w:r>
        <w:rPr>
          <w:rFonts w:ascii="Arial" w:cs="Arial" w:eastAsia="Arial" w:hAnsi="Arial"/>
          <w:sz w:val="18"/>
          <w:szCs w:val="18"/>
          <w:color w:val="auto"/>
        </w:rPr>
        <w:t>Our primary sources of liquidity are cash on hand, cash from operations and borrowings under our credit facility. At September 30, 2021 and December 31, 2020, we had cash balances of $152.4 million and $145.1 million, respectively.</w:t>
      </w:r>
    </w:p>
    <w:p>
      <w:pPr>
        <w:spacing w:after="0" w:line="170" w:lineRule="exact"/>
        <w:rPr>
          <w:sz w:val="20"/>
          <w:szCs w:val="20"/>
          <w:color w:val="auto"/>
        </w:rPr>
      </w:pPr>
    </w:p>
    <w:p>
      <w:pPr>
        <w:ind w:right="40" w:firstLine="477"/>
        <w:spacing w:after="0" w:line="253" w:lineRule="auto"/>
        <w:rPr>
          <w:sz w:val="20"/>
          <w:szCs w:val="20"/>
          <w:color w:val="auto"/>
        </w:rPr>
      </w:pPr>
      <w:r>
        <w:rPr>
          <w:rFonts w:ascii="Arial" w:cs="Arial" w:eastAsia="Arial" w:hAnsi="Arial"/>
          <w:sz w:val="18"/>
          <w:szCs w:val="18"/>
          <w:color w:val="auto"/>
        </w:rPr>
        <w:t>Cash flows from operating activities represent the inflow of cash from our payor clients and the outflow of cash for payroll and payroll taxes, operating expenses, interest and taxes. The open receivable balance from the Illinois Department on Aging, the largest payor program for the Company’s Illinois personal care operation, decreased by $1.7 million from $21.2 million as of December 31, 2020 to $18.1 million as of September 30, 2021. The state of Illinois fiscal year 2021 budget included an appropriation to raise in-home care rates to offset previous minimum wage increases by the City of Chicago. However the rate increase was delayed and did not take effect until April 1, 2021, as a result of on-going state revenue declines due to COVID-19 and the failure of the November 2020 referendum to revise the Illinois income tax code. On June 29, 2021, the Governor announced the authorization of bonus payments to providers in an amount equivalent to the rate increase for services delivered from January 1, 2021 to March 31, 2021 for state reimbursed hours of care. The bonus payment of $3.0 million was recognized as net service revenues during the three months ended June 30, 2021, and was received in September 2021.</w:t>
      </w:r>
    </w:p>
    <w:p>
      <w:pPr>
        <w:spacing w:after="0" w:line="196" w:lineRule="exact"/>
        <w:rPr>
          <w:sz w:val="20"/>
          <w:szCs w:val="20"/>
          <w:color w:val="auto"/>
        </w:rPr>
      </w:pPr>
    </w:p>
    <w:p>
      <w:pPr>
        <w:ind w:right="140" w:firstLine="476"/>
        <w:spacing w:after="0" w:line="260" w:lineRule="auto"/>
        <w:rPr>
          <w:sz w:val="20"/>
          <w:szCs w:val="20"/>
          <w:color w:val="auto"/>
        </w:rPr>
      </w:pPr>
      <w:r>
        <w:rPr>
          <w:rFonts w:ascii="Arial" w:cs="Arial" w:eastAsia="Arial" w:hAnsi="Arial"/>
          <w:sz w:val="18"/>
          <w:szCs w:val="18"/>
          <w:color w:val="auto"/>
        </w:rPr>
        <w:t>During the three and nine months ended September 30, 2021, we drew $29.0 million under credit facility to fund the acquisition of Armada. Additionally, we reallocated and refinanced $17.4 million of our outstanding initial term loans as revolving loans, as discussed below. During the nine months ended September 30, 2020, we did not draw on the term loan. As of September 30, 2021, we had a total of $224.9 million in revolving loans, with an interest rate of 2.08%. After giving effect to the amount drawn on our credit facility, approximately $8.2 million of outstanding letters of credit and borrowing limits based on an advance multiple of adjusted EBITDA, we had $367.0 million of capacity and $123.8 million available for borrowing under our revolving credit loan facility. At December 31, 2020, we had a total of $178.5 million revolving credit loans, with an interest rate of 1.90%, and $18.1 million term loans, with an interest rate of 1.90%.</w:t>
      </w:r>
    </w:p>
    <w:p>
      <w:pPr>
        <w:spacing w:after="0" w:line="185" w:lineRule="exact"/>
        <w:rPr>
          <w:sz w:val="20"/>
          <w:szCs w:val="20"/>
          <w:color w:val="auto"/>
        </w:rPr>
      </w:pPr>
    </w:p>
    <w:p>
      <w:pPr>
        <w:ind w:right="60" w:firstLine="477"/>
        <w:spacing w:after="0" w:line="301" w:lineRule="auto"/>
        <w:rPr>
          <w:sz w:val="20"/>
          <w:szCs w:val="20"/>
          <w:color w:val="auto"/>
        </w:rPr>
      </w:pPr>
      <w:r>
        <w:rPr>
          <w:rFonts w:ascii="Arial" w:cs="Arial" w:eastAsia="Arial" w:hAnsi="Arial"/>
          <w:sz w:val="16"/>
          <w:szCs w:val="16"/>
          <w:color w:val="auto"/>
        </w:rPr>
        <w:t>Our credit facility requires us to maintain a total net leverage ratio not exceeding 3.75:1.00. At September 30, 2021,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color w:val="auto"/>
        </w:rPr>
        <w:t>Any deterioration in economic conditions in the United States, including as the result of the COVID-19 pandemic, would pose a risk to states’ budgets, which in turn could affect our collections. Depending on the severity and length of any potential economic downturn, states could face significant fiscal challenges and revise their revenue forecasts and adjust their budgets, and sales tax collections and income tax withholdings could be depressed in fiscal 2021 (which began July 1 in most states), and, potentially, future fiscal years. In this regard, Illinois, New York and New Mexico, our top three markets, previously revised revenue estimates downward for the 2021 fiscal year as the result of earlier negative economic conditions arising from the pandemic. Also in response to reduced revenues, the state of New York authorized the issuance of short-term bonds and implemented uniform reductions to Medicaid payments. Effective for dates of service on or after April 2, 2020, the uniform reduction rate is 1.5%. The reduction applies to home health services but hospice services are exempt. We cannot determine</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impact that COVID-19 may have on states’ budgets for 2022 or beyond, or if additional federal stimulus measures will be provided. However, such impacts could have a material adverse effect on our financial condition, results of operations and cash flows.</w:t>
      </w:r>
    </w:p>
    <w:p>
      <w:pPr>
        <w:spacing w:after="0" w:line="170"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January 16, 2022, but HHS has indicated it will provide states with 60 days’ notice prior to termination of the declaration.</w:t>
      </w:r>
    </w:p>
    <w:p>
      <w:pPr>
        <w:spacing w:after="0" w:line="177"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The ARPA, which became law on March 11, 2021, provides for $350 billion in relief funding for eligible state, local, territorial, and Tribal governments to mitigate the fiscal effects of the COVID-19 public health emergency. Additionally, the law provides for a 10 percentage point increase in federal matching funds for Medicaid home and community based services (“HCBS”) from April 1, 2021, through March 30, 2022, provided the state satisfies certain conditions. States must use the funds attributable to this matching fund increase to supplement existing state funds expended for Medicaid HCBS in effect as of April 1, 2021, and must use the state funds equivalent to the matching fund increase to implement or supplement the implementation of activities to enhance HCBS under the Medicaid program. States will be permitted to use the state funds equivalent to the additional federal funds through March 31, 2024. The additional federal funds and other federal stimulus measures may help to ease state-level budget constraints due to COVID-19.</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Stimulus Advances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color w:val="auto"/>
        </w:rPr>
        <w:t>One of the primary sources of relief for healthcare providers is the Provider Relief Fund, which was established by the CARES Act, which was expanded by the PPPHCE Act and the CAA.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88" w:lineRule="exact"/>
        <w:rPr>
          <w:sz w:val="20"/>
          <w:szCs w:val="20"/>
          <w:color w:val="auto"/>
        </w:rPr>
      </w:pPr>
    </w:p>
    <w:p>
      <w:pPr>
        <w:ind w:right="20" w:firstLine="477"/>
        <w:spacing w:after="0" w:line="289" w:lineRule="auto"/>
        <w:rPr>
          <w:sz w:val="20"/>
          <w:szCs w:val="20"/>
          <w:color w:val="auto"/>
        </w:rPr>
      </w:pPr>
      <w:r>
        <w:rPr>
          <w:rFonts w:ascii="Arial" w:cs="Arial" w:eastAsia="Arial" w:hAnsi="Arial"/>
          <w:sz w:val="16"/>
          <w:szCs w:val="16"/>
          <w:color w:val="auto"/>
        </w:rPr>
        <w:t>In November 2020, the Company received grants in an aggregate principal amount of $13.7 million from the Provider Relief Fund, for which we had previously applied. The Company utilized $0.4 million and $11.7 million of these funds for the three and nine months ended September 30, 2021, respectively, for healthcare related expenses, including retention payments, attributable to COVID-19 that were unreimbursed by other sources. In accordance with the current guidance issued by HHS, the Company expects to utilize additional funds through December 31, 2021, at which point we anticipate any unused funds will be returned. We are required to properly and fully document the use of such funds in reports to HHS, which must be submitted no later than March 31, 2022. The Company’s ability to utilize and retain some or all of such funds will depend on the terms and conditions of the funds received. Queen City Hospice administered retention payments totaling $1.9 million to caregivers for the nine months ended September 30, 2021, which we believed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its acquisition in March 2021, prior to any CMS recoupment and before any interest accrual.</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The CARES Act also provides for certain federal income and other tax changes, including allowing for the deferral of the employer portion of Social Security payroll taxes through December 31, 2020. The payroll tax deferral requires that the deferred payroll taxes be paid over two years, with half of the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half of the $7.1 million in the fourth quarter of 2021.</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The CARES Act and related legislation also include other provisions offering financial relief, for example temporarily lifting the Medicare sequester, which would have otherwise reduced payments to Medicare providers by 2% as required by the Budget Control Act of 2011, from May 1, 2020, through December 31, 2021 (but also extending sequestration through 2030).</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firstLine="477"/>
        <w:spacing w:after="0" w:line="301" w:lineRule="auto"/>
        <w:rPr>
          <w:sz w:val="20"/>
          <w:szCs w:val="20"/>
          <w:color w:val="auto"/>
        </w:rPr>
      </w:pPr>
      <w:r>
        <w:rPr>
          <w:rFonts w:ascii="Arial" w:cs="Arial" w:eastAsia="Arial" w:hAnsi="Arial"/>
          <w:sz w:val="16"/>
          <w:szCs w:val="16"/>
          <w:color w:val="auto"/>
        </w:rPr>
        <w:t>In our hospice segment, Medicare sequester relief resulted in an increase in net service revenues of $0.7 million and $0.5 million, for the three months ended September 30, 2021 and 2020, respectively, and $2.1 million and $0.8 million for the nine months ended September 30, 2021 and 2020, respectively. In our home health net segment, Medicare sequester relief resulted in an increase in net service revenues of $0.1 million, for both the three months ended September 2021 and 2020, and $0.3 million and $0.2 million, for the nine months ended September 2021 and 2020, respectively.</w:t>
      </w:r>
    </w:p>
    <w:p>
      <w:pPr>
        <w:spacing w:after="0" w:line="157"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However, the ARPA increases the federal budget deficit in a manner that triggers an additional statutorily mandated sequestration under the PAYGO Act. As a result, absent congressional action, Medicare spending will be reduced by up to 4% in fiscal year 2022, to begin to take effect in January 2022, in addition to the existing sequestration requirements of the Budget Control Act of 2011. We cannot currently determine if, or to what extent, our business, results of operations, financial condition or liquidity will ultimately be impacted by mandated sequestration triggers under the PAYGO Act, or if the mandated sequestration will occur.</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entered into the Amended and Restated Credit Agreement, dated as of October 31, 2018, with certain lenders and Capital One, National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Association, as a lender and as agent for all lenders (as amended by the Amendment (as hereinafter defined) and the Second Amendment (as hereinafter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the “Credit Agreement”). This credit facility totaled $269.6 million, inclusive of a $250.0 million revolving loan and a $19.6 million delayed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draw term loan and is evidenced by the Credit Agreement. This credit facility amended and restated our existing senior secured credit facility totaling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$250.0 million. As used throughout this Annual Report on Form 10-K, “credit facility” shall mean the credit facility evidenced by the Credit Agreement.</w:t>
      </w:r>
    </w:p>
    <w:p>
      <w:pPr>
        <w:spacing w:after="0" w:line="222" w:lineRule="exact"/>
        <w:rPr>
          <w:sz w:val="20"/>
          <w:szCs w:val="20"/>
          <w:color w:val="auto"/>
        </w:rPr>
      </w:pPr>
    </w:p>
    <w:p>
      <w:pPr>
        <w:ind w:right="100" w:firstLine="477"/>
        <w:spacing w:after="0" w:line="269" w:lineRule="auto"/>
        <w:rPr>
          <w:sz w:val="20"/>
          <w:szCs w:val="20"/>
          <w:color w:val="auto"/>
        </w:rPr>
      </w:pPr>
      <w:r>
        <w:rPr>
          <w:rFonts w:ascii="Arial" w:cs="Arial" w:eastAsia="Arial" w:hAnsi="Arial"/>
          <w:sz w:val="17"/>
          <w:szCs w:val="17"/>
          <w:color w:val="auto"/>
        </w:rPr>
        <w:t>The maturity of this credit facility is May 8, 2023. Interest on this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w:t>
      </w:r>
    </w:p>
    <w:p>
      <w:pPr>
        <w:spacing w:after="0" w:line="185" w:lineRule="exact"/>
        <w:rPr>
          <w:sz w:val="20"/>
          <w:szCs w:val="20"/>
          <w:color w:val="auto"/>
        </w:rPr>
      </w:pPr>
    </w:p>
    <w:p>
      <w:pPr>
        <w:ind w:firstLine="477"/>
        <w:spacing w:after="0" w:line="262"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 We pay a fee ranging from 0.20% to 0.35% based on the applicable senior net leverage ratio times the unused portion of the revolving loan portion of the credit facility.</w:t>
      </w:r>
    </w:p>
    <w:p>
      <w:pPr>
        <w:spacing w:after="0" w:line="183" w:lineRule="exact"/>
        <w:rPr>
          <w:sz w:val="20"/>
          <w:szCs w:val="20"/>
          <w:color w:val="auto"/>
        </w:rPr>
      </w:pPr>
    </w:p>
    <w:p>
      <w:pPr>
        <w:ind w:right="60" w:firstLine="477"/>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66" w:lineRule="exact"/>
        <w:rPr>
          <w:sz w:val="20"/>
          <w:szCs w:val="20"/>
          <w:color w:val="auto"/>
        </w:rPr>
      </w:pPr>
    </w:p>
    <w:p>
      <w:pPr>
        <w:ind w:right="60" w:firstLine="477"/>
        <w:spacing w:after="0" w:line="279" w:lineRule="auto"/>
        <w:rPr>
          <w:sz w:val="20"/>
          <w:szCs w:val="20"/>
          <w:color w:val="auto"/>
        </w:rPr>
      </w:pPr>
      <w:r>
        <w:rPr>
          <w:rFonts w:ascii="Arial" w:cs="Arial" w:eastAsia="Arial" w:hAnsi="Arial"/>
          <w:sz w:val="17"/>
          <w:szCs w:val="17"/>
          <w:color w:val="auto"/>
        </w:rPr>
        <w:t>On September 12, 2019, we entered into a First Amendment (the “First Amendment”) to our Credit Agreement. The First Amendment increased our credit facility by $50.0 million in incremental revolving loans, for an aggregate $300.0 million in revolving loans. The First Amendment provides that future incremental loans may be for term loans or an increase to the revolving loan commitments. The First Amendment further provides that the proceeds of such $50.0 million incremental revolving loan may be used for, among other things, general corporate purposes.</w:t>
      </w:r>
    </w:p>
    <w:p>
      <w:pPr>
        <w:spacing w:after="0" w:line="171" w:lineRule="exact"/>
        <w:rPr>
          <w:sz w:val="20"/>
          <w:szCs w:val="20"/>
          <w:color w:val="auto"/>
        </w:rPr>
      </w:pPr>
    </w:p>
    <w:p>
      <w:pPr>
        <w:ind w:right="60" w:firstLine="476"/>
        <w:spacing w:after="0" w:line="255" w:lineRule="auto"/>
        <w:rPr>
          <w:sz w:val="20"/>
          <w:szCs w:val="20"/>
          <w:color w:val="auto"/>
        </w:rPr>
      </w:pPr>
      <w:r>
        <w:rPr>
          <w:rFonts w:ascii="Arial" w:cs="Arial" w:eastAsia="Arial" w:hAnsi="Arial"/>
          <w:sz w:val="18"/>
          <w:szCs w:val="18"/>
          <w:color w:val="auto"/>
        </w:rPr>
        <w:t>On July 30, 2021, the Company entered into a Second Amendment (the “Second Amendment”) to our Credit Agreement. The Second Amendment, among other things, reallocated and refinanced the Company’s outstanding initial term loans as revolving loans (such that the Company has no outstanding initial term loans and no further initial term loans may be borrowed) and increased the Company’s revolving credit facility to an aggregate amount of $600.0 million. Moreover, the Second Amendment increased the Company’s incremental loan facility to an aggregate amount $125.0 million, which incremental loan facility may be for term loans or an increase to the revolving loan commitments. The maturity of the revolving credit facility was also extended from May 8, 2023 to July 30, 2026. Additionally, the Credit</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Agreement contemplates a transition from LIBOR, specifically identifies SOFR as the replacement reference rate and details the mechanism for transition at LIBOR cessation, which is anticipated to occur on June 30, 2023. The transition to SOFR is not expected to have a material impact on the Company’s results of operations or liquidity. In connection with the Second Amendment, we incurred approximately $3.0 million of debt issuance costs.</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 September 30, 2021, we were in compliance with our financial covenants under the Credit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 for the nine months ended September 30,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55"/>
        </w:trPr>
        <w:tc>
          <w:tcPr>
            <w:tcW w:w="7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14,287</w:t>
            </w:r>
          </w:p>
        </w:tc>
        <w:tc>
          <w:tcPr>
            <w:tcW w:w="7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w w:val="98"/>
              </w:rPr>
              <w:t>(32,433)</w:t>
            </w:r>
          </w:p>
        </w:tc>
        <w:tc>
          <w:tcPr>
            <w:tcW w:w="7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(17,507)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25,447</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17" w:lineRule="exact"/>
        <w:rPr>
          <w:sz w:val="20"/>
          <w:szCs w:val="20"/>
          <w:color w:val="auto"/>
        </w:rPr>
      </w:pPr>
    </w:p>
    <w:p>
      <w:pPr>
        <w:jc w:val="both"/>
        <w:ind w:right="40" w:firstLine="476"/>
        <w:spacing w:after="0" w:line="286" w:lineRule="auto"/>
        <w:rPr>
          <w:sz w:val="20"/>
          <w:szCs w:val="20"/>
          <w:color w:val="auto"/>
        </w:rPr>
      </w:pPr>
      <w:r>
        <w:rPr>
          <w:rFonts w:ascii="Arial" w:cs="Arial" w:eastAsia="Arial" w:hAnsi="Arial"/>
          <w:sz w:val="17"/>
          <w:szCs w:val="17"/>
          <w:color w:val="auto"/>
        </w:rPr>
        <w:t>Net cash provided by operating activities was $14.3 million for the nine months ended September 30, 2021, compared to $73.3 million for the same period in 2020. The decrease for the nine months ended September 30, 2021, in cash provided by operations compared to the same period in 2020, was due to the timing of accounts receivable of $32.6 million, and the timing of $31.5 million of government stimulus funds.</w:t>
      </w:r>
    </w:p>
    <w:p>
      <w:pPr>
        <w:spacing w:after="0" w:line="165"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Net cash used in investing activities was $32.4 million for the nine months ended September 30, 2021 compared to $17.5 million for the nine months ended September 30, 2020. Our investing activities for the nine months ended September 30, 2021 consisted of $29.1 million primarily for the acquisition of Armada and $3.2 million in purchases of property and equipment primarily related to our ongoing investments in our technology infrastructure. Our investing activities for the nine months ended September 30, 2020 consisted of $11.7 million primarily for the acquisition of A Plus and $5.9 million in purchases of property and equipment primarily related to investments in our technology infrastructure.</w:t>
      </w:r>
    </w:p>
    <w:p>
      <w:pPr>
        <w:spacing w:after="0" w:line="176" w:lineRule="exact"/>
        <w:rPr>
          <w:sz w:val="20"/>
          <w:szCs w:val="20"/>
          <w:color w:val="auto"/>
        </w:rPr>
      </w:pPr>
    </w:p>
    <w:p>
      <w:pPr>
        <w:ind w:right="100" w:firstLine="476"/>
        <w:spacing w:after="0" w:line="259" w:lineRule="auto"/>
        <w:rPr>
          <w:sz w:val="20"/>
          <w:szCs w:val="20"/>
          <w:color w:val="auto"/>
        </w:rPr>
      </w:pPr>
      <w:r>
        <w:rPr>
          <w:rFonts w:ascii="Arial" w:cs="Arial" w:eastAsia="Arial" w:hAnsi="Arial"/>
          <w:sz w:val="18"/>
          <w:szCs w:val="18"/>
          <w:color w:val="auto"/>
        </w:rPr>
        <w:t>Our financing activities for the nine months ended September 30, 2021 included borrowings of $29.0 million on the revolver portion of our credit facility to fund the Armada acquisition, the reallocation and refinancing of $17.4 million of our outstanding initial term loans as revolving loans, cash paid for debt issuance costs of $3.0 million and term loan payments of $0.7 million. Net cash provided by financing activities was related to cash received from the exercise of stock options of $3.3 million for the nine months ended September 30, 2020.</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Outstanding Accounts Receivable</w:t>
      </w:r>
    </w:p>
    <w:p>
      <w:pPr>
        <w:spacing w:after="0" w:line="117" w:lineRule="exact"/>
        <w:rPr>
          <w:sz w:val="20"/>
          <w:szCs w:val="20"/>
          <w:color w:val="auto"/>
        </w:rPr>
      </w:pPr>
    </w:p>
    <w:p>
      <w:pPr>
        <w:ind w:right="160" w:firstLine="476"/>
        <w:spacing w:after="0" w:line="255" w:lineRule="auto"/>
        <w:rPr>
          <w:sz w:val="20"/>
          <w:szCs w:val="20"/>
          <w:color w:val="auto"/>
        </w:rPr>
      </w:pPr>
      <w:r>
        <w:rPr>
          <w:rFonts w:ascii="Arial" w:cs="Arial" w:eastAsia="Arial" w:hAnsi="Arial"/>
          <w:sz w:val="18"/>
          <w:szCs w:val="18"/>
          <w:color w:val="auto"/>
        </w:rPr>
        <w:t>Gross accounts receivable as of September 30, 2021 and December 31, 2020 were approximately $135.6 million and $133.4 million, respectively. Outstanding accounts receivable, net of allowance, increased by $1.2 million as of September 30, 2021 as compared to December 31, 2020. Accounts receivable for the Illinois Department on Aging decreased approximately $1.7 million during the quarter ended September 30, 2021. We received a bonus payment of $3.0 million from the Illinois Department on Aging in September of 2021.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92" w:lineRule="exact"/>
        <w:rPr>
          <w:sz w:val="20"/>
          <w:szCs w:val="20"/>
          <w:color w:val="auto"/>
        </w:rPr>
      </w:pPr>
    </w:p>
    <w:p>
      <w:pPr>
        <w:ind w:right="180" w:firstLine="476"/>
        <w:spacing w:after="0" w:line="275" w:lineRule="auto"/>
        <w:rPr>
          <w:sz w:val="20"/>
          <w:szCs w:val="20"/>
          <w:color w:val="auto"/>
        </w:rPr>
      </w:pPr>
      <w:r>
        <w:rPr>
          <w:rFonts w:ascii="Arial" w:cs="Arial" w:eastAsia="Arial" w:hAnsi="Arial"/>
          <w:sz w:val="17"/>
          <w:szCs w:val="17"/>
          <w:color w:val="auto"/>
        </w:rPr>
        <w:t>We calculate our DSO by taking the trade accounts receivable outstanding, net of allowance for doubtful accounts, divided by the net service revenues for the last quarter, multiplied by the number of days in that quarter. Our DSOs were 53 days and 61 days at September 30, 2021 and December 31, 2020, respectively. The DSOs for our largest payor, the Illinois Department on Aging, at September 30, 2021 and December 31, 2020 were 36 days and 46 days, respectively. We may not receive payments on a consistent basis in the near term and our DSOs and the DSO for the Illinois Department on Aging may increase despite the state of Illinois’s enactment of state budgets for fiscal years 2021 and 2022.</w:t>
      </w:r>
    </w:p>
    <w:p>
      <w:pPr>
        <w:spacing w:after="0" w:line="176" w:lineRule="exact"/>
        <w:rPr>
          <w:sz w:val="20"/>
          <w:szCs w:val="20"/>
          <w:color w:val="auto"/>
        </w:rPr>
      </w:pPr>
    </w:p>
    <w:p>
      <w:pPr>
        <w:ind w:firstLine="476"/>
        <w:spacing w:after="0" w:line="289" w:lineRule="auto"/>
        <w:rPr>
          <w:sz w:val="20"/>
          <w:szCs w:val="20"/>
          <w:color w:val="auto"/>
        </w:rPr>
      </w:pPr>
      <w:r>
        <w:rPr>
          <w:rFonts w:ascii="Arial" w:cs="Arial" w:eastAsia="Arial" w:hAnsi="Arial"/>
          <w:sz w:val="16"/>
          <w:szCs w:val="16"/>
          <w:color w:val="auto"/>
        </w:rPr>
        <w:t>Any deterioration in economic conditions in the United States, including as the result of the COVID-19 pandemic, would pose a risk to states’ budgets, which in turn could affect our collections. Depending on the severity and length of any potential economic downturn, states could face significant fiscal challenges and revise their revenue forecasts and adjust their budgets, and sales tax collections and income tax withholdings could be depressed in fiscal 2021 (which began July 1 in most states), and, potentially, future fiscal years. The ARPA provided $350 billion dollars in emergency funding for state, local, territorial, and Tribal governments to remedy the mismatch between increasing costs and decreasing revenues. We cannot determine if Congress will provide additional relief with additional stimulus and relief legislation, including extension of unemployment benefits and relief for states. These and other federal stimulus measures may help to ease state-level budget constraints due to the COVID-19 pandemic. We cannot determine the impact that the economic slowdown caused by the COVID-19 pandemic may have on states’ budgets for 2022 or beyond, or if additional federal stimulus measures will be provided. However, such impacts could have a material adverse effect on our financial condition, results of operations and cash flows.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2021, we did not have any off-balance sheet guarantees or arrangements with unconsolidated entities.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2020, filed on March 1,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Condensed Consolidated Financial Statements (Unaudited) for further discussion.</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476"/>
        <w:spacing w:after="0" w:line="275"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September 30, 2021, we had outstanding borrowings of approximately $224.9 million on our credit facility, all of such borrowings were subject to variable interest rates. If the variable rates on this debt were 100 basis points higher than the rate applicable to the borrowing during the three and nine months ended September 30, 2021, our net income would have decreased by $0.4 million, or $0.03 per diluted share, and $1.2 million, or $0.07 per diluted share, respectively. We do not currently have any derivative or hedging arrangements, or other known exposures, to changes in interest rates.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76"/>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2021.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4" w:lineRule="exact"/>
        <w:rPr>
          <w:sz w:val="20"/>
          <w:szCs w:val="20"/>
          <w:color w:val="auto"/>
        </w:rPr>
      </w:pPr>
    </w:p>
    <w:p>
      <w:pPr>
        <w:ind w:right="460" w:firstLine="476"/>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160" w:firstLine="47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September 30, 2021 that have materially affected, or are reasonably likely to materially affect, our internal control over financial reporting.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702"/>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2020, filed on March 1, 2021.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17"/>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Amended and Restated Certificate of Incorporation of the Company dated as of October 27, 2009 (filed on November 20, 2009 as Exhibit</w:t>
              </w:r>
            </w:hyperlink>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Quarterly Report on Form 10-Q (File No. 001-34504) and incorporated by reference herein).</w:t>
              </w:r>
            </w:hyperlink>
          </w:p>
        </w:tc>
        <w:tc>
          <w:tcPr>
            <w:tcW w:w="220" w:type="dxa"/>
            <w:vAlign w:val="bottom"/>
            <w:gridSpan w:val="7"/>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Amended and Restated Bylaws of the Company, as amended by the First Amendment to the Amended and Restated Bylaws (filed on May 9,</w:t>
              </w:r>
            </w:hyperlink>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2013 as Exhibit 3.2 to the Company’s Quarterly Report on Form 10-Q (File No. 001-34504) and incorporated by reference herein).</w:t>
              </w:r>
            </w:hyperlink>
          </w:p>
        </w:tc>
        <w:tc>
          <w:tcPr>
            <w:tcW w:w="700" w:type="dxa"/>
            <w:vAlign w:val="bottom"/>
            <w:gridSpan w:val="9"/>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040" w:type="dxa"/>
            <w:vAlign w:val="bottom"/>
            <w:tcBorders>
              <w:bottom w:val="single" w:sz="8" w:color="0000EE"/>
            </w:tcBorders>
            <w:gridSpan w:val="12"/>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Form of Common Stock Certificate (filed on October 2, 2009 as Exhibit 4.1 to Amendment No. 4 to the Company’s Registration Statement</w:t>
              </w:r>
            </w:hyperlink>
          </w:p>
        </w:tc>
        <w:tc>
          <w:tcPr>
            <w:tcW w:w="100" w:type="dxa"/>
            <w:vAlign w:val="bottom"/>
            <w:gridSpan w:val="4"/>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on Form S-1 (File No. 333-160634) and incorporated by reference herein).</w:t>
              </w:r>
            </w:hyperlink>
          </w:p>
        </w:tc>
        <w:tc>
          <w:tcPr>
            <w:tcW w:w="4760" w:type="dxa"/>
            <w:vAlign w:val="bottom"/>
            <w:gridSpan w:val="12"/>
          </w:tcPr>
          <w:p>
            <w:pPr>
              <w:spacing w:after="0"/>
              <w:rPr>
                <w:sz w:val="17"/>
                <w:szCs w:val="17"/>
                <w:color w:val="auto"/>
              </w:rPr>
            </w:pPr>
          </w:p>
        </w:tc>
      </w:tr>
      <w:tr>
        <w:trPr>
          <w:trHeight w:val="277"/>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10.1*</w:t>
            </w:r>
          </w:p>
        </w:tc>
        <w:tc>
          <w:tcPr>
            <w:tcW w:w="360" w:type="dxa"/>
            <w:vAlign w:val="bottom"/>
          </w:tcPr>
          <w:p>
            <w:pPr>
              <w:spacing w:after="0"/>
              <w:rPr>
                <w:sz w:val="24"/>
                <w:szCs w:val="24"/>
                <w:color w:val="auto"/>
              </w:rPr>
            </w:pPr>
          </w:p>
        </w:tc>
        <w:tc>
          <w:tcPr>
            <w:tcW w:w="9960" w:type="dxa"/>
            <w:vAlign w:val="bottom"/>
            <w:tcBorders>
              <w:bottom w:val="single" w:sz="8" w:color="0000EE"/>
            </w:tcBorders>
            <w:gridSpan w:val="10"/>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Second Amendment to Amended and Restated Credit Agreement, dated as of July 30, 2021, by and among Addus HealthCare, Inc., as the</w:t>
              </w:r>
            </w:hyperlink>
          </w:p>
        </w:tc>
        <w:tc>
          <w:tcPr>
            <w:tcW w:w="180" w:type="dxa"/>
            <w:vAlign w:val="bottom"/>
            <w:gridSpan w:val="6"/>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Borrower, Addus HomeCare Corporation, the other Credit Parties party thereto, Capital One, National Association, as administrative agent</w:t>
              </w:r>
            </w:hyperlink>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and as a Lender, and the other Lenders party thereto (filed on August 4, 2021 as Exhibit 10.1 to the Company’s Current Report on Form 8-K</w:t>
              </w:r>
            </w:hyperlink>
          </w:p>
        </w:tc>
        <w:tc>
          <w:tcPr>
            <w:tcW w:w="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(File No. 001-34504) and incorporated by reference herein).</w:t>
              </w:r>
            </w:hyperlink>
          </w:p>
        </w:tc>
        <w:tc>
          <w:tcPr>
            <w:tcW w:w="5800" w:type="dxa"/>
            <w:vAlign w:val="bottom"/>
            <w:gridSpan w:val="13"/>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360" w:type="dxa"/>
            <w:vAlign w:val="bottom"/>
          </w:tcPr>
          <w:p>
            <w:pPr>
              <w:spacing w:after="0"/>
              <w:rPr>
                <w:sz w:val="24"/>
                <w:szCs w:val="24"/>
                <w:color w:val="auto"/>
              </w:rPr>
            </w:pPr>
          </w:p>
        </w:tc>
        <w:tc>
          <w:tcPr>
            <w:tcW w:w="94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Executive Officer Pursuant to Rule 13a-14(a) of the Securities Exchange Act of 1934 as Adopted Pursuant to</w:t>
              </w:r>
            </w:hyperlink>
          </w:p>
        </w:tc>
        <w:tc>
          <w:tcPr>
            <w:tcW w:w="680" w:type="dxa"/>
            <w:vAlign w:val="bottom"/>
            <w:gridSpan w:val="8"/>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Section 302 of the Sarbanes-Oxley Act of 2002.</w:t>
              </w:r>
            </w:hyperlink>
          </w:p>
        </w:tc>
        <w:tc>
          <w:tcPr>
            <w:tcW w:w="6680" w:type="dxa"/>
            <w:vAlign w:val="bottom"/>
            <w:gridSpan w:val="14"/>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3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Certification of Chief Financial Officer Pursuant to Rule 13a-14(a) of the Securities Exchange Act of 1934 as Adopted Pursuant to</w:t>
              </w:r>
            </w:hyperlink>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Section 302 of the Sarbanes-Oxley Act of 2002.</w:t>
              </w:r>
            </w:hyperlink>
          </w:p>
        </w:tc>
        <w:tc>
          <w:tcPr>
            <w:tcW w:w="5940" w:type="dxa"/>
            <w:vAlign w:val="bottom"/>
            <w:tcBorders>
              <w:top w:val="single" w:sz="8" w:color="0000EE"/>
            </w:tcBorders>
            <w:gridSpan w:val="4"/>
          </w:tcPr>
          <w:p>
            <w:pPr>
              <w:spacing w:after="0"/>
              <w:rPr>
                <w:sz w:val="17"/>
                <w:szCs w:val="17"/>
                <w:color w:val="auto"/>
              </w:rPr>
            </w:pPr>
          </w:p>
        </w:tc>
        <w:tc>
          <w:tcPr>
            <w:tcW w:w="740" w:type="dxa"/>
            <w:vAlign w:val="bottom"/>
            <w:gridSpan w:val="10"/>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3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of 2002.</w:t>
              </w:r>
            </w:hyperlink>
          </w:p>
        </w:tc>
        <w:tc>
          <w:tcPr>
            <w:tcW w:w="40" w:type="dxa"/>
            <w:vAlign w:val="bottom"/>
            <w:gridSpan w:val="2"/>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6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360" w:type="dxa"/>
            <w:vAlign w:val="bottom"/>
          </w:tcPr>
          <w:p>
            <w:pPr>
              <w:spacing w:after="0"/>
              <w:rPr>
                <w:sz w:val="24"/>
                <w:szCs w:val="24"/>
                <w:color w:val="auto"/>
              </w:rPr>
            </w:pPr>
          </w:p>
        </w:tc>
        <w:tc>
          <w:tcPr>
            <w:tcW w:w="100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c>
          <w:tcPr>
            <w:tcW w:w="80" w:type="dxa"/>
            <w:vAlign w:val="bottom"/>
            <w:gridSpan w:val="3"/>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of 2002.</w:t>
              </w:r>
            </w:hyperlink>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40" w:type="dxa"/>
            <w:vAlign w:val="bottom"/>
            <w:gridSpan w:val="15"/>
          </w:tcPr>
          <w:p>
            <w:pPr>
              <w:spacing w:after="0" w:line="20" w:lineRule="exact"/>
              <w:rPr>
                <w:sz w:val="1"/>
                <w:szCs w:val="1"/>
                <w:color w:val="auto"/>
              </w:rPr>
            </w:pPr>
          </w:p>
        </w:tc>
      </w:tr>
      <w:tr>
        <w:trPr>
          <w:trHeight w:val="303"/>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w w:val="91"/>
              </w:rPr>
              <w:t>Inline XBRL Instance Document (the instance document does not appear in the Interactive Data File because its XBRL tags are embedded</w:t>
            </w:r>
          </w:p>
        </w:tc>
      </w:tr>
      <w:tr>
        <w:trPr>
          <w:trHeight w:val="230"/>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 and contained in Exhibit 101).</w:t>
            </w:r>
          </w:p>
        </w:tc>
      </w:tr>
    </w:tbl>
    <w:p>
      <w:pPr>
        <w:spacing w:after="0" w:line="148" w:lineRule="exact"/>
        <w:rPr>
          <w:sz w:val="20"/>
          <w:szCs w:val="20"/>
          <w:color w:val="auto"/>
        </w:rPr>
      </w:pPr>
    </w:p>
    <w:p>
      <w:pPr>
        <w:ind w:left="720" w:right="140" w:hanging="712"/>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 of Regulation S-K. The Company hereby undertakes to furnish supplementally a copy of any of the omitted schedules and exhibits upon request by the Securities and Exchange Commission.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November 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November 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760"/>
          </w:cols>
          <w:pgMar w:left="320" w:top="121" w:right="8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20"/>
                <w:szCs w:val="20"/>
                <w:color w:val="auto"/>
              </w:rPr>
            </w:pPr>
            <w:r>
              <w:rPr>
                <w:rFonts w:ascii="Arial" w:cs="Arial" w:eastAsia="Arial" w:hAnsi="Arial"/>
                <w:sz w:val="16"/>
                <w:szCs w:val="16"/>
                <w:color w:val="auto"/>
              </w:rPr>
              <w:t>Date: November 2, 2021</w:t>
            </w:r>
          </w:p>
        </w:tc>
        <w:tc>
          <w:tcPr>
            <w:tcW w:w="7700" w:type="dxa"/>
            <w:vAlign w:val="bottom"/>
            <w:gridSpan w:val="2"/>
          </w:tcPr>
          <w:p>
            <w:pPr>
              <w:ind w:left="1940"/>
              <w:spacing w:after="0"/>
              <w:rPr>
                <w:sz w:val="20"/>
                <w:szCs w:val="20"/>
                <w:color w:val="auto"/>
              </w:rPr>
            </w:pPr>
            <w:r>
              <w:rPr>
                <w:rFonts w:ascii="Arial" w:cs="Arial" w:eastAsia="Arial" w:hAnsi="Arial"/>
                <w:sz w:val="16"/>
                <w:szCs w:val="16"/>
                <w:color w:val="auto"/>
              </w:rPr>
              <w:t>By: /s/ R. Dirk Allison</w:t>
            </w:r>
          </w:p>
        </w:tc>
      </w:tr>
      <w:tr>
        <w:trPr>
          <w:trHeight w:val="189"/>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20"/>
                <w:szCs w:val="20"/>
                <w:color w:val="auto"/>
              </w:rPr>
            </w:pPr>
            <w:r>
              <w:rPr>
                <w:rFonts w:ascii="Arial" w:cs="Arial" w:eastAsia="Arial" w:hAnsi="Arial"/>
                <w:sz w:val="16"/>
                <w:szCs w:val="16"/>
                <w:color w:val="auto"/>
              </w:rPr>
              <w:t>Date: November 2, 2021</w:t>
            </w:r>
          </w:p>
        </w:tc>
        <w:tc>
          <w:tcPr>
            <w:tcW w:w="7700" w:type="dxa"/>
            <w:vAlign w:val="bottom"/>
            <w:gridSpan w:val="2"/>
          </w:tcPr>
          <w:p>
            <w:pPr>
              <w:ind w:left="1940"/>
              <w:spacing w:after="0"/>
              <w:rPr>
                <w:sz w:val="20"/>
                <w:szCs w:val="20"/>
                <w:color w:val="auto"/>
              </w:rPr>
            </w:pPr>
            <w:r>
              <w:rPr>
                <w:rFonts w:ascii="Arial" w:cs="Arial" w:eastAsia="Arial" w:hAnsi="Arial"/>
                <w:sz w:val="16"/>
                <w:szCs w:val="16"/>
                <w:color w:val="auto"/>
              </w:rPr>
              <w:t>By: /s/ Brian Poff</w:t>
            </w:r>
          </w:p>
        </w:tc>
      </w:tr>
      <w:tr>
        <w:trPr>
          <w:trHeight w:val="189"/>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September 30, 2021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Date: November 2, 2021</w:t>
            </w:r>
          </w:p>
        </w:tc>
        <w:tc>
          <w:tcPr>
            <w:tcW w:w="7680" w:type="dxa"/>
            <w:vAlign w:val="bottom"/>
            <w:gridSpan w:val="2"/>
          </w:tcPr>
          <w:p>
            <w:pPr>
              <w:ind w:left="1960"/>
              <w:spacing w:after="0"/>
              <w:rPr>
                <w:sz w:val="20"/>
                <w:szCs w:val="20"/>
                <w:color w:val="auto"/>
              </w:rPr>
            </w:pPr>
            <w:r>
              <w:rPr>
                <w:rFonts w:ascii="Arial" w:cs="Arial" w:eastAsia="Arial" w:hAnsi="Arial"/>
                <w:sz w:val="16"/>
                <w:szCs w:val="16"/>
                <w:color w:val="auto"/>
              </w:rPr>
              <w:t>By:  /s/ R. Dirk Allison</w:t>
            </w:r>
          </w:p>
        </w:tc>
      </w:tr>
      <w:tr>
        <w:trPr>
          <w:trHeight w:val="233"/>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September 30, 2021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880" w:hanging="841"/>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Date: November 2, 2021</w:t>
            </w:r>
          </w:p>
        </w:tc>
        <w:tc>
          <w:tcPr>
            <w:tcW w:w="7680" w:type="dxa"/>
            <w:vAlign w:val="bottom"/>
            <w:gridSpan w:val="2"/>
          </w:tcPr>
          <w:p>
            <w:pPr>
              <w:ind w:left="1960"/>
              <w:spacing w:after="0"/>
              <w:rPr>
                <w:sz w:val="20"/>
                <w:szCs w:val="20"/>
                <w:color w:val="auto"/>
              </w:rPr>
            </w:pPr>
            <w:r>
              <w:rPr>
                <w:rFonts w:ascii="Arial" w:cs="Arial" w:eastAsia="Arial" w:hAnsi="Arial"/>
                <w:sz w:val="16"/>
                <w:szCs w:val="16"/>
                <w:color w:val="auto"/>
              </w:rPr>
              <w:t>By:   /s/ Brian Poff</w:t>
            </w: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43"/>
        </w:trPr>
        <w:tc>
          <w:tcPr>
            <w:tcW w:w="3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1" Type="http://schemas.openxmlformats.org/officeDocument/2006/relationships/hyperlink" Target="http://www.sec.gov/Archives/edgar/data/1468328/000119312509238641/dex31.htm" TargetMode="External"/><Relationship Id="rId62" Type="http://schemas.openxmlformats.org/officeDocument/2006/relationships/hyperlink" Target="http://www.sec.gov/Archives/edgar/data/1468328/000119312513211165/d535575dex32.htm" TargetMode="External"/><Relationship Id="rId63" Type="http://schemas.openxmlformats.org/officeDocument/2006/relationships/hyperlink" Target="http://www.sec.gov/Archives/edgar/data/1468328/000119312509202215/dex41.htm" TargetMode="External"/><Relationship Id="rId64" Type="http://schemas.openxmlformats.org/officeDocument/2006/relationships/hyperlink" Target="http://www.sec.gov/Archives/edgar/data/1468328/000119312521236284/d2134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2021-11-02T15:14:28Z</dcterms:created>
  <dcterms:modified xsi:type="dcterms:W3CDTF">2021-11-02T15:14:28Z</dcterms:modified>
</cp:coreProperties>
</file>