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55880</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75565</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71"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71" w:lineRule="exact"/>
        <w:rPr>
          <w:rFonts w:ascii="MS PGothic" w:cs="MS PGothic" w:eastAsia="MS PGothic" w:hAnsi="MS PGothic"/>
          <w:sz w:val="20"/>
          <w:szCs w:val="20"/>
          <w:color w:val="auto"/>
        </w:rPr>
      </w:pPr>
    </w:p>
    <w:p>
      <w:pPr>
        <w:ind w:left="3980"/>
        <w:spacing w:after="0"/>
        <w:rPr>
          <w:rFonts w:ascii="MS PGothic" w:cs="MS PGothic" w:eastAsia="MS PGothic" w:hAnsi="MS PGothic"/>
          <w:sz w:val="20"/>
          <w:szCs w:val="20"/>
          <w:color w:val="auto"/>
        </w:rPr>
      </w:pPr>
      <w:r>
        <w:rPr>
          <w:rFonts w:ascii="Arial" w:cs="Arial" w:eastAsia="Arial" w:hAnsi="Arial"/>
          <w:sz w:val="18"/>
          <w:szCs w:val="18"/>
          <w:b w:val="1"/>
          <w:bCs w:val="1"/>
          <w:color w:val="auto"/>
        </w:rPr>
        <w:t>For the quarterly period ended June 30, 2019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6"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72"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001-34504</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ADDUS HOMECARE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-294640</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68"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660" w:type="dxa"/>
            <w:vAlign w:val="bottom"/>
            <w:gridSpan w:val="2"/>
          </w:tcPr>
          <w:p>
            <w:pPr>
              <w:jc w:val="center"/>
              <w:ind w:left="1032"/>
              <w:spacing w:after="0"/>
              <w:rPr>
                <w:sz w:val="20"/>
                <w:szCs w:val="20"/>
                <w:color w:val="auto"/>
              </w:rPr>
            </w:pPr>
            <w:r>
              <w:rPr>
                <w:rFonts w:ascii="Arial" w:cs="Arial" w:eastAsia="Arial" w:hAnsi="Arial"/>
                <w:sz w:val="18"/>
                <w:szCs w:val="18"/>
                <w:b w:val="1"/>
                <w:bCs w:val="1"/>
                <w:color w:val="auto"/>
                <w:w w:val="93"/>
              </w:rPr>
              <w:t>Delaware</w:t>
            </w:r>
          </w:p>
        </w:tc>
        <w:tc>
          <w:tcPr>
            <w:tcW w:w="210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00" w:type="dxa"/>
            <w:vAlign w:val="bottom"/>
          </w:tcPr>
          <w:p>
            <w:pPr>
              <w:jc w:val="right"/>
              <w:ind w:right="2233"/>
              <w:spacing w:after="0"/>
              <w:rPr>
                <w:sz w:val="20"/>
                <w:szCs w:val="20"/>
                <w:color w:val="auto"/>
              </w:rPr>
            </w:pPr>
            <w:r>
              <w:rPr>
                <w:rFonts w:ascii="Arial" w:cs="Arial" w:eastAsia="Arial" w:hAnsi="Arial"/>
                <w:sz w:val="18"/>
                <w:szCs w:val="18"/>
                <w:b w:val="1"/>
                <w:bCs w:val="1"/>
                <w:color w:val="auto"/>
              </w:rPr>
              <w:t>20-5340172</w:t>
            </w:r>
          </w:p>
        </w:tc>
      </w:tr>
      <w:tr>
        <w:trPr>
          <w:trHeight w:val="216"/>
        </w:trPr>
        <w:tc>
          <w:tcPr>
            <w:tcW w:w="4660" w:type="dxa"/>
            <w:vAlign w:val="bottom"/>
            <w:gridSpan w:val="2"/>
          </w:tcPr>
          <w:p>
            <w:pPr>
              <w:jc w:val="center"/>
              <w:ind w:left="1032"/>
              <w:spacing w:after="0"/>
              <w:rPr>
                <w:sz w:val="20"/>
                <w:szCs w:val="20"/>
                <w:color w:val="auto"/>
              </w:rPr>
            </w:pPr>
            <w:r>
              <w:rPr>
                <w:rFonts w:ascii="Arial" w:cs="Arial" w:eastAsia="Arial" w:hAnsi="Arial"/>
                <w:sz w:val="18"/>
                <w:szCs w:val="18"/>
                <w:color w:val="auto"/>
                <w:w w:val="93"/>
              </w:rPr>
              <w:t>(State or other jurisdiction of</w:t>
            </w:r>
          </w:p>
        </w:tc>
        <w:tc>
          <w:tcPr>
            <w:tcW w:w="2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00" w:type="dxa"/>
            <w:vAlign w:val="bottom"/>
          </w:tcPr>
          <w:p>
            <w:pPr>
              <w:jc w:val="center"/>
              <w:ind w:right="1913"/>
              <w:spacing w:after="0"/>
              <w:rPr>
                <w:sz w:val="20"/>
                <w:szCs w:val="20"/>
                <w:color w:val="auto"/>
              </w:rPr>
            </w:pPr>
            <w:r>
              <w:rPr>
                <w:rFonts w:ascii="Arial" w:cs="Arial" w:eastAsia="Arial" w:hAnsi="Arial"/>
                <w:sz w:val="18"/>
                <w:szCs w:val="18"/>
                <w:color w:val="auto"/>
                <w:w w:val="92"/>
              </w:rPr>
              <w:t>(I.R.S. Employer</w:t>
            </w:r>
          </w:p>
        </w:tc>
      </w:tr>
      <w:tr>
        <w:trPr>
          <w:trHeight w:val="230"/>
        </w:trPr>
        <w:tc>
          <w:tcPr>
            <w:tcW w:w="4660" w:type="dxa"/>
            <w:vAlign w:val="bottom"/>
            <w:gridSpan w:val="2"/>
          </w:tcPr>
          <w:p>
            <w:pPr>
              <w:jc w:val="center"/>
              <w:ind w:left="1032"/>
              <w:spacing w:after="0"/>
              <w:rPr>
                <w:sz w:val="20"/>
                <w:szCs w:val="20"/>
                <w:color w:val="auto"/>
              </w:rPr>
            </w:pPr>
            <w:r>
              <w:rPr>
                <w:rFonts w:ascii="Arial" w:cs="Arial" w:eastAsia="Arial" w:hAnsi="Arial"/>
                <w:sz w:val="18"/>
                <w:szCs w:val="18"/>
                <w:color w:val="auto"/>
                <w:w w:val="93"/>
              </w:rPr>
              <w:t>incorporation or organization)</w:t>
            </w:r>
          </w:p>
        </w:tc>
        <w:tc>
          <w:tcPr>
            <w:tcW w:w="2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00" w:type="dxa"/>
            <w:vAlign w:val="bottom"/>
          </w:tcPr>
          <w:p>
            <w:pPr>
              <w:jc w:val="center"/>
              <w:ind w:right="1913"/>
              <w:spacing w:after="0"/>
              <w:rPr>
                <w:sz w:val="20"/>
                <w:szCs w:val="20"/>
                <w:color w:val="auto"/>
              </w:rPr>
            </w:pPr>
            <w:r>
              <w:rPr>
                <w:rFonts w:ascii="Arial" w:cs="Arial" w:eastAsia="Arial" w:hAnsi="Arial"/>
                <w:sz w:val="18"/>
                <w:szCs w:val="18"/>
                <w:color w:val="auto"/>
                <w:w w:val="95"/>
              </w:rPr>
              <w:t>Identification No.)</w:t>
            </w:r>
          </w:p>
        </w:tc>
      </w:tr>
      <w:tr>
        <w:trPr>
          <w:trHeight w:val="387"/>
        </w:trPr>
        <w:tc>
          <w:tcPr>
            <w:tcW w:w="4660" w:type="dxa"/>
            <w:vAlign w:val="bottom"/>
            <w:gridSpan w:val="2"/>
          </w:tcPr>
          <w:p>
            <w:pPr>
              <w:jc w:val="center"/>
              <w:ind w:left="1032"/>
              <w:spacing w:after="0"/>
              <w:rPr>
                <w:sz w:val="20"/>
                <w:szCs w:val="20"/>
                <w:color w:val="auto"/>
              </w:rPr>
            </w:pPr>
            <w:r>
              <w:rPr>
                <w:rFonts w:ascii="Arial" w:cs="Arial" w:eastAsia="Arial" w:hAnsi="Arial"/>
                <w:sz w:val="18"/>
                <w:szCs w:val="18"/>
                <w:b w:val="1"/>
                <w:bCs w:val="1"/>
                <w:color w:val="auto"/>
                <w:w w:val="90"/>
              </w:rPr>
              <w:t>6801 Gaylord Parkway, Suite 110</w:t>
            </w:r>
          </w:p>
        </w:tc>
        <w:tc>
          <w:tcPr>
            <w:tcW w:w="2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20"/>
        </w:trPr>
        <w:tc>
          <w:tcPr>
            <w:tcW w:w="4660" w:type="dxa"/>
            <w:vAlign w:val="bottom"/>
            <w:gridSpan w:val="2"/>
          </w:tcPr>
          <w:p>
            <w:pPr>
              <w:jc w:val="center"/>
              <w:ind w:left="1032"/>
              <w:spacing w:after="0"/>
              <w:rPr>
                <w:sz w:val="20"/>
                <w:szCs w:val="20"/>
                <w:color w:val="auto"/>
              </w:rPr>
            </w:pPr>
            <w:r>
              <w:rPr>
                <w:rFonts w:ascii="Arial" w:cs="Arial" w:eastAsia="Arial" w:hAnsi="Arial"/>
                <w:sz w:val="18"/>
                <w:szCs w:val="18"/>
                <w:b w:val="1"/>
                <w:bCs w:val="1"/>
                <w:color w:val="auto"/>
                <w:w w:val="94"/>
              </w:rPr>
              <w:t>Frisco, TX</w:t>
            </w:r>
          </w:p>
        </w:tc>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00" w:type="dxa"/>
            <w:vAlign w:val="bottom"/>
          </w:tcPr>
          <w:p>
            <w:pPr>
              <w:jc w:val="right"/>
              <w:ind w:right="2433"/>
              <w:spacing w:after="0"/>
              <w:rPr>
                <w:sz w:val="20"/>
                <w:szCs w:val="20"/>
                <w:color w:val="auto"/>
              </w:rPr>
            </w:pPr>
            <w:r>
              <w:rPr>
                <w:rFonts w:ascii="Arial" w:cs="Arial" w:eastAsia="Arial" w:hAnsi="Arial"/>
                <w:sz w:val="18"/>
                <w:szCs w:val="18"/>
                <w:b w:val="1"/>
                <w:bCs w:val="1"/>
                <w:color w:val="auto"/>
              </w:rPr>
              <w:t>75034</w:t>
            </w:r>
          </w:p>
        </w:tc>
      </w:tr>
      <w:tr>
        <w:trPr>
          <w:trHeight w:val="230"/>
        </w:trPr>
        <w:tc>
          <w:tcPr>
            <w:tcW w:w="4660" w:type="dxa"/>
            <w:vAlign w:val="bottom"/>
            <w:gridSpan w:val="2"/>
          </w:tcPr>
          <w:p>
            <w:pPr>
              <w:jc w:val="center"/>
              <w:ind w:left="1032"/>
              <w:spacing w:after="0"/>
              <w:rPr>
                <w:sz w:val="20"/>
                <w:szCs w:val="20"/>
                <w:color w:val="auto"/>
              </w:rPr>
            </w:pPr>
            <w:r>
              <w:rPr>
                <w:rFonts w:ascii="Arial" w:cs="Arial" w:eastAsia="Arial" w:hAnsi="Arial"/>
                <w:sz w:val="18"/>
                <w:szCs w:val="18"/>
                <w:color w:val="auto"/>
                <w:w w:val="92"/>
              </w:rPr>
              <w:t>(Address of principal executive offices)</w:t>
            </w:r>
          </w:p>
        </w:tc>
        <w:tc>
          <w:tcPr>
            <w:tcW w:w="2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00" w:type="dxa"/>
            <w:vAlign w:val="bottom"/>
          </w:tcPr>
          <w:p>
            <w:pPr>
              <w:jc w:val="center"/>
              <w:ind w:right="1933"/>
              <w:spacing w:after="0"/>
              <w:rPr>
                <w:sz w:val="20"/>
                <w:szCs w:val="20"/>
                <w:color w:val="auto"/>
              </w:rPr>
            </w:pPr>
            <w:r>
              <w:rPr>
                <w:rFonts w:ascii="Arial" w:cs="Arial" w:eastAsia="Arial" w:hAnsi="Arial"/>
                <w:sz w:val="18"/>
                <w:szCs w:val="18"/>
                <w:color w:val="auto"/>
                <w:w w:val="93"/>
              </w:rPr>
              <w:t>(Zip code)</w:t>
            </w:r>
          </w:p>
        </w:tc>
      </w:tr>
      <w:tr>
        <w:trPr>
          <w:trHeight w:val="310"/>
        </w:trPr>
        <w:tc>
          <w:tcPr>
            <w:tcW w:w="3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00" w:type="dxa"/>
            <w:vAlign w:val="bottom"/>
          </w:tcPr>
          <w:p>
            <w:pPr>
              <w:jc w:val="right"/>
              <w:ind w:right="396"/>
              <w:spacing w:after="0"/>
              <w:rPr>
                <w:sz w:val="20"/>
                <w:szCs w:val="20"/>
                <w:color w:val="auto"/>
              </w:rPr>
            </w:pPr>
            <w:r>
              <w:rPr>
                <w:rFonts w:ascii="Arial" w:cs="Arial" w:eastAsia="Arial" w:hAnsi="Arial"/>
                <w:sz w:val="18"/>
                <w:szCs w:val="18"/>
                <w:b w:val="1"/>
                <w:bCs w:val="1"/>
                <w:color w:val="auto"/>
              </w:rPr>
              <w:t>(469) 535-8200</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30"/>
        </w:trPr>
        <w:tc>
          <w:tcPr>
            <w:tcW w:w="3800" w:type="dxa"/>
            <w:vAlign w:val="bottom"/>
          </w:tcPr>
          <w:p>
            <w:pPr>
              <w:spacing w:after="0"/>
              <w:rPr>
                <w:sz w:val="20"/>
                <w:szCs w:val="20"/>
                <w:color w:val="auto"/>
              </w:rPr>
            </w:pPr>
          </w:p>
        </w:tc>
        <w:tc>
          <w:tcPr>
            <w:tcW w:w="4120" w:type="dxa"/>
            <w:vAlign w:val="bottom"/>
            <w:gridSpan w:val="4"/>
          </w:tcPr>
          <w:p>
            <w:pPr>
              <w:ind w:left="260"/>
              <w:spacing w:after="0"/>
              <w:rPr>
                <w:sz w:val="20"/>
                <w:szCs w:val="20"/>
                <w:color w:val="auto"/>
              </w:rPr>
            </w:pPr>
            <w:r>
              <w:rPr>
                <w:rFonts w:ascii="Arial" w:cs="Arial" w:eastAsia="Arial" w:hAnsi="Arial"/>
                <w:sz w:val="18"/>
                <w:szCs w:val="18"/>
                <w:color w:val="auto"/>
                <w:w w:val="90"/>
              </w:rPr>
              <w:t>(Registrant’s telephone number, including area code)</w:t>
            </w:r>
          </w:p>
        </w:tc>
        <w:tc>
          <w:tcPr>
            <w:tcW w:w="3500" w:type="dxa"/>
            <w:vAlign w:val="bottom"/>
          </w:tcPr>
          <w:p>
            <w:pPr>
              <w:spacing w:after="0"/>
              <w:rPr>
                <w:sz w:val="20"/>
                <w:szCs w:val="20"/>
                <w:color w:val="auto"/>
              </w:rPr>
            </w:pPr>
          </w:p>
        </w:tc>
      </w:tr>
      <w:tr>
        <w:trPr>
          <w:trHeight w:val="324"/>
        </w:trPr>
        <w:tc>
          <w:tcPr>
            <w:tcW w:w="7920" w:type="dxa"/>
            <w:vAlign w:val="bottom"/>
            <w:gridSpan w:val="5"/>
          </w:tcPr>
          <w:p>
            <w:pPr>
              <w:ind w:left="3640"/>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3500" w:type="dxa"/>
            <w:vAlign w:val="bottom"/>
          </w:tcPr>
          <w:p>
            <w:pPr>
              <w:spacing w:after="0"/>
              <w:rPr>
                <w:sz w:val="24"/>
                <w:szCs w:val="24"/>
                <w:color w:val="auto"/>
              </w:rPr>
            </w:pPr>
          </w:p>
        </w:tc>
      </w:tr>
      <w:tr>
        <w:trPr>
          <w:trHeight w:val="122"/>
        </w:trPr>
        <w:tc>
          <w:tcPr>
            <w:tcW w:w="38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gridSpan w:val="2"/>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500" w:type="dxa"/>
            <w:vAlign w:val="bottom"/>
            <w:tcBorders>
              <w:bottom w:val="single" w:sz="8" w:color="auto"/>
            </w:tcBorders>
          </w:tcPr>
          <w:p>
            <w:pPr>
              <w:spacing w:after="0"/>
              <w:rPr>
                <w:sz w:val="10"/>
                <w:szCs w:val="10"/>
                <w:color w:val="auto"/>
              </w:rPr>
            </w:pPr>
          </w:p>
        </w:tc>
      </w:tr>
      <w:tr>
        <w:trPr>
          <w:trHeight w:val="200"/>
        </w:trPr>
        <w:tc>
          <w:tcPr>
            <w:tcW w:w="3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860" w:type="dxa"/>
            <w:vAlign w:val="bottom"/>
          </w:tcPr>
          <w:p>
            <w:pPr>
              <w:spacing w:after="0"/>
              <w:rPr>
                <w:sz w:val="17"/>
                <w:szCs w:val="17"/>
                <w:color w:val="auto"/>
              </w:rPr>
            </w:pPr>
          </w:p>
        </w:tc>
        <w:tc>
          <w:tcPr>
            <w:tcW w:w="2900" w:type="dxa"/>
            <w:vAlign w:val="bottom"/>
            <w:tcBorders>
              <w:right w:val="single" w:sz="8" w:color="auto"/>
            </w:tcBorders>
            <w:gridSpan w:val="2"/>
          </w:tcPr>
          <w:p>
            <w:pPr>
              <w:jc w:val="right"/>
              <w:ind w:right="1280"/>
              <w:spacing w:after="0"/>
              <w:rPr>
                <w:sz w:val="20"/>
                <w:szCs w:val="20"/>
                <w:color w:val="auto"/>
              </w:rPr>
            </w:pPr>
            <w:r>
              <w:rPr>
                <w:rFonts w:ascii="Arial" w:cs="Arial" w:eastAsia="Arial" w:hAnsi="Arial"/>
                <w:sz w:val="16"/>
                <w:szCs w:val="16"/>
                <w:color w:val="auto"/>
              </w:rPr>
              <w:t>Trading Symbol(s)</w:t>
            </w:r>
          </w:p>
        </w:tc>
        <w:tc>
          <w:tcPr>
            <w:tcW w:w="360" w:type="dxa"/>
            <w:vAlign w:val="bottom"/>
          </w:tcPr>
          <w:p>
            <w:pPr>
              <w:spacing w:after="0"/>
              <w:rPr>
                <w:sz w:val="17"/>
                <w:szCs w:val="17"/>
                <w:color w:val="auto"/>
              </w:rPr>
            </w:pPr>
          </w:p>
        </w:tc>
        <w:tc>
          <w:tcPr>
            <w:tcW w:w="3500" w:type="dxa"/>
            <w:vAlign w:val="bottom"/>
            <w:tcBorders>
              <w:right w:val="single" w:sz="8" w:color="auto"/>
            </w:tcBorders>
          </w:tcPr>
          <w:p>
            <w:pPr>
              <w:jc w:val="center"/>
              <w:ind w:right="293"/>
              <w:spacing w:after="0"/>
              <w:rPr>
                <w:sz w:val="20"/>
                <w:szCs w:val="20"/>
                <w:color w:val="auto"/>
              </w:rPr>
            </w:pPr>
            <w:r>
              <w:rPr>
                <w:rFonts w:ascii="Arial" w:cs="Arial" w:eastAsia="Arial" w:hAnsi="Arial"/>
                <w:sz w:val="16"/>
                <w:szCs w:val="16"/>
                <w:color w:val="auto"/>
                <w:w w:val="90"/>
              </w:rPr>
              <w:t>Name of each exchange on which registered</w:t>
            </w:r>
          </w:p>
        </w:tc>
      </w:tr>
      <w:tr>
        <w:trPr>
          <w:trHeight w:val="37"/>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900" w:type="dxa"/>
            <w:vAlign w:val="bottom"/>
            <w:tcBorders>
              <w:bottom w:val="single" w:sz="8" w:color="auto"/>
              <w:right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500" w:type="dxa"/>
            <w:vAlign w:val="bottom"/>
            <w:tcBorders>
              <w:bottom w:val="single" w:sz="8" w:color="auto"/>
              <w:right w:val="single" w:sz="8" w:color="auto"/>
            </w:tcBorders>
          </w:tcPr>
          <w:p>
            <w:pPr>
              <w:spacing w:after="0"/>
              <w:rPr>
                <w:sz w:val="3"/>
                <w:szCs w:val="3"/>
                <w:color w:val="auto"/>
              </w:rPr>
            </w:pPr>
          </w:p>
        </w:tc>
      </w:tr>
      <w:tr>
        <w:trPr>
          <w:trHeight w:val="231"/>
        </w:trPr>
        <w:tc>
          <w:tcPr>
            <w:tcW w:w="3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$0.001 par value</w:t>
            </w:r>
          </w:p>
        </w:tc>
        <w:tc>
          <w:tcPr>
            <w:tcW w:w="860" w:type="dxa"/>
            <w:vAlign w:val="bottom"/>
          </w:tcPr>
          <w:p>
            <w:pPr>
              <w:spacing w:after="0"/>
              <w:rPr>
                <w:sz w:val="20"/>
                <w:szCs w:val="20"/>
                <w:color w:val="auto"/>
              </w:rPr>
            </w:pPr>
          </w:p>
        </w:tc>
        <w:tc>
          <w:tcPr>
            <w:tcW w:w="2900" w:type="dxa"/>
            <w:vAlign w:val="bottom"/>
            <w:tcBorders>
              <w:right w:val="single" w:sz="8" w:color="auto"/>
            </w:tcBorders>
            <w:gridSpan w:val="2"/>
          </w:tcPr>
          <w:p>
            <w:pPr>
              <w:ind w:left="780"/>
              <w:spacing w:after="0"/>
              <w:rPr>
                <w:sz w:val="20"/>
                <w:szCs w:val="20"/>
                <w:color w:val="auto"/>
              </w:rPr>
            </w:pPr>
            <w:r>
              <w:rPr>
                <w:rFonts w:ascii="Arial" w:cs="Arial" w:eastAsia="Arial" w:hAnsi="Arial"/>
                <w:sz w:val="16"/>
                <w:szCs w:val="16"/>
                <w:color w:val="auto"/>
              </w:rPr>
              <w:t>ADUS</w:t>
            </w:r>
          </w:p>
        </w:tc>
        <w:tc>
          <w:tcPr>
            <w:tcW w:w="360" w:type="dxa"/>
            <w:vAlign w:val="bottom"/>
          </w:tcPr>
          <w:p>
            <w:pPr>
              <w:spacing w:after="0"/>
              <w:rPr>
                <w:sz w:val="20"/>
                <w:szCs w:val="20"/>
                <w:color w:val="auto"/>
              </w:rPr>
            </w:pPr>
          </w:p>
        </w:tc>
        <w:tc>
          <w:tcPr>
            <w:tcW w:w="3500" w:type="dxa"/>
            <w:vAlign w:val="bottom"/>
            <w:tcBorders>
              <w:right w:val="single" w:sz="8" w:color="auto"/>
            </w:tcBorders>
          </w:tcPr>
          <w:p>
            <w:pPr>
              <w:jc w:val="center"/>
              <w:ind w:right="293"/>
              <w:spacing w:after="0"/>
              <w:rPr>
                <w:sz w:val="20"/>
                <w:szCs w:val="20"/>
                <w:color w:val="auto"/>
              </w:rPr>
            </w:pPr>
            <w:r>
              <w:rPr>
                <w:rFonts w:ascii="Arial" w:cs="Arial" w:eastAsia="Arial" w:hAnsi="Arial"/>
                <w:sz w:val="16"/>
                <w:szCs w:val="16"/>
                <w:color w:val="auto"/>
                <w:w w:val="92"/>
              </w:rPr>
              <w:t>The Nasdaq Global Market</w:t>
            </w:r>
          </w:p>
        </w:tc>
      </w:tr>
      <w:tr>
        <w:trPr>
          <w:trHeight w:val="114"/>
        </w:trPr>
        <w:tc>
          <w:tcPr>
            <w:tcW w:w="3800" w:type="dxa"/>
            <w:vAlign w:val="bottom"/>
            <w:tcBorders>
              <w:left w:val="single" w:sz="8" w:color="auto"/>
              <w:bottom w:val="single" w:sz="8" w:color="auto"/>
              <w:right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500" w:type="dxa"/>
            <w:vAlign w:val="bottom"/>
            <w:tcBorders>
              <w:bottom w:val="single" w:sz="8" w:color="auto"/>
              <w:right w:val="single" w:sz="8" w:color="auto"/>
            </w:tcBorders>
          </w:tcPr>
          <w:p>
            <w:pPr>
              <w:spacing w:after="0"/>
              <w:rPr>
                <w:sz w:val="9"/>
                <w:szCs w:val="9"/>
                <w:color w:val="auto"/>
              </w:rPr>
            </w:pPr>
          </w:p>
        </w:tc>
      </w:tr>
    </w:tbl>
    <w:p>
      <w:pPr>
        <w:spacing w:after="0" w:line="215" w:lineRule="exact"/>
        <w:rPr>
          <w:sz w:val="24"/>
          <w:szCs w:val="24"/>
          <w:color w:val="auto"/>
        </w:rPr>
      </w:pPr>
    </w:p>
    <w:p>
      <w:pPr>
        <w:ind w:right="240" w:firstLine="48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6" w:lineRule="exact"/>
        <w:rPr>
          <w:sz w:val="24"/>
          <w:szCs w:val="24"/>
          <w:color w:val="auto"/>
        </w:rPr>
      </w:pPr>
    </w:p>
    <w:p>
      <w:pPr>
        <w:ind w:right="60" w:firstLine="484"/>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80" w:val="left"/>
          <w:tab w:leader="none" w:pos="122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08" w:lineRule="exact"/>
        <w:rPr>
          <w:sz w:val="24"/>
          <w:szCs w:val="24"/>
          <w:color w:val="auto"/>
        </w:rPr>
      </w:pPr>
    </w:p>
    <w:p>
      <w:pPr>
        <w:jc w:val="both"/>
        <w:ind w:firstLine="48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8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040"/>
              <w:spacing w:after="0"/>
              <w:rPr>
                <w:sz w:val="20"/>
                <w:szCs w:val="20"/>
                <w:color w:val="auto"/>
              </w:rPr>
            </w:pPr>
            <w:r>
              <w:rPr>
                <w:rFonts w:ascii="Arial" w:cs="Arial" w:eastAsia="Arial" w:hAnsi="Arial"/>
                <w:sz w:val="16"/>
                <w:szCs w:val="16"/>
                <w:color w:val="auto"/>
              </w:rPr>
              <w:t>Accelerated filer</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1940" w:type="dxa"/>
            <w:vAlign w:val="bottom"/>
          </w:tcPr>
          <w:p>
            <w:pPr>
              <w:spacing w:after="0"/>
              <w:rPr>
                <w:sz w:val="20"/>
                <w:szCs w:val="20"/>
                <w:color w:val="auto"/>
              </w:rPr>
            </w:pPr>
            <w:r>
              <w:rPr>
                <w:rFonts w:ascii="Arial" w:cs="Arial" w:eastAsia="Arial" w:hAnsi="Arial"/>
                <w:sz w:val="16"/>
                <w:szCs w:val="16"/>
                <w:color w:val="auto"/>
              </w:rPr>
              <w:t>Non-accelerated filer</w:t>
            </w:r>
          </w:p>
        </w:tc>
        <w:tc>
          <w:tcPr>
            <w:tcW w:w="368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040"/>
              <w:spacing w:after="0"/>
              <w:rPr>
                <w:sz w:val="20"/>
                <w:szCs w:val="20"/>
                <w:color w:val="auto"/>
              </w:rPr>
            </w:pPr>
            <w:r>
              <w:rPr>
                <w:rFonts w:ascii="Arial" w:cs="Arial" w:eastAsia="Arial" w:hAnsi="Arial"/>
                <w:sz w:val="16"/>
                <w:szCs w:val="16"/>
                <w:color w:val="auto"/>
              </w:rPr>
              <w:t>Smaller reporting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19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220" w:type="dxa"/>
            <w:vAlign w:val="bottom"/>
          </w:tcPr>
          <w:p>
            <w:pPr>
              <w:ind w:left="3040"/>
              <w:spacing w:after="0"/>
              <w:rPr>
                <w:sz w:val="20"/>
                <w:szCs w:val="20"/>
                <w:color w:val="auto"/>
              </w:rPr>
            </w:pPr>
            <w:r>
              <w:rPr>
                <w:rFonts w:ascii="Arial" w:cs="Arial" w:eastAsia="Arial" w:hAnsi="Arial"/>
                <w:sz w:val="16"/>
                <w:szCs w:val="16"/>
                <w:color w:val="auto"/>
              </w:rPr>
              <w:t>Emerging growth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76" w:lineRule="exact"/>
        <w:rPr>
          <w:sz w:val="24"/>
          <w:szCs w:val="24"/>
          <w:color w:val="auto"/>
        </w:rPr>
      </w:pPr>
    </w:p>
    <w:p>
      <w:pPr>
        <w:ind w:right="200" w:firstLine="48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00"/>
        <w:spacing w:after="0" w:line="207" w:lineRule="exact"/>
        <w:tabs>
          <w:tab w:leader="none" w:pos="8820" w:val="left"/>
          <w:tab w:leader="none" w:pos="94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2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As of July 31, 2019, Addus HomeCare Corporation had 13,218,613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490855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0" w:type="dxa"/>
            <w:vAlign w:val="bottom"/>
            <w:gridSpan w:val="9"/>
          </w:tcPr>
          <w:p>
            <w:pPr>
              <w:jc w:val="center"/>
              <w:ind w:right="2500"/>
              <w:spacing w:after="0"/>
              <w:rPr>
                <w:sz w:val="20"/>
                <w:szCs w:val="20"/>
                <w:color w:val="auto"/>
              </w:rPr>
            </w:pPr>
            <w:r>
              <w:rPr>
                <w:rFonts w:ascii="Arial" w:cs="Arial" w:eastAsia="Arial" w:hAnsi="Arial"/>
                <w:sz w:val="18"/>
                <w:szCs w:val="18"/>
                <w:b w:val="1"/>
                <w:bCs w:val="1"/>
                <w:color w:val="auto"/>
                <w:w w:val="99"/>
              </w:rPr>
              <w:t>ADDUS HOMECARE CORPORATION</w:t>
            </w:r>
          </w:p>
        </w:tc>
        <w:tc>
          <w:tcPr>
            <w:tcW w:w="980" w:type="dxa"/>
            <w:vAlign w:val="bottom"/>
          </w:tcPr>
          <w:p>
            <w:pPr>
              <w:spacing w:after="0"/>
              <w:rPr>
                <w:sz w:val="20"/>
                <w:szCs w:val="20"/>
                <w:color w:val="auto"/>
              </w:rPr>
            </w:pPr>
          </w:p>
        </w:tc>
      </w:tr>
      <w:tr>
        <w:trPr>
          <w:trHeight w:val="360"/>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40" w:type="dxa"/>
            <w:vAlign w:val="bottom"/>
            <w:gridSpan w:val="8"/>
          </w:tcPr>
          <w:p>
            <w:pPr>
              <w:jc w:val="center"/>
              <w:ind w:right="3860"/>
              <w:spacing w:after="0"/>
              <w:rPr>
                <w:sz w:val="20"/>
                <w:szCs w:val="20"/>
                <w:color w:val="auto"/>
              </w:rPr>
            </w:pPr>
            <w:r>
              <w:rPr>
                <w:rFonts w:ascii="Arial" w:cs="Arial" w:eastAsia="Arial" w:hAnsi="Arial"/>
                <w:sz w:val="18"/>
                <w:szCs w:val="18"/>
                <w:b w:val="1"/>
                <w:bCs w:val="1"/>
                <w:color w:val="auto"/>
                <w:w w:val="99"/>
              </w:rPr>
              <w:t>FORM 10-Q</w:t>
            </w:r>
          </w:p>
        </w:tc>
        <w:tc>
          <w:tcPr>
            <w:tcW w:w="980" w:type="dxa"/>
            <w:vAlign w:val="bottom"/>
          </w:tcPr>
          <w:p>
            <w:pPr>
              <w:spacing w:after="0"/>
              <w:rPr>
                <w:sz w:val="24"/>
                <w:szCs w:val="24"/>
                <w:color w:val="auto"/>
              </w:rPr>
            </w:pPr>
          </w:p>
        </w:tc>
      </w:tr>
      <w:tr>
        <w:trPr>
          <w:trHeight w:val="37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gridSpan w:val="6"/>
          </w:tcPr>
          <w:p>
            <w:pPr>
              <w:jc w:val="center"/>
              <w:ind w:right="4460"/>
              <w:spacing w:after="0"/>
              <w:rPr>
                <w:sz w:val="20"/>
                <w:szCs w:val="20"/>
                <w:color w:val="auto"/>
              </w:rPr>
            </w:pPr>
            <w:r>
              <w:rPr>
                <w:rFonts w:ascii="Arial" w:cs="Arial" w:eastAsia="Arial" w:hAnsi="Arial"/>
                <w:sz w:val="18"/>
                <w:szCs w:val="18"/>
                <w:b w:val="1"/>
                <w:bCs w:val="1"/>
                <w:color w:val="auto"/>
              </w:rPr>
              <w:t>INDEX</w:t>
            </w:r>
          </w:p>
        </w:tc>
        <w:tc>
          <w:tcPr>
            <w:tcW w:w="980" w:type="dxa"/>
            <w:vAlign w:val="bottom"/>
          </w:tcPr>
          <w:p>
            <w:pPr>
              <w:spacing w:after="0"/>
              <w:rPr>
                <w:sz w:val="24"/>
                <w:szCs w:val="24"/>
                <w:color w:val="auto"/>
              </w:rPr>
            </w:pPr>
          </w:p>
        </w:tc>
      </w:tr>
      <w:tr>
        <w:trPr>
          <w:trHeight w:val="378"/>
        </w:trPr>
        <w:tc>
          <w:tcPr>
            <w:tcW w:w="180" w:type="dxa"/>
            <w:vAlign w:val="bottom"/>
          </w:tcPr>
          <w:p>
            <w:pPr>
              <w:spacing w:after="0"/>
              <w:rPr>
                <w:sz w:val="24"/>
                <w:szCs w:val="24"/>
                <w:color w:val="auto"/>
              </w:rPr>
            </w:pPr>
          </w:p>
        </w:tc>
        <w:tc>
          <w:tcPr>
            <w:tcW w:w="1028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9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14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2019 and December 31, 2018</w:t>
              </w:r>
            </w:hyperlink>
          </w:p>
        </w:tc>
        <w:tc>
          <w:tcPr>
            <w:tcW w:w="3500" w:type="dxa"/>
            <w:vAlign w:val="bottom"/>
            <w:gridSpan w:val="5"/>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4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For the Three and Six Months Ended June 30, 2019 and 2018</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40" w:type="dxa"/>
            <w:vAlign w:val="bottom"/>
            <w:gridSpan w:val="18"/>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Condensed Consolidated Statements of Stockholders’ Equity For the Three and Six Months Ended June 30, 2019 and 2018</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2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Six Months Ended June 30, 2019 and 2018</w:t>
              </w:r>
            </w:hyperlink>
          </w:p>
        </w:tc>
        <w:tc>
          <w:tcPr>
            <w:tcW w:w="1440" w:type="dxa"/>
            <w:vAlign w:val="bottom"/>
            <w:tcBorders>
              <w:top w:val="single" w:sz="8" w:color="0000EE"/>
            </w:tcBorders>
            <w:gridSpan w:val="2"/>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5640" w:type="dxa"/>
            <w:vAlign w:val="bottom"/>
            <w:gridSpan w:val="8"/>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960" w:type="dxa"/>
            <w:vAlign w:val="bottom"/>
            <w:gridSpan w:val="2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2. Management’s Discussion and Analysis of Financial Condition and Results of Operations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960" w:type="dxa"/>
            <w:vAlign w:val="bottom"/>
            <w:gridSpan w:val="4"/>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Item 4. Controls and Procedures</w:t>
              </w:r>
            </w:hyperlink>
          </w:p>
        </w:tc>
        <w:tc>
          <w:tcPr>
            <w:tcW w:w="7640" w:type="dxa"/>
            <w:vAlign w:val="bottom"/>
            <w:gridSpan w:val="12"/>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8"/>
        </w:trPr>
        <w:tc>
          <w:tcPr>
            <w:tcW w:w="180" w:type="dxa"/>
            <w:vAlign w:val="bottom"/>
          </w:tcPr>
          <w:p>
            <w:pPr>
              <w:spacing w:after="0"/>
              <w:rPr>
                <w:sz w:val="24"/>
                <w:szCs w:val="24"/>
                <w:color w:val="auto"/>
              </w:rPr>
            </w:pPr>
          </w:p>
        </w:tc>
        <w:tc>
          <w:tcPr>
            <w:tcW w:w="256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32">
              <w:r>
                <w:rPr>
                  <w:rFonts w:ascii="Arial" w:cs="Arial" w:eastAsia="Arial" w:hAnsi="Arial"/>
                  <w:sz w:val="18"/>
                  <w:szCs w:val="18"/>
                  <w:color w:val="0000EE"/>
                  <w:w w:val="95"/>
                </w:rPr>
                <w:t>PART II. OTHER INFORMATION</w:t>
              </w:r>
            </w:hyperlink>
          </w:p>
        </w:tc>
        <w:tc>
          <w:tcPr>
            <w:tcW w:w="7720" w:type="dxa"/>
            <w:vAlign w:val="bottom"/>
            <w:gridSpan w:val="13"/>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96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 Legal Proceedings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Borders>
              <w:top w:val="single" w:sz="8" w:color="0000EE"/>
            </w:tcBorders>
            <w:gridSpan w:val="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1A. Risk Factors</w:t>
              </w:r>
            </w:hyperlink>
          </w:p>
        </w:tc>
        <w:tc>
          <w:tcPr>
            <w:tcW w:w="8080" w:type="dxa"/>
            <w:vAlign w:val="bottom"/>
            <w:gridSpan w:val="14"/>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Item 2. Unregistered Sales of Equity Securities and Use of Proceeds</w:t>
              </w:r>
            </w:hyperlink>
          </w:p>
        </w:tc>
        <w:tc>
          <w:tcPr>
            <w:tcW w:w="5060" w:type="dxa"/>
            <w:vAlign w:val="bottom"/>
            <w:gridSpan w:val="7"/>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8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3. Defaults Upon Senior Securities</w:t>
              </w:r>
            </w:hyperlink>
          </w:p>
        </w:tc>
        <w:tc>
          <w:tcPr>
            <w:tcW w:w="7080" w:type="dxa"/>
            <w:vAlign w:val="bottom"/>
            <w:gridSpan w:val="10"/>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4. Mine Safety Disclosures</w:t>
              </w:r>
            </w:hyperlink>
          </w:p>
        </w:tc>
        <w:tc>
          <w:tcPr>
            <w:tcW w:w="7640" w:type="dxa"/>
            <w:vAlign w:val="bottom"/>
            <w:gridSpan w:val="12"/>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96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5. Other Information</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Borders>
              <w:top w:val="single" w:sz="8" w:color="0000EE"/>
            </w:tcBorders>
            <w:gridSpan w:val="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6. Exhibits</w:t>
              </w:r>
            </w:hyperlink>
          </w:p>
        </w:tc>
        <w:tc>
          <w:tcPr>
            <w:tcW w:w="8100" w:type="dxa"/>
            <w:vAlign w:val="bottom"/>
            <w:gridSpan w:val="15"/>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601"/>
        </w:trPr>
        <w:tc>
          <w:tcPr>
            <w:tcW w:w="520" w:type="dxa"/>
            <w:vAlign w:val="bottom"/>
            <w:gridSpan w:val="3"/>
          </w:tcPr>
          <w:p>
            <w:pPr>
              <w:spacing w:after="0"/>
              <w:rPr>
                <w:sz w:val="24"/>
                <w:szCs w:val="24"/>
                <w:color w:val="auto"/>
              </w:rPr>
            </w:pPr>
          </w:p>
        </w:tc>
        <w:tc>
          <w:tcPr>
            <w:tcW w:w="1120" w:type="dxa"/>
            <w:vAlign w:val="bottom"/>
            <w:tcBorders>
              <w:top w:val="single" w:sz="8" w:color="0000EE"/>
            </w:tcBorders>
            <w:gridSpan w:val="2"/>
          </w:tcPr>
          <w:p>
            <w:pPr>
              <w:spacing w:after="0"/>
              <w:rPr>
                <w:sz w:val="24"/>
                <w:szCs w:val="24"/>
                <w:color w:val="auto"/>
              </w:rPr>
            </w:pPr>
          </w:p>
        </w:tc>
        <w:tc>
          <w:tcPr>
            <w:tcW w:w="5320" w:type="dxa"/>
            <w:vAlign w:val="bottom"/>
            <w:gridSpan w:val="12"/>
          </w:tcPr>
          <w:p>
            <w:pPr>
              <w:jc w:val="center"/>
              <w:ind w:left="2730"/>
              <w:spacing w:after="0"/>
              <w:rPr>
                <w:sz w:val="20"/>
                <w:szCs w:val="20"/>
                <w:color w:val="auto"/>
              </w:rPr>
            </w:pPr>
            <w:r>
              <w:rPr>
                <w:rFonts w:ascii="Arial" w:cs="Arial" w:eastAsia="Arial" w:hAnsi="Arial"/>
                <w:sz w:val="18"/>
                <w:szCs w:val="18"/>
                <w:color w:val="auto"/>
                <w:w w:val="99"/>
              </w:rPr>
              <w:t>2</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5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2019 and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704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Current assets</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11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54,792</w:t>
            </w:r>
          </w:p>
        </w:tc>
        <w:tc>
          <w:tcPr>
            <w:tcW w:w="2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70"/>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Accounts receivable, net of allowances</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132,764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current assets</w:t>
            </w:r>
          </w:p>
        </w:tc>
        <w:tc>
          <w:tcPr>
            <w:tcW w:w="8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196,704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Other assets</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145,812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Intangibles, net of accumulated amortization</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36,480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23,784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right of use assets, net</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18,260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assets</w:t>
            </w:r>
          </w:p>
        </w:tc>
        <w:tc>
          <w:tcPr>
            <w:tcW w:w="8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200,552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159,226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8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408,684</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355,388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13,230</w:t>
            </w:r>
          </w:p>
        </w:tc>
        <w:tc>
          <w:tcPr>
            <w:tcW w:w="280" w:type="dxa"/>
            <w:vAlign w:val="bottom"/>
          </w:tcPr>
          <w:p>
            <w:pPr>
              <w:spacing w:after="0"/>
              <w:rPr>
                <w:sz w:val="19"/>
                <w:szCs w:val="19"/>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12,238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payroll</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22,162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19,087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11,586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workers' compensation insurance</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long-term debt</w:t>
            </w:r>
          </w:p>
        </w:tc>
        <w:tc>
          <w:tcPr>
            <w:tcW w:w="8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8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69,324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Long-term liabilities</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debt, less current portion, net of debt issuance costs</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Long-term operating lease liabilities</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12,929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liabilities, net</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long-term liabilities</w:t>
            </w:r>
          </w:p>
        </w:tc>
        <w:tc>
          <w:tcPr>
            <w:tcW w:w="8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liabilities</w:t>
            </w:r>
          </w:p>
        </w:tc>
        <w:tc>
          <w:tcPr>
            <w:tcW w:w="8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8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119,343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79,855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40" w:type="dxa"/>
            <w:vAlign w:val="bottom"/>
          </w:tcPr>
          <w:p>
            <w:pPr>
              <w:ind w:left="260"/>
              <w:spacing w:after="0"/>
              <w:rPr>
                <w:sz w:val="20"/>
                <w:szCs w:val="20"/>
                <w:color w:val="auto"/>
              </w:rPr>
            </w:pPr>
            <w:r>
              <w:rPr>
                <w:rFonts w:ascii="Arial" w:cs="Arial" w:eastAsia="Arial" w:hAnsi="Arial"/>
                <w:sz w:val="18"/>
                <w:szCs w:val="18"/>
                <w:color w:val="auto"/>
              </w:rPr>
              <w:t>Common stock—$.001 par value; 40,000 authorized and 13,219 and 13,126 shares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380"/>
              <w:spacing w:after="0"/>
              <w:rPr>
                <w:sz w:val="20"/>
                <w:szCs w:val="20"/>
                <w:color w:val="auto"/>
              </w:rPr>
            </w:pPr>
            <w:r>
              <w:rPr>
                <w:rFonts w:ascii="Arial" w:cs="Arial" w:eastAsia="Arial" w:hAnsi="Arial"/>
                <w:sz w:val="18"/>
                <w:szCs w:val="18"/>
                <w:color w:val="auto"/>
              </w:rPr>
              <w:t>issued and outstanding as of June 30, 2019 and December 31, 2018, respectively</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0"/>
                <w:szCs w:val="20"/>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181,111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Retained earnings</w:t>
            </w:r>
          </w:p>
        </w:tc>
        <w:tc>
          <w:tcPr>
            <w:tcW w:w="8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108,217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97,837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8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289,341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275,533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8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408,684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355,388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20" w:type="dxa"/>
            <w:vAlign w:val="bottom"/>
            <w:gridSpan w:val="6"/>
          </w:tcPr>
          <w:p>
            <w:pPr>
              <w:ind w:left="360"/>
              <w:spacing w:after="0"/>
              <w:rPr>
                <w:sz w:val="20"/>
                <w:szCs w:val="20"/>
                <w:color w:val="auto"/>
              </w:rPr>
            </w:pPr>
            <w:r>
              <w:rPr>
                <w:rFonts w:ascii="Arial" w:cs="Arial" w:eastAsia="Arial" w:hAnsi="Arial"/>
                <w:sz w:val="16"/>
                <w:szCs w:val="16"/>
                <w:b w:val="1"/>
                <w:bCs w:val="1"/>
                <w:color w:val="auto"/>
              </w:rPr>
              <w:t>For the Three Months</w:t>
            </w:r>
          </w:p>
        </w:tc>
        <w:tc>
          <w:tcPr>
            <w:tcW w:w="280" w:type="dxa"/>
            <w:vAlign w:val="bottom"/>
          </w:tcPr>
          <w:p>
            <w:pPr>
              <w:spacing w:after="0"/>
              <w:rPr>
                <w:sz w:val="17"/>
                <w:szCs w:val="17"/>
                <w:color w:val="auto"/>
              </w:rPr>
            </w:pPr>
          </w:p>
        </w:tc>
        <w:tc>
          <w:tcPr>
            <w:tcW w:w="2700" w:type="dxa"/>
            <w:vAlign w:val="bottom"/>
            <w:gridSpan w:val="6"/>
          </w:tcPr>
          <w:p>
            <w:pPr>
              <w:ind w:left="480"/>
              <w:spacing w:after="0"/>
              <w:rPr>
                <w:sz w:val="20"/>
                <w:szCs w:val="20"/>
                <w:color w:val="auto"/>
              </w:rPr>
            </w:pPr>
            <w:r>
              <w:rPr>
                <w:rFonts w:ascii="Arial" w:cs="Arial" w:eastAsia="Arial" w:hAnsi="Arial"/>
                <w:sz w:val="16"/>
                <w:szCs w:val="16"/>
                <w:b w:val="1"/>
                <w:bCs w:val="1"/>
                <w:color w:val="auto"/>
              </w:rPr>
              <w:t>For the Six Months</w:t>
            </w:r>
          </w:p>
        </w:tc>
        <w:tc>
          <w:tcPr>
            <w:tcW w:w="0" w:type="dxa"/>
            <w:vAlign w:val="bottom"/>
          </w:tcPr>
          <w:p>
            <w:pPr>
              <w:spacing w:after="0"/>
              <w:rPr>
                <w:sz w:val="1"/>
                <w:szCs w:val="1"/>
                <w:color w:val="auto"/>
              </w:rPr>
            </w:pPr>
          </w:p>
        </w:tc>
      </w:tr>
      <w:tr>
        <w:trPr>
          <w:trHeight w:val="213"/>
        </w:trPr>
        <w:tc>
          <w:tcPr>
            <w:tcW w:w="4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Ended June 30,</w:t>
            </w:r>
          </w:p>
        </w:tc>
        <w:tc>
          <w:tcPr>
            <w:tcW w:w="8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Ended June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CFF0FC"/>
            </w:tcBorders>
          </w:tcPr>
          <w:p>
            <w:pPr>
              <w:spacing w:after="0"/>
              <w:rPr>
                <w:sz w:val="18"/>
                <w:szCs w:val="18"/>
                <w:color w:val="auto"/>
              </w:rPr>
            </w:pPr>
          </w:p>
        </w:tc>
        <w:tc>
          <w:tcPr>
            <w:tcW w:w="5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w w:val="95"/>
              </w:rPr>
              <w:t>2018</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149,692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131,258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288,946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240,734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5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109,222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95,515</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210,902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177,058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40,470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35,743</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78,044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26,495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59,479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48,032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2,335</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5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28,830</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64,088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5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6,913</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13,956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Interest income</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5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1,382</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interest expense (income), net</w:t>
            </w:r>
          </w:p>
        </w:tc>
        <w:tc>
          <w:tcPr>
            <w:tcW w:w="5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5,563</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5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5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5,518</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4,318</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10,380</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income per share</w:t>
            </w:r>
          </w:p>
        </w:tc>
        <w:tc>
          <w:tcPr>
            <w:tcW w:w="8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1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0.80</w:t>
            </w:r>
          </w:p>
        </w:tc>
        <w:tc>
          <w:tcPr>
            <w:tcW w:w="1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Diluted income per share</w:t>
            </w: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0.41</w:t>
            </w:r>
          </w:p>
        </w:tc>
        <w:tc>
          <w:tcPr>
            <w:tcW w:w="160" w:type="dxa"/>
            <w:vAlign w:val="bottom"/>
          </w:tcPr>
          <w:p>
            <w:pPr>
              <w:spacing w:after="0"/>
              <w:rPr>
                <w:sz w:val="19"/>
                <w:szCs w:val="19"/>
                <w:color w:val="auto"/>
              </w:rPr>
            </w:pP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0.36</w:t>
            </w:r>
          </w:p>
        </w:tc>
        <w:tc>
          <w:tcPr>
            <w:tcW w:w="26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0.77</w:t>
            </w:r>
          </w:p>
        </w:tc>
        <w:tc>
          <w:tcPr>
            <w:tcW w:w="160" w:type="dxa"/>
            <w:vAlign w:val="bottom"/>
          </w:tcPr>
          <w:p>
            <w:pPr>
              <w:spacing w:after="0"/>
              <w:rPr>
                <w:sz w:val="19"/>
                <w:szCs w:val="19"/>
                <w:color w:val="auto"/>
              </w:rPr>
            </w:pPr>
          </w:p>
        </w:tc>
        <w:tc>
          <w:tcPr>
            <w:tcW w:w="5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 and potential</w:t>
            </w: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shares outstanding:</w:t>
            </w: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Basic</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11,533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80" w:type="dxa"/>
            <w:vAlign w:val="bottom"/>
            <w:gridSpan w:val="8"/>
          </w:tcPr>
          <w:p>
            <w:pPr>
              <w:jc w:val="center"/>
              <w:ind w:right="740"/>
              <w:spacing w:after="0"/>
              <w:rPr>
                <w:sz w:val="20"/>
                <w:szCs w:val="20"/>
                <w:color w:val="auto"/>
              </w:rPr>
            </w:pPr>
            <w:r>
              <w:rPr>
                <w:rFonts w:ascii="Arial" w:cs="Arial" w:eastAsia="Arial" w:hAnsi="Arial"/>
                <w:sz w:val="14"/>
                <w:szCs w:val="14"/>
                <w:b w:val="1"/>
                <w:bCs w:val="1"/>
                <w:color w:val="auto"/>
                <w:w w:val="93"/>
              </w:rPr>
              <w:t>For the Three Months Ended June 30, 2019</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58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6"/>
              </w:rPr>
              <w:t>Additional</w:t>
            </w:r>
          </w:p>
        </w:tc>
        <w:tc>
          <w:tcPr>
            <w:tcW w:w="2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56"/>
              <w:spacing w:after="0" w:line="133"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880" w:type="dxa"/>
            <w:vAlign w:val="bottom"/>
            <w:gridSpan w:val="4"/>
            <w:vMerge w:val="restart"/>
          </w:tcPr>
          <w:p>
            <w:pPr>
              <w:jc w:val="right"/>
              <w:ind w:right="73"/>
              <w:spacing w:after="0"/>
              <w:rPr>
                <w:sz w:val="20"/>
                <w:szCs w:val="20"/>
                <w:color w:val="auto"/>
              </w:rPr>
            </w:pPr>
            <w:r>
              <w:rPr>
                <w:rFonts w:ascii="Arial" w:cs="Arial" w:eastAsia="Arial" w:hAnsi="Arial"/>
                <w:sz w:val="14"/>
                <w:szCs w:val="14"/>
                <w:b w:val="1"/>
                <w:bCs w:val="1"/>
                <w:color w:val="auto"/>
              </w:rPr>
              <w:t>Common Stock</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880" w:type="dxa"/>
            <w:vAlign w:val="bottom"/>
            <w:gridSpan w:val="4"/>
            <w:vMerge w:val="continue"/>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6"/>
        </w:trPr>
        <w:tc>
          <w:tcPr>
            <w:tcW w:w="4580" w:type="dxa"/>
            <w:vAlign w:val="bottom"/>
          </w:tcPr>
          <w:p>
            <w:pPr>
              <w:spacing w:after="0"/>
              <w:rPr>
                <w:sz w:val="13"/>
                <w:szCs w:val="13"/>
                <w:color w:val="auto"/>
              </w:rPr>
            </w:pPr>
          </w:p>
        </w:tc>
        <w:tc>
          <w:tcPr>
            <w:tcW w:w="1300" w:type="dxa"/>
            <w:vAlign w:val="bottom"/>
            <w:tcBorders>
              <w:top w:val="single" w:sz="8" w:color="auto"/>
            </w:tcBorders>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right"/>
              <w:ind w:right="252"/>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April 1, 2019</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13,178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13"/>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400" w:type="dxa"/>
            <w:vAlign w:val="bottom"/>
            <w:tcBorders>
              <w:top w:val="single" w:sz="8" w:color="CFF0FC"/>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178,916</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102,699</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281,628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20"/>
                <w:szCs w:val="20"/>
                <w:color w:val="auto"/>
              </w:rPr>
            </w:pPr>
            <w:r>
              <w:rPr>
                <w:rFonts w:ascii="Arial" w:cs="Arial" w:eastAsia="Arial" w:hAnsi="Arial"/>
                <w:sz w:val="18"/>
                <w:szCs w:val="18"/>
                <w:color w:val="auto"/>
              </w:rPr>
              <w:t>Issuance of shares of common stock under</w:t>
            </w: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Shares issued for exercise of stock options</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7"/>
                <w:szCs w:val="17"/>
                <w:color w:val="auto"/>
              </w:rPr>
              <w:t>Balance at June 30, 2019</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181,111</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108,217</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289,341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5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8"/>
          </w:tcPr>
          <w:p>
            <w:pPr>
              <w:jc w:val="center"/>
              <w:ind w:right="740"/>
              <w:spacing w:after="0"/>
              <w:rPr>
                <w:sz w:val="20"/>
                <w:szCs w:val="20"/>
                <w:color w:val="auto"/>
              </w:rPr>
            </w:pPr>
            <w:r>
              <w:rPr>
                <w:rFonts w:ascii="Arial" w:cs="Arial" w:eastAsia="Arial" w:hAnsi="Arial"/>
                <w:sz w:val="14"/>
                <w:szCs w:val="14"/>
                <w:b w:val="1"/>
                <w:bCs w:val="1"/>
                <w:color w:val="auto"/>
                <w:w w:val="93"/>
              </w:rPr>
              <w:t>For the Six Months Ended June 30, 2019</w:t>
            </w: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1"/>
                <w:szCs w:val="11"/>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1"/>
                <w:szCs w:val="11"/>
                <w:color w:val="auto"/>
              </w:rPr>
            </w:pPr>
          </w:p>
        </w:tc>
        <w:tc>
          <w:tcPr>
            <w:tcW w:w="104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880" w:type="dxa"/>
            <w:vAlign w:val="bottom"/>
            <w:gridSpan w:val="4"/>
            <w:vMerge w:val="restart"/>
          </w:tcPr>
          <w:p>
            <w:pPr>
              <w:jc w:val="right"/>
              <w:ind w:right="73"/>
              <w:spacing w:after="0"/>
              <w:rPr>
                <w:sz w:val="20"/>
                <w:szCs w:val="20"/>
                <w:color w:val="auto"/>
              </w:rPr>
            </w:pPr>
            <w:r>
              <w:rPr>
                <w:rFonts w:ascii="Arial" w:cs="Arial" w:eastAsia="Arial" w:hAnsi="Arial"/>
                <w:sz w:val="14"/>
                <w:szCs w:val="14"/>
                <w:b w:val="1"/>
                <w:bCs w:val="1"/>
                <w:color w:val="auto"/>
              </w:rPr>
              <w:t>Common Stock</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880" w:type="dxa"/>
            <w:vAlign w:val="bottom"/>
            <w:gridSpan w:val="4"/>
            <w:vMerge w:val="continue"/>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2019</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13,126</w:t>
            </w:r>
          </w:p>
        </w:tc>
        <w:tc>
          <w:tcPr>
            <w:tcW w:w="1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gridSpan w:val="2"/>
            <w:shd w:val="clear" w:color="auto" w:fill="CFF0FC"/>
          </w:tcPr>
          <w:p>
            <w:pPr>
              <w:jc w:val="right"/>
              <w:ind w:right="313"/>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177,683</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97,837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275,533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20"/>
                <w:szCs w:val="20"/>
                <w:color w:val="auto"/>
              </w:rPr>
            </w:pPr>
            <w:r>
              <w:rPr>
                <w:rFonts w:ascii="Arial" w:cs="Arial" w:eastAsia="Arial" w:hAnsi="Arial"/>
                <w:sz w:val="18"/>
                <w:szCs w:val="18"/>
                <w:color w:val="auto"/>
              </w:rPr>
              <w:t>Issuance of shares of common stock under</w:t>
            </w: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Shares issued for exercise of stock options</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Balance at June 30, 2019</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181,111</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108,217</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289,341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5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8"/>
          </w:tcPr>
          <w:p>
            <w:pPr>
              <w:jc w:val="center"/>
              <w:ind w:right="740"/>
              <w:spacing w:after="0"/>
              <w:rPr>
                <w:sz w:val="20"/>
                <w:szCs w:val="20"/>
                <w:color w:val="auto"/>
              </w:rPr>
            </w:pPr>
            <w:r>
              <w:rPr>
                <w:rFonts w:ascii="Arial" w:cs="Arial" w:eastAsia="Arial" w:hAnsi="Arial"/>
                <w:sz w:val="14"/>
                <w:szCs w:val="14"/>
                <w:b w:val="1"/>
                <w:bCs w:val="1"/>
                <w:color w:val="auto"/>
                <w:w w:val="93"/>
              </w:rPr>
              <w:t>For the Three Months Ended June 30, 2018</w:t>
            </w: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1"/>
                <w:szCs w:val="11"/>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1"/>
                <w:szCs w:val="11"/>
                <w:color w:val="auto"/>
              </w:rPr>
            </w:pPr>
          </w:p>
        </w:tc>
        <w:tc>
          <w:tcPr>
            <w:tcW w:w="104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880" w:type="dxa"/>
            <w:vAlign w:val="bottom"/>
            <w:gridSpan w:val="4"/>
            <w:vMerge w:val="restart"/>
          </w:tcPr>
          <w:p>
            <w:pPr>
              <w:jc w:val="right"/>
              <w:ind w:right="73"/>
              <w:spacing w:after="0"/>
              <w:rPr>
                <w:sz w:val="20"/>
                <w:szCs w:val="20"/>
                <w:color w:val="auto"/>
              </w:rPr>
            </w:pPr>
            <w:r>
              <w:rPr>
                <w:rFonts w:ascii="Arial" w:cs="Arial" w:eastAsia="Arial" w:hAnsi="Arial"/>
                <w:sz w:val="14"/>
                <w:szCs w:val="14"/>
                <w:b w:val="1"/>
                <w:bCs w:val="1"/>
                <w:color w:val="auto"/>
              </w:rPr>
              <w:t>Common Stock</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880" w:type="dxa"/>
            <w:vAlign w:val="bottom"/>
            <w:gridSpan w:val="4"/>
            <w:vMerge w:val="continue"/>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April 1, 2018</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11,691</w:t>
            </w:r>
          </w:p>
        </w:tc>
        <w:tc>
          <w:tcPr>
            <w:tcW w:w="1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gridSpan w:val="2"/>
            <w:shd w:val="clear" w:color="auto" w:fill="CFF0FC"/>
          </w:tcPr>
          <w:p>
            <w:pPr>
              <w:jc w:val="right"/>
              <w:ind w:right="313"/>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96,846</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85,220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182,078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20"/>
                <w:szCs w:val="20"/>
                <w:color w:val="auto"/>
              </w:rPr>
            </w:pPr>
            <w:r>
              <w:rPr>
                <w:rFonts w:ascii="Arial" w:cs="Arial" w:eastAsia="Arial" w:hAnsi="Arial"/>
                <w:sz w:val="18"/>
                <w:szCs w:val="18"/>
                <w:color w:val="auto"/>
              </w:rPr>
              <w:t>Issuance of shares of common stock under</w:t>
            </w: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Forfeiture of shares of common stock under</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 award agreements</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Shares issued for exercise of stock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4,318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at June 30, 2018</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13"/>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98,087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89,538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187,637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5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8"/>
          </w:tcPr>
          <w:p>
            <w:pPr>
              <w:jc w:val="center"/>
              <w:ind w:right="740"/>
              <w:spacing w:after="0"/>
              <w:rPr>
                <w:sz w:val="20"/>
                <w:szCs w:val="20"/>
                <w:color w:val="auto"/>
              </w:rPr>
            </w:pPr>
            <w:r>
              <w:rPr>
                <w:rFonts w:ascii="Arial" w:cs="Arial" w:eastAsia="Arial" w:hAnsi="Arial"/>
                <w:sz w:val="14"/>
                <w:szCs w:val="14"/>
                <w:b w:val="1"/>
                <w:bCs w:val="1"/>
                <w:color w:val="auto"/>
                <w:w w:val="93"/>
              </w:rPr>
              <w:t>For the Six Months Ended June 30, 2018</w:t>
            </w: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1"/>
                <w:szCs w:val="11"/>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1"/>
                <w:szCs w:val="11"/>
                <w:color w:val="auto"/>
              </w:rPr>
            </w:pPr>
          </w:p>
        </w:tc>
        <w:tc>
          <w:tcPr>
            <w:tcW w:w="104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880" w:type="dxa"/>
            <w:vAlign w:val="bottom"/>
            <w:gridSpan w:val="4"/>
            <w:vMerge w:val="restart"/>
          </w:tcPr>
          <w:p>
            <w:pPr>
              <w:jc w:val="right"/>
              <w:ind w:right="73"/>
              <w:spacing w:after="0"/>
              <w:rPr>
                <w:sz w:val="20"/>
                <w:szCs w:val="20"/>
                <w:color w:val="auto"/>
              </w:rPr>
            </w:pPr>
            <w:r>
              <w:rPr>
                <w:rFonts w:ascii="Arial" w:cs="Arial" w:eastAsia="Arial" w:hAnsi="Arial"/>
                <w:sz w:val="14"/>
                <w:szCs w:val="14"/>
                <w:b w:val="1"/>
                <w:bCs w:val="1"/>
                <w:color w:val="auto"/>
              </w:rPr>
              <w:t>Common Stock</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880" w:type="dxa"/>
            <w:vAlign w:val="bottom"/>
            <w:gridSpan w:val="4"/>
            <w:vMerge w:val="continue"/>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2018</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11,632</w:t>
            </w:r>
          </w:p>
        </w:tc>
        <w:tc>
          <w:tcPr>
            <w:tcW w:w="1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gridSpan w:val="2"/>
            <w:shd w:val="clear" w:color="auto" w:fill="CFF0FC"/>
          </w:tcPr>
          <w:p>
            <w:pPr>
              <w:jc w:val="right"/>
              <w:ind w:right="313"/>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95,963</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80,334</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176,309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20"/>
                <w:szCs w:val="20"/>
                <w:color w:val="auto"/>
              </w:rPr>
            </w:pPr>
            <w:r>
              <w:rPr>
                <w:rFonts w:ascii="Arial" w:cs="Arial" w:eastAsia="Arial" w:hAnsi="Arial"/>
                <w:sz w:val="18"/>
                <w:szCs w:val="18"/>
                <w:color w:val="auto"/>
              </w:rPr>
              <w:t>Issuance of shares of common stock under</w:t>
            </w: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Forfeiture of shares of common stock under</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 award agreements</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Shares issued for exercise of stock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9,204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2018</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13"/>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98,087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89,538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187,637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gridSpan w:val="4"/>
          </w:tcPr>
          <w:p>
            <w:pPr>
              <w:jc w:val="right"/>
              <w:spacing w:after="0"/>
              <w:rPr>
                <w:sz w:val="20"/>
                <w:szCs w:val="20"/>
                <w:color w:val="auto"/>
              </w:rPr>
            </w:pPr>
            <w:r>
              <w:rPr>
                <w:rFonts w:ascii="Arial" w:cs="Arial" w:eastAsia="Arial" w:hAnsi="Arial"/>
                <w:sz w:val="16"/>
                <w:szCs w:val="16"/>
                <w:b w:val="1"/>
                <w:bCs w:val="1"/>
                <w:color w:val="auto"/>
                <w:w w:val="95"/>
              </w:rPr>
              <w:t>For the Six Months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6"/>
                <w:szCs w:val="16"/>
                <w:b w:val="1"/>
                <w:bCs w:val="1"/>
                <w:color w:val="auto"/>
              </w:rPr>
              <w:t>Ended June 30,</w:t>
            </w:r>
          </w:p>
        </w:tc>
        <w:tc>
          <w:tcPr>
            <w:tcW w:w="10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0" w:type="dxa"/>
            <w:vAlign w:val="bottom"/>
            <w:tcBorders>
              <w:bottom w:val="single" w:sz="8" w:color="CFF0FC"/>
            </w:tcBorders>
          </w:tcPr>
          <w:p>
            <w:pPr>
              <w:spacing w:after="0"/>
              <w:rPr>
                <w:sz w:val="18"/>
                <w:szCs w:val="18"/>
                <w:color w:val="auto"/>
              </w:rPr>
            </w:pPr>
          </w:p>
        </w:tc>
        <w:tc>
          <w:tcPr>
            <w:tcW w:w="126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0"/>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240" w:type="dxa"/>
            <w:vAlign w:val="bottom"/>
            <w:gridSpan w:val="2"/>
          </w:tcPr>
          <w:p>
            <w:pPr>
              <w:jc w:val="right"/>
              <w:ind w:right="794"/>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10,380</w:t>
            </w:r>
          </w:p>
        </w:tc>
        <w:tc>
          <w:tcPr>
            <w:tcW w:w="160" w:type="dxa"/>
            <w:vAlign w:val="bottom"/>
          </w:tcPr>
          <w:p>
            <w:pPr>
              <w:spacing w:after="0"/>
              <w:rPr>
                <w:sz w:val="19"/>
                <w:szCs w:val="19"/>
                <w:color w:val="auto"/>
              </w:rPr>
            </w:pPr>
          </w:p>
        </w:tc>
        <w:tc>
          <w:tcPr>
            <w:tcW w:w="70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9,204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1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activities, net of acquisitions:</w:t>
            </w:r>
          </w:p>
        </w:tc>
        <w:tc>
          <w:tcPr>
            <w:tcW w:w="1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income taxes</w:t>
            </w:r>
          </w:p>
        </w:tc>
        <w:tc>
          <w:tcPr>
            <w:tcW w:w="1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issuance costs under the credit facility</w:t>
            </w:r>
          </w:p>
        </w:tc>
        <w:tc>
          <w:tcPr>
            <w:tcW w:w="1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500"/>
              <w:spacing w:after="0"/>
              <w:rPr>
                <w:sz w:val="20"/>
                <w:szCs w:val="20"/>
                <w:color w:val="auto"/>
              </w:rPr>
            </w:pPr>
            <w:r>
              <w:rPr>
                <w:rFonts w:ascii="Arial" w:cs="Arial" w:eastAsia="Arial" w:hAnsi="Arial"/>
                <w:sz w:val="18"/>
                <w:szCs w:val="18"/>
                <w:color w:val="auto"/>
              </w:rPr>
              <w:t>Provision for doubtful accounts</w:t>
            </w:r>
          </w:p>
        </w:tc>
        <w:tc>
          <w:tcPr>
            <w:tcW w:w="1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of disposal of assets</w:t>
            </w:r>
          </w:p>
        </w:tc>
        <w:tc>
          <w:tcPr>
            <w:tcW w:w="1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 net of acquisitions:</w:t>
            </w:r>
          </w:p>
        </w:tc>
        <w:tc>
          <w:tcPr>
            <w:tcW w:w="1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receivable</w:t>
            </w:r>
          </w:p>
        </w:tc>
        <w:tc>
          <w:tcPr>
            <w:tcW w:w="1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5"/>
              </w:rPr>
              <w:t>(18,884)</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1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1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740"/>
              <w:spacing w:after="0"/>
              <w:rPr>
                <w:sz w:val="20"/>
                <w:szCs w:val="20"/>
                <w:color w:val="auto"/>
              </w:rPr>
            </w:pPr>
            <w:r>
              <w:rPr>
                <w:rFonts w:ascii="Arial" w:cs="Arial" w:eastAsia="Arial" w:hAnsi="Arial"/>
                <w:sz w:val="18"/>
                <w:szCs w:val="18"/>
                <w:color w:val="auto"/>
              </w:rPr>
              <w:t>Accrued expenses and other long-term liabilities</w:t>
            </w:r>
          </w:p>
        </w:tc>
        <w:tc>
          <w:tcPr>
            <w:tcW w:w="1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(4,392)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(4,069)</w:t>
            </w: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provided by operating activities</w:t>
            </w:r>
          </w:p>
        </w:tc>
        <w:tc>
          <w:tcPr>
            <w:tcW w:w="12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20,164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Acquisitions of businesses, net of cash acquired</w:t>
            </w:r>
          </w:p>
        </w:tc>
        <w:tc>
          <w:tcPr>
            <w:tcW w:w="1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5"/>
              </w:rPr>
              <w:t>(29,808)</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(61,809)</w:t>
            </w: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1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(1,996)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12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(31,804)</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(63,471)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Borrowings on term loan — credit facility</w:t>
            </w:r>
          </w:p>
        </w:tc>
        <w:tc>
          <w:tcPr>
            <w:tcW w:w="1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Payments on term loan — credit facility</w:t>
            </w:r>
          </w:p>
        </w:tc>
        <w:tc>
          <w:tcPr>
            <w:tcW w:w="1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for debt issuance costs under the credit facility</w:t>
            </w:r>
          </w:p>
        </w:tc>
        <w:tc>
          <w:tcPr>
            <w:tcW w:w="1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Payments on financing lease obligations</w:t>
            </w:r>
          </w:p>
        </w:tc>
        <w:tc>
          <w:tcPr>
            <w:tcW w:w="1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received from exercise of stock options</w:t>
            </w:r>
          </w:p>
        </w:tc>
        <w:tc>
          <w:tcPr>
            <w:tcW w:w="12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2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58,770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Net change in cash</w:t>
            </w:r>
          </w:p>
        </w:tc>
        <w:tc>
          <w:tcPr>
            <w:tcW w:w="1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(15,614)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at beginning of period</w:t>
            </w:r>
          </w:p>
        </w:tc>
        <w:tc>
          <w:tcPr>
            <w:tcW w:w="12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70,406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at end of period</w:t>
            </w:r>
          </w:p>
        </w:tc>
        <w:tc>
          <w:tcPr>
            <w:tcW w:w="12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54,792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69,217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1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interest</w:t>
            </w:r>
          </w:p>
        </w:tc>
        <w:tc>
          <w:tcPr>
            <w:tcW w:w="2240" w:type="dxa"/>
            <w:vAlign w:val="bottom"/>
            <w:gridSpan w:val="2"/>
            <w:shd w:val="clear" w:color="auto" w:fill="CFF0FC"/>
          </w:tcPr>
          <w:p>
            <w:pPr>
              <w:jc w:val="right"/>
              <w:ind w:right="794"/>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w:t>
            </w: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Cash paid for income taxes</w:t>
            </w:r>
          </w:p>
        </w:tc>
        <w:tc>
          <w:tcPr>
            <w:tcW w:w="1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disclosures of non-cash investing and financing activities:</w:t>
            </w:r>
          </w:p>
        </w:tc>
        <w:tc>
          <w:tcPr>
            <w:tcW w:w="1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Contingent and deferred consideration accrued for acquisition</w:t>
            </w:r>
          </w:p>
        </w:tc>
        <w:tc>
          <w:tcPr>
            <w:tcW w:w="2240" w:type="dxa"/>
            <w:vAlign w:val="bottom"/>
            <w:gridSpan w:val="2"/>
          </w:tcPr>
          <w:p>
            <w:pPr>
              <w:jc w:val="right"/>
              <w:ind w:right="79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Leasehold improvements acquired through tenant allowances</w:t>
            </w:r>
          </w:p>
        </w:tc>
        <w:tc>
          <w:tcPr>
            <w:tcW w:w="1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ADDUS HOMECARE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Consolidation, and Presentation of Financial Statements</w:t>
      </w:r>
    </w:p>
    <w:p>
      <w:pPr>
        <w:spacing w:after="0" w:line="94" w:lineRule="exact"/>
        <w:rPr>
          <w:sz w:val="20"/>
          <w:szCs w:val="20"/>
          <w:color w:val="auto"/>
        </w:rPr>
      </w:pPr>
    </w:p>
    <w:p>
      <w:pPr>
        <w:ind w:right="40" w:firstLine="484"/>
        <w:spacing w:after="0" w:line="293" w:lineRule="auto"/>
        <w:rPr>
          <w:sz w:val="20"/>
          <w:szCs w:val="20"/>
          <w:color w:val="auto"/>
        </w:rPr>
      </w:pPr>
      <w:r>
        <w:rPr>
          <w:rFonts w:ascii="Arial" w:cs="Arial" w:eastAsia="Arial" w:hAnsi="Arial"/>
          <w:sz w:val="16"/>
          <w:szCs w:val="16"/>
          <w:color w:val="auto"/>
        </w:rPr>
        <w:t>Addus HomeCare Corporation (“Holdings”) and its subsidiaries (together with Holdings, the “Company”, “we”, “us” or “our”) operate as a multi-state provider of three distinct but related business segments providing in-home services. In its personal care services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firstLine="484"/>
        <w:spacing w:after="0" w:line="293" w:lineRule="auto"/>
        <w:rPr>
          <w:sz w:val="20"/>
          <w:szCs w:val="20"/>
          <w:color w:val="auto"/>
        </w:rPr>
      </w:pPr>
      <w:r>
        <w:rPr>
          <w:rFonts w:ascii="Arial" w:cs="Arial" w:eastAsia="Arial" w:hAnsi="Arial"/>
          <w:sz w:val="16"/>
          <w:szCs w:val="16"/>
          <w:color w:val="auto"/>
        </w:rPr>
        <w:t>The accompanying Condensed Consolidated Financial Statements and related notes have been prepared in accordance with the rules and regulations of the U.S. Securities and Exchange Commission (“SEC”) for Quarterly Reports on Form 10-Q. The accompanying balance sheet as of December 31, 2018 has been derived from the Company’s audited financial statements for the year ended December 31, 2018 previously filed with the SEC. Accordingly, these financial statements do not include all of the information and note disclosures required by accounting principles generally accepted in the United States of America (“GAAP”) for annual financial statements and should be read in conjunction with our consolidated financial statements and notes thereto for the year ended December 31, 2018 included in our Annual Report on Form 10-K, which includes information and disclosures not included herein.</w:t>
      </w:r>
    </w:p>
    <w:p>
      <w:pPr>
        <w:spacing w:after="0" w:line="111" w:lineRule="exact"/>
        <w:rPr>
          <w:sz w:val="20"/>
          <w:szCs w:val="20"/>
          <w:color w:val="auto"/>
        </w:rPr>
      </w:pPr>
    </w:p>
    <w:p>
      <w:pPr>
        <w:ind w:right="80" w:firstLine="484"/>
        <w:spacing w:after="0" w:line="286" w:lineRule="auto"/>
        <w:rPr>
          <w:sz w:val="20"/>
          <w:szCs w:val="20"/>
          <w:color w:val="auto"/>
        </w:rPr>
      </w:pPr>
      <w:r>
        <w:rPr>
          <w:rFonts w:ascii="Arial" w:cs="Arial" w:eastAsia="Arial" w:hAnsi="Arial"/>
          <w:sz w:val="17"/>
          <w:szCs w:val="17"/>
          <w:color w:val="auto"/>
        </w:rPr>
        <w:t>In the opinion of management, these financial statements reflect all adjustments of a normal, recurring nature necessary for the fair statement of our financial position, results of operations, and cash flows for the interim periods presented in conformity with GAAP. Our results for any interim period are not necessarily indicative of results for a full year or any other interim period and have not been audited by our independent auditors.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77" w:lineRule="exact"/>
        <w:rPr>
          <w:sz w:val="20"/>
          <w:szCs w:val="20"/>
          <w:color w:val="auto"/>
        </w:rPr>
      </w:pPr>
    </w:p>
    <w:p>
      <w:pPr>
        <w:ind w:right="320" w:firstLine="485"/>
        <w:spacing w:after="0" w:line="277" w:lineRule="auto"/>
        <w:rPr>
          <w:sz w:val="20"/>
          <w:szCs w:val="20"/>
          <w:color w:val="auto"/>
        </w:rPr>
      </w:pPr>
      <w:r>
        <w:rPr>
          <w:rFonts w:ascii="Arial" w:cs="Arial" w:eastAsia="Arial" w:hAnsi="Arial"/>
          <w:sz w:val="18"/>
          <w:szCs w:val="18"/>
          <w:color w:val="auto"/>
        </w:rPr>
        <w:t>These Condensed Consolidated Financial Statements include the accounts of Addus HomeCare Corporation, and its subsidiaries. All intercompany balances and transactions have been eliminated in consolidation.</w:t>
      </w:r>
    </w:p>
    <w:p>
      <w:pPr>
        <w:spacing w:after="0" w:line="180" w:lineRule="exact"/>
        <w:rPr>
          <w:sz w:val="20"/>
          <w:szCs w:val="20"/>
          <w:color w:val="auto"/>
        </w:rPr>
      </w:pPr>
    </w:p>
    <w:p>
      <w:pPr>
        <w:ind w:right="7860" w:firstLine="8"/>
        <w:spacing w:after="0" w:line="338"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Estimates</w:t>
      </w:r>
    </w:p>
    <w:p>
      <w:pPr>
        <w:spacing w:after="0" w:line="2" w:lineRule="exact"/>
        <w:rPr>
          <w:sz w:val="20"/>
          <w:szCs w:val="20"/>
          <w:color w:val="auto"/>
        </w:rPr>
      </w:pPr>
    </w:p>
    <w:p>
      <w:pPr>
        <w:ind w:right="260" w:firstLine="484"/>
        <w:spacing w:after="0" w:line="259" w:lineRule="auto"/>
        <w:rPr>
          <w:sz w:val="20"/>
          <w:szCs w:val="20"/>
          <w:color w:val="auto"/>
        </w:rPr>
      </w:pPr>
      <w:r>
        <w:rPr>
          <w:rFonts w:ascii="Arial" w:cs="Arial" w:eastAsia="Arial" w:hAnsi="Arial"/>
          <w:sz w:val="18"/>
          <w:szCs w:val="18"/>
          <w:color w:val="auto"/>
        </w:rPr>
        <w:t>The financial statements are prepared by management in conformity with GAAP and include estimated amounts and certain disclosures based on assumptions about future events. The Company’s critical accounting estimates include the following areas: implicit price concessions, reserve for workers’ compensation insurance claims, accounting for stock-based compensation, accounting for income taxes, business combinations and when required, the quantitative assessment of goodwill. Actual results could differ from these estimates.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Diluted Net Income Per Common Share</w:t>
      </w:r>
    </w:p>
    <w:p>
      <w:pPr>
        <w:spacing w:after="0" w:line="90" w:lineRule="exact"/>
        <w:rPr>
          <w:sz w:val="20"/>
          <w:szCs w:val="20"/>
          <w:color w:val="auto"/>
        </w:rPr>
      </w:pPr>
    </w:p>
    <w:p>
      <w:pPr>
        <w:ind w:right="120" w:firstLine="484"/>
        <w:spacing w:after="0" w:line="264" w:lineRule="auto"/>
        <w:rPr>
          <w:sz w:val="20"/>
          <w:szCs w:val="20"/>
          <w:color w:val="auto"/>
        </w:rPr>
      </w:pPr>
      <w:r>
        <w:rPr>
          <w:rFonts w:ascii="Arial" w:cs="Arial" w:eastAsia="Arial" w:hAnsi="Arial"/>
          <w:sz w:val="18"/>
          <w:szCs w:val="18"/>
          <w:color w:val="auto"/>
        </w:rPr>
        <w:t>Basic earnings per share is calculated using our weighted-average outstanding common shares. Diluted net income per common share, calculated on the treasury stock method, is based on the weighted average number of shares outstanding during the period. The Company’s outstanding securities that may potentially dilute the common stock are stock options and restricted stock awards.</w:t>
      </w:r>
    </w:p>
    <w:p>
      <w:pPr>
        <w:spacing w:after="0" w:line="127" w:lineRule="exact"/>
        <w:rPr>
          <w:sz w:val="20"/>
          <w:szCs w:val="20"/>
          <w:color w:val="auto"/>
        </w:rPr>
      </w:pPr>
    </w:p>
    <w:p>
      <w:pPr>
        <w:ind w:right="120" w:firstLine="484"/>
        <w:spacing w:after="0" w:line="312" w:lineRule="auto"/>
        <w:rPr>
          <w:sz w:val="20"/>
          <w:szCs w:val="20"/>
          <w:color w:val="auto"/>
        </w:rPr>
      </w:pPr>
      <w:r>
        <w:rPr>
          <w:rFonts w:ascii="Arial" w:cs="Arial" w:eastAsia="Arial" w:hAnsi="Arial"/>
          <w:sz w:val="16"/>
          <w:szCs w:val="16"/>
          <w:color w:val="auto"/>
        </w:rPr>
        <w:t>Included in the Company’s calculation of diluted earnings per share for the three and six months ended June 30, 2019 were approximately 695,000 stock options outstanding, of which approximately 327,000 and 316,000 respectively, were dilutive. In addition, there were approximately 154,000 restricted stock awards outstanding, 62,000 and 78,000 of which were dilutive for the three and six months ended June 30, 2019, respectively.</w:t>
      </w:r>
    </w:p>
    <w:p>
      <w:pPr>
        <w:spacing w:after="0" w:line="93" w:lineRule="exact"/>
        <w:rPr>
          <w:sz w:val="20"/>
          <w:szCs w:val="20"/>
          <w:color w:val="auto"/>
        </w:rPr>
      </w:pPr>
    </w:p>
    <w:p>
      <w:pPr>
        <w:ind w:right="120" w:firstLine="484"/>
        <w:spacing w:after="0" w:line="312" w:lineRule="auto"/>
        <w:rPr>
          <w:sz w:val="20"/>
          <w:szCs w:val="20"/>
          <w:color w:val="auto"/>
        </w:rPr>
      </w:pPr>
      <w:r>
        <w:rPr>
          <w:rFonts w:ascii="Arial" w:cs="Arial" w:eastAsia="Arial" w:hAnsi="Arial"/>
          <w:sz w:val="16"/>
          <w:szCs w:val="16"/>
          <w:color w:val="auto"/>
        </w:rPr>
        <w:t>Included in the Company’s calculation of diluted earnings per share for the three and six months ended June 30, 2018 were approximately 707,000 stock options outstanding, of which approximately 230,000 and 172,000 respectively, were dilutive. In addition, there were approximately 146,000 restricted stock awards outstanding, 75,000 and 77,000 of which were dilutive for the three and six months ended June 30, 2018,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77" w:lineRule="exact"/>
        <w:rPr>
          <w:sz w:val="20"/>
          <w:szCs w:val="20"/>
          <w:color w:val="auto"/>
        </w:rPr>
      </w:pPr>
    </w:p>
    <w:p>
      <w:pPr>
        <w:ind w:right="20" w:firstLine="484"/>
        <w:spacing w:after="0" w:line="270"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Standards Update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requires lessees to recognize a lease liability and a right-of-use (“ROU”) asset for all leases, including operating leases, with a term greater than twelve months in their balance sheets. For income statement recognition purposes, leases will be classified as either a finance or an operating lease. In July 2018, the FASB issued ASU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which provided entities with an additional transition method. We elected to adopt the standard effective January 1, 2019 using the modified retrospective transition method. We elected the package of practical expedients available for expired or existing contracts, which allowed us to carryforward our historical assessments of (1) whether contracts are, or contain, leases, (2) lease classification and (3) initial direct costs. The Company secured new software to account for the change in accounting for leases. In addition, the Company is designing and implementing new processes and controls. The most significant changes relate to the recognition of right-of-use assets and significant lease liabilities on our consolidated balance</w:t>
      </w:r>
    </w:p>
    <w:p>
      <w:pPr>
        <w:sectPr>
          <w:pgSz w:w="11900" w:h="16838" w:orient="portrait"/>
          <w:cols w:equalWidth="0" w:num="1">
            <w:col w:w="11420"/>
          </w:cols>
          <w:pgMar w:left="240" w:top="121" w:right="239"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8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sheet as a result of our operating lease obligations, as well as the impact of new disclosure requirements. Adoption of the new standard did not have a significant impact to our results of operations or liquidity.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77" w:lineRule="exact"/>
        <w:rPr>
          <w:sz w:val="20"/>
          <w:szCs w:val="20"/>
          <w:color w:val="auto"/>
        </w:rPr>
      </w:pPr>
    </w:p>
    <w:p>
      <w:pPr>
        <w:ind w:right="160" w:firstLine="484"/>
        <w:spacing w:after="0" w:line="27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ASU 2016-13 changes the impairment model for most financial assets and certain other instruments. Under the new standard, entities holding</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ASU 2016-13 is effective as of January 1, 2020. Early adoption is permitted. The Company is currently evaluating the impact of adopting this standard.</w:t>
      </w:r>
    </w:p>
    <w:p>
      <w:pPr>
        <w:spacing w:after="0" w:line="124" w:lineRule="exact"/>
        <w:rPr>
          <w:sz w:val="20"/>
          <w:szCs w:val="20"/>
          <w:color w:val="auto"/>
        </w:rPr>
      </w:pPr>
    </w:p>
    <w:p>
      <w:pPr>
        <w:ind w:right="260" w:firstLine="484"/>
        <w:spacing w:after="0" w:line="276"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xml:space="preserve"> The new guidance eliminates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ASU 2017-04 is effective for annual and any interim impairment tests for periods beginning after December 15, 2019. Adoption of the new standard is not expected to have an impact to our results of operations or liquidity.</w:t>
      </w:r>
    </w:p>
    <w:p>
      <w:pPr>
        <w:spacing w:after="0" w:line="119" w:lineRule="exact"/>
        <w:rPr>
          <w:sz w:val="20"/>
          <w:szCs w:val="20"/>
          <w:color w:val="auto"/>
        </w:rPr>
      </w:pPr>
    </w:p>
    <w:p>
      <w:pPr>
        <w:ind w:right="20" w:firstLine="484"/>
        <w:spacing w:after="0" w:line="297"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Intangibles—Goodwill and Other—Internal-Use Software (Subtopic 350-40): Customer</w:t>
      </w:r>
      <w:r>
        <w:rPr>
          <w:rFonts w:ascii="Arial" w:cs="Arial" w:eastAsia="Arial" w:hAnsi="Arial"/>
          <w:sz w:val="16"/>
          <w:szCs w:val="16"/>
          <w:color w:val="auto"/>
        </w:rPr>
        <w:t>’</w:t>
      </w:r>
      <w:r>
        <w:rPr>
          <w:rFonts w:ascii="Arial" w:cs="Arial" w:eastAsia="Arial" w:hAnsi="Arial"/>
          <w:sz w:val="16"/>
          <w:szCs w:val="16"/>
          <w:i w:val="1"/>
          <w:iCs w:val="1"/>
          <w:color w:val="auto"/>
        </w:rPr>
        <w:t>s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for Implementation Costs Incurred in a Cloud Computing Arrangement That is a Service Contract</w:t>
      </w:r>
      <w:r>
        <w:rPr>
          <w:rFonts w:ascii="Arial" w:cs="Arial" w:eastAsia="Arial" w:hAnsi="Arial"/>
          <w:sz w:val="16"/>
          <w:szCs w:val="16"/>
          <w:color w:val="auto"/>
        </w:rPr>
        <w:t>. ASU 2018-15 requires customers in a hosting arrangement</w:t>
      </w:r>
      <w:r>
        <w:rPr>
          <w:rFonts w:ascii="Arial" w:cs="Arial" w:eastAsia="Arial" w:hAnsi="Arial"/>
          <w:sz w:val="16"/>
          <w:szCs w:val="16"/>
          <w:i w:val="1"/>
          <w:iCs w:val="1"/>
          <w:color w:val="auto"/>
        </w:rPr>
        <w:t xml:space="preserve"> </w:t>
      </w:r>
      <w:r>
        <w:rPr>
          <w:rFonts w:ascii="Arial" w:cs="Arial" w:eastAsia="Arial" w:hAnsi="Arial"/>
          <w:sz w:val="16"/>
          <w:szCs w:val="16"/>
          <w:color w:val="auto"/>
        </w:rPr>
        <w:t>that is a service contract to follow the internal-use software guidance in Accounting Standards Codification (“ASC”) 350-40 to determine which implementation costs to capitalize as assets or expense as incurred. The ASU is effective for annual periods, including interim periods within those annual periods, beginning after December 15, 2019. Early adoption is permitted. The Company is currently assessing the impact of adopting this standard.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w:t>
      </w:r>
    </w:p>
    <w:p>
      <w:pPr>
        <w:spacing w:after="0" w:line="94" w:lineRule="exact"/>
        <w:rPr>
          <w:sz w:val="20"/>
          <w:szCs w:val="20"/>
          <w:color w:val="auto"/>
        </w:rPr>
      </w:pPr>
    </w:p>
    <w:p>
      <w:pPr>
        <w:ind w:right="100" w:firstLine="484"/>
        <w:spacing w:after="0" w:line="276" w:lineRule="auto"/>
        <w:rPr>
          <w:sz w:val="20"/>
          <w:szCs w:val="20"/>
          <w:color w:val="auto"/>
        </w:rPr>
      </w:pPr>
      <w:r>
        <w:rPr>
          <w:rFonts w:ascii="Arial" w:cs="Arial" w:eastAsia="Arial" w:hAnsi="Arial"/>
          <w:sz w:val="17"/>
          <w:szCs w:val="17"/>
          <w:color w:val="auto"/>
        </w:rPr>
        <w:t>We have historically entered into operating leases for local branches, our corporate headquarters and certain equipment. The Company’s current leases have expiration dates through 2029. Certain of our arrangements have free rent periods and/or escalating rent payment provisions. We recognize rent expense on a straight-line basis over the lease term. Certain of the Company’s leases include termination options and renewal options for periods ranging from one to five years. Because we are not reasonably certain to exercise these renewal options, the options generally are not considered in determining the lease term, and payments associated with the option years are excluded from lease payments.</w:t>
      </w:r>
    </w:p>
    <w:p>
      <w:pPr>
        <w:spacing w:after="0" w:line="119" w:lineRule="exact"/>
        <w:rPr>
          <w:sz w:val="20"/>
          <w:szCs w:val="20"/>
          <w:color w:val="auto"/>
        </w:rPr>
      </w:pPr>
    </w:p>
    <w:p>
      <w:pPr>
        <w:ind w:right="60" w:firstLine="484"/>
        <w:spacing w:after="0" w:line="264" w:lineRule="auto"/>
        <w:rPr>
          <w:sz w:val="20"/>
          <w:szCs w:val="20"/>
          <w:color w:val="auto"/>
        </w:rPr>
      </w:pPr>
      <w:r>
        <w:rPr>
          <w:rFonts w:ascii="Arial" w:cs="Arial" w:eastAsia="Arial" w:hAnsi="Arial"/>
          <w:sz w:val="18"/>
          <w:szCs w:val="18"/>
          <w:color w:val="auto"/>
        </w:rPr>
        <w:t>When available, we use the rate implicit in the lease to discount lease payments to present value; however, most of our leases do not provide a readily determinable implicit rate. Therefore, we must estimate our incremental borrowing rate to discount the lease payments based on information available at lease commencement.</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Amounts reported in the Condensed Consolidated Balance Sheets as of June 30, 2019 for our operating leases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2"/>
          </w:tcPr>
          <w:p>
            <w:pPr>
              <w:ind w:left="400"/>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3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820" w:type="dxa"/>
            <w:vAlign w:val="bottom"/>
            <w:tcBorders>
              <w:top w:val="single" w:sz="8" w:color="auto"/>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w w:val="94"/>
              </w:rPr>
              <w:t>(Amounts in Thousands)</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 of use assets, net</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300" w:type="dxa"/>
            <w:vAlign w:val="bottom"/>
            <w:shd w:val="clear" w:color="auto" w:fill="CFF0FC"/>
          </w:tcPr>
          <w:p>
            <w:pPr>
              <w:spacing w:after="0"/>
              <w:rPr>
                <w:sz w:val="20"/>
                <w:szCs w:val="20"/>
                <w:color w:val="auto"/>
              </w:rPr>
            </w:pPr>
            <w:r>
              <w:rPr>
                <w:rFonts w:ascii="Arial" w:cs="Arial" w:eastAsia="Arial" w:hAnsi="Arial"/>
                <w:sz w:val="18"/>
                <w:szCs w:val="18"/>
                <w:color w:val="auto"/>
              </w:rPr>
              <w:t>Short-term operating lease liabilities (in Accrued expenses)</w:t>
            </w:r>
          </w:p>
        </w:tc>
        <w:tc>
          <w:tcPr>
            <w:tcW w:w="16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operating lease liabilities</w:t>
            </w: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18,772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 Costs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Components of lease cost were reported in general and administrative expenses in the Condensed Consolidated Statements of Income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For the Three Months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For the Six Months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ind w:right="37"/>
              <w:spacing w:after="0"/>
              <w:rPr>
                <w:sz w:val="20"/>
                <w:szCs w:val="20"/>
                <w:color w:val="auto"/>
              </w:rPr>
            </w:pPr>
            <w:r>
              <w:rPr>
                <w:rFonts w:ascii="Arial" w:cs="Arial" w:eastAsia="Arial" w:hAnsi="Arial"/>
                <w:sz w:val="14"/>
                <w:szCs w:val="14"/>
                <w:b w:val="1"/>
                <w:bCs w:val="1"/>
                <w:color w:val="auto"/>
                <w:w w:val="92"/>
              </w:rPr>
              <w:t>Ended June 30, 2019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Ended June 30, 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tcBorders>
              <w:bottom w:val="single" w:sz="8" w:color="CFF0FC"/>
            </w:tcBorders>
          </w:tcPr>
          <w:p>
            <w:pPr>
              <w:spacing w:after="0"/>
              <w:rPr>
                <w:sz w:val="13"/>
                <w:szCs w:val="13"/>
                <w:color w:val="auto"/>
              </w:rPr>
            </w:pPr>
          </w:p>
        </w:tc>
        <w:tc>
          <w:tcPr>
            <w:tcW w:w="4180" w:type="dxa"/>
            <w:vAlign w:val="bottom"/>
            <w:tcBorders>
              <w:bottom w:val="single" w:sz="8" w:color="CFF0FC"/>
            </w:tcBorders>
          </w:tcPr>
          <w:p>
            <w:pPr>
              <w:spacing w:after="0"/>
              <w:rPr>
                <w:sz w:val="13"/>
                <w:szCs w:val="13"/>
                <w:color w:val="auto"/>
              </w:rPr>
            </w:pPr>
          </w:p>
        </w:tc>
        <w:tc>
          <w:tcPr>
            <w:tcW w:w="1640" w:type="dxa"/>
            <w:vAlign w:val="bottom"/>
            <w:tcBorders>
              <w:top w:val="single" w:sz="8" w:color="auto"/>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280" w:type="dxa"/>
            <w:vAlign w:val="bottom"/>
            <w:tcBorders>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3"/>
              </w:rPr>
              <w:t>(Amounts in Thousands)</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4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Short-term lease costs</w:t>
            </w:r>
          </w:p>
        </w:tc>
        <w:tc>
          <w:tcPr>
            <w:tcW w:w="4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4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1,654</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3,364</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4180" w:type="dxa"/>
            <w:vAlign w:val="bottom"/>
            <w:vMerge w:val="restart"/>
          </w:tcPr>
          <w:p>
            <w:pPr>
              <w:jc w:val="right"/>
              <w:ind w:right="197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64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Term and Discount Rate</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Weighted average remaining lease terms and discount rates for the six months ended June 30, 2019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4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Weighted average remaining lease term in years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ind w:left="1440"/>
              <w:spacing w:after="0"/>
              <w:rPr>
                <w:sz w:val="20"/>
                <w:szCs w:val="20"/>
                <w:color w:val="auto"/>
              </w:rPr>
            </w:pPr>
            <w:r>
              <w:rPr>
                <w:rFonts w:ascii="Arial" w:cs="Arial" w:eastAsia="Arial" w:hAnsi="Arial"/>
                <w:sz w:val="18"/>
                <w:szCs w:val="18"/>
                <w:color w:val="auto"/>
                <w:w w:val="85"/>
              </w:rPr>
              <w:t>3.75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40" w:type="dxa"/>
            <w:vAlign w:val="bottom"/>
            <w:gridSpan w:val="3"/>
            <w:shd w:val="clear" w:color="auto" w:fill="CFF0FC"/>
          </w:tcPr>
          <w:p>
            <w:pPr>
              <w:ind w:left="1440"/>
              <w:spacing w:after="0"/>
              <w:rPr>
                <w:sz w:val="20"/>
                <w:szCs w:val="20"/>
                <w:color w:val="auto"/>
              </w:rPr>
            </w:pPr>
            <w:r>
              <w:rPr>
                <w:rFonts w:ascii="Arial" w:cs="Arial" w:eastAsia="Arial" w:hAnsi="Arial"/>
                <w:sz w:val="18"/>
                <w:szCs w:val="18"/>
                <w:color w:val="auto"/>
                <w:w w:val="93"/>
              </w:rPr>
              <w:t>5.71%</w:t>
            </w:r>
          </w:p>
        </w:tc>
        <w:tc>
          <w:tcPr>
            <w:tcW w:w="0" w:type="dxa"/>
            <w:vAlign w:val="bottom"/>
          </w:tcPr>
          <w:p>
            <w:pPr>
              <w:spacing w:after="0"/>
              <w:rPr>
                <w:sz w:val="1"/>
                <w:szCs w:val="1"/>
                <w:color w:val="auto"/>
              </w:rPr>
            </w:pPr>
          </w:p>
        </w:tc>
      </w:tr>
      <w:tr>
        <w:trPr>
          <w:trHeight w:val="486"/>
        </w:trPr>
        <w:tc>
          <w:tcPr>
            <w:tcW w:w="92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Maturity of Lease Liabilities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9240" w:type="dxa"/>
            <w:vAlign w:val="bottom"/>
          </w:tcPr>
          <w:p>
            <w:pPr>
              <w:ind w:left="480"/>
              <w:spacing w:after="0"/>
              <w:rPr>
                <w:sz w:val="20"/>
                <w:szCs w:val="20"/>
                <w:color w:val="auto"/>
              </w:rPr>
            </w:pPr>
            <w:r>
              <w:rPr>
                <w:rFonts w:ascii="Arial" w:cs="Arial" w:eastAsia="Arial" w:hAnsi="Arial"/>
                <w:sz w:val="18"/>
                <w:szCs w:val="18"/>
                <w:color w:val="auto"/>
              </w:rPr>
              <w:t>A summary of our remaining operating lease payments as of June 30, 2019 were as follows: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820" w:type="dxa"/>
            <w:vAlign w:val="bottom"/>
            <w:tcBorders>
              <w:top w:val="single" w:sz="8" w:color="auto"/>
              <w:bottom w:val="single" w:sz="8" w:color="auto"/>
            </w:tcBorders>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Due in the 12-month period ended June 30,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40" w:type="dxa"/>
            <w:vAlign w:val="bottom"/>
          </w:tcPr>
          <w:p>
            <w:pPr>
              <w:ind w:left="120"/>
              <w:spacing w:after="0"/>
              <w:rPr>
                <w:sz w:val="20"/>
                <w:szCs w:val="20"/>
                <w:color w:val="auto"/>
              </w:rPr>
            </w:pPr>
            <w:r>
              <w:rPr>
                <w:rFonts w:ascii="Arial" w:cs="Arial" w:eastAsia="Arial" w:hAnsi="Arial"/>
                <w:sz w:val="18"/>
                <w:szCs w:val="18"/>
                <w:color w:val="auto"/>
              </w:rPr>
              <w:t>2020</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6,582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2021</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40" w:type="dxa"/>
            <w:vAlign w:val="bottom"/>
          </w:tcPr>
          <w:p>
            <w:pPr>
              <w:ind w:left="120"/>
              <w:spacing w:after="0"/>
              <w:rPr>
                <w:sz w:val="20"/>
                <w:szCs w:val="20"/>
                <w:color w:val="auto"/>
              </w:rPr>
            </w:pPr>
            <w:r>
              <w:rPr>
                <w:rFonts w:ascii="Arial" w:cs="Arial" w:eastAsia="Arial" w:hAnsi="Arial"/>
                <w:sz w:val="18"/>
                <w:szCs w:val="18"/>
                <w:color w:val="auto"/>
              </w:rPr>
              <w:t>2022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4,105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40" w:type="dxa"/>
            <w:vAlign w:val="bottom"/>
          </w:tcPr>
          <w:p>
            <w:pPr>
              <w:ind w:left="120"/>
              <w:spacing w:after="0"/>
              <w:rPr>
                <w:sz w:val="20"/>
                <w:szCs w:val="20"/>
                <w:color w:val="auto"/>
              </w:rPr>
            </w:pPr>
            <w:r>
              <w:rPr>
                <w:rFonts w:ascii="Arial" w:cs="Arial" w:eastAsia="Arial" w:hAnsi="Arial"/>
                <w:sz w:val="18"/>
                <w:szCs w:val="18"/>
                <w:color w:val="auto"/>
              </w:rPr>
              <w:t>2024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1,499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Thereafter</w:t>
            </w: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60" w:type="dxa"/>
            <w:vAlign w:val="bottom"/>
            <w:gridSpan w:val="2"/>
          </w:tcPr>
          <w:p>
            <w:pPr>
              <w:spacing w:after="0"/>
              <w:rPr>
                <w:sz w:val="20"/>
                <w:szCs w:val="20"/>
                <w:color w:val="auto"/>
              </w:rPr>
            </w:pPr>
            <w:r>
              <w:rPr>
                <w:rFonts w:ascii="Arial" w:cs="Arial" w:eastAsia="Arial" w:hAnsi="Arial"/>
                <w:sz w:val="18"/>
                <w:szCs w:val="18"/>
                <w:color w:val="auto"/>
              </w:rPr>
              <w:t>Total future minimum rental commitments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20,959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Less: Imputed interest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23"/>
        </w:trPr>
        <w:tc>
          <w:tcPr>
            <w:tcW w:w="9260" w:type="dxa"/>
            <w:vAlign w:val="bottom"/>
            <w:gridSpan w:val="2"/>
          </w:tcPr>
          <w:p>
            <w:pPr>
              <w:spacing w:after="0"/>
              <w:rPr>
                <w:sz w:val="20"/>
                <w:szCs w:val="20"/>
                <w:color w:val="auto"/>
              </w:rPr>
            </w:pPr>
            <w:r>
              <w:rPr>
                <w:rFonts w:ascii="Arial" w:cs="Arial" w:eastAsia="Arial" w:hAnsi="Arial"/>
                <w:sz w:val="18"/>
                <w:szCs w:val="18"/>
                <w:color w:val="auto"/>
              </w:rPr>
              <w:t>Total lease liabilities</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18,772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gridSpan w:val="2"/>
          </w:tcPr>
          <w:p>
            <w:pPr>
              <w:spacing w:after="0" w:line="20" w:lineRule="exact"/>
              <w:rPr>
                <w:sz w:val="1"/>
                <w:szCs w:val="1"/>
                <w:color w:val="auto"/>
              </w:rPr>
            </w:pPr>
          </w:p>
        </w:tc>
        <w:tc>
          <w:tcPr>
            <w:tcW w:w="198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1400" w:type="dxa"/>
            <w:vAlign w:val="bottom"/>
            <w:gridSpan w:val="6"/>
          </w:tcPr>
          <w:p>
            <w:pPr>
              <w:ind w:left="480"/>
              <w:spacing w:after="0"/>
              <w:rPr>
                <w:sz w:val="20"/>
                <w:szCs w:val="20"/>
                <w:color w:val="auto"/>
              </w:rPr>
            </w:pPr>
            <w:r>
              <w:rPr>
                <w:rFonts w:ascii="Arial" w:cs="Arial" w:eastAsia="Arial" w:hAnsi="Arial"/>
                <w:sz w:val="18"/>
                <w:szCs w:val="18"/>
                <w:color w:val="auto"/>
                <w:w w:val="94"/>
              </w:rPr>
              <w:t>As required by ASC 842, the future minimum operating lease payments on non-cancelable leases as of December 31, 2018 under the accounting</w:t>
            </w:r>
          </w:p>
        </w:tc>
        <w:tc>
          <w:tcPr>
            <w:tcW w:w="0" w:type="dxa"/>
            <w:vAlign w:val="bottom"/>
          </w:tcPr>
          <w:p>
            <w:pPr>
              <w:spacing w:after="0"/>
              <w:rPr>
                <w:sz w:val="1"/>
                <w:szCs w:val="1"/>
                <w:color w:val="auto"/>
              </w:rPr>
            </w:pPr>
          </w:p>
        </w:tc>
      </w:tr>
      <w:tr>
        <w:trPr>
          <w:trHeight w:val="230"/>
        </w:trPr>
        <w:tc>
          <w:tcPr>
            <w:tcW w:w="9260" w:type="dxa"/>
            <w:vAlign w:val="bottom"/>
            <w:gridSpan w:val="2"/>
          </w:tcPr>
          <w:p>
            <w:pPr>
              <w:spacing w:after="0"/>
              <w:rPr>
                <w:sz w:val="20"/>
                <w:szCs w:val="20"/>
                <w:color w:val="auto"/>
              </w:rPr>
            </w:pPr>
            <w:r>
              <w:rPr>
                <w:rFonts w:ascii="Arial" w:cs="Arial" w:eastAsia="Arial" w:hAnsi="Arial"/>
                <w:sz w:val="18"/>
                <w:szCs w:val="18"/>
                <w:color w:val="auto"/>
              </w:rPr>
              <w:t>standards in effect as of that period were as follows: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820" w:type="dxa"/>
            <w:vAlign w:val="bottom"/>
            <w:tcBorders>
              <w:top w:val="single" w:sz="8" w:color="auto"/>
              <w:bottom w:val="single" w:sz="8" w:color="auto"/>
            </w:tcBorders>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Due in the 12-month period ended December 31,</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40" w:type="dxa"/>
            <w:vAlign w:val="bottom"/>
          </w:tcPr>
          <w:p>
            <w:pPr>
              <w:ind w:left="120"/>
              <w:spacing w:after="0"/>
              <w:rPr>
                <w:sz w:val="20"/>
                <w:szCs w:val="20"/>
                <w:color w:val="auto"/>
              </w:rPr>
            </w:pPr>
            <w:r>
              <w:rPr>
                <w:rFonts w:ascii="Arial" w:cs="Arial" w:eastAsia="Arial" w:hAnsi="Arial"/>
                <w:sz w:val="18"/>
                <w:szCs w:val="18"/>
                <w:color w:val="auto"/>
              </w:rPr>
              <w:t>2019</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6,374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40" w:type="dxa"/>
            <w:vAlign w:val="bottom"/>
          </w:tcPr>
          <w:p>
            <w:pPr>
              <w:ind w:left="120"/>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3,460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40" w:type="dxa"/>
            <w:vAlign w:val="bottom"/>
          </w:tcPr>
          <w:p>
            <w:pPr>
              <w:ind w:left="120"/>
              <w:spacing w:after="0"/>
              <w:rPr>
                <w:sz w:val="20"/>
                <w:szCs w:val="20"/>
                <w:color w:val="auto"/>
              </w:rPr>
            </w:pPr>
            <w:r>
              <w:rPr>
                <w:rFonts w:ascii="Arial" w:cs="Arial" w:eastAsia="Arial" w:hAnsi="Arial"/>
                <w:sz w:val="18"/>
                <w:szCs w:val="18"/>
                <w:color w:val="auto"/>
              </w:rPr>
              <w:t>2023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2,130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Thereafter</w:t>
            </w: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60" w:type="dxa"/>
            <w:vAlign w:val="bottom"/>
            <w:gridSpan w:val="2"/>
          </w:tcPr>
          <w:p>
            <w:pPr>
              <w:spacing w:after="0"/>
              <w:rPr>
                <w:sz w:val="20"/>
                <w:szCs w:val="20"/>
                <w:color w:val="auto"/>
              </w:rPr>
            </w:pPr>
            <w:r>
              <w:rPr>
                <w:rFonts w:ascii="Arial" w:cs="Arial" w:eastAsia="Arial" w:hAnsi="Arial"/>
                <w:sz w:val="18"/>
                <w:szCs w:val="18"/>
                <w:color w:val="auto"/>
              </w:rPr>
              <w:t>Total future minimum rental commitments</w:t>
            </w: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20,543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Supplemental cash flow information</w:t>
            </w: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26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For the Six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Ended June 30, 2019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820" w:type="dxa"/>
            <w:vAlign w:val="bottom"/>
            <w:tcBorders>
              <w:top w:val="single" w:sz="8" w:color="auto"/>
              <w:bottom w:val="single" w:sz="8" w:color="auto"/>
            </w:tcBorders>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Cash Flows Information</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260" w:type="dxa"/>
            <w:vAlign w:val="bottom"/>
            <w:gridSpan w:val="2"/>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2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4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3,743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Leases</w:t>
      </w:r>
    </w:p>
    <w:p>
      <w:pPr>
        <w:spacing w:after="0" w:line="77" w:lineRule="exact"/>
        <w:rPr>
          <w:sz w:val="20"/>
          <w:szCs w:val="20"/>
          <w:color w:val="auto"/>
        </w:rPr>
      </w:pPr>
    </w:p>
    <w:p>
      <w:pPr>
        <w:ind w:right="80" w:firstLine="484"/>
        <w:spacing w:after="0" w:line="342" w:lineRule="auto"/>
        <w:rPr>
          <w:sz w:val="20"/>
          <w:szCs w:val="20"/>
          <w:color w:val="auto"/>
        </w:rPr>
      </w:pPr>
      <w:r>
        <w:rPr>
          <w:rFonts w:ascii="Arial" w:cs="Arial" w:eastAsia="Arial" w:hAnsi="Arial"/>
          <w:sz w:val="16"/>
          <w:szCs w:val="16"/>
          <w:color w:val="auto"/>
        </w:rPr>
        <w:t>Some of our financing leases include provisions to purchase the asset at the conclusion of the lease. The treatment of these leases remains consistent and the transition does not have an impact on the accounting for these leases. Financing leases were not material as of June 30, 2019 and December 31,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VIP Health Care Services</w:t>
      </w:r>
    </w:p>
    <w:p>
      <w:pPr>
        <w:spacing w:after="0" w:line="77" w:lineRule="exact"/>
        <w:rPr>
          <w:sz w:val="20"/>
          <w:szCs w:val="20"/>
          <w:color w:val="auto"/>
        </w:rPr>
      </w:pPr>
    </w:p>
    <w:p>
      <w:pPr>
        <w:ind w:right="80" w:firstLine="484"/>
        <w:spacing w:after="0" w:line="286" w:lineRule="auto"/>
        <w:rPr>
          <w:sz w:val="20"/>
          <w:szCs w:val="20"/>
          <w:color w:val="auto"/>
        </w:rPr>
      </w:pPr>
      <w:r>
        <w:rPr>
          <w:rFonts w:ascii="Arial" w:cs="Arial" w:eastAsia="Arial" w:hAnsi="Arial"/>
          <w:sz w:val="17"/>
          <w:szCs w:val="17"/>
          <w:color w:val="auto"/>
        </w:rPr>
        <w:t>On June 1, 2019, the Company completed the acquisition of all of the assets of VIP Health Care Services (“VIP”). The purchase price was approximately $29.9 million. The purchase of VIP was funded through a combination of the Company’s revolving credit facility and available cash. With the purchase of VIP, the Company expanded its personal care operations in the state of New York and into the New York City</w:t>
      </w:r>
    </w:p>
    <w:p>
      <w:pPr>
        <w:sectPr>
          <w:pgSz w:w="11900" w:h="16838" w:orient="portrait"/>
          <w:cols w:equalWidth="0" w:num="1">
            <w:col w:w="11420"/>
          </w:cols>
          <w:pgMar w:left="240" w:top="121" w:right="239"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metropolitan area. The related acquisition costs of $0.2 million and integration costs of $0.1 million for the three and six months ended June 30, 2019. These costs were included in general and administrative expenses on the Condensed Consolidated Statements of Income, and were expensed as incurred. The results of VIP are included on the Condensed Consolidated Statements of Income from the date of the acquisition.</w:t>
      </w:r>
    </w:p>
    <w:p>
      <w:pPr>
        <w:spacing w:after="0" w:line="127" w:lineRule="exact"/>
        <w:rPr>
          <w:sz w:val="20"/>
          <w:szCs w:val="20"/>
          <w:color w:val="auto"/>
        </w:rPr>
      </w:pPr>
    </w:p>
    <w:p>
      <w:pPr>
        <w:ind w:right="100" w:firstLine="484"/>
        <w:spacing w:after="0" w:line="253" w:lineRule="auto"/>
        <w:rPr>
          <w:sz w:val="20"/>
          <w:szCs w:val="20"/>
          <w:color w:val="auto"/>
        </w:rPr>
      </w:pPr>
      <w:r>
        <w:rPr>
          <w:rFonts w:ascii="Arial" w:cs="Arial" w:eastAsia="Arial" w:hAnsi="Arial"/>
          <w:sz w:val="18"/>
          <w:szCs w:val="18"/>
          <w:color w:val="auto"/>
        </w:rPr>
        <w:t xml:space="preserve">The Company’s acquisition of VIP has been accounted for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and the resulting goodwill and other intangible assets were accounted for under ASC Topic 350,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The acquisition was recorded at its fair value as of June 1, 2019. Under business combination accounting, the VIP purchase price was allocated to VIP’s net tangible and identifiable intangible assets based on their estimated fair values. Based upon management’s valuation, which is preliminary and subject to completion of working capital adjustments, the total purchase price has been allocated as follows:</w:t>
      </w:r>
    </w:p>
    <w:tbl>
      <w:tblPr>
        <w:tblLayout w:type="fixed"/>
        <w:tblInd w:w="1320" w:type="dxa"/>
        <w:tblCellMar>
          <w:top w:w="0" w:type="dxa"/>
          <w:left w:w="0" w:type="dxa"/>
          <w:bottom w:w="0" w:type="dxa"/>
          <w:right w:w="0" w:type="dxa"/>
        </w:tblCellMar>
      </w:tblPr>
      <w:tr>
        <w:trPr>
          <w:trHeight w:val="143"/>
        </w:trPr>
        <w:tc>
          <w:tcPr>
            <w:tcW w:w="6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2"/>
          </w:tcPr>
          <w:p>
            <w:pPr>
              <w:jc w:val="center"/>
              <w:ind w:right="460"/>
              <w:spacing w:after="0" w:line="143"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6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(Amounts in</w:t>
            </w:r>
          </w:p>
        </w:tc>
      </w:tr>
      <w:tr>
        <w:trPr>
          <w:trHeight w:val="171"/>
        </w:trPr>
        <w:tc>
          <w:tcPr>
            <w:tcW w:w="6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Thousands)</w:t>
            </w:r>
          </w:p>
        </w:tc>
      </w:tr>
      <w:tr>
        <w:trPr>
          <w:trHeight w:val="223"/>
        </w:trPr>
        <w:tc>
          <w:tcPr>
            <w:tcW w:w="6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15,370</w:t>
            </w:r>
          </w:p>
        </w:tc>
        <w:tc>
          <w:tcPr>
            <w:tcW w:w="100" w:type="dxa"/>
            <w:vAlign w:val="bottom"/>
          </w:tcPr>
          <w:p>
            <w:pPr>
              <w:spacing w:after="0"/>
              <w:rPr>
                <w:sz w:val="19"/>
                <w:szCs w:val="19"/>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9"/>
                <w:szCs w:val="19"/>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5,986</w:t>
            </w:r>
          </w:p>
        </w:tc>
        <w:tc>
          <w:tcPr>
            <w:tcW w:w="100" w:type="dxa"/>
            <w:vAlign w:val="bottom"/>
          </w:tcPr>
          <w:p>
            <w:pPr>
              <w:spacing w:after="0"/>
              <w:rPr>
                <w:sz w:val="19"/>
                <w:szCs w:val="19"/>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2,308</w:t>
            </w:r>
          </w:p>
        </w:tc>
        <w:tc>
          <w:tcPr>
            <w:tcW w:w="100" w:type="dxa"/>
            <w:vAlign w:val="bottom"/>
            <w:shd w:val="clear" w:color="auto" w:fill="CFF0FC"/>
          </w:tcPr>
          <w:p>
            <w:pPr>
              <w:spacing w:after="0"/>
              <w:rPr>
                <w:sz w:val="19"/>
                <w:szCs w:val="19"/>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(385)</w:t>
            </w: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9"/>
                <w:szCs w:val="19"/>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(747)</w:t>
            </w: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w:t>
            </w:r>
          </w:p>
        </w:tc>
        <w:tc>
          <w:tcPr>
            <w:tcW w:w="3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(1,571)</w:t>
            </w: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19"/>
                <w:szCs w:val="19"/>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(1,554)</w:t>
            </w:r>
          </w:p>
        </w:tc>
      </w:tr>
      <w:tr>
        <w:trPr>
          <w:trHeight w:val="223"/>
        </w:trPr>
        <w:tc>
          <w:tcPr>
            <w:tcW w:w="6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 allocation</w:t>
            </w: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firstLine="484"/>
        <w:spacing w:after="0" w:line="277" w:lineRule="auto"/>
        <w:rPr>
          <w:sz w:val="20"/>
          <w:szCs w:val="20"/>
          <w:color w:val="auto"/>
        </w:rPr>
      </w:pPr>
      <w:r>
        <w:rPr>
          <w:rFonts w:ascii="Arial" w:cs="Arial" w:eastAsia="Arial" w:hAnsi="Arial"/>
          <w:sz w:val="18"/>
          <w:szCs w:val="18"/>
          <w:color w:val="auto"/>
        </w:rPr>
        <w:t>Management’s assessment of qualitative factors affecting goodwill for VIP includes estimates of market share at the date of purchase, ability to grow in the market, synergy with existing Company operations, and the payor profile in the market.</w:t>
      </w:r>
    </w:p>
    <w:p>
      <w:pPr>
        <w:spacing w:after="0" w:line="116" w:lineRule="exact"/>
        <w:rPr>
          <w:sz w:val="20"/>
          <w:szCs w:val="20"/>
          <w:color w:val="auto"/>
        </w:rPr>
      </w:pPr>
    </w:p>
    <w:p>
      <w:pPr>
        <w:ind w:firstLine="484"/>
        <w:spacing w:after="0" w:line="264" w:lineRule="auto"/>
        <w:rPr>
          <w:sz w:val="20"/>
          <w:szCs w:val="20"/>
          <w:color w:val="auto"/>
        </w:rPr>
      </w:pPr>
      <w:r>
        <w:rPr>
          <w:rFonts w:ascii="Arial" w:cs="Arial" w:eastAsia="Arial" w:hAnsi="Arial"/>
          <w:sz w:val="18"/>
          <w:szCs w:val="18"/>
          <w:color w:val="auto"/>
        </w:rPr>
        <w:t>Identifiable intangible assets acquired consist of state licenses and customer relationships, with estimated useful lives of six and eight years, respectively. The preliminary estimated fair value of identifiable intangible assets was determined, using Level 3 inputs as defined under ASC Topic 820, with the assistance of a valuation specialist. The goodwill and intangible assets acquired are deductible for tax purposes.</w:t>
      </w:r>
    </w:p>
    <w:p>
      <w:pPr>
        <w:spacing w:after="0" w:line="127" w:lineRule="exact"/>
        <w:rPr>
          <w:sz w:val="20"/>
          <w:szCs w:val="20"/>
          <w:color w:val="auto"/>
        </w:rPr>
      </w:pPr>
    </w:p>
    <w:p>
      <w:pPr>
        <w:ind w:right="20" w:firstLine="484"/>
        <w:spacing w:after="0" w:line="277" w:lineRule="auto"/>
        <w:rPr>
          <w:sz w:val="20"/>
          <w:szCs w:val="20"/>
          <w:color w:val="auto"/>
        </w:rPr>
      </w:pPr>
      <w:r>
        <w:rPr>
          <w:rFonts w:ascii="Arial" w:cs="Arial" w:eastAsia="Arial" w:hAnsi="Arial"/>
          <w:sz w:val="18"/>
          <w:szCs w:val="18"/>
          <w:color w:val="auto"/>
        </w:rPr>
        <w:t>The VIP acquisition accounted for $4.4 million of net service revenues and $0.3 million of net income prior to corporate allocation for the three and six months ended June 30,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Ambercare Corporation</w:t>
      </w:r>
    </w:p>
    <w:p>
      <w:pPr>
        <w:spacing w:after="0" w:line="77" w:lineRule="exact"/>
        <w:rPr>
          <w:sz w:val="20"/>
          <w:szCs w:val="20"/>
          <w:color w:val="auto"/>
        </w:rPr>
      </w:pPr>
    </w:p>
    <w:p>
      <w:pPr>
        <w:ind w:right="40" w:firstLine="484"/>
        <w:spacing w:after="0" w:line="271" w:lineRule="auto"/>
        <w:rPr>
          <w:sz w:val="20"/>
          <w:szCs w:val="20"/>
          <w:color w:val="auto"/>
        </w:rPr>
      </w:pPr>
      <w:r>
        <w:rPr>
          <w:rFonts w:ascii="Arial" w:cs="Arial" w:eastAsia="Arial" w:hAnsi="Arial"/>
          <w:sz w:val="17"/>
          <w:szCs w:val="17"/>
          <w:color w:val="auto"/>
        </w:rPr>
        <w:t>On May 1, 2018, the Company completed the acquisition of all the issued and outstanding securities of Ambercare Corporation (“Ambercare”). The purchase price was approximately $39.6 million plus the amount of excess cash held by Ambercare at closing (approximately $12.0 million). The purchase of Ambercare was funded by a delayed draw term loan under the Company’s credit facility. With the purchase of Ambercare, the Company expanded its New Mexico personal care operations and acquired its hospice and home health segments in the state of New Mexico. The related acquisition costs were $0.5 million for each of the three and six months ended June 30, 2018. The related integration costs were $0.1 million for each of the three months ended June 30, 2019 and 2018, and $0.2 million and $0.1 million for the six months ended June 30, 2019 and 2018, respectively. These costs were included in general and administrative expenses on the Condensed Consolidated Statements of Income, and were expensed as incurred. The results of Ambercare are included on the Condensed Consolidated Statements of Income from the date of the acquisition.</w:t>
      </w:r>
    </w:p>
    <w:p>
      <w:pPr>
        <w:spacing w:after="0" w:line="125" w:lineRule="exact"/>
        <w:rPr>
          <w:sz w:val="20"/>
          <w:szCs w:val="20"/>
          <w:color w:val="auto"/>
        </w:rPr>
      </w:pPr>
    </w:p>
    <w:p>
      <w:pPr>
        <w:ind w:right="80" w:firstLine="484"/>
        <w:spacing w:after="0" w:line="259" w:lineRule="auto"/>
        <w:rPr>
          <w:sz w:val="20"/>
          <w:szCs w:val="20"/>
          <w:color w:val="auto"/>
        </w:rPr>
      </w:pPr>
      <w:r>
        <w:rPr>
          <w:rFonts w:ascii="Arial" w:cs="Arial" w:eastAsia="Arial" w:hAnsi="Arial"/>
          <w:sz w:val="18"/>
          <w:szCs w:val="18"/>
          <w:color w:val="auto"/>
        </w:rPr>
        <w:t xml:space="preserve">The Company’s acquisition of Ambercare has been accounted for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and the resulting goodwill and other intangible assets were accounted for under ASC Topic 350,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The acquisition was recorded at its fair value as of May 1, 2018. Under business combination accounting, the Ambercare purchase price was $51.6 million and was allocated to Ambercare’s net tangible and identifiable intangible assets based on their estimated fair values.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Based upon management’s valuations, which are now final, the total purchase price has been allocated as follows:</w:t>
      </w:r>
    </w:p>
    <w:p>
      <w:pPr>
        <w:spacing w:after="0" w:line="20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r>
      <w:tr>
        <w:trPr>
          <w:trHeight w:val="149"/>
        </w:trPr>
        <w:tc>
          <w:tcPr>
            <w:tcW w:w="6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(Amounts in</w:t>
            </w:r>
          </w:p>
        </w:tc>
      </w:tr>
      <w:tr>
        <w:trPr>
          <w:trHeight w:val="171"/>
        </w:trPr>
        <w:tc>
          <w:tcPr>
            <w:tcW w:w="6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Thousands)</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28,831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Cash</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12,028</w:t>
            </w:r>
          </w:p>
        </w:tc>
        <w:tc>
          <w:tcPr>
            <w:tcW w:w="8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Identifiable intangible assets</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9,944</w:t>
            </w:r>
          </w:p>
        </w:tc>
        <w:tc>
          <w:tcPr>
            <w:tcW w:w="8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6,512</w:t>
            </w:r>
          </w:p>
        </w:tc>
        <w:tc>
          <w:tcPr>
            <w:tcW w:w="8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8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(4,073)</w:t>
            </w: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(2,138)</w:t>
            </w: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Financing lease</w:t>
            </w: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w:t>
            </w: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6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 allocation</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51,622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0" w:firstLine="484"/>
        <w:spacing w:after="0" w:line="277" w:lineRule="auto"/>
        <w:rPr>
          <w:sz w:val="20"/>
          <w:szCs w:val="20"/>
          <w:color w:val="auto"/>
        </w:rPr>
      </w:pPr>
      <w:r>
        <w:rPr>
          <w:rFonts w:ascii="Arial" w:cs="Arial" w:eastAsia="Arial" w:hAnsi="Arial"/>
          <w:sz w:val="18"/>
          <w:szCs w:val="18"/>
          <w:color w:val="auto"/>
        </w:rPr>
        <w:t>Management’s assessment of qualitative factors affecting goodwill for Ambercare includes estimates of market share at the date of purchase, ability to grow in the market, synergy with existing Company operations, and the payor profile in the market.</w:t>
      </w:r>
    </w:p>
    <w:p>
      <w:pPr>
        <w:spacing w:after="0" w:line="116" w:lineRule="exact"/>
        <w:rPr>
          <w:sz w:val="20"/>
          <w:szCs w:val="20"/>
          <w:color w:val="auto"/>
        </w:rPr>
      </w:pPr>
    </w:p>
    <w:p>
      <w:pPr>
        <w:ind w:right="100" w:firstLine="484"/>
        <w:spacing w:after="0" w:line="259" w:lineRule="auto"/>
        <w:rPr>
          <w:sz w:val="20"/>
          <w:szCs w:val="20"/>
          <w:color w:val="auto"/>
        </w:rPr>
      </w:pPr>
      <w:r>
        <w:rPr>
          <w:rFonts w:ascii="Arial" w:cs="Arial" w:eastAsia="Arial" w:hAnsi="Arial"/>
          <w:sz w:val="18"/>
          <w:szCs w:val="18"/>
          <w:color w:val="auto"/>
        </w:rPr>
        <w:t>The Company acquired all of the outstanding stock of Ambercare. Identifiable intangible assets acquired consist of trade names and customer relationships, with estimated useful lives ranging from three to fifteen years, as well as indefinite lived state licenses. The estimated fair value of identifiable intangible assets was determined, using Level 3 inputs as defined under ASC Topic 820, with the assistance of a valuation specialist. The goodwill and intangible assets acquired are non-deductible for tax purposes.</w:t>
      </w:r>
    </w:p>
    <w:p>
      <w:pPr>
        <w:spacing w:after="0" w:line="133" w:lineRule="exact"/>
        <w:rPr>
          <w:sz w:val="20"/>
          <w:szCs w:val="20"/>
          <w:color w:val="auto"/>
        </w:rPr>
      </w:pPr>
    </w:p>
    <w:p>
      <w:pPr>
        <w:ind w:firstLine="484"/>
        <w:spacing w:after="0" w:line="259" w:lineRule="auto"/>
        <w:rPr>
          <w:sz w:val="20"/>
          <w:szCs w:val="20"/>
          <w:color w:val="auto"/>
        </w:rPr>
      </w:pPr>
      <w:r>
        <w:rPr>
          <w:rFonts w:ascii="Arial" w:cs="Arial" w:eastAsia="Arial" w:hAnsi="Arial"/>
          <w:sz w:val="18"/>
          <w:szCs w:val="18"/>
          <w:color w:val="auto"/>
        </w:rPr>
        <w:t>The Ambercare acquisition accounted for $15.7 million and $30.6 million of net service revenues for the three and six months ended June 30, 2019, respectively, and $9.2 million of net service revenues for each of the three and six months ended June 30, 2018. Net income prior to corporate allocation for the three and six months ended June 30, 2019, was $3.7 million and $7.1 million, respectively, and $1.8 million of net income prior to corporate allocation for the three and six months ended June 30, 2018.</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Arcadia Home Care &amp; Staffing</w:t>
      </w:r>
    </w:p>
    <w:p>
      <w:pPr>
        <w:spacing w:after="0" w:line="90" w:lineRule="exact"/>
        <w:rPr>
          <w:sz w:val="20"/>
          <w:szCs w:val="20"/>
          <w:color w:val="auto"/>
        </w:rPr>
      </w:pPr>
    </w:p>
    <w:p>
      <w:pPr>
        <w:ind w:right="120" w:firstLine="484"/>
        <w:spacing w:after="0" w:line="257" w:lineRule="auto"/>
        <w:rPr>
          <w:sz w:val="20"/>
          <w:szCs w:val="20"/>
          <w:color w:val="auto"/>
        </w:rPr>
      </w:pPr>
      <w:r>
        <w:rPr>
          <w:rFonts w:ascii="Arial" w:cs="Arial" w:eastAsia="Arial" w:hAnsi="Arial"/>
          <w:sz w:val="18"/>
          <w:szCs w:val="18"/>
          <w:color w:val="auto"/>
        </w:rPr>
        <w:t>On April 1, 2018, the Company acquired certain assets of Arcadia Home Care &amp; Staffing (“Arcadia”), expanding its personal care services. The total consideration for the transaction was $18.9 million and was funded by a delayed draw term loan under the Company’s credit facility. The related acquisition costs were $0.5 million for the three and six months ended June 2018. These costs were included in general and administrative expenses on the Condensed Consolidated Statements of Income, and were expensed as incurred. The results of operations from this acquired entity are included in the Condensed Consolidated Statements of Income from the date of the acquisition.</w:t>
      </w:r>
    </w:p>
    <w:p>
      <w:pPr>
        <w:spacing w:after="0" w:line="134" w:lineRule="exact"/>
        <w:rPr>
          <w:sz w:val="20"/>
          <w:szCs w:val="20"/>
          <w:color w:val="auto"/>
        </w:rPr>
      </w:pPr>
    </w:p>
    <w:p>
      <w:pPr>
        <w:ind w:right="160" w:firstLine="484"/>
        <w:spacing w:after="0" w:line="302" w:lineRule="auto"/>
        <w:rPr>
          <w:sz w:val="20"/>
          <w:szCs w:val="20"/>
          <w:color w:val="auto"/>
        </w:rPr>
      </w:pPr>
      <w:r>
        <w:rPr>
          <w:rFonts w:ascii="Arial" w:cs="Arial" w:eastAsia="Arial" w:hAnsi="Arial"/>
          <w:sz w:val="16"/>
          <w:szCs w:val="16"/>
          <w:color w:val="auto"/>
        </w:rPr>
        <w:t>The Company’s acquisition of Arcadia has been accounted for in accordance with ASC Topic 805 and the resulting goodwill and other intangible assets were accounted for under ASC Topic 350. The acquisition was recorded at its fair value as of April 1, 2018. Under business combination accounting, the Arcadia purchase price was $18.9 million and was allocated to Arcadia’s net tangible and identifiable intangible assets based on their estimated fair values. Based upon management’s valuations, which are now final, the total purchase price has been allocated as follows:</w:t>
      </w:r>
    </w:p>
    <w:p>
      <w:pPr>
        <w:spacing w:after="0" w:line="13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r>
      <w:tr>
        <w:trPr>
          <w:trHeight w:val="149"/>
        </w:trPr>
        <w:tc>
          <w:tcPr>
            <w:tcW w:w="6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(Amounts in</w:t>
            </w:r>
          </w:p>
        </w:tc>
      </w:tr>
      <w:tr>
        <w:trPr>
          <w:trHeight w:val="171"/>
        </w:trPr>
        <w:tc>
          <w:tcPr>
            <w:tcW w:w="6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Thousands)</w:t>
            </w:r>
          </w:p>
        </w:tc>
      </w:tr>
      <w:tr>
        <w:trPr>
          <w:trHeight w:val="223"/>
        </w:trPr>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13,072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5,317</w:t>
            </w:r>
          </w:p>
        </w:tc>
        <w:tc>
          <w:tcPr>
            <w:tcW w:w="80" w:type="dxa"/>
            <w:vAlign w:val="bottom"/>
          </w:tcPr>
          <w:p>
            <w:pPr>
              <w:spacing w:after="0"/>
              <w:rPr>
                <w:sz w:val="19"/>
                <w:szCs w:val="19"/>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Identifiable intangible assets</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2,264</w:t>
            </w:r>
          </w:p>
        </w:tc>
        <w:tc>
          <w:tcPr>
            <w:tcW w:w="8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9"/>
                <w:szCs w:val="19"/>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(1,540)</w:t>
            </w: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(508)</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 purchase price allocation</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18,852</w:t>
            </w:r>
          </w:p>
        </w:tc>
        <w:tc>
          <w:tcPr>
            <w:tcW w:w="8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right="300" w:firstLine="484"/>
        <w:spacing w:after="0" w:line="277" w:lineRule="auto"/>
        <w:rPr>
          <w:sz w:val="20"/>
          <w:szCs w:val="20"/>
          <w:color w:val="auto"/>
        </w:rPr>
      </w:pPr>
      <w:r>
        <w:rPr>
          <w:rFonts w:ascii="Arial" w:cs="Arial" w:eastAsia="Arial" w:hAnsi="Arial"/>
          <w:sz w:val="18"/>
          <w:szCs w:val="18"/>
          <w:color w:val="auto"/>
        </w:rPr>
        <w:t>Management’s assessment of qualitative factors affecting goodwill for Arcadia includes estimates of market share at the date of purchase, ability to grow in the market, synergy with existing Company operations, and the payor profile in the market.</w:t>
      </w:r>
    </w:p>
    <w:p>
      <w:pPr>
        <w:spacing w:after="0" w:line="116" w:lineRule="exact"/>
        <w:rPr>
          <w:sz w:val="20"/>
          <w:szCs w:val="20"/>
          <w:color w:val="auto"/>
        </w:rPr>
      </w:pPr>
    </w:p>
    <w:p>
      <w:pPr>
        <w:ind w:right="120" w:firstLine="484"/>
        <w:spacing w:after="0" w:line="286" w:lineRule="auto"/>
        <w:rPr>
          <w:sz w:val="20"/>
          <w:szCs w:val="20"/>
          <w:color w:val="auto"/>
        </w:rPr>
      </w:pPr>
      <w:r>
        <w:rPr>
          <w:rFonts w:ascii="Arial" w:cs="Arial" w:eastAsia="Arial" w:hAnsi="Arial"/>
          <w:sz w:val="17"/>
          <w:szCs w:val="17"/>
          <w:color w:val="auto"/>
        </w:rPr>
        <w:t>Identifiable intangible assets acquired consist of trade name, customer relationships and state licenses, with estimated useful lives ranging from seven to fifteen years. The estimated fair value of identifiable intangible assets was determined, using Level 3 inputs as defined under ASC Topic 820, with the assistance of a valuation specialist. The goodwill and intangible assets acquired are deductible for tax purposes.</w:t>
      </w:r>
    </w:p>
    <w:p>
      <w:pPr>
        <w:sectPr>
          <w:pgSz w:w="11900" w:h="16838" w:orient="portrait"/>
          <w:cols w:equalWidth="0" w:num="1">
            <w:col w:w="11380"/>
          </w:cols>
          <w:pgMar w:left="240" w:top="121" w:right="279" w:bottom="1440" w:gutter="0" w:footer="0" w:header="0"/>
        </w:sectPr>
      </w:pP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ind w:right="40" w:firstLine="484"/>
        <w:spacing w:after="0" w:line="259" w:lineRule="auto"/>
        <w:rPr>
          <w:sz w:val="20"/>
          <w:szCs w:val="20"/>
          <w:color w:val="auto"/>
        </w:rPr>
      </w:pPr>
      <w:r>
        <w:rPr>
          <w:rFonts w:ascii="Arial" w:cs="Arial" w:eastAsia="Arial" w:hAnsi="Arial"/>
          <w:sz w:val="18"/>
          <w:szCs w:val="18"/>
          <w:color w:val="auto"/>
        </w:rPr>
        <w:t>The Arcadia acquisition accounted for $10.9 million and $21.3 million of net service revenues for the three and six months June 30, 2019, respectively, and $10.8 of net service revenues for each of the three and six months June 30, 2018. Net income prior to corporate allocation for the three and six months ended June 30, 2019, was $1.4 million and $2.7 million, respectively, and $1.6 million of net income prior to corporate allocation for each of the three and six months ended June 30, 2018.</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LifeStyle Options, Inc.</w:t>
      </w:r>
    </w:p>
    <w:p>
      <w:pPr>
        <w:spacing w:after="0" w:line="90" w:lineRule="exact"/>
        <w:rPr>
          <w:sz w:val="20"/>
          <w:szCs w:val="20"/>
          <w:color w:val="auto"/>
        </w:rPr>
      </w:pPr>
    </w:p>
    <w:p>
      <w:pPr>
        <w:ind w:right="60" w:firstLine="484"/>
        <w:spacing w:after="0" w:line="276" w:lineRule="auto"/>
        <w:rPr>
          <w:sz w:val="20"/>
          <w:szCs w:val="20"/>
          <w:color w:val="auto"/>
        </w:rPr>
      </w:pPr>
      <w:r>
        <w:rPr>
          <w:rFonts w:ascii="Arial" w:cs="Arial" w:eastAsia="Arial" w:hAnsi="Arial"/>
          <w:sz w:val="17"/>
          <w:szCs w:val="17"/>
          <w:color w:val="auto"/>
        </w:rPr>
        <w:t>Effective January 1, 2018, the Company acquired certain assets of LifeStyle Options, Inc. (“LifeStyle”) in order to expand private pay services in Illinois. The total consideration for the transaction was $4.1 million, comprised of $3.3 million in cash and $0.8 million, representing the estimated fair value of contingent consideration, subject to the achievement of certain performance targets set forth in an earn-out agreement. As of December 31, 2018, the performance targets were not met and the contingent consideration was remeasured to zero. The results of operations from this acquired entity are included in the Condensed Consolidated Statements of Income from the date of the acquisition.</w:t>
      </w:r>
    </w:p>
    <w:p>
      <w:pPr>
        <w:spacing w:after="0" w:line="119" w:lineRule="exact"/>
        <w:rPr>
          <w:sz w:val="20"/>
          <w:szCs w:val="20"/>
          <w:color w:val="auto"/>
        </w:rPr>
      </w:pPr>
    </w:p>
    <w:p>
      <w:pPr>
        <w:ind w:right="20" w:firstLine="484"/>
        <w:spacing w:after="0" w:line="279" w:lineRule="auto"/>
        <w:rPr>
          <w:sz w:val="20"/>
          <w:szCs w:val="20"/>
          <w:color w:val="auto"/>
        </w:rPr>
      </w:pPr>
      <w:r>
        <w:rPr>
          <w:rFonts w:ascii="Arial" w:cs="Arial" w:eastAsia="Arial" w:hAnsi="Arial"/>
          <w:sz w:val="17"/>
          <w:szCs w:val="17"/>
          <w:color w:val="auto"/>
        </w:rPr>
        <w:t>The Company’s acquisition of LifeStyle has been accounted for in accordance with ASC Topic 805 and the resulting goodwill and other intangible assets were accounted for under ASC Topic 350. The acquisition was recorded at its fair value as of January 1, 2018. Under business combination accounting, the LifeStyle purchase price was $4.1 million and was allocated to LifeStyle’s net tangible and identifiable intangible assets based on their estimated fair values. Based upon management’s valuations, which are now final, the total purchase price is final and has been allocated as follows:</w:t>
      </w:r>
    </w:p>
    <w:p>
      <w:pPr>
        <w:spacing w:after="0" w:line="15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r>
      <w:tr>
        <w:trPr>
          <w:trHeight w:val="149"/>
        </w:trPr>
        <w:tc>
          <w:tcPr>
            <w:tcW w:w="6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(Amounts in</w:t>
            </w:r>
          </w:p>
        </w:tc>
      </w:tr>
      <w:tr>
        <w:trPr>
          <w:trHeight w:val="171"/>
        </w:trPr>
        <w:tc>
          <w:tcPr>
            <w:tcW w:w="6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Thousands)</w:t>
            </w:r>
          </w:p>
        </w:tc>
      </w:tr>
      <w:tr>
        <w:trPr>
          <w:trHeight w:val="223"/>
        </w:trPr>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1,152</w:t>
            </w:r>
          </w:p>
        </w:tc>
        <w:tc>
          <w:tcPr>
            <w:tcW w:w="80" w:type="dxa"/>
            <w:vAlign w:val="bottom"/>
          </w:tcPr>
          <w:p>
            <w:pPr>
              <w:spacing w:after="0"/>
              <w:rPr>
                <w:sz w:val="19"/>
                <w:szCs w:val="19"/>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8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(291)</w:t>
            </w: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 purchase price allocation</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4,130</w:t>
            </w:r>
          </w:p>
        </w:tc>
        <w:tc>
          <w:tcPr>
            <w:tcW w:w="8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20" w:firstLine="484"/>
        <w:spacing w:after="0" w:line="277" w:lineRule="auto"/>
        <w:rPr>
          <w:sz w:val="20"/>
          <w:szCs w:val="20"/>
          <w:color w:val="auto"/>
        </w:rPr>
      </w:pPr>
      <w:r>
        <w:rPr>
          <w:rFonts w:ascii="Arial" w:cs="Arial" w:eastAsia="Arial" w:hAnsi="Arial"/>
          <w:sz w:val="18"/>
          <w:szCs w:val="18"/>
          <w:color w:val="auto"/>
        </w:rPr>
        <w:t>Management’s assessment of qualitative factors affecting goodwill for LifeStyle includes estimates of market share at the date of purchase, ability to grow in the market, synergy with existing Company operations, and the payor profile in the market.</w:t>
      </w:r>
    </w:p>
    <w:p>
      <w:pPr>
        <w:spacing w:after="0" w:line="116" w:lineRule="exact"/>
        <w:rPr>
          <w:sz w:val="20"/>
          <w:szCs w:val="20"/>
          <w:color w:val="auto"/>
        </w:rPr>
      </w:pPr>
    </w:p>
    <w:p>
      <w:pPr>
        <w:ind w:right="220" w:firstLine="484"/>
        <w:spacing w:after="0" w:line="264" w:lineRule="auto"/>
        <w:rPr>
          <w:sz w:val="20"/>
          <w:szCs w:val="20"/>
          <w:color w:val="auto"/>
        </w:rPr>
      </w:pPr>
      <w:r>
        <w:rPr>
          <w:rFonts w:ascii="Arial" w:cs="Arial" w:eastAsia="Arial" w:hAnsi="Arial"/>
          <w:sz w:val="18"/>
          <w:szCs w:val="18"/>
          <w:color w:val="auto"/>
        </w:rPr>
        <w:t>Identifiable intangible assets acquired consist of trade name and customer relationships, with estimated useful lives ranging from ten to fifteen years. The estimated fair value of identifiable intangible assets was determined, using Level 3 inputs as defined under ASC Topic 820, with the assistance of a valuation specialist. The goodwill and intangible assets acquired are deductible for tax purposes.</w:t>
      </w:r>
    </w:p>
    <w:p>
      <w:pPr>
        <w:spacing w:after="0" w:line="127" w:lineRule="exact"/>
        <w:rPr>
          <w:sz w:val="20"/>
          <w:szCs w:val="20"/>
          <w:color w:val="auto"/>
        </w:rPr>
      </w:pPr>
    </w:p>
    <w:p>
      <w:pPr>
        <w:ind w:firstLine="484"/>
        <w:spacing w:after="0" w:line="259" w:lineRule="auto"/>
        <w:rPr>
          <w:sz w:val="20"/>
          <w:szCs w:val="20"/>
          <w:color w:val="auto"/>
        </w:rPr>
      </w:pPr>
      <w:r>
        <w:rPr>
          <w:rFonts w:ascii="Arial" w:cs="Arial" w:eastAsia="Arial" w:hAnsi="Arial"/>
          <w:sz w:val="18"/>
          <w:szCs w:val="18"/>
          <w:color w:val="auto"/>
        </w:rPr>
        <w:t>The LifeStyle acquisition accounted for $1.3 million and $2.5 million of net service revenues for the three and six months June 30, 2019, respectively, and $1.5 million and $3.0 million of net service revenues for the three and six months June 30, 2018, respectively. Net income prior to corporate allocation for the three and six months ended June 30, 2019, was $0.1 million and $0.1 million, respectively, and $0.1 million and $0.3 million of net income prior to corporate allocation for the three and six months ended June 30, 2018, respectively.</w:t>
      </w:r>
    </w:p>
    <w:p>
      <w:pPr>
        <w:spacing w:after="0" w:line="133" w:lineRule="exact"/>
        <w:rPr>
          <w:sz w:val="20"/>
          <w:szCs w:val="20"/>
          <w:color w:val="auto"/>
        </w:rPr>
      </w:pPr>
    </w:p>
    <w:p>
      <w:pPr>
        <w:ind w:right="160" w:firstLine="484"/>
        <w:spacing w:after="0" w:line="277" w:lineRule="auto"/>
        <w:rPr>
          <w:sz w:val="20"/>
          <w:szCs w:val="20"/>
          <w:color w:val="auto"/>
        </w:rPr>
      </w:pPr>
      <w:r>
        <w:rPr>
          <w:rFonts w:ascii="Arial" w:cs="Arial" w:eastAsia="Arial" w:hAnsi="Arial"/>
          <w:sz w:val="18"/>
          <w:szCs w:val="18"/>
          <w:color w:val="auto"/>
        </w:rPr>
        <w:t>The following table contains unaudited pro forma condensed consolidated income statement information of the Company had the acquisitions of VIP, Ambercare and Arcadia closed on January 1, 2018.</w:t>
      </w:r>
    </w:p>
    <w:p>
      <w:pPr>
        <w:sectPr>
          <w:pgSz w:w="11900" w:h="16838" w:orient="portrait"/>
          <w:cols w:equalWidth="0" w:num="1">
            <w:col w:w="11420"/>
          </w:cols>
          <w:pgMar w:left="240" w:top="121" w:right="239" w:bottom="1440" w:gutter="0" w:footer="0" w:header="0"/>
        </w:sectPr>
      </w:pPr>
    </w:p>
    <w:p>
      <w:pPr>
        <w:spacing w:after="0" w:line="162" w:lineRule="exact"/>
        <w:rPr>
          <w:sz w:val="20"/>
          <w:szCs w:val="20"/>
          <w:color w:val="auto"/>
        </w:rPr>
      </w:pPr>
    </w:p>
    <w:p>
      <w:pPr>
        <w:jc w:val="center"/>
        <w:ind w:left="4360"/>
        <w:spacing w:after="0"/>
        <w:rPr>
          <w:sz w:val="20"/>
          <w:szCs w:val="20"/>
          <w:color w:val="auto"/>
        </w:rPr>
      </w:pPr>
      <w:r>
        <w:rPr>
          <w:rFonts w:ascii="Arial" w:cs="Arial" w:eastAsia="Arial" w:hAnsi="Arial"/>
          <w:sz w:val="13"/>
          <w:szCs w:val="13"/>
          <w:b w:val="1"/>
          <w:bCs w:val="1"/>
          <w:color w:val="auto"/>
        </w:rPr>
        <w:t>For the Three Months Ended</w:t>
      </w:r>
    </w:p>
    <w:p>
      <w:pPr>
        <w:spacing w:after="0" w:line="15" w:lineRule="exact"/>
        <w:rPr>
          <w:sz w:val="20"/>
          <w:szCs w:val="20"/>
          <w:color w:val="auto"/>
        </w:rPr>
      </w:pPr>
    </w:p>
    <w:p>
      <w:pPr>
        <w:jc w:val="center"/>
        <w:ind w:left="4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-3175</wp:posOffset>
            </wp:positionV>
            <wp:extent cx="17411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ind w:left="4900"/>
        <w:spacing w:after="0"/>
        <w:tabs>
          <w:tab w:leader="none" w:pos="6360" w:val="left"/>
        </w:tabs>
        <w:rPr>
          <w:sz w:val="20"/>
          <w:szCs w:val="20"/>
          <w:color w:val="auto"/>
        </w:rPr>
      </w:pP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6985</wp:posOffset>
            </wp:positionV>
            <wp:extent cx="17411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6" w:lineRule="exact"/>
        <w:rPr>
          <w:sz w:val="20"/>
          <w:szCs w:val="20"/>
          <w:color w:val="auto"/>
        </w:rPr>
      </w:pPr>
    </w:p>
    <w:p>
      <w:pPr>
        <w:ind w:left="5020"/>
        <w:spacing w:after="0"/>
        <w:rPr>
          <w:sz w:val="20"/>
          <w:szCs w:val="20"/>
          <w:color w:val="auto"/>
        </w:rPr>
      </w:pPr>
      <w:r>
        <w:rPr>
          <w:rFonts w:ascii="Arial" w:cs="Arial" w:eastAsia="Arial" w:hAnsi="Arial"/>
          <w:sz w:val="14"/>
          <w:szCs w:val="14"/>
          <w:b w:val="1"/>
          <w:bCs w:val="1"/>
          <w:color w:val="auto"/>
        </w:rPr>
        <w:t>(Amounts in Thousands)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1740"/>
        <w:spacing w:after="0"/>
        <w:rPr>
          <w:sz w:val="20"/>
          <w:szCs w:val="20"/>
          <w:color w:val="auto"/>
        </w:rPr>
      </w:pPr>
      <w:r>
        <w:rPr>
          <w:rFonts w:ascii="Arial" w:cs="Arial" w:eastAsia="Arial" w:hAnsi="Arial"/>
          <w:sz w:val="14"/>
          <w:szCs w:val="14"/>
          <w:b w:val="1"/>
          <w:bCs w:val="1"/>
          <w:color w:val="auto"/>
        </w:rPr>
        <w:t>For the Six Months Ended</w:t>
      </w:r>
    </w:p>
    <w:p>
      <w:pPr>
        <w:spacing w:after="0" w:line="4" w:lineRule="exact"/>
        <w:rPr>
          <w:sz w:val="20"/>
          <w:szCs w:val="20"/>
          <w:color w:val="auto"/>
        </w:rPr>
      </w:pPr>
    </w:p>
    <w:p>
      <w:pPr>
        <w:jc w:val="center"/>
        <w:ind w:right="17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-3175</wp:posOffset>
            </wp:positionV>
            <wp:extent cx="17494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tabs>
          <w:tab w:leader="none" w:pos="1460" w:val="left"/>
        </w:tabs>
        <w:rPr>
          <w:sz w:val="20"/>
          <w:szCs w:val="20"/>
          <w:color w:val="auto"/>
        </w:rPr>
      </w:pPr>
      <w:r>
        <w:rPr>
          <w:rFonts w:ascii="Arial" w:cs="Arial" w:eastAsia="Arial" w:hAnsi="Arial"/>
          <w:sz w:val="12"/>
          <w:szCs w:val="12"/>
          <w:b w:val="1"/>
          <w:bCs w:val="1"/>
          <w:color w:val="auto"/>
        </w:rPr>
        <w:t>2019</w:t>
      </w:r>
      <w:r>
        <w:rPr>
          <w:sz w:val="20"/>
          <w:szCs w:val="20"/>
          <w:color w:val="auto"/>
        </w:rPr>
        <w:tab/>
      </w:r>
      <w:r>
        <w:rPr>
          <w:rFonts w:ascii="Arial" w:cs="Arial" w:eastAsia="Arial" w:hAnsi="Arial"/>
          <w:sz w:val="12"/>
          <w:szCs w:val="12"/>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14605</wp:posOffset>
            </wp:positionV>
            <wp:extent cx="17494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(Amounts in Thousands)</w:t>
      </w:r>
    </w:p>
    <w:p>
      <w:pPr>
        <w:spacing w:after="0" w:line="31" w:lineRule="exact"/>
        <w:rPr>
          <w:sz w:val="20"/>
          <w:szCs w:val="20"/>
          <w:color w:val="auto"/>
        </w:rPr>
      </w:pPr>
    </w:p>
    <w:p>
      <w:pPr>
        <w:sectPr>
          <w:pgSz w:w="11900" w:h="16838" w:orient="portrait"/>
          <w:cols w:equalWidth="0" w:num="2">
            <w:col w:w="7200" w:space="720"/>
            <w:col w:w="3500"/>
          </w:cols>
          <w:pgMar w:left="240" w:top="121" w:right="239" w:bottom="1440" w:gutter="0" w:footer="0" w:header="0"/>
          <w:type w:val="continuous"/>
        </w:sectPr>
      </w:pPr>
    </w:p>
    <w:tbl>
      <w:tblPr>
        <w:tblLayout w:type="fixed"/>
        <w:tblInd w:w="11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159,177</w:t>
            </w:r>
          </w:p>
        </w:tc>
        <w:tc>
          <w:tcPr>
            <w:tcW w:w="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148,610</w:t>
            </w:r>
          </w:p>
        </w:tc>
        <w:tc>
          <w:tcPr>
            <w:tcW w:w="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313,511</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300,318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8,260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7,490</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14,205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21,246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540" w:type="dxa"/>
            <w:vAlign w:val="bottom"/>
            <w:tcBorders>
              <w:top w:val="single" w:sz="8" w:color="CFF0FC"/>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6,091</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3,259</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10,597</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12,974</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4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 income per share</w:t>
            </w: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0.81</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Diluted income per share</w:t>
            </w:r>
          </w:p>
        </w:tc>
        <w:tc>
          <w:tcPr>
            <w:tcW w:w="5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vMerge w:val="continue"/>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0.45</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0.28</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0.79</w:t>
            </w:r>
          </w:p>
        </w:tc>
        <w:tc>
          <w:tcPr>
            <w:tcW w:w="220" w:type="dxa"/>
            <w:vAlign w:val="bottom"/>
          </w:tcPr>
          <w:p>
            <w:pPr>
              <w:spacing w:after="0"/>
              <w:rPr>
                <w:sz w:val="19"/>
                <w:szCs w:val="19"/>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84"/>
        <w:spacing w:after="0" w:line="297" w:lineRule="auto"/>
        <w:rPr>
          <w:sz w:val="20"/>
          <w:szCs w:val="20"/>
          <w:color w:val="auto"/>
        </w:rPr>
      </w:pPr>
      <w:r>
        <w:rPr>
          <w:rFonts w:ascii="Arial" w:cs="Arial" w:eastAsia="Arial" w:hAnsi="Arial"/>
          <w:sz w:val="16"/>
          <w:szCs w:val="16"/>
          <w:color w:val="auto"/>
        </w:rPr>
        <w:t>The pro forma disclosures in the table above include adjustments for amortization of intangible assets, tax expense and acquisition costs to reflect results that are more representative of the combined results of the transactions as if VIP, Ambercare and Arcadia had been acquired effective January 1, 2018. This pro forma information is presented for illustrative purposes only and may not be indicative of the results of operations that would have actually occurred. In addition, future results may vary significantly from the results reflected in the pro forma information. The unaudited pro forma financial information does not reflect the impact of future events that may occur after the acquisition, such as anticipated cost savings from operating synergies.</w:t>
      </w:r>
    </w:p>
    <w:p>
      <w:pPr>
        <w:sectPr>
          <w:pgSz w:w="11900" w:h="16838" w:orient="portrait"/>
          <w:cols w:equalWidth="0" w:num="1">
            <w:col w:w="11420"/>
          </w:cols>
          <w:pgMar w:left="240" w:top="121" w:right="239" w:bottom="1440" w:gutter="0" w:footer="0" w:header="0"/>
          <w:type w:val="continuous"/>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goodwill activity for the six months ended June 30, 2019 is provided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Goodwill</w:t>
            </w: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right"/>
              <w:ind w:right="560"/>
              <w:spacing w:after="0" w:line="133" w:lineRule="exact"/>
              <w:rPr>
                <w:sz w:val="20"/>
                <w:szCs w:val="20"/>
                <w:color w:val="auto"/>
              </w:rPr>
            </w:pPr>
            <w:r>
              <w:rPr>
                <w:rFonts w:ascii="Arial" w:cs="Arial" w:eastAsia="Arial" w:hAnsi="Arial"/>
                <w:sz w:val="14"/>
                <w:szCs w:val="14"/>
                <w:b w:val="1"/>
                <w:bCs w:val="1"/>
                <w:color w:val="auto"/>
              </w:rPr>
              <w:t>Personal</w:t>
            </w:r>
          </w:p>
        </w:tc>
        <w:tc>
          <w:tcPr>
            <w:tcW w:w="220" w:type="dxa"/>
            <w:vAlign w:val="bottom"/>
          </w:tcPr>
          <w:p>
            <w:pPr>
              <w:spacing w:after="0"/>
              <w:rPr>
                <w:sz w:val="11"/>
                <w:szCs w:val="11"/>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Hospice</w:t>
            </w:r>
          </w:p>
        </w:tc>
        <w:tc>
          <w:tcPr>
            <w:tcW w:w="8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Home</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Care</w:t>
            </w: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Health</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020" w:type="dxa"/>
            <w:vAlign w:val="bottom"/>
            <w:tcBorders>
              <w:top w:val="single" w:sz="8" w:color="auto"/>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(Amounts in Thousands)</w:t>
            </w:r>
          </w:p>
        </w:tc>
        <w:tc>
          <w:tcPr>
            <w:tcW w:w="3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Goodwill as of December 31, 2018</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112,377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22,200</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865</w:t>
            </w:r>
          </w:p>
        </w:tc>
        <w:tc>
          <w:tcPr>
            <w:tcW w:w="2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Additions for acquisitions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10,374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previously recorded goodwill</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Goodwill as of June 30, 2019</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122,712</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22,233</w:t>
            </w: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867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00" w:firstLine="484"/>
        <w:spacing w:after="0" w:line="259" w:lineRule="auto"/>
        <w:rPr>
          <w:sz w:val="20"/>
          <w:szCs w:val="20"/>
          <w:color w:val="auto"/>
        </w:rPr>
      </w:pPr>
      <w:r>
        <w:rPr>
          <w:rFonts w:ascii="Arial" w:cs="Arial" w:eastAsia="Arial" w:hAnsi="Arial"/>
          <w:sz w:val="18"/>
          <w:szCs w:val="18"/>
          <w:color w:val="auto"/>
        </w:rPr>
        <w:t>The Company’s identifiable intangible assets consist of customer and referral relationships, trade names, trademarks and non-competition agreements. Amortization is computed using straight-line and accelerated methods based upon the estimated useful lives of the respective assets, which range from three to twenty-five years. Goodwill and certain state licenses are not amortized pursuant to ASC Topic 350. The Company recognized goodwill of $10.4 million related to the acquisition of VIP during the three months ended June 30, 2019.</w:t>
      </w:r>
    </w:p>
    <w:p>
      <w:pPr>
        <w:spacing w:after="0" w:line="13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carrying amount and accumulated amortization of each identifiable intangible asset category consisted of the following as of June 30,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Customer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37"/>
              <w:spacing w:after="0"/>
              <w:rPr>
                <w:sz w:val="20"/>
                <w:szCs w:val="20"/>
                <w:color w:val="auto"/>
              </w:rPr>
            </w:pPr>
            <w:r>
              <w:rPr>
                <w:rFonts w:ascii="Arial" w:cs="Arial" w:eastAsia="Arial" w:hAnsi="Arial"/>
                <w:sz w:val="14"/>
                <w:szCs w:val="14"/>
                <w:b w:val="1"/>
                <w:bCs w:val="1"/>
                <w:color w:val="auto"/>
                <w:w w:val="99"/>
              </w:rPr>
              <w:t>Trade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4"/>
                <w:szCs w:val="14"/>
                <w:color w:val="auto"/>
              </w:rPr>
            </w:pPr>
          </w:p>
        </w:tc>
        <w:tc>
          <w:tcPr>
            <w:tcW w:w="10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State</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and referral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names and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competition</w:t>
            </w: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relationships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7"/>
              <w:spacing w:after="0"/>
              <w:rPr>
                <w:sz w:val="20"/>
                <w:szCs w:val="20"/>
                <w:color w:val="auto"/>
              </w:rPr>
            </w:pPr>
            <w:r>
              <w:rPr>
                <w:rFonts w:ascii="Arial" w:cs="Arial" w:eastAsia="Arial" w:hAnsi="Arial"/>
                <w:sz w:val="14"/>
                <w:szCs w:val="14"/>
                <w:b w:val="1"/>
                <w:bCs w:val="1"/>
                <w:color w:val="auto"/>
                <w:w w:val="95"/>
              </w:rPr>
              <w:t>trademarks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agreements</w:t>
            </w:r>
          </w:p>
        </w:tc>
        <w:tc>
          <w:tcPr>
            <w:tcW w:w="18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Licenses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1660" w:type="dxa"/>
            <w:vAlign w:val="bottom"/>
            <w:tcBorders>
              <w:top w:val="single" w:sz="8" w:color="auto"/>
              <w:bottom w:val="single" w:sz="8" w:color="auto"/>
            </w:tcBorders>
            <w:gridSpan w:val="5"/>
          </w:tcPr>
          <w:p>
            <w:pPr>
              <w:jc w:val="center"/>
              <w:ind w:right="50"/>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8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with indefinite lives: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Intangible assets subject to amortization:</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Gross carrying amount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47,037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21,551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(34,139)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99"/>
              <w:spacing w:after="0"/>
              <w:rPr>
                <w:sz w:val="20"/>
                <w:szCs w:val="20"/>
                <w:color w:val="auto"/>
              </w:rPr>
            </w:pPr>
            <w:r>
              <w:rPr>
                <w:rFonts w:ascii="Arial" w:cs="Arial" w:eastAsia="Arial" w:hAnsi="Arial"/>
                <w:sz w:val="18"/>
                <w:szCs w:val="18"/>
                <w:color w:val="auto"/>
              </w:rPr>
              <w:t>(11,711)</w:t>
            </w: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(2,036)</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(48,064)</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 subject to amortization, net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10,752</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33,609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Total intangible assets at June 30, 2019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9,840</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13,623</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0" w:firstLine="484"/>
        <w:spacing w:after="0" w:line="285" w:lineRule="auto"/>
        <w:rPr>
          <w:sz w:val="20"/>
          <w:szCs w:val="20"/>
          <w:color w:val="auto"/>
        </w:rPr>
      </w:pPr>
      <w:r>
        <w:rPr>
          <w:rFonts w:ascii="Arial" w:cs="Arial" w:eastAsia="Arial" w:hAnsi="Arial"/>
          <w:sz w:val="17"/>
          <w:szCs w:val="17"/>
          <w:color w:val="auto"/>
        </w:rPr>
        <w:t>The Company acquired state licenses and customer relationships of $10.7 million and $4.7 million, respectively, related to the acquisition of VIP during the three months ended June 30, 2019. Amortization expense related to the identifiable intangible assets amounted to $1.4 million and $2.7 million for the three and six months ended June 30, 2019, respectively, and $1.8 million and $3.0 million for the three and six months ended June 30, 2018, respectively. The weighted average remaining lives of identifiable intangible assets as of June 30, 2019 is 7.7 years.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Details of Certain Balance Sheet Accounts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04"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jc w:val="center"/>
              <w:ind w:left="447"/>
              <w:spacing w:after="0"/>
              <w:rPr>
                <w:sz w:val="20"/>
                <w:szCs w:val="20"/>
                <w:color w:val="auto"/>
              </w:rPr>
            </w:pPr>
            <w:r>
              <w:rPr>
                <w:rFonts w:ascii="Arial" w:cs="Arial" w:eastAsia="Arial" w:hAnsi="Arial"/>
                <w:sz w:val="14"/>
                <w:szCs w:val="14"/>
                <w:b w:val="1"/>
                <w:bCs w:val="1"/>
                <w:color w:val="auto"/>
                <w:w w:val="89"/>
              </w:rPr>
              <w:t>June 30,</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880" w:type="dxa"/>
            <w:vAlign w:val="bottom"/>
            <w:gridSpan w:val="2"/>
          </w:tcPr>
          <w:p>
            <w:pPr>
              <w:jc w:val="center"/>
              <w:ind w:left="1188"/>
              <w:spacing w:after="0"/>
              <w:rPr>
                <w:sz w:val="20"/>
                <w:szCs w:val="20"/>
                <w:color w:val="auto"/>
              </w:rPr>
            </w:pPr>
            <w:r>
              <w:rPr>
                <w:rFonts w:ascii="Arial" w:cs="Arial" w:eastAsia="Arial" w:hAnsi="Arial"/>
                <w:sz w:val="14"/>
                <w:szCs w:val="14"/>
                <w:b w:val="1"/>
                <w:bCs w:val="1"/>
                <w:color w:val="auto"/>
                <w:w w:val="96"/>
              </w:rPr>
              <w:t>2019</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195"/>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464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3660" w:type="dxa"/>
            <w:vAlign w:val="bottom"/>
            <w:tcBorders>
              <w:top w:val="single" w:sz="8" w:color="auto"/>
              <w:bottom w:val="single" w:sz="8" w:color="auto"/>
            </w:tcBorders>
            <w:gridSpan w:val="6"/>
          </w:tcPr>
          <w:p>
            <w:pPr>
              <w:jc w:val="right"/>
              <w:ind w:right="995"/>
              <w:spacing w:after="0" w:line="155" w:lineRule="exact"/>
              <w:rPr>
                <w:sz w:val="20"/>
                <w:szCs w:val="20"/>
                <w:color w:val="auto"/>
              </w:rPr>
            </w:pPr>
            <w:r>
              <w:rPr>
                <w:rFonts w:ascii="Arial" w:cs="Arial" w:eastAsia="Arial" w:hAnsi="Arial"/>
                <w:sz w:val="14"/>
                <w:szCs w:val="14"/>
                <w:b w:val="1"/>
                <w:bCs w:val="1"/>
                <w:color w:val="auto"/>
              </w:rPr>
              <w:t>(Amounts in Thousands)</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Workers’ compensation insurance receivable</w:t>
            </w:r>
          </w:p>
        </w:tc>
        <w:tc>
          <w:tcPr>
            <w:tcW w:w="7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8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52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Prepaid workers’ compensation and liability insurance</w:t>
            </w:r>
          </w:p>
        </w:tc>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1,562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Health insurance receivable</w:t>
            </w:r>
          </w:p>
        </w:tc>
        <w:tc>
          <w:tcPr>
            <w:tcW w:w="7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4,323</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6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8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9,148</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Accrued expenses consisted of the following:</w:t>
            </w:r>
          </w:p>
        </w:tc>
        <w:tc>
          <w:tcPr>
            <w:tcW w:w="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3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jc w:val="center"/>
              <w:ind w:left="447"/>
              <w:spacing w:after="0"/>
              <w:rPr>
                <w:sz w:val="20"/>
                <w:szCs w:val="20"/>
                <w:color w:val="auto"/>
              </w:rPr>
            </w:pPr>
            <w:r>
              <w:rPr>
                <w:rFonts w:ascii="Arial" w:cs="Arial" w:eastAsia="Arial" w:hAnsi="Arial"/>
                <w:sz w:val="14"/>
                <w:szCs w:val="14"/>
                <w:b w:val="1"/>
                <w:bCs w:val="1"/>
                <w:color w:val="auto"/>
                <w:w w:val="89"/>
              </w:rPr>
              <w:t>June 30,</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880" w:type="dxa"/>
            <w:vAlign w:val="bottom"/>
            <w:gridSpan w:val="2"/>
          </w:tcPr>
          <w:p>
            <w:pPr>
              <w:jc w:val="center"/>
              <w:ind w:left="1188"/>
              <w:spacing w:after="0"/>
              <w:rPr>
                <w:sz w:val="20"/>
                <w:szCs w:val="20"/>
                <w:color w:val="auto"/>
              </w:rPr>
            </w:pPr>
            <w:r>
              <w:rPr>
                <w:rFonts w:ascii="Arial" w:cs="Arial" w:eastAsia="Arial" w:hAnsi="Arial"/>
                <w:sz w:val="14"/>
                <w:szCs w:val="14"/>
                <w:b w:val="1"/>
                <w:bCs w:val="1"/>
                <w:color w:val="auto"/>
                <w:w w:val="96"/>
              </w:rPr>
              <w:t>2019</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195"/>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464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3660" w:type="dxa"/>
            <w:vAlign w:val="bottom"/>
            <w:tcBorders>
              <w:top w:val="single" w:sz="8" w:color="auto"/>
              <w:bottom w:val="single" w:sz="8" w:color="auto"/>
            </w:tcBorders>
            <w:gridSpan w:val="6"/>
          </w:tcPr>
          <w:p>
            <w:pPr>
              <w:jc w:val="right"/>
              <w:ind w:right="995"/>
              <w:spacing w:after="0" w:line="155" w:lineRule="exact"/>
              <w:rPr>
                <w:sz w:val="20"/>
                <w:szCs w:val="20"/>
                <w:color w:val="auto"/>
              </w:rPr>
            </w:pPr>
            <w:r>
              <w:rPr>
                <w:rFonts w:ascii="Arial" w:cs="Arial" w:eastAsia="Arial" w:hAnsi="Arial"/>
                <w:sz w:val="14"/>
                <w:szCs w:val="14"/>
                <w:b w:val="1"/>
                <w:bCs w:val="1"/>
                <w:color w:val="auto"/>
              </w:rPr>
              <w:t>(Amounts in Thousands)</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7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8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5,843</w:t>
            </w:r>
          </w:p>
        </w:tc>
        <w:tc>
          <w:tcPr>
            <w:tcW w:w="52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Accrued health insurance</w:t>
            </w:r>
          </w:p>
        </w:tc>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4,351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7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Accrued payroll taxes</w:t>
            </w:r>
          </w:p>
        </w:tc>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1,178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74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Pr>
          <w:p>
            <w:pPr>
              <w:jc w:val="right"/>
              <w:ind w:right="98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19,087</w:t>
            </w:r>
          </w:p>
        </w:tc>
        <w:tc>
          <w:tcPr>
            <w:tcW w:w="280" w:type="dxa"/>
            <w:vAlign w:val="bottom"/>
            <w:gridSpan w:val="2"/>
          </w:tcPr>
          <w:p>
            <w:pPr>
              <w:spacing w:after="0"/>
              <w:rPr>
                <w:sz w:val="19"/>
                <w:szCs w:val="19"/>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11,586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consisted of the following:</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420" w:type="dxa"/>
            <w:vAlign w:val="bottom"/>
            <w:gridSpan w:val="2"/>
          </w:tcPr>
          <w:p>
            <w:pPr>
              <w:jc w:val="right"/>
              <w:ind w:right="86"/>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ind w:right="634"/>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100" w:type="dxa"/>
            <w:vAlign w:val="bottom"/>
            <w:tcBorders>
              <w:bottom w:val="single" w:sz="8" w:color="CFF0FC"/>
            </w:tcBorders>
          </w:tcPr>
          <w:p>
            <w:pPr>
              <w:spacing w:after="0"/>
              <w:rPr>
                <w:sz w:val="13"/>
                <w:szCs w:val="13"/>
                <w:color w:val="auto"/>
              </w:rPr>
            </w:pPr>
          </w:p>
        </w:tc>
        <w:tc>
          <w:tcPr>
            <w:tcW w:w="1280" w:type="dxa"/>
            <w:vAlign w:val="bottom"/>
            <w:tcBorders>
              <w:bottom w:val="single" w:sz="8" w:color="CFF0FC"/>
            </w:tcBorders>
          </w:tcPr>
          <w:p>
            <w:pPr>
              <w:spacing w:after="0"/>
              <w:rPr>
                <w:sz w:val="13"/>
                <w:szCs w:val="13"/>
                <w:color w:val="auto"/>
              </w:rPr>
            </w:pPr>
          </w:p>
        </w:tc>
        <w:tc>
          <w:tcPr>
            <w:tcW w:w="3660" w:type="dxa"/>
            <w:vAlign w:val="bottom"/>
            <w:tcBorders>
              <w:top w:val="single" w:sz="8" w:color="auto"/>
              <w:bottom w:val="single" w:sz="8" w:color="auto"/>
            </w:tcBorders>
            <w:gridSpan w:val="6"/>
          </w:tcPr>
          <w:p>
            <w:pPr>
              <w:jc w:val="right"/>
              <w:ind w:right="994"/>
              <w:spacing w:after="0" w:line="155" w:lineRule="exact"/>
              <w:rPr>
                <w:sz w:val="20"/>
                <w:szCs w:val="20"/>
                <w:color w:val="auto"/>
              </w:rPr>
            </w:pPr>
            <w:r>
              <w:rPr>
                <w:rFonts w:ascii="Arial" w:cs="Arial" w:eastAsia="Arial" w:hAnsi="Arial"/>
                <w:sz w:val="14"/>
                <w:szCs w:val="14"/>
                <w:b w:val="1"/>
                <w:bCs w:val="1"/>
                <w:color w:val="auto"/>
              </w:rPr>
              <w:t>(Amounts in Thousands)</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Revolving loan under the credit facility</w:t>
            </w:r>
          </w:p>
        </w:tc>
        <w:tc>
          <w:tcPr>
            <w:tcW w:w="1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8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20,000</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Term loan under the credit facility</w:t>
            </w: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19,600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Financing leases</w:t>
            </w:r>
          </w:p>
        </w:tc>
        <w:tc>
          <w:tcPr>
            <w:tcW w:w="1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Less unamortized issuance costs</w:t>
            </w: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(2,797)</w:t>
            </w:r>
          </w:p>
        </w:tc>
      </w:tr>
      <w:tr>
        <w:trPr>
          <w:trHeight w:val="223"/>
        </w:trPr>
        <w:tc>
          <w:tcPr>
            <w:tcW w:w="2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8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37,186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17,284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r>
      <w:tr>
        <w:trPr>
          <w:trHeight w:val="223"/>
        </w:trPr>
        <w:tc>
          <w:tcPr>
            <w:tcW w:w="20" w:type="dxa"/>
            <w:vAlign w:val="bottom"/>
          </w:tcPr>
          <w:p>
            <w:pPr>
              <w:spacing w:after="0"/>
              <w:rPr>
                <w:sz w:val="19"/>
                <w:szCs w:val="19"/>
                <w:color w:val="auto"/>
              </w:rPr>
            </w:pPr>
          </w:p>
        </w:tc>
        <w:tc>
          <w:tcPr>
            <w:tcW w:w="4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28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98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36,231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17,222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Secured Credit Facility</w:t>
      </w:r>
    </w:p>
    <w:p>
      <w:pPr>
        <w:spacing w:after="0" w:line="77" w:lineRule="exact"/>
        <w:rPr>
          <w:sz w:val="20"/>
          <w:szCs w:val="20"/>
          <w:color w:val="auto"/>
        </w:rPr>
      </w:pPr>
    </w:p>
    <w:p>
      <w:pPr>
        <w:ind w:firstLine="484"/>
        <w:spacing w:after="0" w:line="285" w:lineRule="auto"/>
        <w:rPr>
          <w:sz w:val="20"/>
          <w:szCs w:val="20"/>
          <w:color w:val="auto"/>
        </w:rPr>
      </w:pPr>
      <w:r>
        <w:rPr>
          <w:rFonts w:ascii="Arial" w:cs="Arial" w:eastAsia="Arial" w:hAnsi="Arial"/>
          <w:sz w:val="16"/>
          <w:szCs w:val="16"/>
          <w:color w:val="auto"/>
        </w:rPr>
        <w:t>On October 31, 2018, the Company amended and restated its Existing Credit Agreement, as hereinafter defined (the “Credit Agreement,” and together with the Existing Credit Agreement, our “amended and restated credit facility” or “credit facility”) with certain lenders and Capital One, National Association as a lender and swing line lender and as agent for all lenders. This amended and restated credit facility totals $269.6 million, inclusive of a $250.0 million revolving loan and a $19.6 million delayed draw term loan, and is evidenced by the Credit Agreement. This amended and restated credit facility amended and restated the Company’s existing senior secured credit facility totaling $250.0 million. The maturity of this amended and restated credit facility is May 8, 2023, with borrowing under the delayed draw term loan available until June 30, 2019, as extended pursuant to the consent letter, dated January 30, 2019, executed by the Required Lenders (as defined in the Credit Agreement). Interest on the Company’s amended and restated credit facility may be payable at (x) the sum of (i) an applicable margin ranging from 0.75% to 1.50% based on the applicable senior net leverage ratio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1.75% to 2.50% based on the applicable senior net leverage ratio plus (ii) the offered rate per annum for similar dollar deposits for the applicable interest period that appears on Reuters Screen LIBOR01 Page (not to be less than zero). Swing loans may not be LIBOR loans. The availability of additional draws under this amended and restated credit facility is conditioned, among other things, upon (after giving effect to such draws) the Total Net Leverage Ratio (as defined in the Credit Agreement) not exceeding 3.75:1.00. In certain circumstances, in connection with a Material Acquisition (as defined in the Credit Agreement), the Company can elect to increase its Total Net Leverage Ratio compliance covenant to 4.25:1.00 for the then current fiscal quarter and the three succeeding fiscal quarters. In connection with this amended and restated credit facility, the Company incurred approximately $0.9 million of debt issuance costs.</w:t>
      </w:r>
    </w:p>
    <w:p>
      <w:pPr>
        <w:spacing w:after="0" w:line="121" w:lineRule="exact"/>
        <w:rPr>
          <w:sz w:val="20"/>
          <w:szCs w:val="20"/>
          <w:color w:val="auto"/>
        </w:rPr>
      </w:pPr>
    </w:p>
    <w:p>
      <w:pPr>
        <w:ind w:right="180" w:firstLine="484"/>
        <w:spacing w:after="0" w:line="257" w:lineRule="auto"/>
        <w:rPr>
          <w:sz w:val="20"/>
          <w:szCs w:val="20"/>
          <w:color w:val="auto"/>
        </w:rPr>
      </w:pPr>
      <w:r>
        <w:rPr>
          <w:rFonts w:ascii="Arial" w:cs="Arial" w:eastAsia="Arial" w:hAnsi="Arial"/>
          <w:sz w:val="18"/>
          <w:szCs w:val="18"/>
          <w:color w:val="auto"/>
        </w:rPr>
        <w:t>Addus HealthCare, Inc. (“Addus HealthCare”) is the borrower, and its parent, Holdings, and substantially all of Holdings’ subsidiaries are guarantors under this amended and restated credit facility, and it is collateralized by a first priority security interest in all of the Company’s and the other credit parties’ current and future tangible and intangible assets, including the shares of stock of the borrower and subsidiaries. The Credit Agreement contains affirmative and negative covenants customary for credit facilities of this type, including limitations on the Company with respect to liens, indebtedness, guaranties, investments, distributions, mergers and acquisitions and dispositions of assets.</w:t>
      </w:r>
    </w:p>
    <w:p>
      <w:pPr>
        <w:spacing w:after="0" w:line="134" w:lineRule="exact"/>
        <w:rPr>
          <w:sz w:val="20"/>
          <w:szCs w:val="20"/>
          <w:color w:val="auto"/>
        </w:rPr>
      </w:pPr>
    </w:p>
    <w:p>
      <w:pPr>
        <w:ind w:right="60" w:firstLine="484"/>
        <w:spacing w:after="0" w:line="277" w:lineRule="auto"/>
        <w:rPr>
          <w:sz w:val="20"/>
          <w:szCs w:val="20"/>
          <w:color w:val="auto"/>
        </w:rPr>
      </w:pPr>
      <w:r>
        <w:rPr>
          <w:rFonts w:ascii="Arial" w:cs="Arial" w:eastAsia="Arial" w:hAnsi="Arial"/>
          <w:sz w:val="18"/>
          <w:szCs w:val="18"/>
          <w:color w:val="auto"/>
        </w:rPr>
        <w:t>The Company pays a fee ranging from 0.20% to 0.35% based on the applicable senior net leverage ratio times the unused portion of the revolving loan portion of the amended and restated credit facility.</w:t>
      </w:r>
    </w:p>
    <w:p>
      <w:pPr>
        <w:spacing w:after="0" w:line="116" w:lineRule="exact"/>
        <w:rPr>
          <w:sz w:val="20"/>
          <w:szCs w:val="20"/>
          <w:color w:val="auto"/>
        </w:rPr>
      </w:pPr>
    </w:p>
    <w:p>
      <w:pPr>
        <w:ind w:right="240" w:firstLine="484"/>
        <w:spacing w:after="0" w:line="284" w:lineRule="auto"/>
        <w:rPr>
          <w:sz w:val="20"/>
          <w:szCs w:val="20"/>
          <w:color w:val="auto"/>
        </w:rPr>
      </w:pPr>
      <w:r>
        <w:rPr>
          <w:rFonts w:ascii="Arial" w:cs="Arial" w:eastAsia="Arial" w:hAnsi="Arial"/>
          <w:sz w:val="16"/>
          <w:szCs w:val="16"/>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 requirement to stay below a maximum Total Net Leverage Ratio (as defined in the Credit Agreement) and a requirement to stay below a maximum permitted amount of capital expenditures, as well as restrictions on guarantees, indebtedness, liens, investments and loans, subject to customary carve outs, a restriction on dividends (provided that Addus HealthCare may make distributions to the Company in an amount that does not exceed</w:t>
      </w:r>
    </w:p>
    <w:p>
      <w:pPr>
        <w:spacing w:after="0" w:line="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$7.5 million in any year absent of an event of default, plus limited exceptions for tax and administrative distributions), a restriction on the ability to consummate acquisitions (without the consent of the lenders) under our credit facility subject to compliance with the Total Net Leverage Ratio (as defined in the Credit Agreement), restrictions on mergers, dispositions of assets, and affiliate transactions, and restrictions on fundamental changes and lines of business.</w:t>
      </w:r>
    </w:p>
    <w:p>
      <w:pPr>
        <w:spacing w:after="0" w:line="101" w:lineRule="exact"/>
        <w:rPr>
          <w:sz w:val="20"/>
          <w:szCs w:val="20"/>
          <w:color w:val="auto"/>
        </w:rPr>
      </w:pPr>
    </w:p>
    <w:p>
      <w:pPr>
        <w:ind w:right="120" w:firstLine="484"/>
        <w:spacing w:after="0" w:line="277" w:lineRule="auto"/>
        <w:rPr>
          <w:sz w:val="20"/>
          <w:szCs w:val="20"/>
          <w:color w:val="auto"/>
        </w:rPr>
      </w:pPr>
      <w:r>
        <w:rPr>
          <w:rFonts w:ascii="Arial" w:cs="Arial" w:eastAsia="Arial" w:hAnsi="Arial"/>
          <w:sz w:val="18"/>
          <w:szCs w:val="18"/>
          <w:color w:val="auto"/>
        </w:rPr>
        <w:t>During the second quarter of 2019, the Company drew $19.6 million under the delayed draw term loan portion of its credit facility to fund, in part, the acquisition of VIP with an interest rate of 4.15% at June 30, 2019.</w:t>
      </w:r>
    </w:p>
    <w:p>
      <w:pPr>
        <w:spacing w:after="0" w:line="116" w:lineRule="exact"/>
        <w:rPr>
          <w:sz w:val="20"/>
          <w:szCs w:val="20"/>
          <w:color w:val="auto"/>
        </w:rPr>
      </w:pPr>
    </w:p>
    <w:p>
      <w:pPr>
        <w:ind w:firstLine="484"/>
        <w:spacing w:after="0" w:line="286" w:lineRule="auto"/>
        <w:rPr>
          <w:sz w:val="20"/>
          <w:szCs w:val="20"/>
          <w:color w:val="auto"/>
        </w:rPr>
      </w:pPr>
      <w:r>
        <w:rPr>
          <w:rFonts w:ascii="Arial" w:cs="Arial" w:eastAsia="Arial" w:hAnsi="Arial"/>
          <w:sz w:val="17"/>
          <w:szCs w:val="17"/>
          <w:color w:val="auto"/>
        </w:rPr>
        <w:t>As of June 30, 2019, the Company had a total of $20.0 million of revolving loans outstanding with an interest rate of 4.44% and the total availability under the revolving loan facility was $141.9 million. During the six months ended June 30, 2019, the Company had no draws under the revolving loan portion of its credit facility. At June 30, 2019, the Company was in compliance with our covenants under the Credit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ind w:right="660" w:firstLine="484"/>
        <w:spacing w:after="0" w:line="277" w:lineRule="auto"/>
        <w:rPr>
          <w:sz w:val="20"/>
          <w:szCs w:val="20"/>
          <w:color w:val="auto"/>
        </w:rPr>
      </w:pPr>
      <w:r>
        <w:rPr>
          <w:rFonts w:ascii="Arial" w:cs="Arial" w:eastAsia="Arial" w:hAnsi="Arial"/>
          <w:sz w:val="18"/>
          <w:szCs w:val="18"/>
          <w:color w:val="auto"/>
        </w:rPr>
        <w:t>As of December 31, 2018, the Company had a total of $20.0 million of revolving loans outstanding with an interest rate of 4.35% and the total availability under the revolving loan facility was $142.9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77" w:lineRule="exact"/>
        <w:rPr>
          <w:sz w:val="20"/>
          <w:szCs w:val="20"/>
          <w:color w:val="auto"/>
        </w:rPr>
      </w:pPr>
    </w:p>
    <w:p>
      <w:pPr>
        <w:ind w:right="40" w:firstLine="484"/>
        <w:spacing w:after="0" w:line="273" w:lineRule="auto"/>
        <w:rPr>
          <w:sz w:val="20"/>
          <w:szCs w:val="20"/>
          <w:color w:val="auto"/>
        </w:rPr>
      </w:pPr>
      <w:r>
        <w:rPr>
          <w:rFonts w:ascii="Arial" w:cs="Arial" w:eastAsia="Arial" w:hAnsi="Arial"/>
          <w:sz w:val="17"/>
          <w:szCs w:val="17"/>
          <w:color w:val="auto"/>
        </w:rPr>
        <w:t>Prior to October 31, 2018, we were a party to a credit agreement (the “Existing Credit Agreement”) with certain lenders and Capital One, National Association, as a lender and swing lender and as agent for all lenders. This credit facility totaled $250.0 million, replaced our previous senior secured credit facility totaling $125.0 million (“Terminated Senior Secured Credit Facility”), and terminated the Second Amended and Restated Credit and Guaranty Agreement, dated as of November 10, 2015, as modified by the May 24, 2016 amendment (as amended, the “Terminated Senior Secured Credit Agreement”), between us, certain lenders and Fifth Third Bank, as agent, which evidenced the Terminated Senior Secured Credit Facility. The credit facility included a $125.0 million revolving loan, a $45.0 million term loan and an $80.0 million delayed draw term loan.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81" w:lineRule="exact"/>
        <w:rPr>
          <w:sz w:val="20"/>
          <w:szCs w:val="20"/>
          <w:color w:val="auto"/>
        </w:rPr>
      </w:pPr>
    </w:p>
    <w:p>
      <w:pPr>
        <w:ind w:right="80" w:firstLine="484"/>
        <w:spacing w:after="0" w:line="286" w:lineRule="auto"/>
        <w:rPr>
          <w:sz w:val="20"/>
          <w:szCs w:val="20"/>
          <w:color w:val="auto"/>
        </w:rPr>
      </w:pPr>
      <w:r>
        <w:rPr>
          <w:rFonts w:ascii="Arial" w:cs="Arial" w:eastAsia="Arial" w:hAnsi="Arial"/>
          <w:sz w:val="17"/>
          <w:szCs w:val="17"/>
          <w:color w:val="auto"/>
        </w:rPr>
        <w:t>The effective income tax rate was 22.6% and 22.5% for the three months ended June 30, 2019 and 2018, respectively and 20.0% and 20.5% for the six months ended June 30, 2019 and 2018. The difference between the federal statutory rate and effective income tax rates is principally due to the inclusion of state taxes and non-deductible compensation, offset by an excess tax benefit and the use of federal employment tax credits.</w:t>
      </w:r>
    </w:p>
    <w:p>
      <w:pPr>
        <w:spacing w:after="0" w:line="175" w:lineRule="exact"/>
        <w:rPr>
          <w:sz w:val="20"/>
          <w:szCs w:val="20"/>
          <w:color w:val="auto"/>
        </w:rPr>
      </w:pPr>
    </w:p>
    <w:p>
      <w:pPr>
        <w:ind w:right="8680" w:firstLine="8"/>
        <w:spacing w:after="0" w:line="358" w:lineRule="auto"/>
        <w:tabs>
          <w:tab w:leader="none" w:pos="18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Legal Proceedings</w:t>
      </w:r>
    </w:p>
    <w:p>
      <w:pPr>
        <w:spacing w:after="0" w:line="2" w:lineRule="exact"/>
        <w:rPr>
          <w:sz w:val="20"/>
          <w:szCs w:val="20"/>
          <w:color w:val="auto"/>
        </w:rPr>
      </w:pPr>
    </w:p>
    <w:p>
      <w:pPr>
        <w:ind w:firstLine="484"/>
        <w:spacing w:after="0" w:line="264" w:lineRule="auto"/>
        <w:rPr>
          <w:sz w:val="20"/>
          <w:szCs w:val="20"/>
          <w:color w:val="auto"/>
        </w:rPr>
      </w:pPr>
      <w:r>
        <w:rPr>
          <w:rFonts w:ascii="Arial" w:cs="Arial" w:eastAsia="Arial" w:hAnsi="Arial"/>
          <w:sz w:val="18"/>
          <w:szCs w:val="18"/>
          <w:color w:val="auto"/>
        </w:rPr>
        <w:t>From time to time, the Company is subject to legal and/or administrative proceedings incidental to its business. It is the opinion of management that the outcome of pending legal and/or administrative proceedings will not have a material effect on the Condensed Consolidated Balance Sheets and Condensed Consolidated Statements of Income.</w:t>
      </w:r>
    </w:p>
    <w:p>
      <w:pPr>
        <w:spacing w:after="0" w:line="127" w:lineRule="exact"/>
        <w:rPr>
          <w:sz w:val="20"/>
          <w:szCs w:val="20"/>
          <w:color w:val="auto"/>
        </w:rPr>
      </w:pPr>
    </w:p>
    <w:p>
      <w:pPr>
        <w:ind w:firstLine="484"/>
        <w:spacing w:after="0" w:line="283" w:lineRule="auto"/>
        <w:rPr>
          <w:sz w:val="20"/>
          <w:szCs w:val="20"/>
          <w:color w:val="auto"/>
        </w:rPr>
      </w:pPr>
      <w:r>
        <w:rPr>
          <w:rFonts w:ascii="Arial" w:cs="Arial" w:eastAsia="Arial" w:hAnsi="Arial"/>
          <w:sz w:val="16"/>
          <w:szCs w:val="16"/>
          <w:color w:val="auto"/>
        </w:rPr>
        <w:t>On January 20, 2016, the Company was served with a lawsuit filed in the United States District Court for the Northern District of Illinois against the Company and Cigna Corporation by Stop Illinois Marketing Fraud, LLC, a qui tam relator formed for the purpose of bringing this action. In the action, the plaintiff alleges, inter alia, violations of the federal False Claims Act relating primarily to allegations of violations of the federal Anti-Kickback Statute and allegedly improper referrals of patients from the Company’s home care division to the Company’s home health business, substantially all of which was sold in 2013. The plaintiff seeks to recover damages, fees and costs under the federal False Claims Act including treble damages, civil penalties and its attorneys’ fees. The U.S. government has declined to intervene at this time. Plaintiff amended its complaint on April 4, 2016 to include additional allegations in support of its False Claims Act claims, including alleged violations of the federal Anti-Kickback Statute. The Company and Cigna Corporation filed a motion to dismiss the amended complaint on June 6, 2016. On February 3, 2017, the Court granted Cigna Corporation’s motion to dismiss in full, and granted the Company’s motion to dismiss in part allowing plaintiff another chance to amend its complaint. Plaintiff timely filed a second amended complaint on</w:t>
      </w:r>
    </w:p>
    <w:p>
      <w:pPr>
        <w:spacing w:after="0" w:line="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March 10, 2017, withdrawing its conspiracy claim under the Federal False Claims Act and adding an explicit claim under the Illinois False Claims Act for the same underlying kickback allegations. On April 7, 2017, the Company filed a partial motion to dismiss the Second Amended Complaint. On May 24, 2017, the State of Illinois filed notice that it was declining to intervene in the plaintiff’s claim under the Illinois False Claims Act. On March 21, 2018, the Court granted the Company’s motion to dismiss the Second Amended Complaint in part and narrowed the lawsuit to whether the federal False Claims Act was violated with respect to home health services provided at three senior living facilities in Illinois. The Company intends to defend the litigation vigorously and believes the case will not have a material adverse effect on its business, financial condition or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90" w:lineRule="exact"/>
        <w:rPr>
          <w:sz w:val="20"/>
          <w:szCs w:val="20"/>
          <w:color w:val="auto"/>
        </w:rPr>
      </w:pPr>
    </w:p>
    <w:p>
      <w:pPr>
        <w:ind w:right="40" w:firstLine="484"/>
        <w:spacing w:after="0" w:line="287" w:lineRule="auto"/>
        <w:rPr>
          <w:sz w:val="20"/>
          <w:szCs w:val="20"/>
          <w:color w:val="auto"/>
        </w:rPr>
      </w:pPr>
      <w:r>
        <w:rPr>
          <w:rFonts w:ascii="Arial" w:cs="Arial" w:eastAsia="Arial" w:hAnsi="Arial"/>
          <w:sz w:val="16"/>
          <w:szCs w:val="16"/>
          <w:color w:val="auto"/>
        </w:rPr>
        <w:t>During 2017, the Company entered into employment agreements with certain members of senior management. The terms of these agreements are up to four years with the potential to auto-renew and include non-compete, non-solicitation and nondisclosure provisions, as well as provide for defined severance payments in the event of termination. On November 5, 2018 we amended and restated the employment agreements of each of our named executive officers in order to: (i) increase the amount of severance that would be payable on certain terminations of employment in connection with a change in control (as defined in the employment agreements), from two times annual compensation to three times annual compensation (as defined in the employment agreements) in the case of our chief executive officer, and from one times annual compensation to two times annual compensation (as defined in the employment agreements) in the case of our other named executive officers; (ii) provide that the enhanced severance for terminations of employment in connection with a change in control would be payable if the named executive officers self-terminated for good reason (as defined in the employment agreements); (iii) stipulate that severance for terminations of employment in connection with a change in control would include any unpaid bonus for a performance period completed prior to termination (the chief executive officer already had this right); and (iv) adjust the duration of non-competition and non-solicitation periods to match the number of years of annual compensation that the named executive officer would receive in severance.</w:t>
      </w:r>
    </w:p>
    <w:p>
      <w:pPr>
        <w:spacing w:after="0" w:line="119" w:lineRule="exact"/>
        <w:rPr>
          <w:sz w:val="20"/>
          <w:szCs w:val="20"/>
          <w:color w:val="auto"/>
        </w:rPr>
      </w:pPr>
    </w:p>
    <w:p>
      <w:pPr>
        <w:ind w:right="160" w:firstLine="484"/>
        <w:spacing w:after="0" w:line="259" w:lineRule="auto"/>
        <w:rPr>
          <w:sz w:val="20"/>
          <w:szCs w:val="20"/>
          <w:color w:val="auto"/>
        </w:rPr>
      </w:pPr>
      <w:r>
        <w:rPr>
          <w:rFonts w:ascii="Arial" w:cs="Arial" w:eastAsia="Arial" w:hAnsi="Arial"/>
          <w:sz w:val="18"/>
          <w:szCs w:val="18"/>
          <w:color w:val="auto"/>
        </w:rPr>
        <w:t>A substantial percentage of the Company’s workforce is represented by the Service Employees International Union (“SEIU”) through local collective bargaining agreements. These agreements are re-negotiated at various intervals. These negotiations are often initiated when the Company receives increases in hourly reimbursement rates from various state agencies. Upon expiration of these collective bargaining agreements, the Company may not be able to negotiate labor agreements on satisfactory terms with these labor unions.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94" w:lineRule="exact"/>
        <w:rPr>
          <w:sz w:val="20"/>
          <w:szCs w:val="20"/>
          <w:color w:val="auto"/>
        </w:rPr>
      </w:pPr>
    </w:p>
    <w:p>
      <w:pPr>
        <w:ind w:right="80" w:firstLine="484"/>
        <w:spacing w:after="0" w:line="259" w:lineRule="auto"/>
        <w:rPr>
          <w:sz w:val="20"/>
          <w:szCs w:val="20"/>
          <w:color w:val="auto"/>
        </w:rPr>
      </w:pPr>
      <w:r>
        <w:rPr>
          <w:rFonts w:ascii="Arial" w:cs="Arial" w:eastAsia="Arial" w:hAnsi="Arial"/>
          <w:sz w:val="18"/>
          <w:szCs w:val="18"/>
          <w:color w:val="auto"/>
        </w:rPr>
        <w:t>Operating segments are defined as components of a company that engage in business activities from which it may earn revenues and incur expenses, and for which separate financial information is available and is regularly reviewed by our chief operating decision makers, to assess the performance of the individual segments and make decisions about resources to be allocated to the segments. The Company operates as a multi-state provider of three distinct but related business segments providing in-home services.</w:t>
      </w:r>
    </w:p>
    <w:p>
      <w:pPr>
        <w:spacing w:after="0" w:line="133" w:lineRule="exact"/>
        <w:rPr>
          <w:sz w:val="20"/>
          <w:szCs w:val="20"/>
          <w:color w:val="auto"/>
        </w:rPr>
      </w:pPr>
    </w:p>
    <w:p>
      <w:pPr>
        <w:ind w:right="120" w:firstLine="484"/>
        <w:spacing w:after="0" w:line="257" w:lineRule="auto"/>
        <w:rPr>
          <w:sz w:val="20"/>
          <w:szCs w:val="20"/>
          <w:color w:val="auto"/>
        </w:rPr>
      </w:pPr>
      <w:r>
        <w:rPr>
          <w:rFonts w:ascii="Arial" w:cs="Arial" w:eastAsia="Arial" w:hAnsi="Arial"/>
          <w:sz w:val="18"/>
          <w:szCs w:val="18"/>
          <w:color w:val="auto"/>
        </w:rPr>
        <w:t>In its personal care segment, the Company provides non-medical assistance with activities of daily living, primarily to persons who are at increased risk of hospitalization or institutionalization, such as the elderly, chronically ill and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w:t>
      </w:r>
    </w:p>
    <w:p>
      <w:pPr>
        <w:spacing w:after="0" w:line="134" w:lineRule="exact"/>
        <w:rPr>
          <w:sz w:val="20"/>
          <w:szCs w:val="20"/>
          <w:color w:val="auto"/>
        </w:rPr>
      </w:pPr>
    </w:p>
    <w:p>
      <w:pPr>
        <w:ind w:right="140" w:firstLine="484"/>
        <w:spacing w:after="0" w:line="286" w:lineRule="auto"/>
        <w:rPr>
          <w:sz w:val="20"/>
          <w:szCs w:val="20"/>
          <w:color w:val="auto"/>
        </w:rPr>
      </w:pPr>
      <w:r>
        <w:rPr>
          <w:rFonts w:ascii="Arial" w:cs="Arial" w:eastAsia="Arial" w:hAnsi="Arial"/>
          <w:sz w:val="17"/>
          <w:szCs w:val="17"/>
          <w:color w:val="auto"/>
        </w:rPr>
        <w:t>The tables below set forth information about our reportable segments for the three and six months ended June 30, 2019 and 2018 along with the items necessary to reconcile the segment information to the totals reported in the accompanying condensed consolidated financial statements. Segment assets are not reviewed by the company’s chief operating decision maker function and therefore are not disclosed below.</w:t>
      </w:r>
    </w:p>
    <w:p>
      <w:pPr>
        <w:spacing w:after="0" w:line="111" w:lineRule="exact"/>
        <w:rPr>
          <w:sz w:val="20"/>
          <w:szCs w:val="20"/>
          <w:color w:val="auto"/>
        </w:rPr>
      </w:pPr>
    </w:p>
    <w:p>
      <w:pPr>
        <w:ind w:right="240" w:firstLine="484"/>
        <w:spacing w:after="0" w:line="259" w:lineRule="auto"/>
        <w:rPr>
          <w:sz w:val="20"/>
          <w:szCs w:val="20"/>
          <w:color w:val="auto"/>
        </w:rPr>
      </w:pPr>
      <w:r>
        <w:rPr>
          <w:rFonts w:ascii="Arial" w:cs="Arial" w:eastAsia="Arial" w:hAnsi="Arial"/>
          <w:sz w:val="18"/>
          <w:szCs w:val="18"/>
          <w:color w:val="auto"/>
        </w:rPr>
        <w:t>Segment operating income consists of the net service revenues generated by a segment, less the direct costs of service revenues and general and administrative expenses that are incurred directly by the segment. Unallocated general and administrative costs are those costs for functions performed in a centralized manner and therefore not attributable to a particular segment. These costs include accounting, finance, human resources, legal, information technology, corporate office support and facility costs and overall corporate management.</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present our revenues disaggregated by revenue source.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6"/>
          </w:tcPr>
          <w:p>
            <w:pPr>
              <w:jc w:val="center"/>
              <w:ind w:left="72"/>
              <w:spacing w:after="0"/>
              <w:rPr>
                <w:sz w:val="20"/>
                <w:szCs w:val="20"/>
                <w:color w:val="auto"/>
              </w:rPr>
            </w:pPr>
            <w:r>
              <w:rPr>
                <w:rFonts w:ascii="Arial" w:cs="Arial" w:eastAsia="Arial" w:hAnsi="Arial"/>
                <w:sz w:val="14"/>
                <w:szCs w:val="14"/>
                <w:b w:val="1"/>
                <w:bCs w:val="1"/>
                <w:color w:val="auto"/>
                <w:w w:val="93"/>
              </w:rPr>
              <w:t>For the Three Months Ended June 30, 2019</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5"/>
          </w:tcPr>
          <w:p>
            <w:pPr>
              <w:jc w:val="center"/>
              <w:ind w:right="20"/>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center"/>
              <w:ind w:right="153"/>
              <w:spacing w:after="0" w:line="155" w:lineRule="exact"/>
              <w:rPr>
                <w:sz w:val="20"/>
                <w:szCs w:val="20"/>
                <w:color w:val="auto"/>
              </w:rPr>
            </w:pPr>
            <w:r>
              <w:rPr>
                <w:rFonts w:ascii="Arial" w:cs="Arial" w:eastAsia="Arial" w:hAnsi="Arial"/>
                <w:sz w:val="14"/>
                <w:szCs w:val="14"/>
                <w:b w:val="1"/>
                <w:bCs w:val="1"/>
                <w:color w:val="auto"/>
                <w:w w:val="87"/>
              </w:rPr>
              <w:t>Personal Care</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Hospice</w:t>
            </w:r>
          </w:p>
        </w:tc>
        <w:tc>
          <w:tcPr>
            <w:tcW w:w="140" w:type="dxa"/>
            <w:vAlign w:val="bottom"/>
          </w:tcPr>
          <w:p>
            <w:pPr>
              <w:spacing w:after="0"/>
              <w:rPr>
                <w:sz w:val="13"/>
                <w:szCs w:val="13"/>
                <w:color w:val="auto"/>
              </w:rPr>
            </w:pPr>
          </w:p>
        </w:tc>
        <w:tc>
          <w:tcPr>
            <w:tcW w:w="1200" w:type="dxa"/>
            <w:vAlign w:val="bottom"/>
            <w:gridSpan w:val="2"/>
          </w:tcPr>
          <w:p>
            <w:pPr>
              <w:jc w:val="center"/>
              <w:ind w:left="318"/>
              <w:spacing w:after="0" w:line="155" w:lineRule="exact"/>
              <w:rPr>
                <w:sz w:val="20"/>
                <w:szCs w:val="20"/>
                <w:color w:val="auto"/>
              </w:rPr>
            </w:pPr>
            <w:r>
              <w:rPr>
                <w:rFonts w:ascii="Arial" w:cs="Arial" w:eastAsia="Arial" w:hAnsi="Arial"/>
                <w:sz w:val="14"/>
                <w:szCs w:val="14"/>
                <w:b w:val="1"/>
                <w:bCs w:val="1"/>
                <w:color w:val="auto"/>
                <w:w w:val="88"/>
              </w:rPr>
              <w:t>Home Health</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ind w:left="36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138,254</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8,437</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78"/>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4"/>
              </w:rPr>
              <w:t>3,001</w:t>
            </w:r>
          </w:p>
        </w:tc>
        <w:tc>
          <w:tcPr>
            <w:tcW w:w="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149,692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102,829</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4,322</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2,071</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35,425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4,115</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13,232</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1,548</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656</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22,193</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2,567</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8"/>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25,034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center"/>
              <w:ind w:left="72"/>
              <w:spacing w:after="0"/>
              <w:rPr>
                <w:sz w:val="20"/>
                <w:szCs w:val="20"/>
                <w:color w:val="auto"/>
              </w:rPr>
            </w:pPr>
            <w:r>
              <w:rPr>
                <w:rFonts w:ascii="Arial" w:cs="Arial" w:eastAsia="Arial" w:hAnsi="Arial"/>
                <w:sz w:val="14"/>
                <w:szCs w:val="14"/>
                <w:b w:val="1"/>
                <w:bCs w:val="1"/>
                <w:color w:val="auto"/>
                <w:w w:val="93"/>
              </w:rPr>
              <w:t>For the Three Months Ended June 30, 2018</w:t>
            </w: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5"/>
          </w:tcPr>
          <w:p>
            <w:pPr>
              <w:jc w:val="center"/>
              <w:ind w:right="20"/>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center"/>
              <w:ind w:right="153"/>
              <w:spacing w:after="0" w:line="155" w:lineRule="exact"/>
              <w:rPr>
                <w:sz w:val="20"/>
                <w:szCs w:val="20"/>
                <w:color w:val="auto"/>
              </w:rPr>
            </w:pPr>
            <w:r>
              <w:rPr>
                <w:rFonts w:ascii="Arial" w:cs="Arial" w:eastAsia="Arial" w:hAnsi="Arial"/>
                <w:sz w:val="14"/>
                <w:szCs w:val="14"/>
                <w:b w:val="1"/>
                <w:bCs w:val="1"/>
                <w:color w:val="auto"/>
                <w:w w:val="91"/>
              </w:rPr>
              <w:t>Personal Care</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Hospice</w:t>
            </w:r>
          </w:p>
        </w:tc>
        <w:tc>
          <w:tcPr>
            <w:tcW w:w="140" w:type="dxa"/>
            <w:vAlign w:val="bottom"/>
          </w:tcPr>
          <w:p>
            <w:pPr>
              <w:spacing w:after="0"/>
              <w:rPr>
                <w:sz w:val="13"/>
                <w:szCs w:val="13"/>
                <w:color w:val="auto"/>
              </w:rPr>
            </w:pPr>
          </w:p>
        </w:tc>
        <w:tc>
          <w:tcPr>
            <w:tcW w:w="1920" w:type="dxa"/>
            <w:vAlign w:val="bottom"/>
            <w:gridSpan w:val="5"/>
          </w:tcPr>
          <w:p>
            <w:pPr>
              <w:jc w:val="center"/>
              <w:ind w:right="300"/>
              <w:spacing w:after="0" w:line="155" w:lineRule="exact"/>
              <w:rPr>
                <w:sz w:val="20"/>
                <w:szCs w:val="20"/>
                <w:color w:val="auto"/>
              </w:rPr>
            </w:pPr>
            <w:r>
              <w:rPr>
                <w:rFonts w:ascii="Arial" w:cs="Arial" w:eastAsia="Arial" w:hAnsi="Arial"/>
                <w:sz w:val="14"/>
                <w:szCs w:val="14"/>
                <w:b w:val="1"/>
                <w:bCs w:val="1"/>
                <w:color w:val="auto"/>
                <w:w w:val="95"/>
              </w:rPr>
              <w:t>Home Health</w:t>
            </w:r>
          </w:p>
        </w:tc>
        <w:tc>
          <w:tcPr>
            <w:tcW w:w="300" w:type="dxa"/>
            <w:vAlign w:val="bottom"/>
          </w:tcPr>
          <w:p>
            <w:pPr>
              <w:spacing w:after="0"/>
              <w:rPr>
                <w:sz w:val="13"/>
                <w:szCs w:val="13"/>
                <w:color w:val="auto"/>
              </w:rPr>
            </w:pPr>
          </w:p>
        </w:tc>
        <w:tc>
          <w:tcPr>
            <w:tcW w:w="1340" w:type="dxa"/>
            <w:vAlign w:val="bottom"/>
          </w:tcPr>
          <w:p>
            <w:pPr>
              <w:ind w:left="36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125,086</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4,649</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78"/>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4"/>
              </w:rPr>
              <w:t>1,523</w:t>
            </w:r>
          </w:p>
        </w:tc>
        <w:tc>
          <w:tcPr>
            <w:tcW w:w="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131,258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91,843</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2,574</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1,098</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33,243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2,075</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10,309</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854</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343</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22,934</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1,221</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8"/>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24,237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4"/>
              </w:rPr>
              <w:t>For the Three Months Ended June 30,</w:t>
            </w: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953"/>
              <w:spacing w:after="0" w:line="155"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38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5"/>
          </w:tcPr>
          <w:p>
            <w:pPr>
              <w:jc w:val="center"/>
              <w:ind w:left="78"/>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3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Segment Reconciliation:</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Total segment operating income</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98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25,034</w:t>
            </w:r>
          </w:p>
        </w:tc>
        <w:tc>
          <w:tcPr>
            <w:tcW w:w="340" w:type="dxa"/>
            <w:vAlign w:val="bottom"/>
          </w:tcPr>
          <w:p>
            <w:pPr>
              <w:spacing w:after="0"/>
              <w:rPr>
                <w:sz w:val="19"/>
                <w:szCs w:val="19"/>
                <w:color w:val="auto"/>
              </w:rPr>
            </w:pPr>
          </w:p>
        </w:tc>
        <w:tc>
          <w:tcPr>
            <w:tcW w:w="4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24,237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Items not allocated at segment level:</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 expenses</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14,786</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2,535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(95)</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FF0FC"/>
            </w:tcBorders>
          </w:tcPr>
          <w:p>
            <w:pPr>
              <w:spacing w:after="0"/>
              <w:rPr>
                <w:sz w:val="19"/>
                <w:szCs w:val="19"/>
                <w:color w:val="auto"/>
              </w:rPr>
            </w:pPr>
          </w:p>
        </w:tc>
        <w:tc>
          <w:tcPr>
            <w:tcW w:w="138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680</w:t>
            </w:r>
          </w:p>
        </w:tc>
        <w:tc>
          <w:tcPr>
            <w:tcW w:w="3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988"/>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7,128</w:t>
            </w:r>
          </w:p>
        </w:tc>
        <w:tc>
          <w:tcPr>
            <w:tcW w:w="3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Borders>
              <w:bottom w:val="single" w:sz="8" w:color="auto"/>
            </w:tcBorders>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87"/>
              </w:rPr>
              <w:t>For the Six Months Ended June 30, 2019</w:t>
            </w: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86"/>
              </w:rPr>
              <w:t>(Amounts in Thousands)</w:t>
            </w: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center"/>
              <w:ind w:right="153"/>
              <w:spacing w:after="0" w:line="155" w:lineRule="exact"/>
              <w:rPr>
                <w:sz w:val="20"/>
                <w:szCs w:val="20"/>
                <w:color w:val="auto"/>
              </w:rPr>
            </w:pPr>
            <w:r>
              <w:rPr>
                <w:rFonts w:ascii="Arial" w:cs="Arial" w:eastAsia="Arial" w:hAnsi="Arial"/>
                <w:sz w:val="14"/>
                <w:szCs w:val="14"/>
                <w:b w:val="1"/>
                <w:bCs w:val="1"/>
                <w:color w:val="auto"/>
                <w:w w:val="87"/>
              </w:rPr>
              <w:t>Personal Care</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Hospice</w:t>
            </w:r>
          </w:p>
        </w:tc>
        <w:tc>
          <w:tcPr>
            <w:tcW w:w="140" w:type="dxa"/>
            <w:vAlign w:val="bottom"/>
          </w:tcPr>
          <w:p>
            <w:pPr>
              <w:spacing w:after="0"/>
              <w:rPr>
                <w:sz w:val="13"/>
                <w:szCs w:val="13"/>
                <w:color w:val="auto"/>
              </w:rPr>
            </w:pPr>
          </w:p>
        </w:tc>
        <w:tc>
          <w:tcPr>
            <w:tcW w:w="1200" w:type="dxa"/>
            <w:vAlign w:val="bottom"/>
            <w:gridSpan w:val="2"/>
          </w:tcPr>
          <w:p>
            <w:pPr>
              <w:jc w:val="center"/>
              <w:ind w:left="318"/>
              <w:spacing w:after="0" w:line="155" w:lineRule="exact"/>
              <w:rPr>
                <w:sz w:val="20"/>
                <w:szCs w:val="20"/>
                <w:color w:val="auto"/>
              </w:rPr>
            </w:pPr>
            <w:r>
              <w:rPr>
                <w:rFonts w:ascii="Arial" w:cs="Arial" w:eastAsia="Arial" w:hAnsi="Arial"/>
                <w:sz w:val="14"/>
                <w:szCs w:val="14"/>
                <w:b w:val="1"/>
                <w:bCs w:val="1"/>
                <w:color w:val="auto"/>
                <w:w w:val="88"/>
              </w:rPr>
              <w:t>Home Health</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ind w:left="36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266,895</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16,354</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78"/>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4"/>
              </w:rPr>
              <w:t>5,697</w:t>
            </w:r>
          </w:p>
        </w:tc>
        <w:tc>
          <w:tcPr>
            <w:tcW w:w="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288,946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198,825</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8,092</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3,985</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68,070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8,262</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4"/>
              </w:rPr>
              <w:t>1,712</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25,771</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3,138</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1,343</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42,299</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5,124</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8"/>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47,792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1"/>
              </w:rPr>
              <w:t>For the Six Months Ended June 30, 2018</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4"/>
                <w:szCs w:val="14"/>
                <w:b w:val="1"/>
                <w:bCs w:val="1"/>
                <w:color w:val="auto"/>
              </w:rPr>
              <w:t>(Amounts in Thousands)</w:t>
            </w: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Personal Care</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right"/>
              <w:ind w:right="780"/>
              <w:spacing w:after="0" w:line="155" w:lineRule="exact"/>
              <w:rPr>
                <w:sz w:val="20"/>
                <w:szCs w:val="20"/>
                <w:color w:val="auto"/>
              </w:rPr>
            </w:pPr>
            <w:r>
              <w:rPr>
                <w:rFonts w:ascii="Arial" w:cs="Arial" w:eastAsia="Arial" w:hAnsi="Arial"/>
                <w:sz w:val="14"/>
                <w:szCs w:val="14"/>
                <w:b w:val="1"/>
                <w:bCs w:val="1"/>
                <w:color w:val="auto"/>
              </w:rPr>
              <w:t>Hospice</w:t>
            </w:r>
          </w:p>
        </w:tc>
        <w:tc>
          <w:tcPr>
            <w:tcW w:w="100" w:type="dxa"/>
            <w:vAlign w:val="bottom"/>
          </w:tcPr>
          <w:p>
            <w:pPr>
              <w:spacing w:after="0"/>
              <w:rPr>
                <w:sz w:val="13"/>
                <w:szCs w:val="13"/>
                <w:color w:val="auto"/>
              </w:rPr>
            </w:pPr>
          </w:p>
        </w:tc>
        <w:tc>
          <w:tcPr>
            <w:tcW w:w="120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Home Health</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2"/>
          </w:tcPr>
          <w:p>
            <w:pPr>
              <w:jc w:val="right"/>
              <w:ind w:right="78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234,562</w:t>
            </w: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4,649</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8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4"/>
              </w:rPr>
              <w:t>1,523</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240,734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173,386</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2,574</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1,098</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177,058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61,176</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2,075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18,790</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854</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343</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42,386</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1,221</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8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43,689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For the Six Months Ended June 30,</w:t>
            </w: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95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380" w:type="dxa"/>
            <w:vAlign w:val="bottom"/>
            <w:tcBorders>
              <w:bottom w:val="single" w:sz="8" w:color="CFF0FC"/>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5"/>
          </w:tcPr>
          <w:p>
            <w:pPr>
              <w:jc w:val="center"/>
              <w:ind w:left="80"/>
              <w:spacing w:after="0"/>
              <w:rPr>
                <w:sz w:val="20"/>
                <w:szCs w:val="20"/>
                <w:color w:val="auto"/>
              </w:rPr>
            </w:pPr>
            <w:r>
              <w:rPr>
                <w:rFonts w:ascii="Arial" w:cs="Arial" w:eastAsia="Arial" w:hAnsi="Arial"/>
                <w:sz w:val="14"/>
                <w:szCs w:val="14"/>
                <w:b w:val="1"/>
                <w:bCs w:val="1"/>
                <w:color w:val="auto"/>
                <w:w w:val="92"/>
              </w:rPr>
              <w:t>(Amounts in Thousands)</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Segment Reconciliation:</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Total segment operating income</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98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47,792</w:t>
            </w:r>
          </w:p>
        </w:tc>
        <w:tc>
          <w:tcPr>
            <w:tcW w:w="340" w:type="dxa"/>
            <w:vAlign w:val="bottom"/>
          </w:tcPr>
          <w:p>
            <w:pPr>
              <w:spacing w:after="0"/>
              <w:rPr>
                <w:sz w:val="19"/>
                <w:szCs w:val="19"/>
                <w:color w:val="auto"/>
              </w:rPr>
            </w:pPr>
          </w:p>
        </w:tc>
        <w:tc>
          <w:tcPr>
            <w:tcW w:w="4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Items not allocated at segment level:</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 expenses</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29,227</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4,609</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(310)</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FF0FC"/>
            </w:tcBorders>
          </w:tcPr>
          <w:p>
            <w:pPr>
              <w:spacing w:after="0"/>
              <w:rPr>
                <w:sz w:val="19"/>
                <w:szCs w:val="19"/>
                <w:color w:val="auto"/>
              </w:rPr>
            </w:pPr>
          </w:p>
        </w:tc>
        <w:tc>
          <w:tcPr>
            <w:tcW w:w="138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1,298</w:t>
            </w:r>
          </w:p>
        </w:tc>
        <w:tc>
          <w:tcPr>
            <w:tcW w:w="3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987"/>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12,968</w:t>
            </w:r>
          </w:p>
        </w:tc>
        <w:tc>
          <w:tcPr>
            <w:tcW w:w="3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Significant Payors</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the three and six months ended June 30, 2019 and 2018, the Company’s revenue disaggregated by payor type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9"/>
          </w:tcPr>
          <w:p>
            <w:pPr>
              <w:jc w:val="right"/>
              <w:ind w:right="820"/>
              <w:spacing w:after="0"/>
              <w:rPr>
                <w:sz w:val="20"/>
                <w:szCs w:val="20"/>
                <w:color w:val="auto"/>
              </w:rPr>
            </w:pPr>
            <w:r>
              <w:rPr>
                <w:rFonts w:ascii="Arial" w:cs="Arial" w:eastAsia="Arial" w:hAnsi="Arial"/>
                <w:sz w:val="14"/>
                <w:szCs w:val="14"/>
                <w:b w:val="1"/>
                <w:bCs w:val="1"/>
                <w:color w:val="auto"/>
              </w:rPr>
              <w:t>Personal Care</w:t>
            </w: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2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11"/>
          </w:tcPr>
          <w:p>
            <w:pPr>
              <w:jc w:val="right"/>
              <w:ind w:right="60"/>
              <w:spacing w:after="0" w:line="155" w:lineRule="exact"/>
              <w:rPr>
                <w:sz w:val="20"/>
                <w:szCs w:val="20"/>
                <w:color w:val="auto"/>
              </w:rPr>
            </w:pPr>
            <w:r>
              <w:rPr>
                <w:rFonts w:ascii="Arial" w:cs="Arial" w:eastAsia="Arial" w:hAnsi="Arial"/>
                <w:sz w:val="14"/>
                <w:szCs w:val="14"/>
                <w:b w:val="1"/>
                <w:bCs w:val="1"/>
                <w:color w:val="auto"/>
                <w:w w:val="95"/>
              </w:rPr>
              <w:t>For the Three Months Ended June 30,</w:t>
            </w: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12"/>
          </w:tcPr>
          <w:p>
            <w:pPr>
              <w:jc w:val="right"/>
              <w:ind w:right="240"/>
              <w:spacing w:after="0" w:line="155" w:lineRule="exact"/>
              <w:rPr>
                <w:sz w:val="20"/>
                <w:szCs w:val="20"/>
                <w:color w:val="auto"/>
              </w:rPr>
            </w:pPr>
            <w:r>
              <w:rPr>
                <w:rFonts w:ascii="Arial" w:cs="Arial" w:eastAsia="Arial" w:hAnsi="Arial"/>
                <w:sz w:val="14"/>
                <w:szCs w:val="14"/>
                <w:b w:val="1"/>
                <w:bCs w:val="1"/>
                <w:color w:val="auto"/>
                <w:w w:val="93"/>
              </w:rPr>
              <w:t>For the Six Months Ended June 30,</w:t>
            </w: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3"/>
        </w:trPr>
        <w:tc>
          <w:tcPr>
            <w:tcW w:w="2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20"/>
              <w:spacing w:after="0" w:line="143" w:lineRule="exact"/>
              <w:rPr>
                <w:sz w:val="20"/>
                <w:szCs w:val="20"/>
                <w:color w:val="auto"/>
              </w:rPr>
            </w:pPr>
            <w:r>
              <w:rPr>
                <w:rFonts w:ascii="Arial" w:cs="Arial" w:eastAsia="Arial" w:hAnsi="Arial"/>
                <w:sz w:val="14"/>
                <w:szCs w:val="14"/>
                <w:b w:val="1"/>
                <w:bCs w:val="1"/>
                <w:color w:val="auto"/>
                <w:w w:val="94"/>
              </w:rPr>
              <w:t>% of</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0"/>
              <w:spacing w:after="0" w:line="143" w:lineRule="exact"/>
              <w:rPr>
                <w:sz w:val="20"/>
                <w:szCs w:val="20"/>
                <w:color w:val="auto"/>
              </w:rPr>
            </w:pPr>
            <w:r>
              <w:rPr>
                <w:rFonts w:ascii="Arial" w:cs="Arial" w:eastAsia="Arial" w:hAnsi="Arial"/>
                <w:sz w:val="14"/>
                <w:szCs w:val="14"/>
                <w:b w:val="1"/>
                <w:bCs w:val="1"/>
                <w:color w:val="auto"/>
                <w:w w:val="94"/>
              </w:rPr>
              <w:t>% of</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94"/>
              </w:rPr>
              <w:t>%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4"/>
              </w:rPr>
              <w:t>% of</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Segment</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1"/>
              </w:rPr>
              <w:t>Segment</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Segment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Segment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Net Service</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Amount</w:t>
            </w: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Net Service</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Amount</w:t>
            </w: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Net Service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Amount</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Net Service</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2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5"/>
          </w:tcPr>
          <w:p>
            <w:pPr>
              <w:ind w:left="120"/>
              <w:spacing w:after="0"/>
              <w:rPr>
                <w:sz w:val="20"/>
                <w:szCs w:val="20"/>
                <w:color w:val="auto"/>
              </w:rPr>
            </w:pPr>
            <w:r>
              <w:rPr>
                <w:rFonts w:ascii="Arial" w:cs="Arial" w:eastAsia="Arial" w:hAnsi="Arial"/>
                <w:sz w:val="14"/>
                <w:szCs w:val="14"/>
                <w:b w:val="1"/>
                <w:bCs w:val="1"/>
                <w:color w:val="auto"/>
                <w:w w:val="95"/>
              </w:rPr>
              <w:t>(in Thousands)</w:t>
            </w:r>
          </w:p>
        </w:tc>
        <w:tc>
          <w:tcPr>
            <w:tcW w:w="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300" w:type="dxa"/>
            <w:vAlign w:val="bottom"/>
          </w:tcPr>
          <w:p>
            <w:pPr>
              <w:spacing w:after="0"/>
              <w:rPr>
                <w:sz w:val="14"/>
                <w:szCs w:val="14"/>
                <w:color w:val="auto"/>
              </w:rPr>
            </w:pPr>
          </w:p>
        </w:tc>
        <w:tc>
          <w:tcPr>
            <w:tcW w:w="11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5"/>
              </w:rPr>
              <w:t>(in Thousands)</w:t>
            </w:r>
          </w:p>
        </w:tc>
        <w:tc>
          <w:tcPr>
            <w:tcW w:w="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Revenues</w:t>
            </w:r>
          </w:p>
        </w:tc>
        <w:tc>
          <w:tcPr>
            <w:tcW w:w="340" w:type="dxa"/>
            <w:vAlign w:val="bottom"/>
          </w:tcPr>
          <w:p>
            <w:pPr>
              <w:spacing w:after="0"/>
              <w:rPr>
                <w:sz w:val="14"/>
                <w:szCs w:val="14"/>
                <w:color w:val="auto"/>
              </w:rPr>
            </w:pPr>
          </w:p>
        </w:tc>
        <w:tc>
          <w:tcPr>
            <w:tcW w:w="11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5"/>
              </w:rPr>
              <w:t>(in Thousands)</w:t>
            </w:r>
          </w:p>
        </w:tc>
        <w:tc>
          <w:tcPr>
            <w:tcW w:w="2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Revenues</w:t>
            </w:r>
          </w:p>
        </w:tc>
        <w:tc>
          <w:tcPr>
            <w:tcW w:w="280" w:type="dxa"/>
            <w:vAlign w:val="bottom"/>
          </w:tcPr>
          <w:p>
            <w:pPr>
              <w:spacing w:after="0"/>
              <w:rPr>
                <w:sz w:val="14"/>
                <w:szCs w:val="14"/>
                <w:color w:val="auto"/>
              </w:rPr>
            </w:pPr>
          </w:p>
        </w:tc>
        <w:tc>
          <w:tcPr>
            <w:tcW w:w="11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5"/>
              </w:rPr>
              <w:t>(in Thousands)</w:t>
            </w: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1"/>
              </w:rPr>
              <w:t>Revenues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2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0"/>
              </w:rPr>
              <w:t>State, local and other governmental</w:t>
            </w: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programs</w:t>
            </w:r>
          </w:p>
        </w:tc>
        <w:tc>
          <w:tcPr>
            <w:tcW w:w="2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75,069</w:t>
            </w:r>
          </w:p>
        </w:tc>
        <w:tc>
          <w:tcPr>
            <w:tcW w:w="100" w:type="dxa"/>
            <w:vAlign w:val="bottom"/>
            <w:shd w:val="clear" w:color="auto" w:fill="CFF0FC"/>
          </w:tcPr>
          <w:p>
            <w:pPr>
              <w:spacing w:after="0"/>
              <w:rPr>
                <w:sz w:val="20"/>
                <w:szCs w:val="20"/>
                <w:color w:val="auto"/>
              </w:rPr>
            </w:pPr>
          </w:p>
        </w:tc>
        <w:tc>
          <w:tcPr>
            <w:tcW w:w="8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54.3</w:t>
            </w:r>
          </w:p>
        </w:tc>
        <w:tc>
          <w:tcPr>
            <w:tcW w:w="4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 $</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72,520</w:t>
            </w:r>
          </w:p>
        </w:tc>
        <w:tc>
          <w:tcPr>
            <w:tcW w:w="1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57.9</w:t>
            </w:r>
          </w:p>
        </w:tc>
        <w:tc>
          <w:tcPr>
            <w:tcW w:w="5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 $</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147,128</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8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w:t>
            </w: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139,455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54,126</w:t>
            </w:r>
          </w:p>
        </w:tc>
        <w:tc>
          <w:tcPr>
            <w:tcW w:w="10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39.1</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43,295</w:t>
            </w:r>
          </w:p>
        </w:tc>
        <w:tc>
          <w:tcPr>
            <w:tcW w:w="1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34.6</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102,132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38.3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81,538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Private pay</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5,231</w:t>
            </w:r>
          </w:p>
        </w:tc>
        <w:tc>
          <w:tcPr>
            <w:tcW w:w="1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5,571</w:t>
            </w: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c>
          <w:tcPr>
            <w:tcW w:w="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Commercial insurance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1,845</w:t>
            </w:r>
          </w:p>
        </w:tc>
        <w:tc>
          <w:tcPr>
            <w:tcW w:w="1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3,907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1,787</w:t>
            </w:r>
          </w:p>
        </w:tc>
        <w:tc>
          <w:tcPr>
            <w:tcW w:w="1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1,855</w:t>
            </w: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2600" w:type="dxa"/>
            <w:vAlign w:val="bottom"/>
          </w:tcPr>
          <w:p>
            <w:pPr>
              <w:spacing w:after="0"/>
              <w:rPr>
                <w:sz w:val="20"/>
                <w:szCs w:val="20"/>
                <w:color w:val="auto"/>
              </w:rPr>
            </w:pPr>
            <w:r>
              <w:rPr>
                <w:rFonts w:ascii="Arial" w:cs="Arial" w:eastAsia="Arial" w:hAnsi="Arial"/>
                <w:sz w:val="18"/>
                <w:szCs w:val="18"/>
                <w:color w:val="auto"/>
                <w:w w:val="99"/>
              </w:rPr>
              <w:t>Total personal care segment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service revenues</w:t>
            </w:r>
          </w:p>
        </w:tc>
        <w:tc>
          <w:tcPr>
            <w:tcW w:w="2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138,254</w:t>
            </w:r>
          </w:p>
        </w:tc>
        <w:tc>
          <w:tcPr>
            <w:tcW w:w="100" w:type="dxa"/>
            <w:vAlign w:val="bottom"/>
          </w:tcPr>
          <w:p>
            <w:pPr>
              <w:spacing w:after="0"/>
              <w:rPr>
                <w:sz w:val="20"/>
                <w:szCs w:val="20"/>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 $</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125,086</w:t>
            </w:r>
          </w:p>
        </w:tc>
        <w:tc>
          <w:tcPr>
            <w:tcW w:w="1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500" w:type="dxa"/>
            <w:vAlign w:val="bottom"/>
            <w:gridSpan w:val="3"/>
          </w:tcPr>
          <w:p>
            <w:pPr>
              <w:ind w:left="100"/>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266,895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8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234,562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0"/>
        </w:trPr>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jc w:val="right"/>
              <w:ind w:right="29"/>
              <w:spacing w:after="0"/>
              <w:rPr>
                <w:sz w:val="20"/>
                <w:szCs w:val="20"/>
                <w:color w:val="auto"/>
              </w:rPr>
            </w:pPr>
            <w:r>
              <w:rPr>
                <w:rFonts w:ascii="Arial" w:cs="Arial" w:eastAsia="Arial" w:hAnsi="Arial"/>
                <w:sz w:val="14"/>
                <w:szCs w:val="14"/>
                <w:b w:val="1"/>
                <w:bCs w:val="1"/>
                <w:color w:val="auto"/>
              </w:rPr>
              <w:t>Hospice</w:t>
            </w: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2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gridSpan w:val="12"/>
          </w:tcPr>
          <w:p>
            <w:pPr>
              <w:jc w:val="center"/>
              <w:ind w:left="415"/>
              <w:spacing w:after="0" w:line="155" w:lineRule="exact"/>
              <w:rPr>
                <w:sz w:val="20"/>
                <w:szCs w:val="20"/>
                <w:color w:val="auto"/>
              </w:rPr>
            </w:pPr>
            <w:r>
              <w:rPr>
                <w:rFonts w:ascii="Arial" w:cs="Arial" w:eastAsia="Arial" w:hAnsi="Arial"/>
                <w:sz w:val="14"/>
                <w:szCs w:val="14"/>
                <w:b w:val="1"/>
                <w:bCs w:val="1"/>
                <w:color w:val="auto"/>
                <w:w w:val="93"/>
              </w:rPr>
              <w:t>For the Three Months Ended June 30,</w:t>
            </w:r>
          </w:p>
        </w:tc>
        <w:tc>
          <w:tcPr>
            <w:tcW w:w="7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12"/>
          </w:tcPr>
          <w:p>
            <w:pPr>
              <w:jc w:val="center"/>
              <w:ind w:right="120"/>
              <w:spacing w:after="0" w:line="155" w:lineRule="exact"/>
              <w:rPr>
                <w:sz w:val="20"/>
                <w:szCs w:val="20"/>
                <w:color w:val="auto"/>
              </w:rPr>
            </w:pPr>
            <w:r>
              <w:rPr>
                <w:rFonts w:ascii="Arial" w:cs="Arial" w:eastAsia="Arial" w:hAnsi="Arial"/>
                <w:sz w:val="14"/>
                <w:szCs w:val="14"/>
                <w:b w:val="1"/>
                <w:bCs w:val="1"/>
                <w:color w:val="auto"/>
                <w:w w:val="92"/>
              </w:rPr>
              <w:t>For the Six Months Ended June 30,</w:t>
            </w: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ind w:left="600"/>
              <w:spacing w:after="0" w:line="155" w:lineRule="exact"/>
              <w:rPr>
                <w:sz w:val="20"/>
                <w:szCs w:val="20"/>
                <w:color w:val="auto"/>
              </w:rPr>
            </w:pPr>
            <w:r>
              <w:rPr>
                <w:rFonts w:ascii="Arial" w:cs="Arial" w:eastAsia="Arial" w:hAnsi="Arial"/>
                <w:sz w:val="14"/>
                <w:szCs w:val="14"/>
                <w:b w:val="1"/>
                <w:bCs w:val="1"/>
                <w:color w:val="auto"/>
                <w:w w:val="96"/>
              </w:rPr>
              <w:t>2018</w:t>
            </w:r>
          </w:p>
        </w:tc>
        <w:tc>
          <w:tcPr>
            <w:tcW w:w="7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3"/>
        </w:trPr>
        <w:tc>
          <w:tcPr>
            <w:tcW w:w="2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94"/>
              </w:rPr>
              <w:t>% of</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0"/>
              <w:spacing w:after="0" w:line="143" w:lineRule="exact"/>
              <w:rPr>
                <w:sz w:val="20"/>
                <w:szCs w:val="20"/>
                <w:color w:val="auto"/>
              </w:rPr>
            </w:pPr>
            <w:r>
              <w:rPr>
                <w:rFonts w:ascii="Arial" w:cs="Arial" w:eastAsia="Arial" w:hAnsi="Arial"/>
                <w:sz w:val="14"/>
                <w:szCs w:val="14"/>
                <w:b w:val="1"/>
                <w:bCs w:val="1"/>
                <w:color w:val="auto"/>
                <w:w w:val="94"/>
              </w:rPr>
              <w:t>% of</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20"/>
              <w:spacing w:after="0" w:line="143" w:lineRule="exact"/>
              <w:rPr>
                <w:sz w:val="20"/>
                <w:szCs w:val="20"/>
                <w:color w:val="auto"/>
              </w:rPr>
            </w:pPr>
            <w:r>
              <w:rPr>
                <w:rFonts w:ascii="Arial" w:cs="Arial" w:eastAsia="Arial" w:hAnsi="Arial"/>
                <w:sz w:val="14"/>
                <w:szCs w:val="14"/>
                <w:b w:val="1"/>
                <w:bCs w:val="1"/>
                <w:color w:val="auto"/>
                <w:w w:val="94"/>
              </w:rPr>
              <w:t>%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20"/>
              <w:spacing w:after="0" w:line="143" w:lineRule="exact"/>
              <w:rPr>
                <w:sz w:val="20"/>
                <w:szCs w:val="20"/>
                <w:color w:val="auto"/>
              </w:rPr>
            </w:pPr>
            <w:r>
              <w:rPr>
                <w:rFonts w:ascii="Arial" w:cs="Arial" w:eastAsia="Arial" w:hAnsi="Arial"/>
                <w:sz w:val="14"/>
                <w:szCs w:val="14"/>
                <w:b w:val="1"/>
                <w:bCs w:val="1"/>
                <w:color w:val="auto"/>
                <w:w w:val="94"/>
              </w:rPr>
              <w:t>% of</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Segment</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Segment</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Segment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1"/>
              </w:rPr>
              <w:t>Segment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jc w:val="right"/>
              <w:ind w:right="420"/>
              <w:spacing w:after="0" w:line="149" w:lineRule="exact"/>
              <w:rPr>
                <w:sz w:val="20"/>
                <w:szCs w:val="20"/>
                <w:color w:val="auto"/>
              </w:rPr>
            </w:pPr>
            <w:r>
              <w:rPr>
                <w:rFonts w:ascii="Arial" w:cs="Arial" w:eastAsia="Arial" w:hAnsi="Arial"/>
                <w:sz w:val="14"/>
                <w:szCs w:val="14"/>
                <w:b w:val="1"/>
                <w:bCs w:val="1"/>
                <w:color w:val="auto"/>
              </w:rPr>
              <w:t>Amount</w:t>
            </w: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Net Service</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Net Service</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Net Service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4"/>
          </w:tcPr>
          <w:p>
            <w:pPr>
              <w:jc w:val="right"/>
              <w:ind w:right="380"/>
              <w:spacing w:after="0" w:line="149" w:lineRule="exact"/>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Net Service</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2600" w:type="dxa"/>
            <w:vAlign w:val="bottom"/>
          </w:tcPr>
          <w:p>
            <w:pPr>
              <w:spacing w:after="0"/>
              <w:rPr>
                <w:sz w:val="14"/>
                <w:szCs w:val="14"/>
                <w:color w:val="auto"/>
              </w:rPr>
            </w:pPr>
          </w:p>
        </w:tc>
        <w:tc>
          <w:tcPr>
            <w:tcW w:w="1120" w:type="dxa"/>
            <w:vAlign w:val="bottom"/>
            <w:gridSpan w:val="6"/>
          </w:tcPr>
          <w:p>
            <w:pPr>
              <w:ind w:left="2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Revenues</w:t>
            </w:r>
          </w:p>
        </w:tc>
        <w:tc>
          <w:tcPr>
            <w:tcW w:w="300" w:type="dxa"/>
            <w:vAlign w:val="bottom"/>
          </w:tcPr>
          <w:p>
            <w:pPr>
              <w:spacing w:after="0"/>
              <w:rPr>
                <w:sz w:val="14"/>
                <w:szCs w:val="14"/>
                <w:color w:val="auto"/>
              </w:rPr>
            </w:pPr>
          </w:p>
        </w:tc>
        <w:tc>
          <w:tcPr>
            <w:tcW w:w="110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1"/>
              </w:rPr>
              <w:t>Revenues</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(in Thousands)</w:t>
            </w:r>
          </w:p>
        </w:tc>
        <w:tc>
          <w:tcPr>
            <w:tcW w:w="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5"/>
          </w:tcPr>
          <w:p>
            <w:pPr>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Revenues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2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jc w:val="center"/>
              <w:ind w:right="1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4,353</w:t>
            </w: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w:t>
            </w: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15,199</w:t>
            </w: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92.9</w:t>
            </w:r>
          </w:p>
        </w:tc>
        <w:tc>
          <w:tcPr>
            <w:tcW w:w="28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4,353</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93.7</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835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2600" w:type="dxa"/>
            <w:vAlign w:val="bottom"/>
          </w:tcPr>
          <w:p>
            <w:pPr>
              <w:spacing w:after="0"/>
              <w:rPr>
                <w:sz w:val="20"/>
                <w:szCs w:val="20"/>
                <w:color w:val="auto"/>
              </w:rPr>
            </w:pPr>
            <w:r>
              <w:rPr>
                <w:rFonts w:ascii="Arial" w:cs="Arial" w:eastAsia="Arial" w:hAnsi="Arial"/>
                <w:sz w:val="18"/>
                <w:szCs w:val="18"/>
                <w:color w:val="auto"/>
                <w:w w:val="94"/>
              </w:rPr>
              <w:t>Total hospice segment net service</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8,437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c>
          <w:tcPr>
            <w:tcW w:w="30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4,649</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16,354</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4,649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Pr>
          <w:p>
            <w:pPr>
              <w:spacing w:after="0"/>
              <w:rPr>
                <w:sz w:val="20"/>
                <w:szCs w:val="20"/>
                <w:color w:val="auto"/>
              </w:rPr>
            </w:pPr>
          </w:p>
        </w:tc>
      </w:tr>
      <w:tr>
        <w:trPr>
          <w:trHeight w:val="20"/>
        </w:trPr>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ind w:left="580"/>
              <w:spacing w:after="0"/>
              <w:rPr>
                <w:sz w:val="20"/>
                <w:szCs w:val="20"/>
                <w:color w:val="auto"/>
              </w:rPr>
            </w:pPr>
            <w:r>
              <w:rPr>
                <w:rFonts w:ascii="Arial" w:cs="Arial" w:eastAsia="Arial" w:hAnsi="Arial"/>
                <w:sz w:val="18"/>
                <w:szCs w:val="18"/>
                <w:color w:val="auto"/>
              </w:rPr>
              <w:t>17</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708"/>
              <w:spacing w:after="0"/>
              <w:rPr>
                <w:sz w:val="20"/>
                <w:szCs w:val="20"/>
                <w:color w:val="auto"/>
              </w:rPr>
            </w:pPr>
            <w:r>
              <w:rPr>
                <w:rFonts w:ascii="Arial" w:cs="Arial" w:eastAsia="Arial" w:hAnsi="Arial"/>
                <w:sz w:val="14"/>
                <w:szCs w:val="14"/>
                <w:b w:val="1"/>
                <w:bCs w:val="1"/>
                <w:color w:val="auto"/>
              </w:rPr>
              <w:t>Home Health</w:t>
            </w:r>
          </w:p>
        </w:tc>
        <w:tc>
          <w:tcPr>
            <w:tcW w:w="7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r>
      <w:tr>
        <w:trPr>
          <w:trHeight w:val="156"/>
        </w:trPr>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6"/>
          </w:tcPr>
          <w:p>
            <w:pPr>
              <w:jc w:val="center"/>
              <w:ind w:right="120"/>
              <w:spacing w:after="0" w:line="155" w:lineRule="exact"/>
              <w:rPr>
                <w:sz w:val="20"/>
                <w:szCs w:val="20"/>
                <w:color w:val="auto"/>
              </w:rPr>
            </w:pPr>
            <w:r>
              <w:rPr>
                <w:rFonts w:ascii="Arial" w:cs="Arial" w:eastAsia="Arial" w:hAnsi="Arial"/>
                <w:sz w:val="14"/>
                <w:szCs w:val="14"/>
                <w:b w:val="1"/>
                <w:bCs w:val="1"/>
                <w:color w:val="auto"/>
                <w:w w:val="93"/>
              </w:rPr>
              <w:t>For the Three Months Ended June 30,</w:t>
            </w:r>
          </w:p>
        </w:tc>
        <w:tc>
          <w:tcPr>
            <w:tcW w:w="7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6"/>
          </w:tcPr>
          <w:p>
            <w:pPr>
              <w:jc w:val="center"/>
              <w:ind w:right="180"/>
              <w:spacing w:after="0" w:line="155" w:lineRule="exact"/>
              <w:rPr>
                <w:sz w:val="20"/>
                <w:szCs w:val="20"/>
                <w:color w:val="auto"/>
              </w:rPr>
            </w:pPr>
            <w:r>
              <w:rPr>
                <w:rFonts w:ascii="Arial" w:cs="Arial" w:eastAsia="Arial" w:hAnsi="Arial"/>
                <w:sz w:val="14"/>
                <w:szCs w:val="14"/>
                <w:b w:val="1"/>
                <w:bCs w:val="1"/>
                <w:color w:val="auto"/>
                <w:w w:val="92"/>
              </w:rPr>
              <w:t>For the Six Months Ended June 30,</w:t>
            </w:r>
          </w:p>
        </w:tc>
        <w:tc>
          <w:tcPr>
            <w:tcW w:w="7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156"/>
        </w:trPr>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143"/>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4"/>
              </w:rPr>
              <w:t>% of</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4"/>
              </w:rPr>
              <w:t>% of</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4"/>
              </w:rPr>
              <w:t>% of</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4"/>
              </w:rPr>
              <w:t>% of</w:t>
            </w:r>
          </w:p>
        </w:tc>
        <w:tc>
          <w:tcPr>
            <w:tcW w:w="240" w:type="dxa"/>
            <w:vAlign w:val="bottom"/>
          </w:tcPr>
          <w:p>
            <w:pPr>
              <w:spacing w:after="0"/>
              <w:rPr>
                <w:sz w:val="12"/>
                <w:szCs w:val="12"/>
                <w:color w:val="auto"/>
              </w:rPr>
            </w:pPr>
          </w:p>
        </w:tc>
      </w:tr>
      <w:tr>
        <w:trPr>
          <w:trHeight w:val="149"/>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Segment</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Segment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Segment</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Segment</w:t>
            </w:r>
          </w:p>
        </w:tc>
        <w:tc>
          <w:tcPr>
            <w:tcW w:w="240" w:type="dxa"/>
            <w:vAlign w:val="bottom"/>
          </w:tcPr>
          <w:p>
            <w:pPr>
              <w:spacing w:after="0"/>
              <w:rPr>
                <w:sz w:val="12"/>
                <w:szCs w:val="12"/>
                <w:color w:val="auto"/>
              </w:rPr>
            </w:pPr>
          </w:p>
        </w:tc>
      </w:tr>
      <w:tr>
        <w:trPr>
          <w:trHeight w:val="149"/>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17"/>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Net Service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4"/>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Net Service</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348"/>
              <w:spacing w:after="0" w:line="149" w:lineRule="exact"/>
              <w:rPr>
                <w:sz w:val="20"/>
                <w:szCs w:val="20"/>
                <w:color w:val="auto"/>
              </w:rPr>
            </w:pPr>
            <w:r>
              <w:rPr>
                <w:rFonts w:ascii="Arial" w:cs="Arial" w:eastAsia="Arial" w:hAnsi="Arial"/>
                <w:sz w:val="14"/>
                <w:szCs w:val="14"/>
                <w:b w:val="1"/>
                <w:bCs w:val="1"/>
                <w:color w:val="auto"/>
                <w:w w:val="94"/>
              </w:rPr>
              <w:t>Amount</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Net Service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4"/>
              </w:rPr>
              <w:t>Amount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Net Service</w:t>
            </w:r>
          </w:p>
        </w:tc>
        <w:tc>
          <w:tcPr>
            <w:tcW w:w="240" w:type="dxa"/>
            <w:vAlign w:val="bottom"/>
          </w:tcPr>
          <w:p>
            <w:pPr>
              <w:spacing w:after="0"/>
              <w:rPr>
                <w:sz w:val="12"/>
                <w:szCs w:val="12"/>
                <w:color w:val="auto"/>
              </w:rPr>
            </w:pPr>
          </w:p>
        </w:tc>
      </w:tr>
      <w:tr>
        <w:trPr>
          <w:trHeight w:val="161"/>
        </w:trPr>
        <w:tc>
          <w:tcPr>
            <w:tcW w:w="2420" w:type="dxa"/>
            <w:vAlign w:val="bottom"/>
          </w:tcPr>
          <w:p>
            <w:pPr>
              <w:spacing w:after="0"/>
              <w:rPr>
                <w:sz w:val="14"/>
                <w:szCs w:val="14"/>
                <w:color w:val="auto"/>
              </w:rPr>
            </w:pPr>
          </w:p>
        </w:tc>
        <w:tc>
          <w:tcPr>
            <w:tcW w:w="1080" w:type="dxa"/>
            <w:vAlign w:val="bottom"/>
            <w:gridSpan w:val="3"/>
          </w:tcPr>
          <w:p>
            <w:pPr>
              <w:ind w:left="200"/>
              <w:spacing w:after="0"/>
              <w:rPr>
                <w:sz w:val="20"/>
                <w:szCs w:val="20"/>
                <w:color w:val="auto"/>
              </w:rPr>
            </w:pPr>
            <w:r>
              <w:rPr>
                <w:rFonts w:ascii="Arial" w:cs="Arial" w:eastAsia="Arial" w:hAnsi="Arial"/>
                <w:sz w:val="14"/>
                <w:szCs w:val="14"/>
                <w:b w:val="1"/>
                <w:bCs w:val="1"/>
                <w:color w:val="auto"/>
                <w:w w:val="85"/>
              </w:rPr>
              <w:t>(in Thousands)</w:t>
            </w: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38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40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3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Revenues</w:t>
            </w:r>
          </w:p>
        </w:tc>
        <w:tc>
          <w:tcPr>
            <w:tcW w:w="240" w:type="dxa"/>
            <w:vAlign w:val="bottom"/>
          </w:tcPr>
          <w:p>
            <w:pPr>
              <w:spacing w:after="0"/>
              <w:rPr>
                <w:sz w:val="14"/>
                <w:szCs w:val="14"/>
                <w:color w:val="auto"/>
              </w:rPr>
            </w:pPr>
          </w:p>
        </w:tc>
      </w:tr>
      <w:tr>
        <w:trPr>
          <w:trHeight w:val="223"/>
        </w:trPr>
        <w:tc>
          <w:tcPr>
            <w:tcW w:w="2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38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1,404</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40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4,635</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38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1,404</w:t>
            </w:r>
          </w:p>
        </w:tc>
        <w:tc>
          <w:tcPr>
            <w:tcW w:w="2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891</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9"/>
                <w:szCs w:val="19"/>
                <w:color w:val="auto"/>
              </w:rPr>
            </w:pPr>
          </w:p>
        </w:tc>
      </w:tr>
      <w:tr>
        <w:trPr>
          <w:trHeight w:val="230"/>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FF0FC"/>
          </w:tcPr>
          <w:p>
            <w:pPr>
              <w:spacing w:after="0"/>
              <w:rPr>
                <w:sz w:val="19"/>
                <w:szCs w:val="19"/>
                <w:color w:val="auto"/>
              </w:rPr>
            </w:pPr>
          </w:p>
        </w:tc>
      </w:tr>
      <w:tr>
        <w:trPr>
          <w:trHeight w:val="209"/>
        </w:trPr>
        <w:tc>
          <w:tcPr>
            <w:tcW w:w="2420" w:type="dxa"/>
            <w:vAlign w:val="bottom"/>
          </w:tcPr>
          <w:p>
            <w:pPr>
              <w:spacing w:after="0"/>
              <w:rPr>
                <w:sz w:val="20"/>
                <w:szCs w:val="20"/>
                <w:color w:val="auto"/>
              </w:rPr>
            </w:pPr>
            <w:r>
              <w:rPr>
                <w:rFonts w:ascii="Arial" w:cs="Arial" w:eastAsia="Arial" w:hAnsi="Arial"/>
                <w:sz w:val="18"/>
                <w:szCs w:val="18"/>
                <w:color w:val="auto"/>
                <w:w w:val="96"/>
              </w:rPr>
              <w:t>Total home health segment net</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service revenues</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3,001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1,523</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5,697</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1,523</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firstLine="484"/>
        <w:spacing w:after="0" w:line="277" w:lineRule="auto"/>
        <w:rPr>
          <w:sz w:val="20"/>
          <w:szCs w:val="20"/>
          <w:color w:val="auto"/>
        </w:rPr>
      </w:pPr>
      <w:r>
        <w:rPr>
          <w:rFonts w:ascii="Arial" w:cs="Arial" w:eastAsia="Arial" w:hAnsi="Arial"/>
          <w:sz w:val="18"/>
          <w:szCs w:val="18"/>
          <w:color w:val="auto"/>
        </w:rPr>
        <w:t>The percentages of segment revenue for each of the Company’s significant states for the three and six months ended June 30, 2019 and 2018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center"/>
              <w:ind w:right="268"/>
              <w:spacing w:after="0"/>
              <w:rPr>
                <w:sz w:val="20"/>
                <w:szCs w:val="20"/>
                <w:color w:val="auto"/>
              </w:rPr>
            </w:pPr>
            <w:r>
              <w:rPr>
                <w:rFonts w:ascii="Arial" w:cs="Arial" w:eastAsia="Arial" w:hAnsi="Arial"/>
                <w:sz w:val="14"/>
                <w:szCs w:val="14"/>
                <w:b w:val="1"/>
                <w:bCs w:val="1"/>
                <w:color w:val="auto"/>
                <w:w w:val="91"/>
              </w:rPr>
              <w:t>Personal Care</w:t>
            </w:r>
          </w:p>
        </w:tc>
        <w:tc>
          <w:tcPr>
            <w:tcW w:w="7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56"/>
        </w:trPr>
        <w:tc>
          <w:tcPr>
            <w:tcW w:w="2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180" w:type="dxa"/>
            <w:vAlign w:val="bottom"/>
            <w:tcBorders>
              <w:bottom w:val="single" w:sz="8" w:color="auto"/>
            </w:tcBorders>
            <w:gridSpan w:val="7"/>
          </w:tcPr>
          <w:p>
            <w:pPr>
              <w:jc w:val="center"/>
              <w:ind w:left="520"/>
              <w:spacing w:after="0" w:line="155" w:lineRule="exact"/>
              <w:rPr>
                <w:sz w:val="20"/>
                <w:szCs w:val="20"/>
                <w:color w:val="auto"/>
              </w:rPr>
            </w:pPr>
            <w:r>
              <w:rPr>
                <w:rFonts w:ascii="Arial" w:cs="Arial" w:eastAsia="Arial" w:hAnsi="Arial"/>
                <w:sz w:val="14"/>
                <w:szCs w:val="14"/>
                <w:b w:val="1"/>
                <w:bCs w:val="1"/>
                <w:color w:val="auto"/>
                <w:w w:val="93"/>
              </w:rPr>
              <w:t>For the Three Months Ended June 30,</w:t>
            </w:r>
          </w:p>
        </w:tc>
        <w:tc>
          <w:tcPr>
            <w:tcW w:w="7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6"/>
          </w:tcPr>
          <w:p>
            <w:pPr>
              <w:jc w:val="center"/>
              <w:ind w:right="140"/>
              <w:spacing w:after="0" w:line="155" w:lineRule="exact"/>
              <w:rPr>
                <w:sz w:val="20"/>
                <w:szCs w:val="20"/>
                <w:color w:val="auto"/>
              </w:rPr>
            </w:pPr>
            <w:r>
              <w:rPr>
                <w:rFonts w:ascii="Arial" w:cs="Arial" w:eastAsia="Arial" w:hAnsi="Arial"/>
                <w:sz w:val="14"/>
                <w:szCs w:val="14"/>
                <w:b w:val="1"/>
                <w:bCs w:val="1"/>
                <w:color w:val="auto"/>
                <w:w w:val="92"/>
              </w:rPr>
              <w:t>For the Six Months Ended June 30,</w:t>
            </w:r>
          </w:p>
        </w:tc>
        <w:tc>
          <w:tcPr>
            <w:tcW w:w="7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r>
      <w:tr>
        <w:trPr>
          <w:trHeight w:val="156"/>
        </w:trPr>
        <w:tc>
          <w:tcPr>
            <w:tcW w:w="2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r>
      <w:tr>
        <w:trPr>
          <w:trHeight w:val="143"/>
        </w:trPr>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4"/>
              </w:rPr>
              <w:t>% of</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4"/>
              </w:rPr>
              <w:t>% of</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4"/>
              </w:rPr>
              <w:t>% of</w:t>
            </w:r>
          </w:p>
        </w:tc>
        <w:tc>
          <w:tcPr>
            <w:tcW w:w="280" w:type="dxa"/>
            <w:vAlign w:val="bottom"/>
          </w:tcPr>
          <w:p>
            <w:pPr>
              <w:spacing w:after="0"/>
              <w:rPr>
                <w:sz w:val="12"/>
                <w:szCs w:val="12"/>
                <w:color w:val="auto"/>
              </w:rPr>
            </w:pPr>
          </w:p>
        </w:tc>
      </w:tr>
      <w:tr>
        <w:trPr>
          <w:trHeight w:val="149"/>
        </w:trPr>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Segment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Segment</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Segment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Segment</w:t>
            </w:r>
          </w:p>
        </w:tc>
        <w:tc>
          <w:tcPr>
            <w:tcW w:w="280" w:type="dxa"/>
            <w:vAlign w:val="bottom"/>
          </w:tcPr>
          <w:p>
            <w:pPr>
              <w:spacing w:after="0"/>
              <w:rPr>
                <w:sz w:val="12"/>
                <w:szCs w:val="12"/>
                <w:color w:val="auto"/>
              </w:rPr>
            </w:pPr>
          </w:p>
        </w:tc>
      </w:tr>
      <w:tr>
        <w:trPr>
          <w:trHeight w:val="149"/>
        </w:trPr>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4"/>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Net Service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8"/>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Net Service</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48"/>
              <w:spacing w:after="0" w:line="149" w:lineRule="exact"/>
              <w:rPr>
                <w:sz w:val="20"/>
                <w:szCs w:val="20"/>
                <w:color w:val="auto"/>
              </w:rPr>
            </w:pPr>
            <w:r>
              <w:rPr>
                <w:rFonts w:ascii="Arial" w:cs="Arial" w:eastAsia="Arial" w:hAnsi="Arial"/>
                <w:sz w:val="14"/>
                <w:szCs w:val="14"/>
                <w:b w:val="1"/>
                <w:bCs w:val="1"/>
                <w:color w:val="auto"/>
                <w:w w:val="98"/>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Net Service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8"/>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Net Service</w:t>
            </w:r>
          </w:p>
        </w:tc>
        <w:tc>
          <w:tcPr>
            <w:tcW w:w="280" w:type="dxa"/>
            <w:vAlign w:val="bottom"/>
          </w:tcPr>
          <w:p>
            <w:pPr>
              <w:spacing w:after="0"/>
              <w:rPr>
                <w:sz w:val="12"/>
                <w:szCs w:val="12"/>
                <w:color w:val="auto"/>
              </w:rPr>
            </w:pPr>
          </w:p>
        </w:tc>
      </w:tr>
      <w:tr>
        <w:trPr>
          <w:trHeight w:val="161"/>
        </w:trPr>
        <w:tc>
          <w:tcPr>
            <w:tcW w:w="2500" w:type="dxa"/>
            <w:vAlign w:val="bottom"/>
          </w:tcPr>
          <w:p>
            <w:pPr>
              <w:spacing w:after="0"/>
              <w:rPr>
                <w:sz w:val="14"/>
                <w:szCs w:val="14"/>
                <w:color w:val="auto"/>
              </w:rPr>
            </w:pPr>
          </w:p>
        </w:tc>
        <w:tc>
          <w:tcPr>
            <w:tcW w:w="1160" w:type="dxa"/>
            <w:vAlign w:val="bottom"/>
            <w:gridSpan w:val="4"/>
          </w:tcPr>
          <w:p>
            <w:pPr>
              <w:ind w:left="8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3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320" w:type="dxa"/>
            <w:vAlign w:val="bottom"/>
          </w:tcPr>
          <w:p>
            <w:pPr>
              <w:spacing w:after="0"/>
              <w:rPr>
                <w:sz w:val="14"/>
                <w:szCs w:val="14"/>
                <w:color w:val="auto"/>
              </w:rPr>
            </w:pPr>
          </w:p>
        </w:tc>
        <w:tc>
          <w:tcPr>
            <w:tcW w:w="1160" w:type="dxa"/>
            <w:vAlign w:val="bottom"/>
            <w:gridSpan w:val="4"/>
          </w:tcPr>
          <w:p>
            <w:pPr>
              <w:ind w:left="6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3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280" w:type="dxa"/>
            <w:vAlign w:val="bottom"/>
          </w:tcPr>
          <w:p>
            <w:pPr>
              <w:spacing w:after="0"/>
              <w:rPr>
                <w:sz w:val="14"/>
                <w:szCs w:val="14"/>
                <w:color w:val="auto"/>
              </w:rPr>
            </w:pPr>
          </w:p>
        </w:tc>
      </w:tr>
      <w:tr>
        <w:trPr>
          <w:trHeight w:val="223"/>
        </w:trPr>
        <w:tc>
          <w:tcPr>
            <w:tcW w:w="2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Illinois</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59,891</w:t>
            </w: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38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58,335</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32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117,487</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38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115,644</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New York</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23,020</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15,800</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40,833</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31,185</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9"/>
                <w:szCs w:val="19"/>
                <w:color w:val="auto"/>
              </w:rPr>
            </w:pP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New Mexico</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18,135</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14,794</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35,343</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26,581</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80" w:type="dxa"/>
            <w:vAlign w:val="bottom"/>
            <w:shd w:val="clear" w:color="auto" w:fill="CFF0FC"/>
          </w:tcPr>
          <w:p>
            <w:pPr>
              <w:spacing w:after="0"/>
              <w:rPr>
                <w:sz w:val="19"/>
                <w:szCs w:val="19"/>
                <w:color w:val="auto"/>
              </w:rPr>
            </w:pPr>
          </w:p>
        </w:tc>
      </w:tr>
      <w:tr>
        <w:trPr>
          <w:trHeight w:val="230"/>
        </w:trPr>
        <w:tc>
          <w:tcPr>
            <w:tcW w:w="2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states</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37,208</w:t>
            </w:r>
          </w:p>
        </w:tc>
        <w:tc>
          <w:tcPr>
            <w:tcW w:w="2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3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36,157</w:t>
            </w:r>
          </w:p>
        </w:tc>
        <w:tc>
          <w:tcPr>
            <w:tcW w:w="2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3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73,232</w:t>
            </w:r>
          </w:p>
        </w:tc>
        <w:tc>
          <w:tcPr>
            <w:tcW w:w="2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3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61,152</w:t>
            </w:r>
          </w:p>
        </w:tc>
        <w:tc>
          <w:tcPr>
            <w:tcW w:w="2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280" w:type="dxa"/>
            <w:vAlign w:val="bottom"/>
            <w:tcBorders>
              <w:bottom w:val="single" w:sz="8" w:color="CFF0FC"/>
            </w:tcBorders>
          </w:tcPr>
          <w:p>
            <w:pPr>
              <w:spacing w:after="0"/>
              <w:rPr>
                <w:sz w:val="19"/>
                <w:szCs w:val="19"/>
                <w:color w:val="auto"/>
              </w:rPr>
            </w:pPr>
          </w:p>
        </w:tc>
      </w:tr>
      <w:tr>
        <w:trPr>
          <w:trHeight w:val="209"/>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w w:val="96"/>
              </w:rPr>
              <w:t>Total personal care segment net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service revenues</w:t>
            </w: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138,254</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125,086</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266,895</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234,562</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5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r>
      <w:tr>
        <w:trPr>
          <w:trHeight w:val="426"/>
        </w:trPr>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center"/>
              <w:ind w:left="543"/>
              <w:spacing w:after="0"/>
              <w:rPr>
                <w:sz w:val="20"/>
                <w:szCs w:val="20"/>
                <w:color w:val="auto"/>
              </w:rPr>
            </w:pPr>
            <w:r>
              <w:rPr>
                <w:rFonts w:ascii="Arial" w:cs="Arial" w:eastAsia="Arial" w:hAnsi="Arial"/>
                <w:sz w:val="14"/>
                <w:szCs w:val="14"/>
                <w:b w:val="1"/>
                <w:bCs w:val="1"/>
                <w:color w:val="auto"/>
                <w:w w:val="91"/>
              </w:rPr>
              <w:t>Hospice</w:t>
            </w: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r>
        <w:trPr>
          <w:trHeight w:val="156"/>
        </w:trPr>
        <w:tc>
          <w:tcPr>
            <w:tcW w:w="2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180" w:type="dxa"/>
            <w:vAlign w:val="bottom"/>
            <w:tcBorders>
              <w:bottom w:val="single" w:sz="8" w:color="auto"/>
            </w:tcBorders>
            <w:gridSpan w:val="7"/>
          </w:tcPr>
          <w:p>
            <w:pPr>
              <w:jc w:val="center"/>
              <w:ind w:left="520"/>
              <w:spacing w:after="0" w:line="155" w:lineRule="exact"/>
              <w:rPr>
                <w:sz w:val="20"/>
                <w:szCs w:val="20"/>
                <w:color w:val="auto"/>
              </w:rPr>
            </w:pPr>
            <w:r>
              <w:rPr>
                <w:rFonts w:ascii="Arial" w:cs="Arial" w:eastAsia="Arial" w:hAnsi="Arial"/>
                <w:sz w:val="14"/>
                <w:szCs w:val="14"/>
                <w:b w:val="1"/>
                <w:bCs w:val="1"/>
                <w:color w:val="auto"/>
                <w:w w:val="93"/>
              </w:rPr>
              <w:t>For the Three Months Ended June 30,</w:t>
            </w:r>
          </w:p>
        </w:tc>
        <w:tc>
          <w:tcPr>
            <w:tcW w:w="7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6"/>
          </w:tcPr>
          <w:p>
            <w:pPr>
              <w:jc w:val="center"/>
              <w:ind w:right="140"/>
              <w:spacing w:after="0" w:line="155" w:lineRule="exact"/>
              <w:rPr>
                <w:sz w:val="20"/>
                <w:szCs w:val="20"/>
                <w:color w:val="auto"/>
              </w:rPr>
            </w:pPr>
            <w:r>
              <w:rPr>
                <w:rFonts w:ascii="Arial" w:cs="Arial" w:eastAsia="Arial" w:hAnsi="Arial"/>
                <w:sz w:val="14"/>
                <w:szCs w:val="14"/>
                <w:b w:val="1"/>
                <w:bCs w:val="1"/>
                <w:color w:val="auto"/>
                <w:w w:val="92"/>
              </w:rPr>
              <w:t>For the Six Months Ended June 30,</w:t>
            </w:r>
          </w:p>
        </w:tc>
        <w:tc>
          <w:tcPr>
            <w:tcW w:w="7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r>
      <w:tr>
        <w:trPr>
          <w:trHeight w:val="156"/>
        </w:trPr>
        <w:tc>
          <w:tcPr>
            <w:tcW w:w="2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r>
      <w:tr>
        <w:trPr>
          <w:trHeight w:val="143"/>
        </w:trPr>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4"/>
              </w:rPr>
              <w:t>% of</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4"/>
              </w:rPr>
              <w:t>% of</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4"/>
              </w:rPr>
              <w:t>% of</w:t>
            </w:r>
          </w:p>
        </w:tc>
        <w:tc>
          <w:tcPr>
            <w:tcW w:w="280" w:type="dxa"/>
            <w:vAlign w:val="bottom"/>
          </w:tcPr>
          <w:p>
            <w:pPr>
              <w:spacing w:after="0"/>
              <w:rPr>
                <w:sz w:val="12"/>
                <w:szCs w:val="12"/>
                <w:color w:val="auto"/>
              </w:rPr>
            </w:pPr>
          </w:p>
        </w:tc>
      </w:tr>
      <w:tr>
        <w:trPr>
          <w:trHeight w:val="149"/>
        </w:trPr>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Segment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Segment</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Segment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Segment</w:t>
            </w:r>
          </w:p>
        </w:tc>
        <w:tc>
          <w:tcPr>
            <w:tcW w:w="280" w:type="dxa"/>
            <w:vAlign w:val="bottom"/>
          </w:tcPr>
          <w:p>
            <w:pPr>
              <w:spacing w:after="0"/>
              <w:rPr>
                <w:sz w:val="12"/>
                <w:szCs w:val="12"/>
                <w:color w:val="auto"/>
              </w:rPr>
            </w:pPr>
          </w:p>
        </w:tc>
      </w:tr>
      <w:tr>
        <w:trPr>
          <w:trHeight w:val="149"/>
        </w:trPr>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4"/>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Net Service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8"/>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Net Service</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48"/>
              <w:spacing w:after="0" w:line="149" w:lineRule="exact"/>
              <w:rPr>
                <w:sz w:val="20"/>
                <w:szCs w:val="20"/>
                <w:color w:val="auto"/>
              </w:rPr>
            </w:pPr>
            <w:r>
              <w:rPr>
                <w:rFonts w:ascii="Arial" w:cs="Arial" w:eastAsia="Arial" w:hAnsi="Arial"/>
                <w:sz w:val="14"/>
                <w:szCs w:val="14"/>
                <w:b w:val="1"/>
                <w:bCs w:val="1"/>
                <w:color w:val="auto"/>
                <w:w w:val="98"/>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Net Service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8"/>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Net Service</w:t>
            </w:r>
          </w:p>
        </w:tc>
        <w:tc>
          <w:tcPr>
            <w:tcW w:w="280" w:type="dxa"/>
            <w:vAlign w:val="bottom"/>
          </w:tcPr>
          <w:p>
            <w:pPr>
              <w:spacing w:after="0"/>
              <w:rPr>
                <w:sz w:val="12"/>
                <w:szCs w:val="12"/>
                <w:color w:val="auto"/>
              </w:rPr>
            </w:pPr>
          </w:p>
        </w:tc>
      </w:tr>
      <w:tr>
        <w:trPr>
          <w:trHeight w:val="161"/>
        </w:trPr>
        <w:tc>
          <w:tcPr>
            <w:tcW w:w="2500" w:type="dxa"/>
            <w:vAlign w:val="bottom"/>
          </w:tcPr>
          <w:p>
            <w:pPr>
              <w:spacing w:after="0"/>
              <w:rPr>
                <w:sz w:val="14"/>
                <w:szCs w:val="14"/>
                <w:color w:val="auto"/>
              </w:rPr>
            </w:pPr>
          </w:p>
        </w:tc>
        <w:tc>
          <w:tcPr>
            <w:tcW w:w="1160" w:type="dxa"/>
            <w:vAlign w:val="bottom"/>
            <w:gridSpan w:val="4"/>
          </w:tcPr>
          <w:p>
            <w:pPr>
              <w:ind w:left="8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3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320" w:type="dxa"/>
            <w:vAlign w:val="bottom"/>
          </w:tcPr>
          <w:p>
            <w:pPr>
              <w:spacing w:after="0"/>
              <w:rPr>
                <w:sz w:val="14"/>
                <w:szCs w:val="14"/>
                <w:color w:val="auto"/>
              </w:rPr>
            </w:pPr>
          </w:p>
        </w:tc>
        <w:tc>
          <w:tcPr>
            <w:tcW w:w="1160" w:type="dxa"/>
            <w:vAlign w:val="bottom"/>
            <w:gridSpan w:val="4"/>
          </w:tcPr>
          <w:p>
            <w:pPr>
              <w:ind w:left="6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3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280" w:type="dxa"/>
            <w:vAlign w:val="bottom"/>
          </w:tcPr>
          <w:p>
            <w:pPr>
              <w:spacing w:after="0"/>
              <w:rPr>
                <w:sz w:val="14"/>
                <w:szCs w:val="14"/>
                <w:color w:val="auto"/>
              </w:rPr>
            </w:pPr>
          </w:p>
        </w:tc>
      </w:tr>
      <w:tr>
        <w:trPr>
          <w:trHeight w:val="223"/>
        </w:trPr>
        <w:tc>
          <w:tcPr>
            <w:tcW w:w="2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New Mexico</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8,437</w:t>
            </w: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4,649</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16,354</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4,649</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2500" w:type="dxa"/>
            <w:vAlign w:val="bottom"/>
          </w:tcPr>
          <w:p>
            <w:pPr>
              <w:spacing w:after="0"/>
              <w:rPr>
                <w:sz w:val="20"/>
                <w:szCs w:val="20"/>
                <w:color w:val="auto"/>
              </w:rPr>
            </w:pPr>
            <w:r>
              <w:rPr>
                <w:rFonts w:ascii="Arial" w:cs="Arial" w:eastAsia="Arial" w:hAnsi="Arial"/>
                <w:sz w:val="18"/>
                <w:szCs w:val="18"/>
                <w:color w:val="auto"/>
                <w:w w:val="90"/>
              </w:rPr>
              <w:t>Total hospice segment net service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revenues</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8,437</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4,649</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16,354</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4,649</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26"/>
        </w:trPr>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center"/>
              <w:ind w:right="268"/>
              <w:spacing w:after="0"/>
              <w:rPr>
                <w:sz w:val="20"/>
                <w:szCs w:val="20"/>
                <w:color w:val="auto"/>
              </w:rPr>
            </w:pPr>
            <w:r>
              <w:rPr>
                <w:rFonts w:ascii="Arial" w:cs="Arial" w:eastAsia="Arial" w:hAnsi="Arial"/>
                <w:sz w:val="14"/>
                <w:szCs w:val="14"/>
                <w:b w:val="1"/>
                <w:bCs w:val="1"/>
                <w:color w:val="auto"/>
                <w:w w:val="95"/>
              </w:rPr>
              <w:t>Home Health</w:t>
            </w: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r>
        <w:trPr>
          <w:trHeight w:val="156"/>
        </w:trPr>
        <w:tc>
          <w:tcPr>
            <w:tcW w:w="2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180" w:type="dxa"/>
            <w:vAlign w:val="bottom"/>
            <w:tcBorders>
              <w:bottom w:val="single" w:sz="8" w:color="auto"/>
            </w:tcBorders>
            <w:gridSpan w:val="7"/>
          </w:tcPr>
          <w:p>
            <w:pPr>
              <w:jc w:val="center"/>
              <w:ind w:left="520"/>
              <w:spacing w:after="0" w:line="155" w:lineRule="exact"/>
              <w:rPr>
                <w:sz w:val="20"/>
                <w:szCs w:val="20"/>
                <w:color w:val="auto"/>
              </w:rPr>
            </w:pPr>
            <w:r>
              <w:rPr>
                <w:rFonts w:ascii="Arial" w:cs="Arial" w:eastAsia="Arial" w:hAnsi="Arial"/>
                <w:sz w:val="14"/>
                <w:szCs w:val="14"/>
                <w:b w:val="1"/>
                <w:bCs w:val="1"/>
                <w:color w:val="auto"/>
                <w:w w:val="93"/>
              </w:rPr>
              <w:t>For the Three Months Ended June 30,</w:t>
            </w:r>
          </w:p>
        </w:tc>
        <w:tc>
          <w:tcPr>
            <w:tcW w:w="7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6"/>
          </w:tcPr>
          <w:p>
            <w:pPr>
              <w:jc w:val="center"/>
              <w:ind w:right="140"/>
              <w:spacing w:after="0" w:line="155" w:lineRule="exact"/>
              <w:rPr>
                <w:sz w:val="20"/>
                <w:szCs w:val="20"/>
                <w:color w:val="auto"/>
              </w:rPr>
            </w:pPr>
            <w:r>
              <w:rPr>
                <w:rFonts w:ascii="Arial" w:cs="Arial" w:eastAsia="Arial" w:hAnsi="Arial"/>
                <w:sz w:val="14"/>
                <w:szCs w:val="14"/>
                <w:b w:val="1"/>
                <w:bCs w:val="1"/>
                <w:color w:val="auto"/>
                <w:w w:val="92"/>
              </w:rPr>
              <w:t>For the Six Months Ended June 30,</w:t>
            </w:r>
          </w:p>
        </w:tc>
        <w:tc>
          <w:tcPr>
            <w:tcW w:w="7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r>
      <w:tr>
        <w:trPr>
          <w:trHeight w:val="156"/>
        </w:trPr>
        <w:tc>
          <w:tcPr>
            <w:tcW w:w="2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r>
      <w:tr>
        <w:trPr>
          <w:trHeight w:val="143"/>
        </w:trPr>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4"/>
              </w:rPr>
              <w:t>% of</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4"/>
              </w:rPr>
              <w:t>% of</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4"/>
              </w:rPr>
              <w:t>% of</w:t>
            </w:r>
          </w:p>
        </w:tc>
        <w:tc>
          <w:tcPr>
            <w:tcW w:w="280" w:type="dxa"/>
            <w:vAlign w:val="bottom"/>
          </w:tcPr>
          <w:p>
            <w:pPr>
              <w:spacing w:after="0"/>
              <w:rPr>
                <w:sz w:val="12"/>
                <w:szCs w:val="12"/>
                <w:color w:val="auto"/>
              </w:rPr>
            </w:pPr>
          </w:p>
        </w:tc>
      </w:tr>
      <w:tr>
        <w:trPr>
          <w:trHeight w:val="149"/>
        </w:trPr>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Segment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Segment</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Segment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Segment</w:t>
            </w:r>
          </w:p>
        </w:tc>
        <w:tc>
          <w:tcPr>
            <w:tcW w:w="280" w:type="dxa"/>
            <w:vAlign w:val="bottom"/>
          </w:tcPr>
          <w:p>
            <w:pPr>
              <w:spacing w:after="0"/>
              <w:rPr>
                <w:sz w:val="12"/>
                <w:szCs w:val="12"/>
                <w:color w:val="auto"/>
              </w:rPr>
            </w:pPr>
          </w:p>
        </w:tc>
      </w:tr>
      <w:tr>
        <w:trPr>
          <w:trHeight w:val="149"/>
        </w:trPr>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4"/>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Net Service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8"/>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Net Service</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48"/>
              <w:spacing w:after="0" w:line="149" w:lineRule="exact"/>
              <w:rPr>
                <w:sz w:val="20"/>
                <w:szCs w:val="20"/>
                <w:color w:val="auto"/>
              </w:rPr>
            </w:pPr>
            <w:r>
              <w:rPr>
                <w:rFonts w:ascii="Arial" w:cs="Arial" w:eastAsia="Arial" w:hAnsi="Arial"/>
                <w:sz w:val="14"/>
                <w:szCs w:val="14"/>
                <w:b w:val="1"/>
                <w:bCs w:val="1"/>
                <w:color w:val="auto"/>
                <w:w w:val="98"/>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Net Service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8"/>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Net Service</w:t>
            </w:r>
          </w:p>
        </w:tc>
        <w:tc>
          <w:tcPr>
            <w:tcW w:w="280" w:type="dxa"/>
            <w:vAlign w:val="bottom"/>
          </w:tcPr>
          <w:p>
            <w:pPr>
              <w:spacing w:after="0"/>
              <w:rPr>
                <w:sz w:val="12"/>
                <w:szCs w:val="12"/>
                <w:color w:val="auto"/>
              </w:rPr>
            </w:pPr>
          </w:p>
        </w:tc>
      </w:tr>
      <w:tr>
        <w:trPr>
          <w:trHeight w:val="161"/>
        </w:trPr>
        <w:tc>
          <w:tcPr>
            <w:tcW w:w="2500" w:type="dxa"/>
            <w:vAlign w:val="bottom"/>
          </w:tcPr>
          <w:p>
            <w:pPr>
              <w:spacing w:after="0"/>
              <w:rPr>
                <w:sz w:val="14"/>
                <w:szCs w:val="14"/>
                <w:color w:val="auto"/>
              </w:rPr>
            </w:pPr>
          </w:p>
        </w:tc>
        <w:tc>
          <w:tcPr>
            <w:tcW w:w="1160" w:type="dxa"/>
            <w:vAlign w:val="bottom"/>
            <w:gridSpan w:val="4"/>
          </w:tcPr>
          <w:p>
            <w:pPr>
              <w:ind w:left="8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3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320" w:type="dxa"/>
            <w:vAlign w:val="bottom"/>
          </w:tcPr>
          <w:p>
            <w:pPr>
              <w:spacing w:after="0"/>
              <w:rPr>
                <w:sz w:val="14"/>
                <w:szCs w:val="14"/>
                <w:color w:val="auto"/>
              </w:rPr>
            </w:pPr>
          </w:p>
        </w:tc>
        <w:tc>
          <w:tcPr>
            <w:tcW w:w="1160" w:type="dxa"/>
            <w:vAlign w:val="bottom"/>
            <w:gridSpan w:val="4"/>
          </w:tcPr>
          <w:p>
            <w:pPr>
              <w:ind w:left="6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3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280" w:type="dxa"/>
            <w:vAlign w:val="bottom"/>
          </w:tcPr>
          <w:p>
            <w:pPr>
              <w:spacing w:after="0"/>
              <w:rPr>
                <w:sz w:val="14"/>
                <w:szCs w:val="14"/>
                <w:color w:val="auto"/>
              </w:rPr>
            </w:pPr>
          </w:p>
        </w:tc>
      </w:tr>
      <w:tr>
        <w:trPr>
          <w:trHeight w:val="223"/>
        </w:trPr>
        <w:tc>
          <w:tcPr>
            <w:tcW w:w="2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New Mexico</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3,001</w:t>
            </w: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1,523</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5,697</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1,523</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2500" w:type="dxa"/>
            <w:vAlign w:val="bottom"/>
          </w:tcPr>
          <w:p>
            <w:pPr>
              <w:spacing w:after="0"/>
              <w:rPr>
                <w:sz w:val="20"/>
                <w:szCs w:val="20"/>
                <w:color w:val="auto"/>
              </w:rPr>
            </w:pPr>
            <w:r>
              <w:rPr>
                <w:rFonts w:ascii="Arial" w:cs="Arial" w:eastAsia="Arial" w:hAnsi="Arial"/>
                <w:sz w:val="18"/>
                <w:szCs w:val="18"/>
                <w:color w:val="auto"/>
                <w:w w:val="99"/>
              </w:rPr>
              <w:t>Total home health segment net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service revenues</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3,001</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1,523</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5,697</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1,523</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88" w:lineRule="exact"/>
        <w:rPr>
          <w:sz w:val="20"/>
          <w:szCs w:val="20"/>
          <w:color w:val="auto"/>
        </w:rPr>
      </w:pPr>
    </w:p>
    <w:p>
      <w:pPr>
        <w:ind w:right="500" w:firstLine="484"/>
        <w:spacing w:after="0" w:line="291" w:lineRule="auto"/>
        <w:rPr>
          <w:sz w:val="20"/>
          <w:szCs w:val="20"/>
          <w:color w:val="auto"/>
        </w:rPr>
      </w:pPr>
      <w:r>
        <w:rPr>
          <w:rFonts w:ascii="Arial" w:cs="Arial" w:eastAsia="Arial" w:hAnsi="Arial"/>
          <w:sz w:val="16"/>
          <w:szCs w:val="16"/>
          <w:color w:val="auto"/>
        </w:rPr>
        <w:t>A substantial portion of the Company’s net service revenues and accounts receivable are derived from services performed for state and local governmental agencies. The Illinois Department on Aging, the largest payor program for our Illinois personal care operations, accounted for 27.5% and</w:t>
      </w:r>
    </w:p>
    <w:p>
      <w:pPr>
        <w:ind w:right="280"/>
        <w:spacing w:after="0" w:line="261" w:lineRule="auto"/>
        <w:rPr>
          <w:sz w:val="20"/>
          <w:szCs w:val="20"/>
          <w:color w:val="auto"/>
        </w:rPr>
      </w:pPr>
      <w:r>
        <w:rPr>
          <w:rFonts w:ascii="Arial" w:cs="Arial" w:eastAsia="Arial" w:hAnsi="Arial"/>
          <w:sz w:val="18"/>
          <w:szCs w:val="18"/>
          <w:color w:val="auto"/>
        </w:rPr>
        <w:t>30.4% of the Company’s net service revenues for the three months ended June 30, 2019 and 2018, respectively, and accounted for 28.2% and 33.1% of the Company’s net service revenues for the six months ended June 30, 2019 and 2018, respectively.</w:t>
      </w:r>
    </w:p>
    <w:p>
      <w:pPr>
        <w:spacing w:after="0" w:line="130" w:lineRule="exact"/>
        <w:rPr>
          <w:sz w:val="20"/>
          <w:szCs w:val="20"/>
          <w:color w:val="auto"/>
        </w:rPr>
      </w:pPr>
    </w:p>
    <w:p>
      <w:pPr>
        <w:ind w:right="60" w:firstLine="484"/>
        <w:spacing w:after="0" w:line="277" w:lineRule="auto"/>
        <w:rPr>
          <w:sz w:val="20"/>
          <w:szCs w:val="20"/>
          <w:color w:val="auto"/>
        </w:rPr>
      </w:pPr>
      <w:r>
        <w:rPr>
          <w:rFonts w:ascii="Arial" w:cs="Arial" w:eastAsia="Arial" w:hAnsi="Arial"/>
          <w:sz w:val="18"/>
          <w:szCs w:val="18"/>
          <w:color w:val="auto"/>
        </w:rPr>
        <w:t>The related receivables due from the Illinois Department on Aging represented 27.7% and 22.5% of the Company’s net accounts receivable at June 30, 2019 and December 31, 2018,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94" w:lineRule="exact"/>
        <w:rPr>
          <w:sz w:val="20"/>
          <w:szCs w:val="20"/>
          <w:color w:val="auto"/>
        </w:rPr>
      </w:pPr>
    </w:p>
    <w:p>
      <w:pPr>
        <w:ind w:firstLine="535"/>
        <w:spacing w:after="0" w:line="276" w:lineRule="auto"/>
        <w:rPr>
          <w:sz w:val="20"/>
          <w:szCs w:val="20"/>
          <w:color w:val="auto"/>
        </w:rPr>
      </w:pPr>
      <w:r>
        <w:rPr>
          <w:rFonts w:ascii="Arial" w:cs="Arial" w:eastAsia="Arial" w:hAnsi="Arial"/>
          <w:sz w:val="17"/>
          <w:szCs w:val="17"/>
          <w:color w:val="auto"/>
        </w:rPr>
        <w:t>On August 1, 2019, the Company completed the acquisition of Alliance Home Health Care, LLC (“Alliance”) for approximately $23.5 million. Additionally, the Company acquired the assets of Foremost Home Care (“Foremost”) for approximately $1.4 million. The Company funded these acquisitions through a combination of the revolving loan portion of its credit facility and available cash. With the purchase of Alliance, the Company expanded its home health and hospice operations in the state of New Mexico. The addition of Foremost will support the Company’s growth strategy in the New York City market area. The Company is currently assessing the fair value of identifiable net assets acquired.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62" w:lineRule="exact"/>
        <w:rPr>
          <w:sz w:val="20"/>
          <w:szCs w:val="20"/>
          <w:color w:val="auto"/>
        </w:rPr>
      </w:pPr>
    </w:p>
    <w:p>
      <w:pPr>
        <w:ind w:right="20" w:firstLine="484"/>
        <w:spacing w:after="0" w:line="284" w:lineRule="auto"/>
        <w:rPr>
          <w:sz w:val="20"/>
          <w:szCs w:val="20"/>
          <w:color w:val="auto"/>
        </w:rPr>
      </w:pPr>
      <w:r>
        <w:rPr>
          <w:rFonts w:ascii="Arial" w:cs="Arial" w:eastAsia="Arial" w:hAnsi="Arial"/>
          <w:sz w:val="16"/>
          <w:szCs w:val="16"/>
          <w:i w:val="1"/>
          <w:iCs w:val="1"/>
          <w:color w:val="auto"/>
        </w:rPr>
        <w:t>You should read the following discussion together with our unaudited condensed consolidated financial statements and the related notes included elsewhere in this quarterly report on Form 10-Q. This discussion contains forward-looking statements about our business and operations. Statements that are predictive in nature, that depend upon or refer to future events or conditions or that include words like “believes,” “belief,” “expects,” “plans,” “anticipates,” “intends,” “projects,” “estimates,” “may,” “might,” “would,” “should” and similar expressions are intended to be forward-looking statements as defined by the Private Securities Litigation Reform Act of 1995.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These risks and uncertainties include, but are not limited to, changes in operational and reimbursement processes and payment structures at the state or federal levels; changes in Medicaid, Medicare, other government program and managed care organizations policies and payment rates; changes in, or our failure to comply with existing, federal and state laws or regulations or our failure to comply with new government laws or regulations on a timely basis; competition in the healthcare industry; the geographical concentration of our operations; changes in the case mix of consumers and payment methodologies; operational changes resulting from the assumption by managed care organizations of responsibility for managing and paying for our services to consumers; the nature and success of future financial and/or delivery system reforms; changes in estimates and judgments associated with critical accounting policies; our ability to maintain or establish new referral sources; our ability to renew significant agreements or groups of agreements; our ability to attract and retain qualified personnel; federal, city and state minimum wage pressure, including any failure of Illinois or any other governmental entity to enact a minimum wage offset and/or the timing of any such enactment; changes in payments and covered services due to the overall economic conditions and deficit spending by federal and state governments; cost containment initiatives undertaken by state and other third-party payors; our ability to access financing through the capital and credit markets; our ability to meet debt service requirements and comply with covenants in debt agreements; business disruptions due to natural disasters or acts of terrorism; our ability to integrate and manage our information systems; our expectations regarding the size and growth of the market for our services; the acceptance of privatized social services; our expectations regarding changes in reimbursement rates; eligibility standards and limits on services imposed by state governmental agencies; the potential for litigation; discretionary determinations by government officials; our ability to successfully implement our business model to grow our business; our ability to continue identifying, pursuing and integrating acquisition opportunities and expand into new geographic markets; the impact of acquisitions and dispositions on our business; the effectiveness, quality and cost of our services; our ability to successfully execute our growth strategy; changes in tax rates; the impact of inclement weather or natural disasters; and various other matters, many of which are beyond our control. In addition, the risk factors set forth in Part I, Item 1A of our Annual Report on Form 10-K for the period ended December 31, 2018, filed on March 18, 2019, may result in these differences. You should carefully review all of these factors. These forward-looking statements were based on information, plans and estimates at the date of this prospectus supplement or the other document containing the forward-looking statement, and we assume no obligation to update any forward-looking statements to reflect changes in underlying assumptions or factors, new information, future events or other changes, except as may be required by law.</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77" w:lineRule="exact"/>
        <w:rPr>
          <w:sz w:val="20"/>
          <w:szCs w:val="20"/>
          <w:color w:val="auto"/>
        </w:rPr>
      </w:pPr>
    </w:p>
    <w:p>
      <w:pPr>
        <w:ind w:right="60" w:firstLine="484"/>
        <w:spacing w:after="0" w:line="257" w:lineRule="auto"/>
        <w:rPr>
          <w:sz w:val="20"/>
          <w:szCs w:val="20"/>
          <w:color w:val="auto"/>
        </w:rPr>
      </w:pPr>
      <w:r>
        <w:rPr>
          <w:rFonts w:ascii="Arial" w:cs="Arial" w:eastAsia="Arial" w:hAnsi="Arial"/>
          <w:sz w:val="18"/>
          <w:szCs w:val="18"/>
          <w:color w:val="auto"/>
        </w:rPr>
        <w:t>We are a home care services provider operating in three segments: personal care, hospice, and home health. Our services are provided in-home under agreements with federal, state and local government agencies, managed care organizations, commercial insurers and private individuals. Our consumers are predominantly “dual eligible,” meaning they are eligible to receive both Medicare and Medicaid benefits. Managed care revenues accounted for 36.8% and 33.3% of our revenue during the three months ended June 30, 2019 and 2018, respectively, and 35.9% and 34.0% of our revenue during the six months ended June 30, 2019 and 2018, respectively.</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our financial results for the three and six months ended June 30, 2019 and 2018 is provided below.</w:t>
      </w:r>
    </w:p>
    <w:p>
      <w:pPr>
        <w:sectPr>
          <w:pgSz w:w="11900" w:h="16838" w:orient="portrait"/>
          <w:cols w:equalWidth="0" w:num="1">
            <w:col w:w="11420"/>
          </w:cols>
          <w:pgMar w:left="240" w:top="121" w:right="239" w:bottom="1440" w:gutter="0" w:footer="0" w:header="0"/>
        </w:sectPr>
      </w:pPr>
    </w:p>
    <w:p>
      <w:pPr>
        <w:spacing w:after="0" w:line="298" w:lineRule="exact"/>
        <w:rPr>
          <w:sz w:val="20"/>
          <w:szCs w:val="20"/>
          <w:color w:val="auto"/>
        </w:rPr>
      </w:pPr>
    </w:p>
    <w:p>
      <w:pPr>
        <w:ind w:left="4200"/>
        <w:spacing w:after="0"/>
        <w:rPr>
          <w:sz w:val="20"/>
          <w:szCs w:val="20"/>
          <w:color w:val="auto"/>
        </w:rPr>
      </w:pPr>
      <w:r>
        <w:rPr>
          <w:rFonts w:ascii="Arial" w:cs="Arial" w:eastAsia="Arial" w:hAnsi="Arial"/>
          <w:sz w:val="14"/>
          <w:szCs w:val="14"/>
          <w:b w:val="1"/>
          <w:bCs w:val="1"/>
          <w:color w:val="auto"/>
        </w:rPr>
        <w:t>For the Three Months Ended June 30,</w:t>
      </w:r>
    </w:p>
    <w:p>
      <w:pPr>
        <w:spacing w:after="0" w:line="10" w:lineRule="exact"/>
        <w:rPr>
          <w:sz w:val="20"/>
          <w:szCs w:val="20"/>
          <w:color w:val="auto"/>
        </w:rPr>
      </w:pPr>
    </w:p>
    <w:tbl>
      <w:tblPr>
        <w:tblLayout w:type="fixed"/>
        <w:tblInd w:w="3520" w:type="dxa"/>
        <w:tblCellMar>
          <w:top w:w="0" w:type="dxa"/>
          <w:left w:w="0" w:type="dxa"/>
          <w:bottom w:w="0" w:type="dxa"/>
          <w:right w:w="0" w:type="dxa"/>
        </w:tblCellMar>
      </w:tblPr>
      <w:tr>
        <w:trPr>
          <w:trHeight w:val="156"/>
        </w:trPr>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2680" w:type="dxa"/>
            <w:vAlign w:val="bottom"/>
            <w:tcBorders>
              <w:top w:val="single" w:sz="8" w:color="auto"/>
              <w:bottom w:val="single" w:sz="8" w:color="auto"/>
            </w:tcBorders>
          </w:tcPr>
          <w:p>
            <w:pPr>
              <w:jc w:val="right"/>
              <w:ind w:right="648"/>
              <w:spacing w:after="0" w:line="155" w:lineRule="exact"/>
              <w:rPr>
                <w:sz w:val="20"/>
                <w:szCs w:val="20"/>
                <w:color w:val="auto"/>
              </w:rPr>
            </w:pPr>
            <w:r>
              <w:rPr>
                <w:rFonts w:ascii="Arial" w:cs="Arial" w:eastAsia="Arial" w:hAnsi="Arial"/>
                <w:sz w:val="14"/>
                <w:szCs w:val="14"/>
                <w:b w:val="1"/>
                <w:bCs w:val="1"/>
                <w:color w:val="auto"/>
              </w:rPr>
              <w:t>2018</w:t>
            </w:r>
          </w:p>
        </w:tc>
      </w:tr>
      <w:tr>
        <w:trPr>
          <w:trHeight w:val="156"/>
        </w:trPr>
        <w:tc>
          <w:tcPr>
            <w:tcW w:w="1040" w:type="dxa"/>
            <w:vAlign w:val="bottom"/>
          </w:tcPr>
          <w:p>
            <w:pPr>
              <w:spacing w:after="0"/>
              <w:rPr>
                <w:sz w:val="13"/>
                <w:szCs w:val="13"/>
                <w:color w:val="auto"/>
              </w:rPr>
            </w:pPr>
          </w:p>
        </w:tc>
        <w:tc>
          <w:tcPr>
            <w:tcW w:w="2680" w:type="dxa"/>
            <w:vAlign w:val="bottom"/>
          </w:tcPr>
          <w:p>
            <w:pPr>
              <w:jc w:val="right"/>
              <w:ind w:right="1028"/>
              <w:spacing w:after="0" w:line="155" w:lineRule="exact"/>
              <w:rPr>
                <w:sz w:val="20"/>
                <w:szCs w:val="20"/>
                <w:color w:val="auto"/>
              </w:rPr>
            </w:pPr>
            <w:r>
              <w:rPr>
                <w:rFonts w:ascii="Arial" w:cs="Arial" w:eastAsia="Arial" w:hAnsi="Arial"/>
                <w:sz w:val="14"/>
                <w:szCs w:val="14"/>
                <w:b w:val="1"/>
                <w:bCs w:val="1"/>
                <w:color w:val="auto"/>
                <w:w w:val="94"/>
              </w:rPr>
              <w:t>(Amounts in Thousands)</w:t>
            </w:r>
          </w:p>
        </w:tc>
      </w:tr>
    </w:tbl>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For the Six Months Ended 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2700" w:type="dxa"/>
            <w:vAlign w:val="bottom"/>
            <w:tcBorders>
              <w:top w:val="single" w:sz="8" w:color="auto"/>
              <w:bottom w:val="single" w:sz="8" w:color="auto"/>
            </w:tcBorders>
          </w:tcPr>
          <w:p>
            <w:pPr>
              <w:jc w:val="right"/>
              <w:ind w:right="648"/>
              <w:spacing w:after="0" w:line="155" w:lineRule="exact"/>
              <w:rPr>
                <w:sz w:val="20"/>
                <w:szCs w:val="20"/>
                <w:color w:val="auto"/>
              </w:rPr>
            </w:pPr>
            <w:r>
              <w:rPr>
                <w:rFonts w:ascii="Arial" w:cs="Arial" w:eastAsia="Arial" w:hAnsi="Arial"/>
                <w:sz w:val="14"/>
                <w:szCs w:val="14"/>
                <w:b w:val="1"/>
                <w:bCs w:val="1"/>
                <w:color w:val="auto"/>
              </w:rPr>
              <w:t>2018</w:t>
            </w:r>
          </w:p>
        </w:tc>
      </w:tr>
      <w:tr>
        <w:trPr>
          <w:trHeight w:val="156"/>
        </w:trPr>
        <w:tc>
          <w:tcPr>
            <w:tcW w:w="1060" w:type="dxa"/>
            <w:vAlign w:val="bottom"/>
          </w:tcPr>
          <w:p>
            <w:pPr>
              <w:spacing w:after="0"/>
              <w:rPr>
                <w:sz w:val="13"/>
                <w:szCs w:val="13"/>
                <w:color w:val="auto"/>
              </w:rPr>
            </w:pPr>
          </w:p>
        </w:tc>
        <w:tc>
          <w:tcPr>
            <w:tcW w:w="2700" w:type="dxa"/>
            <w:vAlign w:val="bottom"/>
          </w:tcPr>
          <w:p>
            <w:pPr>
              <w:jc w:val="right"/>
              <w:ind w:right="1048"/>
              <w:spacing w:after="0" w:line="155" w:lineRule="exact"/>
              <w:rPr>
                <w:sz w:val="20"/>
                <w:szCs w:val="20"/>
                <w:color w:val="auto"/>
              </w:rPr>
            </w:pPr>
            <w:r>
              <w:rPr>
                <w:rFonts w:ascii="Arial" w:cs="Arial" w:eastAsia="Arial" w:hAnsi="Arial"/>
                <w:sz w:val="14"/>
                <w:szCs w:val="14"/>
                <w:b w:val="1"/>
                <w:bCs w:val="1"/>
                <w:color w:val="auto"/>
                <w:w w:val="94"/>
              </w:rPr>
              <w:t>(Amounts in Thousands)</w:t>
            </w:r>
          </w:p>
        </w:tc>
      </w:tr>
    </w:tbl>
    <w:p>
      <w:pPr>
        <w:spacing w:after="0" w:line="20" w:lineRule="exact"/>
        <w:rPr>
          <w:sz w:val="20"/>
          <w:szCs w:val="20"/>
          <w:color w:val="auto"/>
        </w:rPr>
      </w:pPr>
    </w:p>
    <w:p>
      <w:pPr>
        <w:sectPr>
          <w:pgSz w:w="11900" w:h="16838" w:orient="portrait"/>
          <w:cols w:equalWidth="0" w:num="2">
            <w:col w:w="7240" w:space="300"/>
            <w:col w:w="388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60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149,692</w:t>
            </w:r>
          </w:p>
        </w:tc>
        <w:tc>
          <w:tcPr>
            <w:tcW w:w="90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131,258</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288,946</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240,734</w:t>
            </w:r>
          </w:p>
        </w:tc>
        <w:tc>
          <w:tcPr>
            <w:tcW w:w="120" w:type="dxa"/>
            <w:vAlign w:val="bottom"/>
            <w:shd w:val="clear" w:color="auto" w:fill="CFF0FC"/>
          </w:tcPr>
          <w:p>
            <w:pPr>
              <w:spacing w:after="0"/>
              <w:rPr>
                <w:sz w:val="18"/>
                <w:szCs w:val="18"/>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Net income</w:t>
            </w:r>
          </w:p>
        </w:tc>
        <w:tc>
          <w:tcPr>
            <w:tcW w:w="16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5,518</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4,318</w:t>
            </w:r>
          </w:p>
        </w:tc>
        <w:tc>
          <w:tcPr>
            <w:tcW w:w="3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10,380</w:t>
            </w:r>
          </w:p>
        </w:tc>
        <w:tc>
          <w:tcPr>
            <w:tcW w:w="28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9,204</w:t>
            </w:r>
          </w:p>
        </w:tc>
        <w:tc>
          <w:tcPr>
            <w:tcW w:w="120" w:type="dxa"/>
            <w:vAlign w:val="bottom"/>
          </w:tcPr>
          <w:p>
            <w:pPr>
              <w:spacing w:after="0"/>
              <w:rPr>
                <w:sz w:val="19"/>
                <w:szCs w:val="19"/>
                <w:color w:val="auto"/>
              </w:rPr>
            </w:pPr>
          </w:p>
        </w:tc>
      </w:tr>
      <w:tr>
        <w:trPr>
          <w:trHeight w:val="20"/>
        </w:trPr>
        <w:tc>
          <w:tcPr>
            <w:tcW w:w="2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20" w:firstLine="484"/>
        <w:spacing w:after="0" w:line="264" w:lineRule="auto"/>
        <w:rPr>
          <w:sz w:val="20"/>
          <w:szCs w:val="20"/>
          <w:color w:val="auto"/>
        </w:rPr>
      </w:pPr>
      <w:r>
        <w:rPr>
          <w:rFonts w:ascii="Arial" w:cs="Arial" w:eastAsia="Arial" w:hAnsi="Arial"/>
          <w:sz w:val="18"/>
          <w:szCs w:val="18"/>
          <w:color w:val="auto"/>
        </w:rPr>
        <w:t>As of June 30, 2019, we provided our services in 24 states through 162 offices. For the six months ended June 30, 2019 and 2018, we served approximately 50,000 and 48,000 discrete individuals, respectively. Our personal care segment also includes staffing services, with clients including assisted living facilities, nursing homes and hospice facilities.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90" w:lineRule="exact"/>
        <w:rPr>
          <w:sz w:val="20"/>
          <w:szCs w:val="20"/>
          <w:color w:val="auto"/>
        </w:rPr>
      </w:pPr>
    </w:p>
    <w:p>
      <w:pPr>
        <w:ind w:right="40" w:firstLine="484"/>
        <w:spacing w:after="0" w:line="277" w:lineRule="auto"/>
        <w:rPr>
          <w:sz w:val="20"/>
          <w:szCs w:val="20"/>
          <w:color w:val="auto"/>
        </w:rPr>
      </w:pPr>
      <w:r>
        <w:rPr>
          <w:rFonts w:ascii="Arial" w:cs="Arial" w:eastAsia="Arial" w:hAnsi="Arial"/>
          <w:sz w:val="18"/>
          <w:szCs w:val="18"/>
          <w:color w:val="auto"/>
        </w:rPr>
        <w:t>In addition to organic growth, we have grown through acquisitions that have expanded our presence in current markets or facilitated our entry into new markets where in-home care has been moving to managed care organizations.</w:t>
      </w:r>
    </w:p>
    <w:p>
      <w:pPr>
        <w:spacing w:after="0" w:line="116" w:lineRule="exact"/>
        <w:rPr>
          <w:sz w:val="20"/>
          <w:szCs w:val="20"/>
          <w:color w:val="auto"/>
        </w:rPr>
      </w:pPr>
    </w:p>
    <w:p>
      <w:pPr>
        <w:ind w:right="800" w:firstLine="484"/>
        <w:spacing w:after="0" w:line="277" w:lineRule="auto"/>
        <w:rPr>
          <w:sz w:val="20"/>
          <w:szCs w:val="20"/>
          <w:color w:val="auto"/>
        </w:rPr>
      </w:pPr>
      <w:r>
        <w:rPr>
          <w:rFonts w:ascii="Arial" w:cs="Arial" w:eastAsia="Arial" w:hAnsi="Arial"/>
          <w:sz w:val="18"/>
          <w:szCs w:val="18"/>
          <w:color w:val="auto"/>
        </w:rPr>
        <w:t>On January 1, 2018, we acquired certain assets of LifeStyle in order to expand private pay services in Illinois. The total consideration for the transaction was $4.1 million.</w:t>
      </w:r>
    </w:p>
    <w:p>
      <w:pPr>
        <w:spacing w:after="0" w:line="116" w:lineRule="exact"/>
        <w:rPr>
          <w:sz w:val="20"/>
          <w:szCs w:val="20"/>
          <w:color w:val="auto"/>
        </w:rPr>
      </w:pPr>
    </w:p>
    <w:p>
      <w:pPr>
        <w:ind w:right="160" w:firstLine="484"/>
        <w:spacing w:after="0" w:line="264" w:lineRule="auto"/>
        <w:rPr>
          <w:sz w:val="20"/>
          <w:szCs w:val="20"/>
          <w:color w:val="auto"/>
        </w:rPr>
      </w:pPr>
      <w:r>
        <w:rPr>
          <w:rFonts w:ascii="Arial" w:cs="Arial" w:eastAsia="Arial" w:hAnsi="Arial"/>
          <w:sz w:val="18"/>
          <w:szCs w:val="18"/>
          <w:color w:val="auto"/>
        </w:rPr>
        <w:t>On April 1, 2018, we completed the acquisition of certain assets of Arcadia for approximately $18.9 million. Arcadia provides home care services through 26 offices in 10 states. We funded this acquisition through the delayed draw term loan portion of our credit facility. In September 2018, we acquired certain affiliate branches of Arcadia for $0.6 million using cash on hand.</w:t>
      </w:r>
    </w:p>
    <w:p>
      <w:pPr>
        <w:sectPr>
          <w:pgSz w:w="11900" w:h="16838" w:orient="portrait"/>
          <w:cols w:equalWidth="0" w:num="1">
            <w:col w:w="11420"/>
          </w:cols>
          <w:pgMar w:left="240" w:top="121" w:right="239" w:bottom="1440" w:gutter="0" w:footer="0" w:header="0"/>
          <w:type w:val="continuous"/>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ind w:right="440" w:firstLine="484"/>
        <w:spacing w:after="0" w:line="259" w:lineRule="auto"/>
        <w:rPr>
          <w:sz w:val="20"/>
          <w:szCs w:val="20"/>
          <w:color w:val="auto"/>
        </w:rPr>
      </w:pPr>
      <w:r>
        <w:rPr>
          <w:rFonts w:ascii="Arial" w:cs="Arial" w:eastAsia="Arial" w:hAnsi="Arial"/>
          <w:sz w:val="18"/>
          <w:szCs w:val="18"/>
          <w:color w:val="auto"/>
        </w:rPr>
        <w:t>On May 1, 2018, we completed the acquisition of all of the issued and outstanding stock of Ambercare for approximately $39.6 million plus the amount of excess cash held by Ambercare at closing (approximately $12.0 million). With the purchase of Ambercare, we expanded our personal care operations and acquired hospice and home health operations in the state of New Mexico. We funded this acquisition through the delayed draw term loan portion of our credit facility.</w:t>
      </w:r>
    </w:p>
    <w:p>
      <w:pPr>
        <w:spacing w:after="0" w:line="133" w:lineRule="exact"/>
        <w:rPr>
          <w:sz w:val="20"/>
          <w:szCs w:val="20"/>
          <w:color w:val="auto"/>
        </w:rPr>
      </w:pPr>
    </w:p>
    <w:p>
      <w:pPr>
        <w:ind w:right="20" w:firstLine="484"/>
        <w:spacing w:after="0" w:line="264" w:lineRule="auto"/>
        <w:rPr>
          <w:sz w:val="20"/>
          <w:szCs w:val="20"/>
          <w:color w:val="auto"/>
        </w:rPr>
      </w:pPr>
      <w:r>
        <w:rPr>
          <w:rFonts w:ascii="Arial" w:cs="Arial" w:eastAsia="Arial" w:hAnsi="Arial"/>
          <w:sz w:val="18"/>
          <w:szCs w:val="18"/>
          <w:color w:val="auto"/>
        </w:rPr>
        <w:t>On June 1, 2019, we completed the acquisition of VIP for approximately $29.9 million. With the purchase of VIP, we expanded our personal care services in the state of New York and into the New York City metropolitan area. We funded this acquisition through the delayed draw term loan portion of our credit facility and cash on hand.</w:t>
      </w:r>
    </w:p>
    <w:p>
      <w:pPr>
        <w:spacing w:after="0" w:line="127" w:lineRule="exact"/>
        <w:rPr>
          <w:sz w:val="20"/>
          <w:szCs w:val="20"/>
          <w:color w:val="auto"/>
        </w:rPr>
      </w:pPr>
    </w:p>
    <w:p>
      <w:pPr>
        <w:ind w:right="80" w:firstLine="484"/>
        <w:spacing w:after="0" w:line="259" w:lineRule="auto"/>
        <w:rPr>
          <w:sz w:val="20"/>
          <w:szCs w:val="20"/>
          <w:color w:val="auto"/>
        </w:rPr>
      </w:pPr>
      <w:r>
        <w:rPr>
          <w:rFonts w:ascii="Arial" w:cs="Arial" w:eastAsia="Arial" w:hAnsi="Arial"/>
          <w:sz w:val="18"/>
          <w:szCs w:val="18"/>
          <w:color w:val="auto"/>
        </w:rPr>
        <w:t>On August 1, 2019, we acquired the assets of Alliance for approximately $23.5 million. Additionally, the Company acquired the assets of Foremost Home Care (“Foremost”) for approximately $1.4 million. We funded these acquisitions through a combination of our revolving credit facility and available cash. With the purchase of Alliance, we expanded our home health and hospice operations in the state of New Mexico. The addition of Foremost will support the Company’s growth strategy in the New York City market area.</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Payor</w:t>
      </w:r>
    </w:p>
    <w:p>
      <w:pPr>
        <w:spacing w:after="0" w:line="90" w:lineRule="exact"/>
        <w:rPr>
          <w:sz w:val="20"/>
          <w:szCs w:val="20"/>
          <w:color w:val="auto"/>
        </w:rPr>
      </w:pPr>
    </w:p>
    <w:p>
      <w:pPr>
        <w:ind w:right="120" w:firstLine="484"/>
        <w:spacing w:after="0" w:line="259" w:lineRule="auto"/>
        <w:rPr>
          <w:sz w:val="20"/>
          <w:szCs w:val="20"/>
          <w:color w:val="auto"/>
        </w:rPr>
      </w:pPr>
      <w:r>
        <w:rPr>
          <w:rFonts w:ascii="Arial" w:cs="Arial" w:eastAsia="Arial" w:hAnsi="Arial"/>
          <w:sz w:val="18"/>
          <w:szCs w:val="18"/>
          <w:color w:val="auto"/>
        </w:rPr>
        <w:t>Our payor clients are principally federal, state and local governmental agencies and managed care organizations. The federal, state and local programs under which the agencies operate are subject to legislative, budgetary and other risks that can influence reimbursement rates. We continue to experience a transition of business from government payors to managed care organizations, which we believe aligns with our emphasis on coordinated care and the reduction of the need for acute care.</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the three and six months ended June 30, 2019 and 2018, our payor revenue and significant states by segment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Personal Care</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6"/>
          </w:tcPr>
          <w:p>
            <w:pPr>
              <w:jc w:val="center"/>
              <w:ind w:right="80"/>
              <w:spacing w:after="0" w:line="155" w:lineRule="exact"/>
              <w:rPr>
                <w:sz w:val="20"/>
                <w:szCs w:val="20"/>
                <w:color w:val="auto"/>
              </w:rPr>
            </w:pPr>
            <w:r>
              <w:rPr>
                <w:rFonts w:ascii="Arial" w:cs="Arial" w:eastAsia="Arial" w:hAnsi="Arial"/>
                <w:sz w:val="14"/>
                <w:szCs w:val="14"/>
                <w:b w:val="1"/>
                <w:bCs w:val="1"/>
                <w:color w:val="auto"/>
                <w:w w:val="93"/>
              </w:rPr>
              <w:t>For the Three Months Ended June 30,</w:t>
            </w:r>
          </w:p>
        </w:tc>
        <w:tc>
          <w:tcPr>
            <w:tcW w:w="88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6"/>
          </w:tcPr>
          <w:p>
            <w:pPr>
              <w:jc w:val="center"/>
              <w:ind w:right="60"/>
              <w:spacing w:after="0" w:line="155" w:lineRule="exact"/>
              <w:rPr>
                <w:sz w:val="20"/>
                <w:szCs w:val="20"/>
                <w:color w:val="auto"/>
              </w:rPr>
            </w:pPr>
            <w:r>
              <w:rPr>
                <w:rFonts w:ascii="Arial" w:cs="Arial" w:eastAsia="Arial" w:hAnsi="Arial"/>
                <w:sz w:val="14"/>
                <w:szCs w:val="14"/>
                <w:b w:val="1"/>
                <w:bCs w:val="1"/>
                <w:color w:val="auto"/>
                <w:w w:val="92"/>
              </w:rPr>
              <w:t>For the Six Months Ended June 30,</w:t>
            </w:r>
          </w:p>
        </w:tc>
        <w:tc>
          <w:tcPr>
            <w:tcW w:w="8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785"/>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778"/>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784"/>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ind w:right="756"/>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tcPr>
          <w:p>
            <w:pPr>
              <w:jc w:val="center"/>
              <w:ind w:left="115"/>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3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6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3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State, local and other</w:t>
            </w: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right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8"/>
              </w:rPr>
              <w:t>governmental programs</w:t>
            </w: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75,069</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72,520</w:t>
            </w:r>
          </w:p>
        </w:tc>
        <w:tc>
          <w:tcPr>
            <w:tcW w:w="180" w:type="dxa"/>
            <w:vAlign w:val="bottom"/>
            <w:tcBorders>
              <w:right w:val="single" w:sz="8" w:color="CFF0FC"/>
            </w:tcBorders>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360" w:type="dxa"/>
            <w:vAlign w:val="bottom"/>
            <w:tcBorders>
              <w:right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147,128</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139,455</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40" w:type="dxa"/>
            <w:vAlign w:val="bottom"/>
          </w:tcPr>
          <w:p>
            <w:pPr>
              <w:spacing w:after="0"/>
              <w:rPr>
                <w:sz w:val="20"/>
                <w:szCs w:val="20"/>
                <w:color w:val="auto"/>
              </w:rPr>
            </w:pPr>
            <w:r>
              <w:rPr>
                <w:rFonts w:ascii="Arial" w:cs="Arial" w:eastAsia="Arial" w:hAnsi="Arial"/>
                <w:sz w:val="18"/>
                <w:szCs w:val="18"/>
                <w:color w:val="auto"/>
              </w:rPr>
              <w:t>Managed care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organizations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54,126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39.1</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43,295</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34.6</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102,132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38.3</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81,538</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34.8</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Private pay</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5,231</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5,571</w:t>
            </w:r>
          </w:p>
        </w:tc>
        <w:tc>
          <w:tcPr>
            <w:tcW w:w="180" w:type="dxa"/>
            <w:vAlign w:val="bottom"/>
            <w:tcBorders>
              <w:right w:val="single" w:sz="8" w:color="CFF0FC"/>
            </w:tcBorders>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6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10,251</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9,312</w:t>
            </w: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0"/>
                <w:szCs w:val="20"/>
                <w:color w:val="auto"/>
              </w:rPr>
            </w:pPr>
            <w:r>
              <w:rPr>
                <w:rFonts w:ascii="Arial" w:cs="Arial" w:eastAsia="Arial" w:hAnsi="Arial"/>
                <w:sz w:val="18"/>
                <w:szCs w:val="18"/>
                <w:color w:val="auto"/>
              </w:rPr>
              <w:t>Commercial insurance</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1,845</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3,907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2,402</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1,855</w:t>
            </w:r>
          </w:p>
        </w:tc>
        <w:tc>
          <w:tcPr>
            <w:tcW w:w="180" w:type="dxa"/>
            <w:vAlign w:val="bottom"/>
            <w:tcBorders>
              <w:right w:val="single" w:sz="8" w:color="CFF0FC"/>
            </w:tcBorders>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6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3,477</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1,855</w:t>
            </w: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40" w:type="dxa"/>
            <w:vAlign w:val="bottom"/>
          </w:tcPr>
          <w:p>
            <w:pPr>
              <w:spacing w:after="0"/>
              <w:rPr>
                <w:sz w:val="20"/>
                <w:szCs w:val="20"/>
                <w:color w:val="auto"/>
              </w:rPr>
            </w:pPr>
            <w:r>
              <w:rPr>
                <w:rFonts w:ascii="Arial" w:cs="Arial" w:eastAsia="Arial" w:hAnsi="Arial"/>
                <w:sz w:val="18"/>
                <w:szCs w:val="18"/>
                <w:color w:val="auto"/>
              </w:rPr>
              <w:t>Total personal care</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segment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140"/>
              <w:spacing w:after="0"/>
              <w:rPr>
                <w:sz w:val="20"/>
                <w:szCs w:val="20"/>
                <w:color w:val="auto"/>
              </w:rPr>
            </w:pPr>
            <w:r>
              <w:rPr>
                <w:rFonts w:ascii="Arial" w:cs="Arial" w:eastAsia="Arial" w:hAnsi="Arial"/>
                <w:sz w:val="18"/>
                <w:szCs w:val="18"/>
                <w:color w:val="auto"/>
              </w:rPr>
              <w:t>net service revenues</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138,254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125,086</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266,895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234,562</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center"/>
              <w:ind w:left="618"/>
              <w:spacing w:after="0"/>
              <w:rPr>
                <w:sz w:val="20"/>
                <w:szCs w:val="20"/>
                <w:color w:val="auto"/>
              </w:rPr>
            </w:pPr>
            <w:r>
              <w:rPr>
                <w:rFonts w:ascii="Arial" w:cs="Arial" w:eastAsia="Arial" w:hAnsi="Arial"/>
                <w:sz w:val="14"/>
                <w:szCs w:val="14"/>
                <w:b w:val="1"/>
                <w:bCs w:val="1"/>
                <w:color w:val="auto"/>
                <w:w w:val="88"/>
              </w:rPr>
              <w:t>Hospice</w:t>
            </w: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6"/>
          </w:tcPr>
          <w:p>
            <w:pPr>
              <w:jc w:val="center"/>
              <w:ind w:right="80"/>
              <w:spacing w:after="0" w:line="155" w:lineRule="exact"/>
              <w:rPr>
                <w:sz w:val="20"/>
                <w:szCs w:val="20"/>
                <w:color w:val="auto"/>
              </w:rPr>
            </w:pPr>
            <w:r>
              <w:rPr>
                <w:rFonts w:ascii="Arial" w:cs="Arial" w:eastAsia="Arial" w:hAnsi="Arial"/>
                <w:sz w:val="14"/>
                <w:szCs w:val="14"/>
                <w:b w:val="1"/>
                <w:bCs w:val="1"/>
                <w:color w:val="auto"/>
                <w:w w:val="93"/>
              </w:rPr>
              <w:t>For the Three Months Ended June 30,</w:t>
            </w:r>
          </w:p>
        </w:tc>
        <w:tc>
          <w:tcPr>
            <w:tcW w:w="88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6"/>
          </w:tcPr>
          <w:p>
            <w:pPr>
              <w:jc w:val="center"/>
              <w:ind w:right="60"/>
              <w:spacing w:after="0" w:line="155" w:lineRule="exact"/>
              <w:rPr>
                <w:sz w:val="20"/>
                <w:szCs w:val="20"/>
                <w:color w:val="auto"/>
              </w:rPr>
            </w:pPr>
            <w:r>
              <w:rPr>
                <w:rFonts w:ascii="Arial" w:cs="Arial" w:eastAsia="Arial" w:hAnsi="Arial"/>
                <w:sz w:val="14"/>
                <w:szCs w:val="14"/>
                <w:b w:val="1"/>
                <w:bCs w:val="1"/>
                <w:color w:val="auto"/>
                <w:w w:val="92"/>
              </w:rPr>
              <w:t>For the Six Months Ended June 30,</w:t>
            </w:r>
          </w:p>
        </w:tc>
        <w:tc>
          <w:tcPr>
            <w:tcW w:w="8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785"/>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778"/>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784"/>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ind w:right="756"/>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tcPr>
          <w:p>
            <w:pPr>
              <w:jc w:val="center"/>
              <w:ind w:left="115"/>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3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6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3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7,808</w:t>
            </w: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36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4,353</w:t>
            </w:r>
          </w:p>
        </w:tc>
        <w:tc>
          <w:tcPr>
            <w:tcW w:w="180" w:type="dxa"/>
            <w:vAlign w:val="bottom"/>
            <w:tcBorders>
              <w:top w:val="single" w:sz="8" w:color="CFF0FC"/>
              <w:right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w:t>
            </w:r>
          </w:p>
        </w:tc>
        <w:tc>
          <w:tcPr>
            <w:tcW w:w="360" w:type="dxa"/>
            <w:vAlign w:val="bottom"/>
            <w:tcBorders>
              <w:top w:val="single" w:sz="8" w:color="CFF0FC"/>
              <w:right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15,199</w:t>
            </w: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36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4,353</w:t>
            </w:r>
          </w:p>
        </w:tc>
        <w:tc>
          <w:tcPr>
            <w:tcW w:w="1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40" w:type="dxa"/>
            <w:vAlign w:val="bottom"/>
          </w:tcPr>
          <w:p>
            <w:pPr>
              <w:spacing w:after="0"/>
              <w:rPr>
                <w:sz w:val="20"/>
                <w:szCs w:val="20"/>
                <w:color w:val="auto"/>
              </w:rPr>
            </w:pPr>
            <w:r>
              <w:rPr>
                <w:rFonts w:ascii="Arial" w:cs="Arial" w:eastAsia="Arial" w:hAnsi="Arial"/>
                <w:sz w:val="18"/>
                <w:szCs w:val="18"/>
                <w:color w:val="auto"/>
              </w:rPr>
              <w:t>Managed care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organizations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295</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295</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right w:val="single" w:sz="8" w:color="CFF0FC"/>
            </w:tcBorders>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40" w:type="dxa"/>
            <w:vAlign w:val="bottom"/>
          </w:tcPr>
          <w:p>
            <w:pPr>
              <w:spacing w:after="0"/>
              <w:rPr>
                <w:sz w:val="20"/>
                <w:szCs w:val="20"/>
                <w:color w:val="auto"/>
              </w:rPr>
            </w:pPr>
            <w:r>
              <w:rPr>
                <w:rFonts w:ascii="Arial" w:cs="Arial" w:eastAsia="Arial" w:hAnsi="Arial"/>
                <w:sz w:val="18"/>
                <w:szCs w:val="18"/>
                <w:color w:val="auto"/>
                <w:w w:val="95"/>
              </w:rPr>
              <w:t>Total hospice segment net</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40" w:type="dxa"/>
            <w:vAlign w:val="bottom"/>
          </w:tcPr>
          <w:p>
            <w:pPr>
              <w:ind w:left="140"/>
              <w:spacing w:after="0"/>
              <w:rPr>
                <w:sz w:val="20"/>
                <w:szCs w:val="20"/>
                <w:color w:val="auto"/>
              </w:rPr>
            </w:pPr>
            <w:r>
              <w:rPr>
                <w:rFonts w:ascii="Arial" w:cs="Arial" w:eastAsia="Arial" w:hAnsi="Arial"/>
                <w:sz w:val="18"/>
                <w:szCs w:val="18"/>
                <w:color w:val="auto"/>
              </w:rPr>
              <w:t>service revenues</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8,437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4,649</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16,354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4,649</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New Mexico</w:t>
            </w: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40" w:type="dxa"/>
            <w:vAlign w:val="bottom"/>
            <w:vMerge w:val="continue"/>
            <w:shd w:val="clear" w:color="auto" w:fill="CFF0FC"/>
          </w:tcPr>
          <w:p>
            <w:pPr>
              <w:spacing w:after="0"/>
              <w:rPr>
                <w:sz w:val="19"/>
                <w:szCs w:val="19"/>
                <w:color w:val="auto"/>
              </w:rPr>
            </w:pP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8,437</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4,649</w:t>
            </w:r>
          </w:p>
        </w:tc>
        <w:tc>
          <w:tcPr>
            <w:tcW w:w="180" w:type="dxa"/>
            <w:vAlign w:val="bottom"/>
            <w:tcBorders>
              <w:right w:val="single" w:sz="8" w:color="CFF0FC"/>
            </w:tcBorders>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right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16,354</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4,649</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Home Health</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6"/>
          </w:tcPr>
          <w:p>
            <w:pPr>
              <w:jc w:val="center"/>
              <w:ind w:right="80"/>
              <w:spacing w:after="0" w:line="155" w:lineRule="exact"/>
              <w:rPr>
                <w:sz w:val="20"/>
                <w:szCs w:val="20"/>
                <w:color w:val="auto"/>
              </w:rPr>
            </w:pPr>
            <w:r>
              <w:rPr>
                <w:rFonts w:ascii="Arial" w:cs="Arial" w:eastAsia="Arial" w:hAnsi="Arial"/>
                <w:sz w:val="14"/>
                <w:szCs w:val="14"/>
                <w:b w:val="1"/>
                <w:bCs w:val="1"/>
                <w:color w:val="auto"/>
                <w:w w:val="93"/>
              </w:rPr>
              <w:t>For the Three Months Ended June 30,</w:t>
            </w:r>
          </w:p>
        </w:tc>
        <w:tc>
          <w:tcPr>
            <w:tcW w:w="88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6"/>
          </w:tcPr>
          <w:p>
            <w:pPr>
              <w:jc w:val="center"/>
              <w:ind w:right="60"/>
              <w:spacing w:after="0" w:line="155" w:lineRule="exact"/>
              <w:rPr>
                <w:sz w:val="20"/>
                <w:szCs w:val="20"/>
                <w:color w:val="auto"/>
              </w:rPr>
            </w:pPr>
            <w:r>
              <w:rPr>
                <w:rFonts w:ascii="Arial" w:cs="Arial" w:eastAsia="Arial" w:hAnsi="Arial"/>
                <w:sz w:val="14"/>
                <w:szCs w:val="14"/>
                <w:b w:val="1"/>
                <w:bCs w:val="1"/>
                <w:color w:val="auto"/>
                <w:w w:val="92"/>
              </w:rPr>
              <w:t>For the Six Months Ended June 30,</w:t>
            </w:r>
          </w:p>
        </w:tc>
        <w:tc>
          <w:tcPr>
            <w:tcW w:w="8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785"/>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778"/>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784"/>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ind w:right="756"/>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tcPr>
          <w:p>
            <w:pPr>
              <w:jc w:val="center"/>
              <w:ind w:left="115"/>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3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6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3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36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1,404</w:t>
            </w:r>
          </w:p>
        </w:tc>
        <w:tc>
          <w:tcPr>
            <w:tcW w:w="180" w:type="dxa"/>
            <w:vAlign w:val="bottom"/>
            <w:tcBorders>
              <w:top w:val="single" w:sz="8" w:color="CFF0FC"/>
              <w:right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360" w:type="dxa"/>
            <w:vAlign w:val="bottom"/>
            <w:tcBorders>
              <w:top w:val="single" w:sz="8" w:color="CFF0FC"/>
              <w:right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4,635</w:t>
            </w: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36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1,404</w:t>
            </w:r>
          </w:p>
        </w:tc>
        <w:tc>
          <w:tcPr>
            <w:tcW w:w="1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40" w:type="dxa"/>
            <w:vAlign w:val="bottom"/>
          </w:tcPr>
          <w:p>
            <w:pPr>
              <w:spacing w:after="0"/>
              <w:rPr>
                <w:sz w:val="20"/>
                <w:szCs w:val="20"/>
                <w:color w:val="auto"/>
              </w:rPr>
            </w:pPr>
            <w:r>
              <w:rPr>
                <w:rFonts w:ascii="Arial" w:cs="Arial" w:eastAsia="Arial" w:hAnsi="Arial"/>
                <w:sz w:val="18"/>
                <w:szCs w:val="18"/>
                <w:color w:val="auto"/>
              </w:rPr>
              <w:t>Managed care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organizations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right w:val="single" w:sz="8" w:color="CFF0FC"/>
            </w:tcBorders>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36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40" w:type="dxa"/>
            <w:vAlign w:val="bottom"/>
          </w:tcPr>
          <w:p>
            <w:pPr>
              <w:spacing w:after="0"/>
              <w:rPr>
                <w:sz w:val="20"/>
                <w:szCs w:val="20"/>
                <w:color w:val="auto"/>
              </w:rPr>
            </w:pPr>
            <w:r>
              <w:rPr>
                <w:rFonts w:ascii="Arial" w:cs="Arial" w:eastAsia="Arial" w:hAnsi="Arial"/>
                <w:sz w:val="18"/>
                <w:szCs w:val="18"/>
                <w:color w:val="auto"/>
                <w:w w:val="92"/>
              </w:rPr>
              <w:t>Total home health segment</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net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40" w:type="dxa"/>
            <w:vAlign w:val="bottom"/>
          </w:tcPr>
          <w:p>
            <w:pPr>
              <w:ind w:left="140"/>
              <w:spacing w:after="0"/>
              <w:rPr>
                <w:sz w:val="20"/>
                <w:szCs w:val="20"/>
                <w:color w:val="auto"/>
              </w:rPr>
            </w:pPr>
            <w:r>
              <w:rPr>
                <w:rFonts w:ascii="Arial" w:cs="Arial" w:eastAsia="Arial" w:hAnsi="Arial"/>
                <w:sz w:val="18"/>
                <w:szCs w:val="18"/>
                <w:color w:val="auto"/>
              </w:rPr>
              <w:t>service revenues</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3,001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1,523</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5,697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1,523</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New Mexico</w:t>
            </w: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40" w:type="dxa"/>
            <w:vAlign w:val="bottom"/>
            <w:vMerge w:val="continue"/>
            <w:shd w:val="clear" w:color="auto" w:fill="CFF0FC"/>
          </w:tcPr>
          <w:p>
            <w:pPr>
              <w:spacing w:after="0"/>
              <w:rPr>
                <w:sz w:val="19"/>
                <w:szCs w:val="19"/>
                <w:color w:val="auto"/>
              </w:rPr>
            </w:pP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3,001</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w:t>
            </w:r>
          </w:p>
        </w:tc>
        <w:tc>
          <w:tcPr>
            <w:tcW w:w="180" w:type="dxa"/>
            <w:vAlign w:val="bottom"/>
            <w:tcBorders>
              <w:right w:val="single" w:sz="8" w:color="CFF0FC"/>
            </w:tcBorders>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right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5,697</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136"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136"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Personal Care</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6"/>
          </w:tcPr>
          <w:p>
            <w:pPr>
              <w:jc w:val="center"/>
              <w:ind w:right="20"/>
              <w:spacing w:after="0" w:line="155" w:lineRule="exact"/>
              <w:rPr>
                <w:sz w:val="20"/>
                <w:szCs w:val="20"/>
                <w:color w:val="auto"/>
              </w:rPr>
            </w:pPr>
            <w:r>
              <w:rPr>
                <w:rFonts w:ascii="Arial" w:cs="Arial" w:eastAsia="Arial" w:hAnsi="Arial"/>
                <w:sz w:val="14"/>
                <w:szCs w:val="14"/>
                <w:b w:val="1"/>
                <w:bCs w:val="1"/>
                <w:color w:val="auto"/>
                <w:w w:val="93"/>
              </w:rPr>
              <w:t>For the Three Months Ended June 30,</w:t>
            </w: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6"/>
          </w:tcPr>
          <w:p>
            <w:pPr>
              <w:jc w:val="center"/>
              <w:ind w:right="60"/>
              <w:spacing w:after="0" w:line="155" w:lineRule="exact"/>
              <w:rPr>
                <w:sz w:val="20"/>
                <w:szCs w:val="20"/>
                <w:color w:val="auto"/>
              </w:rPr>
            </w:pPr>
            <w:r>
              <w:rPr>
                <w:rFonts w:ascii="Arial" w:cs="Arial" w:eastAsia="Arial" w:hAnsi="Arial"/>
                <w:sz w:val="14"/>
                <w:szCs w:val="14"/>
                <w:b w:val="1"/>
                <w:bCs w:val="1"/>
                <w:color w:val="auto"/>
                <w:w w:val="92"/>
              </w:rPr>
              <w:t>For the Six Months Ended June 30,</w:t>
            </w:r>
          </w:p>
        </w:tc>
        <w:tc>
          <w:tcPr>
            <w:tcW w:w="8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784"/>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4"/>
          </w:tcPr>
          <w:p>
            <w:pPr>
              <w:jc w:val="right"/>
              <w:ind w:right="784"/>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782"/>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ind w:right="757"/>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tcPr>
          <w:p>
            <w:pPr>
              <w:jc w:val="center"/>
              <w:ind w:left="116"/>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60" w:type="dxa"/>
            <w:vAlign w:val="bottom"/>
          </w:tcPr>
          <w:p>
            <w:pPr>
              <w:spacing w:after="0"/>
              <w:rPr>
                <w:sz w:val="14"/>
                <w:szCs w:val="14"/>
                <w:color w:val="auto"/>
              </w:rPr>
            </w:pPr>
          </w:p>
        </w:tc>
        <w:tc>
          <w:tcPr>
            <w:tcW w:w="1180" w:type="dxa"/>
            <w:vAlign w:val="bottom"/>
            <w:gridSpan w:val="3"/>
          </w:tcPr>
          <w:p>
            <w:pPr>
              <w:ind w:left="260"/>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3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3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Illinois</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59,891</w:t>
            </w: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36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58,335</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30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117,487</w:t>
            </w: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36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115,644</w:t>
            </w:r>
          </w:p>
        </w:tc>
        <w:tc>
          <w:tcPr>
            <w:tcW w:w="1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New York</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23,020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15,800</w:t>
            </w:r>
          </w:p>
        </w:tc>
        <w:tc>
          <w:tcPr>
            <w:tcW w:w="1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40,833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31,185</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CFF0FC"/>
          </w:tcPr>
          <w:p>
            <w:pPr>
              <w:spacing w:after="0"/>
              <w:rPr>
                <w:sz w:val="20"/>
                <w:szCs w:val="20"/>
                <w:color w:val="auto"/>
              </w:rPr>
            </w:pPr>
            <w:r>
              <w:rPr>
                <w:rFonts w:ascii="Arial" w:cs="Arial" w:eastAsia="Arial" w:hAnsi="Arial"/>
                <w:sz w:val="18"/>
                <w:szCs w:val="18"/>
                <w:color w:val="auto"/>
              </w:rPr>
              <w:t>New Mexico</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18,135</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14,794</w:t>
            </w: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3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35,343</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26,581</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All other states</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37,208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36,157</w:t>
            </w:r>
          </w:p>
        </w:tc>
        <w:tc>
          <w:tcPr>
            <w:tcW w:w="1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28.9</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73,232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61,152</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personal care</w:t>
            </w: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FF0FC"/>
          </w:tcPr>
          <w:p>
            <w:pPr>
              <w:spacing w:after="0"/>
              <w:rPr>
                <w:sz w:val="20"/>
                <w:szCs w:val="20"/>
                <w:color w:val="auto"/>
              </w:rPr>
            </w:pPr>
            <w:r>
              <w:rPr>
                <w:rFonts w:ascii="Arial" w:cs="Arial" w:eastAsia="Arial" w:hAnsi="Arial"/>
                <w:sz w:val="18"/>
                <w:szCs w:val="18"/>
                <w:color w:val="auto"/>
              </w:rPr>
              <w:t>segment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service revenues</w:t>
            </w:r>
          </w:p>
        </w:tc>
        <w:tc>
          <w:tcPr>
            <w:tcW w:w="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138,254</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125,086</w:t>
            </w:r>
          </w:p>
        </w:tc>
        <w:tc>
          <w:tcPr>
            <w:tcW w:w="1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266,895</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234,562</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8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360" w:firstLine="484"/>
        <w:spacing w:after="0" w:line="264" w:lineRule="auto"/>
        <w:rPr>
          <w:sz w:val="20"/>
          <w:szCs w:val="20"/>
          <w:color w:val="auto"/>
        </w:rPr>
      </w:pPr>
      <w:r>
        <w:rPr>
          <w:rFonts w:ascii="Arial" w:cs="Arial" w:eastAsia="Arial" w:hAnsi="Arial"/>
          <w:sz w:val="18"/>
          <w:szCs w:val="18"/>
          <w:color w:val="auto"/>
        </w:rPr>
        <w:t>We derive a significant amount of our net service revenues in Illinois, which represented 40.0% and 44.5% of our total net service revenues for the three months ended June 30, 2019 and 2018, respectively, and accounted for 40.8% and 48.0% of our total net service revenues for the six months ended June 30, 2019 and 2018, respectively.</w:t>
      </w:r>
    </w:p>
    <w:p>
      <w:pPr>
        <w:spacing w:after="0" w:line="127" w:lineRule="exact"/>
        <w:rPr>
          <w:sz w:val="20"/>
          <w:szCs w:val="20"/>
          <w:color w:val="auto"/>
        </w:rPr>
      </w:pPr>
    </w:p>
    <w:p>
      <w:pPr>
        <w:ind w:right="120" w:firstLine="484"/>
        <w:spacing w:after="0" w:line="264" w:lineRule="auto"/>
        <w:rPr>
          <w:sz w:val="20"/>
          <w:szCs w:val="20"/>
          <w:color w:val="auto"/>
        </w:rPr>
      </w:pPr>
      <w:r>
        <w:rPr>
          <w:rFonts w:ascii="Arial" w:cs="Arial" w:eastAsia="Arial" w:hAnsi="Arial"/>
          <w:sz w:val="18"/>
          <w:szCs w:val="18"/>
          <w:color w:val="auto"/>
        </w:rPr>
        <w:t>A significant amount of our net service revenues are derived from one payor client, the Illinois Department on Aging, which accounted for 27.5% and 30.4% of our total net service revenues for the three months ended June 30, 2019 and 2018, respectively and accounted for 28.2% and 33.1% of our net service revenues for the six months ended June 30, 2019 and 2018, respectively.</w:t>
      </w:r>
    </w:p>
    <w:p>
      <w:pPr>
        <w:spacing w:after="0" w:line="127" w:lineRule="exact"/>
        <w:rPr>
          <w:sz w:val="20"/>
          <w:szCs w:val="20"/>
          <w:color w:val="auto"/>
        </w:rPr>
      </w:pPr>
    </w:p>
    <w:p>
      <w:pPr>
        <w:ind w:right="80" w:firstLine="484"/>
        <w:spacing w:after="0" w:line="255" w:lineRule="auto"/>
        <w:rPr>
          <w:sz w:val="20"/>
          <w:szCs w:val="20"/>
          <w:color w:val="auto"/>
        </w:rPr>
      </w:pPr>
      <w:r>
        <w:rPr>
          <w:rFonts w:ascii="Arial" w:cs="Arial" w:eastAsia="Arial" w:hAnsi="Arial"/>
          <w:sz w:val="18"/>
          <w:szCs w:val="18"/>
          <w:color w:val="auto"/>
        </w:rPr>
        <w:t>The Illinois Department on Aging’s payments for non-Medicaid consumers have been delayed in the past and may continue to be delayed in the future due to budget disputes. The state of Illinois did not adopt comprehensive budgets for fiscal years 2016 or 2017, ending June 30, 2016 and June 30, 2017, respectively. On July 6, 2017, the state of Illinois passed a budget for the state fiscal year 2018, which began on July 1, 2017, authorizing the Illinois Department on Aging to pay for our services rendered to non-Medicaid consumers provided in prior fiscal years. On June 4, 2018, the state of Illinois passed a budget for state fiscal year 2019, which began on July 1, 2018. On June 6, 2019, the state of Illinois passed a budget for state fiscal year 2020, which began on July 1, 2019.</w:t>
      </w:r>
    </w:p>
    <w:p>
      <w:pPr>
        <w:spacing w:after="0" w:line="139" w:lineRule="exact"/>
        <w:rPr>
          <w:sz w:val="20"/>
          <w:szCs w:val="20"/>
          <w:color w:val="auto"/>
        </w:rPr>
      </w:pPr>
    </w:p>
    <w:p>
      <w:pPr>
        <w:ind w:right="20" w:firstLine="484"/>
        <w:spacing w:after="0" w:line="271" w:lineRule="auto"/>
        <w:rPr>
          <w:sz w:val="20"/>
          <w:szCs w:val="20"/>
          <w:color w:val="auto"/>
        </w:rPr>
      </w:pPr>
      <w:r>
        <w:rPr>
          <w:rFonts w:ascii="Arial" w:cs="Arial" w:eastAsia="Arial" w:hAnsi="Arial"/>
          <w:sz w:val="17"/>
          <w:szCs w:val="17"/>
          <w:color w:val="auto"/>
        </w:rPr>
        <w:t>We are subject to minimum wage laws and minimum wages have increased in many of the jurisdictions in which we operate. Since our operations are concentrated in Illinois, New York and New Mexico, we are particularly sensitive to changes in these states. For example, in 2014, the Chicago City Council passed an ordinance that raised the minimum wage for Chicago workers to $13 per hour on July 1, 2019, with increases adjusted to the Consumer Price Index in subsequent years. Since 2014, wage increases have only been partially offset by a reimbursement rate increase. In the budget process for the 2019 fiscal year, a proposed rate increase was not included in the final budget. In June of 2019, the State of Illinois finalized its fiscal year 2020 budget with the inclusion of an appropriation to raise in-home care rates to offset the costs of previous minimum wage increases. The state of Illinois currently projects an effective date of September 1, 2019 and January 1, 2020 for two reimbursement rate increases to fund all minimum wage increases. Our financial performance is impacted in quarters for which an offsetting reimbursement rate increase is not in effect.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Changes in Medicare and Medicaid Reimbursement</w:t>
      </w:r>
    </w:p>
    <w:p>
      <w:pPr>
        <w:spacing w:after="0" w:line="90" w:lineRule="exact"/>
        <w:rPr>
          <w:sz w:val="20"/>
          <w:szCs w:val="20"/>
          <w:color w:val="auto"/>
        </w:rPr>
      </w:pPr>
    </w:p>
    <w:p>
      <w:pPr>
        <w:ind w:right="240" w:firstLine="484"/>
        <w:spacing w:after="0" w:line="297" w:lineRule="auto"/>
        <w:rPr>
          <w:sz w:val="20"/>
          <w:szCs w:val="20"/>
          <w:color w:val="auto"/>
        </w:rPr>
      </w:pPr>
      <w:r>
        <w:rPr>
          <w:rFonts w:ascii="Arial" w:cs="Arial" w:eastAsia="Arial" w:hAnsi="Arial"/>
          <w:sz w:val="16"/>
          <w:szCs w:val="16"/>
          <w:color w:val="auto"/>
        </w:rPr>
        <w:t>The Centers for Medicare and Medicaid Services (“CMS”) has issued final rules and policy updates that allow Medicare Advantage insurers to offer beneficiaries more options and new types of benefits. Effective January 1, 2019, CMS expanded the scope of its “primarily health-related” supplemental benefit standard, permitting plans to cover a broader array of services that increase health and improve quality of life, including coverage of non-skilled in-home care. This policy change, emphasizing improving quality and reducing costs, aligns with our overall approach to care, and we believe the increased demand for personal care from the Medicare Advantage population represents a significant upside opportunity over the next three to five years.</w:t>
      </w:r>
    </w:p>
    <w:p>
      <w:pPr>
        <w:spacing w:after="0" w:line="104" w:lineRule="exact"/>
        <w:rPr>
          <w:sz w:val="20"/>
          <w:szCs w:val="20"/>
          <w:color w:val="auto"/>
        </w:rPr>
      </w:pPr>
    </w:p>
    <w:p>
      <w:pPr>
        <w:ind w:right="140" w:firstLine="484"/>
        <w:spacing w:after="0" w:line="286" w:lineRule="auto"/>
        <w:rPr>
          <w:sz w:val="20"/>
          <w:szCs w:val="20"/>
          <w:color w:val="auto"/>
        </w:rPr>
      </w:pPr>
      <w:r>
        <w:rPr>
          <w:rFonts w:ascii="Arial" w:cs="Arial" w:eastAsia="Arial" w:hAnsi="Arial"/>
          <w:sz w:val="17"/>
          <w:szCs w:val="17"/>
          <w:color w:val="auto"/>
        </w:rPr>
        <w:t>The Bipartisan Budget Act of 2018 requires CMS to use a 30-day episode of care and implement the PDGM beginning January 1, 2020. In July 2019, CMS issued a proposed rule that would implement these policies, but that rule has not yet been finalized. The PDGM will replace the current case-mix system, which uses the number of visits to determine payment, and will classify patients based on clinical characteristics.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our Statements of Income</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Net Service Revenues</w:t>
      </w:r>
    </w:p>
    <w:p>
      <w:pPr>
        <w:spacing w:after="0" w:line="90" w:lineRule="exact"/>
        <w:rPr>
          <w:sz w:val="20"/>
          <w:szCs w:val="20"/>
          <w:color w:val="auto"/>
        </w:rPr>
      </w:pPr>
    </w:p>
    <w:p>
      <w:pPr>
        <w:ind w:right="120" w:firstLine="484"/>
        <w:spacing w:after="0" w:line="297" w:lineRule="auto"/>
        <w:rPr>
          <w:sz w:val="20"/>
          <w:szCs w:val="20"/>
          <w:color w:val="auto"/>
        </w:rPr>
      </w:pPr>
      <w:r>
        <w:rPr>
          <w:rFonts w:ascii="Arial" w:cs="Arial" w:eastAsia="Arial" w:hAnsi="Arial"/>
          <w:sz w:val="16"/>
          <w:szCs w:val="16"/>
          <w:color w:val="auto"/>
        </w:rPr>
        <w:t>We generate net service revenues by providing our services directly to consumers and primarily on an hourly basis. We receive payment for providing such services from our payor clients, including federal, state and local governmental agencies, managed care organizations, commercial insurers and private consumers. Net service revenues are principally provided based on authorized hours, determined by the relevant agency, at an hourly rate which is either contractual or fixed by legislation and are recognized at the time services are rendered. We also record estimated implicit price concessions (based primarily on historical collection experience) related to uninsured accounts to record self-pay revenues at the estimated amounts we expect to collect.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Service Revenues</w:t>
      </w:r>
    </w:p>
    <w:p>
      <w:pPr>
        <w:spacing w:after="0" w:line="90" w:lineRule="exact"/>
        <w:rPr>
          <w:sz w:val="20"/>
          <w:szCs w:val="20"/>
          <w:color w:val="auto"/>
        </w:rPr>
      </w:pPr>
    </w:p>
    <w:p>
      <w:pPr>
        <w:ind w:right="120" w:firstLine="484"/>
        <w:spacing w:after="0" w:line="342" w:lineRule="auto"/>
        <w:rPr>
          <w:sz w:val="20"/>
          <w:szCs w:val="20"/>
          <w:color w:val="auto"/>
        </w:rPr>
      </w:pPr>
      <w:r>
        <w:rPr>
          <w:rFonts w:ascii="Arial" w:cs="Arial" w:eastAsia="Arial" w:hAnsi="Arial"/>
          <w:sz w:val="16"/>
          <w:szCs w:val="16"/>
          <w:color w:val="auto"/>
        </w:rPr>
        <w:t>We incur direct care wages, payroll taxes and benefit-related costs in connection with providing our services. We also provide workers’ compensation and general liability coverage for our employees. Employees are also reimbursed for their travel time and related travel costs in certain instances.</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77" w:lineRule="exact"/>
        <w:rPr>
          <w:sz w:val="20"/>
          <w:szCs w:val="20"/>
          <w:color w:val="auto"/>
        </w:rPr>
      </w:pPr>
    </w:p>
    <w:p>
      <w:pPr>
        <w:ind w:right="20" w:firstLine="484"/>
        <w:spacing w:after="0" w:line="254" w:lineRule="auto"/>
        <w:rPr>
          <w:sz w:val="20"/>
          <w:szCs w:val="20"/>
          <w:color w:val="auto"/>
        </w:rPr>
      </w:pPr>
      <w:r>
        <w:rPr>
          <w:rFonts w:ascii="Arial" w:cs="Arial" w:eastAsia="Arial" w:hAnsi="Arial"/>
          <w:sz w:val="18"/>
          <w:szCs w:val="18"/>
          <w:color w:val="auto"/>
        </w:rPr>
        <w:t>Our general and administrative expenses from continuing operations include our costs for operating our network of local agencies and our administrative offices. Our agency expenses consist of costs for supervisory personnel, our community care supervisors and office administrative costs. Personnel costs include wages, payroll taxes and employee benefits. Facility costs include rents, utilities, postage, telephone and office expenses. Our support center expenses include costs for accounting, information systems, human resources, billing and collections, contracting, marketing and executive leadership. These expenses consist of compensation, including stock-based compensation, payroll taxes, employee benefits, legal, accounting and other professional fees, travel, general insurance, rents, provision for doubtful accounts and related facility costs. Expenses related to streamlining our operations such as terminated employees, termination of professional services relationships, other contract termination costs and asset write-offs are also included in general and administrative expenses.</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77" w:lineRule="exact"/>
        <w:rPr>
          <w:sz w:val="20"/>
          <w:szCs w:val="20"/>
          <w:color w:val="auto"/>
        </w:rPr>
      </w:pPr>
    </w:p>
    <w:p>
      <w:pPr>
        <w:jc w:val="both"/>
        <w:ind w:right="180" w:firstLine="484"/>
        <w:spacing w:after="0" w:line="259" w:lineRule="auto"/>
        <w:rPr>
          <w:sz w:val="20"/>
          <w:szCs w:val="20"/>
          <w:color w:val="auto"/>
        </w:rPr>
      </w:pPr>
      <w:r>
        <w:rPr>
          <w:rFonts w:ascii="Arial" w:cs="Arial" w:eastAsia="Arial" w:hAnsi="Arial"/>
          <w:sz w:val="18"/>
          <w:szCs w:val="18"/>
          <w:color w:val="auto"/>
        </w:rPr>
        <w:t>Depreciable assets consist principally of furniture and equipment, network administration and telephone equipment, and operating system software. Depreciable and leasehold assets are depreciated or amortized on a straight-line method over their useful lives or, if less and if applicable, their lease terms. We amortize our intangible assets with finite lives, consisting of customer and referral relationships, trade names, trademarks and non-compete agreements, principally using accelerated methods based upon their estimated useful lives.</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ind w:firstLine="484"/>
        <w:spacing w:after="0" w:line="279" w:lineRule="auto"/>
        <w:rPr>
          <w:sz w:val="20"/>
          <w:szCs w:val="20"/>
          <w:color w:val="auto"/>
        </w:rPr>
      </w:pPr>
      <w:r>
        <w:rPr>
          <w:rFonts w:ascii="Arial" w:cs="Arial" w:eastAsia="Arial" w:hAnsi="Arial"/>
          <w:sz w:val="17"/>
          <w:szCs w:val="17"/>
          <w:color w:val="auto"/>
        </w:rPr>
        <w:t>Illinois law entitles designated service program providers to receive a prompt payment interest penalty based on qualifying services approved for payment that remain unpaid after a designated period of time. As the amount and timing of the receipt of these payments are not certain, the interest income is recognized when received. For the three months ended June 30, 2019 and 2018, we did not receive any prompt payment interest. For the six months ended June 30, 2019 and 2018, we received $0.1 million and $2.3 million, respectively, in prompt payment interest.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77" w:lineRule="exact"/>
        <w:rPr>
          <w:sz w:val="20"/>
          <w:szCs w:val="20"/>
          <w:color w:val="auto"/>
        </w:rPr>
      </w:pPr>
    </w:p>
    <w:p>
      <w:pPr>
        <w:ind w:right="180" w:firstLine="484"/>
        <w:spacing w:after="0" w:line="277" w:lineRule="auto"/>
        <w:rPr>
          <w:sz w:val="20"/>
          <w:szCs w:val="20"/>
          <w:color w:val="auto"/>
        </w:rPr>
      </w:pPr>
      <w:r>
        <w:rPr>
          <w:rFonts w:ascii="Arial" w:cs="Arial" w:eastAsia="Arial" w:hAnsi="Arial"/>
          <w:sz w:val="18"/>
          <w:szCs w:val="18"/>
          <w:color w:val="auto"/>
        </w:rPr>
        <w:t>Interest expense is reported when incurred and consists of interest and unused credit line fees on our credit facility, and our Terminated Senior Credit Facility and interest on our financing lease obligations.</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ind w:right="20" w:firstLine="484"/>
        <w:spacing w:after="0" w:line="342" w:lineRule="auto"/>
        <w:rPr>
          <w:sz w:val="20"/>
          <w:szCs w:val="20"/>
          <w:color w:val="auto"/>
        </w:rPr>
      </w:pPr>
      <w:r>
        <w:rPr>
          <w:rFonts w:ascii="Arial" w:cs="Arial" w:eastAsia="Arial" w:hAnsi="Arial"/>
          <w:sz w:val="16"/>
          <w:szCs w:val="16"/>
          <w:color w:val="auto"/>
        </w:rPr>
        <w:t>All of our income is from domestic sources. We incur state and local taxes in states in which we operate. The effective income tax rate was 22.6% and 22.5% for the three months ended June 30, 2019 and 2018, respectively and 20.0% and 20.5% for the six months ended June 30, 2019 and 2018, respectively.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Consolidated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2019 Compared to Three Months Ended June 30, 2018</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for the periods indicated, our consolidated results of operations.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b w:val="1"/>
                <w:bCs w:val="1"/>
                <w:color w:val="auto"/>
                <w:w w:val="99"/>
              </w:rPr>
              <w:t>For the Three Months Ended June 30,</w:t>
            </w:r>
          </w:p>
        </w:tc>
        <w:tc>
          <w:tcPr>
            <w:tcW w:w="8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8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vMerge w:val="continue"/>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center"/>
              <w:ind w:right="14"/>
              <w:spacing w:after="0"/>
              <w:rPr>
                <w:sz w:val="20"/>
                <w:szCs w:val="20"/>
                <w:color w:val="auto"/>
              </w:rPr>
            </w:pPr>
            <w:r>
              <w:rPr>
                <w:rFonts w:ascii="Arial" w:cs="Arial" w:eastAsia="Arial" w:hAnsi="Arial"/>
                <w:sz w:val="14"/>
                <w:szCs w:val="14"/>
                <w:b w:val="1"/>
                <w:bCs w:val="1"/>
                <w:color w:val="auto"/>
              </w:rPr>
              <w:t>% Of</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Net Service</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center"/>
              <w:ind w:right="14"/>
              <w:spacing w:after="0"/>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Amount</w:t>
            </w:r>
          </w:p>
        </w:tc>
        <w:tc>
          <w:tcPr>
            <w:tcW w:w="2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4"/>
          </w:tcPr>
          <w:p>
            <w:pPr>
              <w:jc w:val="right"/>
              <w:ind w:right="60"/>
              <w:spacing w:after="0" w:line="155" w:lineRule="exact"/>
              <w:rPr>
                <w:sz w:val="20"/>
                <w:szCs w:val="20"/>
                <w:color w:val="auto"/>
              </w:rPr>
            </w:pPr>
            <w:r>
              <w:rPr>
                <w:rFonts w:ascii="Arial" w:cs="Arial" w:eastAsia="Arial" w:hAnsi="Arial"/>
                <w:sz w:val="14"/>
                <w:szCs w:val="14"/>
                <w:b w:val="1"/>
                <w:bCs w:val="1"/>
                <w:color w:val="auto"/>
                <w:w w:val="87"/>
              </w:rPr>
              <w:t>(Amounts in Thousands,</w:t>
            </w:r>
          </w:p>
        </w:tc>
        <w:tc>
          <w:tcPr>
            <w:tcW w:w="12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88"/>
              </w:rPr>
              <w:t>Except Percentages)</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149,692</w:t>
            </w:r>
          </w:p>
        </w:tc>
        <w:tc>
          <w:tcPr>
            <w:tcW w:w="300" w:type="dxa"/>
            <w:vAlign w:val="bottom"/>
            <w:tcBorders>
              <w:right w:val="single" w:sz="8" w:color="CFF0FC"/>
            </w:tcBorders>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131,258</w:t>
            </w:r>
          </w:p>
        </w:tc>
        <w:tc>
          <w:tcPr>
            <w:tcW w:w="280" w:type="dxa"/>
            <w:vAlign w:val="bottom"/>
            <w:tcBorders>
              <w:right w:val="single" w:sz="8" w:color="CFF0FC"/>
            </w:tcBorders>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18,434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7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109,222</w:t>
            </w:r>
          </w:p>
        </w:tc>
        <w:tc>
          <w:tcPr>
            <w:tcW w:w="3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95,515</w:t>
            </w:r>
          </w:p>
        </w:tc>
        <w:tc>
          <w:tcPr>
            <w:tcW w:w="2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4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13,707</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40,470</w:t>
            </w:r>
          </w:p>
        </w:tc>
        <w:tc>
          <w:tcPr>
            <w:tcW w:w="300" w:type="dxa"/>
            <w:vAlign w:val="bottom"/>
            <w:tcBorders>
              <w:right w:val="single" w:sz="8" w:color="CFF0FC"/>
            </w:tcBorders>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35,743</w:t>
            </w:r>
          </w:p>
        </w:tc>
        <w:tc>
          <w:tcPr>
            <w:tcW w:w="280" w:type="dxa"/>
            <w:vAlign w:val="bottom"/>
            <w:tcBorders>
              <w:right w:val="single" w:sz="8" w:color="CFF0FC"/>
            </w:tcBorders>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30,222</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26,495</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3,727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2,535</w:t>
            </w:r>
          </w:p>
        </w:tc>
        <w:tc>
          <w:tcPr>
            <w:tcW w:w="300" w:type="dxa"/>
            <w:vAlign w:val="bottom"/>
            <w:tcBorders>
              <w:right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2,335</w:t>
            </w:r>
          </w:p>
        </w:tc>
        <w:tc>
          <w:tcPr>
            <w:tcW w:w="280" w:type="dxa"/>
            <w:vAlign w:val="bottom"/>
            <w:tcBorders>
              <w:right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7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32,757</w:t>
            </w:r>
          </w:p>
        </w:tc>
        <w:tc>
          <w:tcPr>
            <w:tcW w:w="3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28,830</w:t>
            </w:r>
          </w:p>
        </w:tc>
        <w:tc>
          <w:tcPr>
            <w:tcW w:w="2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4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3,927</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7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7,713</w:t>
            </w:r>
          </w:p>
        </w:tc>
        <w:tc>
          <w:tcPr>
            <w:tcW w:w="300" w:type="dxa"/>
            <w:vAlign w:val="bottom"/>
            <w:tcBorders>
              <w:right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6,913</w:t>
            </w:r>
          </w:p>
        </w:tc>
        <w:tc>
          <w:tcPr>
            <w:tcW w:w="280" w:type="dxa"/>
            <w:vAlign w:val="bottom"/>
            <w:tcBorders>
              <w:right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4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8"/>
                <w:szCs w:val="18"/>
                <w:color w:val="auto"/>
              </w:rPr>
              <w:t>Interest income</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196.9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300" w:type="dxa"/>
            <w:vAlign w:val="bottom"/>
            <w:tcBorders>
              <w:right w:val="single" w:sz="8" w:color="CFF0FC"/>
            </w:tcBorders>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w:t>
            </w:r>
          </w:p>
        </w:tc>
        <w:tc>
          <w:tcPr>
            <w:tcW w:w="280" w:type="dxa"/>
            <w:vAlign w:val="bottom"/>
            <w:tcBorders>
              <w:right w:val="single" w:sz="8" w:color="CFF0FC"/>
            </w:tcBorders>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(702)</w:t>
            </w:r>
          </w:p>
        </w:tc>
        <w:tc>
          <w:tcPr>
            <w:tcW w:w="2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(50.8)</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8"/>
                <w:szCs w:val="18"/>
                <w:color w:val="auto"/>
              </w:rPr>
              <w:t>Total interest expense (income), net</w:t>
            </w:r>
          </w:p>
        </w:tc>
        <w:tc>
          <w:tcPr>
            <w:tcW w:w="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2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585</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1,350</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(765)</w:t>
            </w:r>
          </w:p>
        </w:tc>
        <w:tc>
          <w:tcPr>
            <w:tcW w:w="2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(56.7)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7,128</w:t>
            </w:r>
          </w:p>
        </w:tc>
        <w:tc>
          <w:tcPr>
            <w:tcW w:w="300" w:type="dxa"/>
            <w:vAlign w:val="bottom"/>
            <w:tcBorders>
              <w:right w:val="single" w:sz="8" w:color="CFF0FC"/>
            </w:tcBorders>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5,563</w:t>
            </w:r>
          </w:p>
        </w:tc>
        <w:tc>
          <w:tcPr>
            <w:tcW w:w="280" w:type="dxa"/>
            <w:vAlign w:val="bottom"/>
            <w:tcBorders>
              <w:right w:val="single" w:sz="8" w:color="CFF0FC"/>
            </w:tcBorders>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7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w:t>
            </w:r>
          </w:p>
        </w:tc>
        <w:tc>
          <w:tcPr>
            <w:tcW w:w="3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2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4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7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5,518</w:t>
            </w:r>
          </w:p>
        </w:tc>
        <w:tc>
          <w:tcPr>
            <w:tcW w:w="300" w:type="dxa"/>
            <w:vAlign w:val="bottom"/>
            <w:tcBorders>
              <w:bottom w:val="single" w:sz="8" w:color="CFF0FC"/>
              <w:right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jc w:val="right"/>
              <w:ind w:right="96"/>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4,318</w:t>
            </w:r>
          </w:p>
        </w:tc>
        <w:tc>
          <w:tcPr>
            <w:tcW w:w="280" w:type="dxa"/>
            <w:vAlign w:val="bottom"/>
            <w:tcBorders>
              <w:bottom w:val="single" w:sz="8" w:color="CFF0FC"/>
              <w:right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40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firstLine="484"/>
        <w:spacing w:after="0" w:line="255" w:lineRule="auto"/>
        <w:rPr>
          <w:sz w:val="20"/>
          <w:szCs w:val="20"/>
          <w:color w:val="auto"/>
        </w:rPr>
      </w:pPr>
      <w:r>
        <w:rPr>
          <w:rFonts w:ascii="Arial" w:cs="Arial" w:eastAsia="Arial" w:hAnsi="Arial"/>
          <w:sz w:val="18"/>
          <w:szCs w:val="18"/>
          <w:color w:val="auto"/>
        </w:rPr>
        <w:t>Net service revenues increased by 14.0% to $149.7 million for the three months ended June 30, 2019 compared to $131.3 million for the three months ended June 30, 2018. The increase was due to a 6.5% increase in billable hours and a 3.8% increase in revenues per billable hour for the three months ended June 30, 2019 in our personal care segment. Billable hours increased in our personal care segment for the three months ended June 30, 2019 compared to June 30, 2018, partially due to the acquisition of Ambercare on May 1, 2018 and the acquisition of VIP on June 1, 2019 as well as an increase in same store billable census. Revenues per billable hour increased due to rate increases in several states. In addition, with the acquisition of Ambercare, revenue increased by $3.8 million and $1.5 million from our hospice and home health segments, respectively, during the three months ended June 30, 2019, compared to the same period in 2018.</w:t>
      </w:r>
    </w:p>
    <w:p>
      <w:pPr>
        <w:spacing w:after="0" w:line="135" w:lineRule="exact"/>
        <w:rPr>
          <w:sz w:val="20"/>
          <w:szCs w:val="20"/>
          <w:color w:val="auto"/>
        </w:rPr>
      </w:pPr>
    </w:p>
    <w:p>
      <w:pPr>
        <w:ind w:right="100" w:firstLine="484"/>
        <w:spacing w:after="0" w:line="264" w:lineRule="auto"/>
        <w:rPr>
          <w:sz w:val="20"/>
          <w:szCs w:val="20"/>
          <w:color w:val="auto"/>
        </w:rPr>
      </w:pPr>
      <w:r>
        <w:rPr>
          <w:rFonts w:ascii="Arial" w:cs="Arial" w:eastAsia="Arial" w:hAnsi="Arial"/>
          <w:sz w:val="18"/>
          <w:szCs w:val="18"/>
          <w:color w:val="auto"/>
        </w:rPr>
        <w:t>Gross profit, expressed as a percentage of net service revenues, decreased slightly to 27.0% for the three months ended June 30, 2019, compared to 27.2% for the same period in 2018. The decrease was due to an increase of direct service costs associated with salaries of 0.2% as a percentage of net service revenues.</w:t>
      </w:r>
    </w:p>
    <w:p>
      <w:pPr>
        <w:spacing w:after="0" w:line="127" w:lineRule="exact"/>
        <w:rPr>
          <w:sz w:val="20"/>
          <w:szCs w:val="20"/>
          <w:color w:val="auto"/>
        </w:rPr>
      </w:pPr>
    </w:p>
    <w:p>
      <w:pPr>
        <w:ind w:right="100" w:firstLine="484"/>
        <w:spacing w:after="0" w:line="255" w:lineRule="auto"/>
        <w:rPr>
          <w:sz w:val="20"/>
          <w:szCs w:val="20"/>
          <w:color w:val="auto"/>
        </w:rPr>
      </w:pPr>
      <w:r>
        <w:rPr>
          <w:rFonts w:ascii="Arial" w:cs="Arial" w:eastAsia="Arial" w:hAnsi="Arial"/>
          <w:sz w:val="18"/>
          <w:szCs w:val="18"/>
          <w:color w:val="auto"/>
        </w:rPr>
        <w:t>General and administrative expenses increased to $30.2 million for the three months ended June 30, 2019 compared to $26.5 million for the three months ended June 30, 2018. The increase in general and administrative expenses was primarily due to acquisitions that resulted in an increase in administrative employee wages, taxes and benefit costs of $2.4 million and an increase in data processing of $0.3 million. In addition, professional fees increased by $0.5 million and stock based compensation increased by $0.5 million for the three months ended June 30, 2019 compared to the three months ended June 30, 2018. General and administrative expenses, expressed as a percentage of net service revenues was 20.2% for the three months ended June 30, 2019 and June 30, 2018.</w:t>
      </w:r>
    </w:p>
    <w:p>
      <w:pPr>
        <w:spacing w:after="0" w:line="139" w:lineRule="exact"/>
        <w:rPr>
          <w:sz w:val="20"/>
          <w:szCs w:val="20"/>
          <w:color w:val="auto"/>
        </w:rPr>
      </w:pPr>
    </w:p>
    <w:p>
      <w:pPr>
        <w:ind w:right="440" w:firstLine="484"/>
        <w:spacing w:after="0" w:line="277" w:lineRule="auto"/>
        <w:rPr>
          <w:sz w:val="20"/>
          <w:szCs w:val="20"/>
          <w:color w:val="auto"/>
        </w:rPr>
      </w:pPr>
      <w:r>
        <w:rPr>
          <w:rFonts w:ascii="Arial" w:cs="Arial" w:eastAsia="Arial" w:hAnsi="Arial"/>
          <w:sz w:val="18"/>
          <w:szCs w:val="18"/>
          <w:color w:val="auto"/>
        </w:rPr>
        <w:t>Depreciation and amortization expense increased to $2.5 million for the three months ended June 30, 2019 from $2.3 million for the three months ended June 30, 2018, primarily due to the increase of intangible assets related to the fiscal year 2018 acquisitions.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right="80" w:firstLine="484"/>
        <w:spacing w:after="0" w:line="264" w:lineRule="auto"/>
        <w:rPr>
          <w:sz w:val="20"/>
          <w:szCs w:val="20"/>
          <w:color w:val="auto"/>
        </w:rPr>
      </w:pPr>
      <w:r>
        <w:rPr>
          <w:rFonts w:ascii="Arial" w:cs="Arial" w:eastAsia="Arial" w:hAnsi="Arial"/>
          <w:sz w:val="18"/>
          <w:szCs w:val="18"/>
          <w:color w:val="auto"/>
        </w:rPr>
        <w:t>Interest expense decreased to $0.7 million for the three months ended June 30, 2019 compared to $1.4 million for the three months ending June 30, 2018. The decrease in interest expense is primarily due to a lower outstanding loan balance under our credit facility for the three months ended June 30, 2019 compared to the three months ended June 30, 2018.</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77" w:lineRule="exact"/>
        <w:rPr>
          <w:sz w:val="20"/>
          <w:szCs w:val="20"/>
          <w:color w:val="auto"/>
        </w:rPr>
      </w:pPr>
    </w:p>
    <w:p>
      <w:pPr>
        <w:ind w:right="80" w:firstLine="484"/>
        <w:spacing w:after="0" w:line="312" w:lineRule="auto"/>
        <w:rPr>
          <w:sz w:val="20"/>
          <w:szCs w:val="20"/>
          <w:color w:val="auto"/>
        </w:rPr>
      </w:pPr>
      <w:r>
        <w:rPr>
          <w:rFonts w:ascii="Arial" w:cs="Arial" w:eastAsia="Arial" w:hAnsi="Arial"/>
          <w:sz w:val="16"/>
          <w:szCs w:val="16"/>
          <w:color w:val="auto"/>
        </w:rPr>
        <w:t>All of our income is from domestic sources. We incur state and local taxes in states in which we operate. The effective income tax rate was 22.6% and 22.5% for the three months ended June 30, 2019 and 2018, respectively. The difference between the federal statutory and our effective income tax rates is principally due to the inclusion of state taxes and non-deductible compensation, offset by an excess tax benefit and the use of federal employment tax credits.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2019 Compared to Six Months Ended June 30, 2018</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for the periods indicated, our consolidated results of operations.</w:t>
      </w:r>
    </w:p>
    <w:p>
      <w:pPr>
        <w:spacing w:after="0" w:line="298"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For the Six Months Ended 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90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ind w:left="640"/>
              <w:spacing w:after="0" w:line="155" w:lineRule="exact"/>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Net Service</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Net Service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Revenues</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60" w:type="dxa"/>
            <w:vAlign w:val="bottom"/>
            <w:gridSpan w:val="7"/>
          </w:tcPr>
          <w:p>
            <w:pPr>
              <w:jc w:val="right"/>
              <w:spacing w:after="0" w:line="155" w:lineRule="exact"/>
              <w:rPr>
                <w:sz w:val="20"/>
                <w:szCs w:val="20"/>
                <w:color w:val="auto"/>
              </w:rPr>
            </w:pPr>
            <w:r>
              <w:rPr>
                <w:rFonts w:ascii="Arial" w:cs="Arial" w:eastAsia="Arial" w:hAnsi="Arial"/>
                <w:sz w:val="14"/>
                <w:szCs w:val="14"/>
                <w:b w:val="1"/>
                <w:bCs w:val="1"/>
                <w:color w:val="auto"/>
                <w:w w:val="88"/>
              </w:rPr>
              <w:t>(Amounts in Thousands, Except Percentages)</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288,946</w:t>
            </w:r>
          </w:p>
        </w:tc>
        <w:tc>
          <w:tcPr>
            <w:tcW w:w="300" w:type="dxa"/>
            <w:vAlign w:val="bottom"/>
            <w:tcBorders>
              <w:right w:val="single" w:sz="8" w:color="CFF0FC"/>
            </w:tcBorders>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97"/>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240,734</w:t>
            </w:r>
          </w:p>
        </w:tc>
        <w:tc>
          <w:tcPr>
            <w:tcW w:w="220" w:type="dxa"/>
            <w:vAlign w:val="bottom"/>
            <w:shd w:val="clear" w:color="auto" w:fill="CFF0FC"/>
          </w:tcPr>
          <w:p>
            <w:pPr>
              <w:spacing w:after="0"/>
              <w:rPr>
                <w:sz w:val="19"/>
                <w:szCs w:val="19"/>
                <w:color w:val="auto"/>
              </w:rPr>
            </w:pPr>
          </w:p>
        </w:tc>
        <w:tc>
          <w:tcPr>
            <w:tcW w:w="90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48,212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7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210,902</w:t>
            </w:r>
          </w:p>
        </w:tc>
        <w:tc>
          <w:tcPr>
            <w:tcW w:w="3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177,058</w:t>
            </w:r>
          </w:p>
        </w:tc>
        <w:tc>
          <w:tcPr>
            <w:tcW w:w="2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33,844</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78,044</w:t>
            </w:r>
          </w:p>
        </w:tc>
        <w:tc>
          <w:tcPr>
            <w:tcW w:w="300" w:type="dxa"/>
            <w:vAlign w:val="bottom"/>
            <w:tcBorders>
              <w:right w:val="single" w:sz="8" w:color="CFF0FC"/>
            </w:tcBorders>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63,676</w:t>
            </w:r>
          </w:p>
        </w:tc>
        <w:tc>
          <w:tcPr>
            <w:tcW w:w="220" w:type="dxa"/>
            <w:vAlign w:val="bottom"/>
            <w:shd w:val="clear" w:color="auto" w:fill="CFF0FC"/>
          </w:tcPr>
          <w:p>
            <w:pPr>
              <w:spacing w:after="0"/>
              <w:rPr>
                <w:sz w:val="19"/>
                <w:szCs w:val="19"/>
                <w:color w:val="auto"/>
              </w:rPr>
            </w:pPr>
          </w:p>
        </w:tc>
        <w:tc>
          <w:tcPr>
            <w:tcW w:w="90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14,368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59,479</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48,032</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11,447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4,609</w:t>
            </w:r>
          </w:p>
        </w:tc>
        <w:tc>
          <w:tcPr>
            <w:tcW w:w="300" w:type="dxa"/>
            <w:vAlign w:val="bottom"/>
            <w:tcBorders>
              <w:right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4,142</w:t>
            </w:r>
          </w:p>
        </w:tc>
        <w:tc>
          <w:tcPr>
            <w:tcW w:w="220" w:type="dxa"/>
            <w:vAlign w:val="bottom"/>
            <w:shd w:val="clear" w:color="auto" w:fill="CFF0FC"/>
          </w:tcPr>
          <w:p>
            <w:pPr>
              <w:spacing w:after="0"/>
              <w:rPr>
                <w:sz w:val="19"/>
                <w:szCs w:val="19"/>
                <w:color w:val="auto"/>
              </w:rPr>
            </w:pPr>
          </w:p>
        </w:tc>
        <w:tc>
          <w:tcPr>
            <w:tcW w:w="900" w:type="dxa"/>
            <w:vAlign w:val="bottom"/>
            <w:tcBorders>
              <w:left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7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64,088</w:t>
            </w:r>
          </w:p>
        </w:tc>
        <w:tc>
          <w:tcPr>
            <w:tcW w:w="3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52,174</w:t>
            </w:r>
          </w:p>
        </w:tc>
        <w:tc>
          <w:tcPr>
            <w:tcW w:w="2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11,914</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7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13,956</w:t>
            </w:r>
          </w:p>
        </w:tc>
        <w:tc>
          <w:tcPr>
            <w:tcW w:w="300" w:type="dxa"/>
            <w:vAlign w:val="bottom"/>
            <w:tcBorders>
              <w:right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11,502</w:t>
            </w:r>
          </w:p>
        </w:tc>
        <w:tc>
          <w:tcPr>
            <w:tcW w:w="220" w:type="dxa"/>
            <w:vAlign w:val="bottom"/>
            <w:shd w:val="clear" w:color="auto" w:fill="CFF0FC"/>
          </w:tcPr>
          <w:p>
            <w:pPr>
              <w:spacing w:after="0"/>
              <w:rPr>
                <w:sz w:val="19"/>
                <w:szCs w:val="19"/>
                <w:color w:val="auto"/>
              </w:rPr>
            </w:pPr>
          </w:p>
        </w:tc>
        <w:tc>
          <w:tcPr>
            <w:tcW w:w="900" w:type="dxa"/>
            <w:vAlign w:val="bottom"/>
            <w:tcBorders>
              <w:left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2,454</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8"/>
                <w:szCs w:val="18"/>
                <w:color w:val="auto"/>
              </w:rPr>
              <w:t>Interest income</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(2,355)</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2,045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300" w:type="dxa"/>
            <w:vAlign w:val="bottom"/>
            <w:tcBorders>
              <w:right w:val="single" w:sz="8" w:color="CFF0FC"/>
            </w:tcBorders>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2,293</w:t>
            </w:r>
          </w:p>
        </w:tc>
        <w:tc>
          <w:tcPr>
            <w:tcW w:w="220" w:type="dxa"/>
            <w:vAlign w:val="bottom"/>
            <w:shd w:val="clear" w:color="auto" w:fill="CFF0FC"/>
          </w:tcPr>
          <w:p>
            <w:pPr>
              <w:spacing w:after="0"/>
              <w:rPr>
                <w:sz w:val="19"/>
                <w:szCs w:val="19"/>
                <w:color w:val="auto"/>
              </w:rPr>
            </w:pPr>
          </w:p>
        </w:tc>
        <w:tc>
          <w:tcPr>
            <w:tcW w:w="90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(995)</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(43.4)</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8"/>
                <w:szCs w:val="18"/>
                <w:color w:val="auto"/>
              </w:rPr>
              <w:t>Total interest expense (income), net</w:t>
            </w:r>
          </w:p>
        </w:tc>
        <w:tc>
          <w:tcPr>
            <w:tcW w:w="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2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988</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vMerge w:val="continue"/>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(1,693.5)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12,968</w:t>
            </w:r>
          </w:p>
        </w:tc>
        <w:tc>
          <w:tcPr>
            <w:tcW w:w="300" w:type="dxa"/>
            <w:vAlign w:val="bottom"/>
            <w:tcBorders>
              <w:right w:val="single" w:sz="8" w:color="CFF0FC"/>
            </w:tcBorders>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11,564</w:t>
            </w:r>
          </w:p>
        </w:tc>
        <w:tc>
          <w:tcPr>
            <w:tcW w:w="220" w:type="dxa"/>
            <w:vAlign w:val="bottom"/>
            <w:shd w:val="clear" w:color="auto" w:fill="CFF0FC"/>
          </w:tcPr>
          <w:p>
            <w:pPr>
              <w:spacing w:after="0"/>
              <w:rPr>
                <w:sz w:val="19"/>
                <w:szCs w:val="19"/>
                <w:color w:val="auto"/>
              </w:rPr>
            </w:pPr>
          </w:p>
        </w:tc>
        <w:tc>
          <w:tcPr>
            <w:tcW w:w="90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7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w:t>
            </w:r>
          </w:p>
        </w:tc>
        <w:tc>
          <w:tcPr>
            <w:tcW w:w="3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w:t>
            </w:r>
          </w:p>
        </w:tc>
        <w:tc>
          <w:tcPr>
            <w:tcW w:w="2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7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10,380</w:t>
            </w:r>
          </w:p>
        </w:tc>
        <w:tc>
          <w:tcPr>
            <w:tcW w:w="300" w:type="dxa"/>
            <w:vAlign w:val="bottom"/>
            <w:tcBorders>
              <w:bottom w:val="single" w:sz="8" w:color="CFF0FC"/>
              <w:right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jc w:val="right"/>
              <w:ind w:right="97"/>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9,204</w:t>
            </w:r>
          </w:p>
        </w:tc>
        <w:tc>
          <w:tcPr>
            <w:tcW w:w="2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left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1,176</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00" w:firstLine="484"/>
        <w:spacing w:after="0" w:line="255" w:lineRule="auto"/>
        <w:rPr>
          <w:sz w:val="20"/>
          <w:szCs w:val="20"/>
          <w:color w:val="auto"/>
        </w:rPr>
      </w:pPr>
      <w:r>
        <w:rPr>
          <w:rFonts w:ascii="Arial" w:cs="Arial" w:eastAsia="Arial" w:hAnsi="Arial"/>
          <w:sz w:val="18"/>
          <w:szCs w:val="18"/>
          <w:color w:val="auto"/>
        </w:rPr>
        <w:t>Net service revenues increased by 20.0% to $288.9 million for the six months ended June 30, 2019 compared to $240.7 million for the six months ended June 30, 2018. The increase was due to a 9.9% increase in billable hours and a 3.5% increase in revenues per billable hour for the six months ended June 30, 2019 in our personal care segment. Billable hours increased in our personal care segment for the six months ended June 30, 2019 compared to June 30, 2018, partially due to the acquisition of Ambercare on May 1, 2018 and the acquisition of VIP on June 1, 2019 as well as an increase in same store billable census. Revenues per billable hour increased due to rate increases in several states. In addition, with the acquisition of Ambercare, revenue increased by $11.7 million and $4.2 million from our hospice and home health segments, respectively, during the six months ended June 30, 2019, compared to the same period in 2018.</w:t>
      </w:r>
    </w:p>
    <w:p>
      <w:pPr>
        <w:spacing w:after="0" w:line="135" w:lineRule="exact"/>
        <w:rPr>
          <w:sz w:val="20"/>
          <w:szCs w:val="20"/>
          <w:color w:val="auto"/>
        </w:rPr>
      </w:pPr>
    </w:p>
    <w:p>
      <w:pPr>
        <w:jc w:val="both"/>
        <w:ind w:right="60" w:firstLine="484"/>
        <w:spacing w:after="0" w:line="342" w:lineRule="auto"/>
        <w:rPr>
          <w:sz w:val="20"/>
          <w:szCs w:val="20"/>
          <w:color w:val="auto"/>
        </w:rPr>
      </w:pPr>
      <w:r>
        <w:rPr>
          <w:rFonts w:ascii="Arial" w:cs="Arial" w:eastAsia="Arial" w:hAnsi="Arial"/>
          <w:sz w:val="16"/>
          <w:szCs w:val="16"/>
          <w:color w:val="auto"/>
        </w:rPr>
        <w:t>Gross profit, expressed as a percentage of net service revenues, increased to 27.0% for the six months ended June 30, 2019, compared to 26.5% for the same period in 2018. The increase was mainly attributed to the acquisition of the relatively higher margin Ambercare business in the second quarter of 2018.</w:t>
      </w:r>
    </w:p>
    <w:p>
      <w:pPr>
        <w:spacing w:after="0" w:line="70" w:lineRule="exact"/>
        <w:rPr>
          <w:sz w:val="20"/>
          <w:szCs w:val="20"/>
          <w:color w:val="auto"/>
        </w:rPr>
      </w:pPr>
    </w:p>
    <w:p>
      <w:pPr>
        <w:ind w:right="100" w:firstLine="484"/>
        <w:spacing w:after="0" w:line="273" w:lineRule="auto"/>
        <w:rPr>
          <w:sz w:val="20"/>
          <w:szCs w:val="20"/>
          <w:color w:val="auto"/>
        </w:rPr>
      </w:pPr>
      <w:r>
        <w:rPr>
          <w:rFonts w:ascii="Arial" w:cs="Arial" w:eastAsia="Arial" w:hAnsi="Arial"/>
          <w:sz w:val="17"/>
          <w:szCs w:val="17"/>
          <w:color w:val="auto"/>
        </w:rPr>
        <w:t>General and administrative expenses increased to $59.5 million for the six months ended June 30, 2019 compared to $48.0 million for the six months ended June 30, 2018. The increase in general and administrative expenses was primarily due to acquisitions that resulted in an increase in administrative employee wages, taxes and benefit costs of $8.2 million, an increase in data processing of $0.7 million, and an increase in rent expense of $0.5 million. In addition, professional fees increased by $1.1 million and stock based compensation increased by $0.9 million for the six months ended June 30, 2019 compared to the six months ended June 30, 2018. General and administrative expenses, expressed as a percentage of net service revenues increased to 20.6% for the six months ended June 30, 2019, from 20.0% for the six months ended June 30, 2018.</w:t>
      </w:r>
    </w:p>
    <w:p>
      <w:pPr>
        <w:spacing w:after="0" w:line="124" w:lineRule="exact"/>
        <w:rPr>
          <w:sz w:val="20"/>
          <w:szCs w:val="20"/>
          <w:color w:val="auto"/>
        </w:rPr>
      </w:pPr>
    </w:p>
    <w:p>
      <w:pPr>
        <w:ind w:right="260" w:firstLine="484"/>
        <w:spacing w:after="0" w:line="277" w:lineRule="auto"/>
        <w:rPr>
          <w:sz w:val="20"/>
          <w:szCs w:val="20"/>
          <w:color w:val="auto"/>
        </w:rPr>
      </w:pPr>
      <w:r>
        <w:rPr>
          <w:rFonts w:ascii="Arial" w:cs="Arial" w:eastAsia="Arial" w:hAnsi="Arial"/>
          <w:sz w:val="18"/>
          <w:szCs w:val="18"/>
          <w:color w:val="auto"/>
        </w:rPr>
        <w:t>Depreciation and amortization expense increased to $4.6 million for the six months ended June 30, 2019 from $4.1 million for the six months ended June 30, 2018, primarily due to the increase of intangible assets related to the fiscal year 2018 acquisitions.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Interest income decreased by $2.0 million to $0.3 million for the six months ended June 30, 2019 from $2.4 million for the six months ended June 30,</w:t>
      </w:r>
    </w:p>
    <w:p>
      <w:pPr>
        <w:spacing w:after="0" w:line="46"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2018. For the six months ended June 30, 2019 and June 30, 2018, we received prompt payment interest from the state of Illinois of $0.1 million and $2.3 million, respectively.</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77" w:lineRule="exact"/>
        <w:rPr>
          <w:sz w:val="20"/>
          <w:szCs w:val="20"/>
          <w:color w:val="auto"/>
        </w:rPr>
      </w:pPr>
    </w:p>
    <w:p>
      <w:pPr>
        <w:ind w:right="240" w:firstLine="484"/>
        <w:spacing w:after="0" w:line="264" w:lineRule="auto"/>
        <w:rPr>
          <w:sz w:val="20"/>
          <w:szCs w:val="20"/>
          <w:color w:val="auto"/>
        </w:rPr>
      </w:pPr>
      <w:r>
        <w:rPr>
          <w:rFonts w:ascii="Arial" w:cs="Arial" w:eastAsia="Arial" w:hAnsi="Arial"/>
          <w:sz w:val="18"/>
          <w:szCs w:val="18"/>
          <w:color w:val="auto"/>
        </w:rPr>
        <w:t>Interest expense decreased to $1.3 million for the six months ended June 30, 2019 compared to $2.3 million for the six months ended June 30, 2018. The decrease in interest expense is primarily due to a lower outstanding loan balance under our credit facility for the six months ended June 30, 2019 compared to the six months ended June 30, 2018.</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ind w:right="80" w:firstLine="484"/>
        <w:spacing w:after="0" w:line="312" w:lineRule="auto"/>
        <w:rPr>
          <w:sz w:val="20"/>
          <w:szCs w:val="20"/>
          <w:color w:val="auto"/>
        </w:rPr>
      </w:pPr>
      <w:r>
        <w:rPr>
          <w:rFonts w:ascii="Arial" w:cs="Arial" w:eastAsia="Arial" w:hAnsi="Arial"/>
          <w:sz w:val="16"/>
          <w:szCs w:val="16"/>
          <w:color w:val="auto"/>
        </w:rPr>
        <w:t>All of our income is from domestic sources. We incur state and local taxes in states in which we operate. The effective income tax rate was 20.0% and 20.5% for the six months ended June 30, 2019 and 2018, respectively. The difference between the federal statutory rate and our effective income tax rates is principally due to the inclusion of state taxes and non-deductible compensation, offset by an excess tax benefit and the use of federal employment tax credits.</w:t>
      </w:r>
    </w:p>
    <w:p>
      <w:pPr>
        <w:sectPr>
          <w:pgSz w:w="11900" w:h="16838" w:orient="portrait"/>
          <w:cols w:equalWidth="0" w:num="1">
            <w:col w:w="11420"/>
          </w:cols>
          <w:pgMar w:left="240" w:top="121" w:right="239"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Segments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and related analysis summarize our operating results and business metrics by segment: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Personal Care Segment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8"/>
          </w:tcPr>
          <w:p>
            <w:pPr>
              <w:jc w:val="right"/>
              <w:ind w:right="5"/>
              <w:spacing w:after="0"/>
              <w:rPr>
                <w:sz w:val="20"/>
                <w:szCs w:val="20"/>
                <w:color w:val="auto"/>
              </w:rPr>
            </w:pPr>
            <w:r>
              <w:rPr>
                <w:rFonts w:ascii="Arial" w:cs="Arial" w:eastAsia="Arial" w:hAnsi="Arial"/>
                <w:sz w:val="14"/>
                <w:szCs w:val="14"/>
                <w:b w:val="1"/>
                <w:bCs w:val="1"/>
                <w:color w:val="auto"/>
              </w:rPr>
              <w:t>For the Three Months Ended June 30,</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8"/>
          </w:tcPr>
          <w:p>
            <w:pPr>
              <w:jc w:val="right"/>
              <w:ind w:right="23"/>
              <w:spacing w:after="0"/>
              <w:rPr>
                <w:sz w:val="20"/>
                <w:szCs w:val="20"/>
                <w:color w:val="auto"/>
              </w:rPr>
            </w:pPr>
            <w:r>
              <w:rPr>
                <w:rFonts w:ascii="Arial" w:cs="Arial" w:eastAsia="Arial" w:hAnsi="Arial"/>
                <w:sz w:val="14"/>
                <w:szCs w:val="14"/>
                <w:b w:val="1"/>
                <w:bCs w:val="1"/>
                <w:color w:val="auto"/>
              </w:rPr>
              <w:t>For the Six Months Ended June 30,</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546"/>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526"/>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ind w:left="220"/>
              <w:spacing w:after="0" w:line="155" w:lineRule="exact"/>
              <w:rPr>
                <w:sz w:val="20"/>
                <w:szCs w:val="20"/>
                <w:color w:val="auto"/>
              </w:rPr>
            </w:pPr>
            <w:r>
              <w:rPr>
                <w:rFonts w:ascii="Arial" w:cs="Arial" w:eastAsia="Arial" w:hAnsi="Arial"/>
                <w:sz w:val="14"/>
                <w:szCs w:val="14"/>
                <w:b w:val="1"/>
                <w:bCs w:val="1"/>
                <w:color w:val="auto"/>
                <w:w w:val="89"/>
              </w:rPr>
              <w:t>Change</w:t>
            </w:r>
          </w:p>
        </w:tc>
        <w:tc>
          <w:tcPr>
            <w:tcW w:w="3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526"/>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526"/>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ind w:left="220"/>
              <w:spacing w:after="0" w:line="155" w:lineRule="exact"/>
              <w:rPr>
                <w:sz w:val="20"/>
                <w:szCs w:val="20"/>
                <w:color w:val="auto"/>
              </w:rPr>
            </w:pPr>
            <w:r>
              <w:rPr>
                <w:rFonts w:ascii="Arial" w:cs="Arial" w:eastAsia="Arial" w:hAnsi="Arial"/>
                <w:sz w:val="14"/>
                <w:szCs w:val="14"/>
                <w:b w:val="1"/>
                <w:bCs w:val="1"/>
                <w:color w:val="auto"/>
                <w:w w:val="93"/>
              </w:rPr>
              <w:t>Change</w:t>
            </w:r>
          </w:p>
        </w:tc>
        <w:tc>
          <w:tcPr>
            <w:tcW w:w="3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vMerge w:val="restart"/>
          </w:tcPr>
          <w:p>
            <w:pPr>
              <w:spacing w:after="0"/>
              <w:rPr>
                <w:sz w:val="20"/>
                <w:szCs w:val="20"/>
                <w:color w:val="auto"/>
              </w:rPr>
            </w:pPr>
            <w:r>
              <w:rPr>
                <w:rFonts w:ascii="Arial" w:cs="Arial" w:eastAsia="Arial" w:hAnsi="Arial"/>
                <w:sz w:val="14"/>
                <w:szCs w:val="14"/>
                <w:b w:val="1"/>
                <w:bCs w:val="1"/>
                <w:color w:val="auto"/>
              </w:rPr>
              <w:t>Personal Care</w:t>
            </w:r>
          </w:p>
        </w:tc>
        <w:tc>
          <w:tcPr>
            <w:tcW w:w="60" w:type="dxa"/>
            <w:vAlign w:val="bottom"/>
          </w:tcPr>
          <w:p>
            <w:pPr>
              <w:spacing w:after="0"/>
              <w:rPr>
                <w:sz w:val="12"/>
                <w:szCs w:val="12"/>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Net Service</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20" w:type="dxa"/>
            <w:vAlign w:val="bottom"/>
          </w:tcPr>
          <w:p>
            <w:pPr>
              <w:spacing w:after="0"/>
              <w:rPr>
                <w:sz w:val="12"/>
                <w:szCs w:val="12"/>
                <w:color w:val="auto"/>
              </w:rPr>
            </w:pPr>
          </w:p>
        </w:tc>
        <w:tc>
          <w:tcPr>
            <w:tcW w:w="8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30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320" w:type="dxa"/>
            <w:vAlign w:val="bottom"/>
            <w:vMerge w:val="restart"/>
          </w:tcPr>
          <w:p>
            <w:pPr>
              <w:jc w:val="right"/>
              <w:ind w:right="6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Borders>
              <w:bottom w:val="single" w:sz="8" w:color="auto"/>
            </w:tcBorders>
            <w:gridSpan w:val="3"/>
            <w:vMerge w:val="continue"/>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vMerge w:val="continue"/>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4"/>
            <w:vMerge w:val="continue"/>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vMerge w:val="continue"/>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vMerge w:val="continue"/>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vMerge w:val="continue"/>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gridSpan w:val="12"/>
          </w:tcPr>
          <w:p>
            <w:pPr>
              <w:jc w:val="right"/>
              <w:ind w:right="166"/>
              <w:spacing w:after="0" w:line="155" w:lineRule="exact"/>
              <w:rPr>
                <w:sz w:val="20"/>
                <w:szCs w:val="20"/>
                <w:color w:val="auto"/>
              </w:rPr>
            </w:pPr>
            <w:r>
              <w:rPr>
                <w:rFonts w:ascii="Arial" w:cs="Arial" w:eastAsia="Arial" w:hAnsi="Arial"/>
                <w:sz w:val="14"/>
                <w:szCs w:val="14"/>
                <w:b w:val="1"/>
                <w:bCs w:val="1"/>
                <w:color w:val="auto"/>
                <w:w w:val="96"/>
              </w:rPr>
              <w:t>(Amounts in Thousands, Except Percentages)</w:t>
            </w: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Operating Results</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00" w:type="dxa"/>
            <w:vAlign w:val="bottom"/>
          </w:tcPr>
          <w:p>
            <w:pPr>
              <w:spacing w:after="0"/>
              <w:rPr>
                <w:sz w:val="20"/>
                <w:szCs w:val="20"/>
                <w:color w:val="auto"/>
              </w:rPr>
            </w:pPr>
            <w:r>
              <w:rPr>
                <w:rFonts w:ascii="Arial" w:cs="Arial" w:eastAsia="Arial" w:hAnsi="Arial"/>
                <w:sz w:val="15"/>
                <w:szCs w:val="15"/>
                <w:color w:val="auto"/>
                <w:w w:val="97"/>
              </w:rPr>
              <w:t>Net service revenues</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w w:val="92"/>
              </w:rPr>
              <w:t>138,254</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w w:val="92"/>
              </w:rPr>
              <w:t>125,086</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100.0</w:t>
            </w:r>
          </w:p>
        </w:tc>
        <w:tc>
          <w:tcPr>
            <w:tcW w:w="3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460" w:type="dxa"/>
            <w:vAlign w:val="bottom"/>
          </w:tcPr>
          <w:p>
            <w:pPr>
              <w:jc w:val="right"/>
              <w:spacing w:after="0"/>
              <w:rPr>
                <w:sz w:val="20"/>
                <w:szCs w:val="20"/>
                <w:color w:val="auto"/>
              </w:rPr>
            </w:pPr>
            <w:r>
              <w:rPr>
                <w:rFonts w:ascii="Arial" w:cs="Arial" w:eastAsia="Arial" w:hAnsi="Arial"/>
                <w:sz w:val="15"/>
                <w:szCs w:val="15"/>
                <w:color w:val="auto"/>
                <w:w w:val="91"/>
              </w:rPr>
              <w:t>13,168</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w w:val="95"/>
              </w:rPr>
              <w:t>10.5</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w w:val="88"/>
              </w:rPr>
              <w:t>266,895</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2"/>
              </w:rPr>
              <w:t>234,562</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gridSpan w:val="2"/>
          </w:tcPr>
          <w:p>
            <w:pPr>
              <w:ind w:left="40"/>
              <w:spacing w:after="0"/>
              <w:rPr>
                <w:sz w:val="20"/>
                <w:szCs w:val="20"/>
                <w:color w:val="auto"/>
              </w:rPr>
            </w:pPr>
            <w:r>
              <w:rPr>
                <w:rFonts w:ascii="Arial" w:cs="Arial" w:eastAsia="Arial" w:hAnsi="Arial"/>
                <w:sz w:val="15"/>
                <w:szCs w:val="15"/>
                <w:color w:val="auto"/>
                <w:w w:val="95"/>
              </w:rPr>
              <w:t>$</w:t>
            </w:r>
          </w:p>
        </w:tc>
        <w:tc>
          <w:tcPr>
            <w:tcW w:w="460" w:type="dxa"/>
            <w:vAlign w:val="bottom"/>
          </w:tcPr>
          <w:p>
            <w:pPr>
              <w:jc w:val="right"/>
              <w:spacing w:after="0"/>
              <w:rPr>
                <w:sz w:val="20"/>
                <w:szCs w:val="20"/>
                <w:color w:val="auto"/>
              </w:rPr>
            </w:pPr>
            <w:r>
              <w:rPr>
                <w:rFonts w:ascii="Arial" w:cs="Arial" w:eastAsia="Arial" w:hAnsi="Arial"/>
                <w:sz w:val="15"/>
                <w:szCs w:val="15"/>
                <w:color w:val="auto"/>
                <w:w w:val="91"/>
              </w:rPr>
              <w:t>32,333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w w:val="95"/>
              </w:rPr>
              <w:t>13.8</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140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Cost of services</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0" w:type="dxa"/>
            <w:vAlign w:val="bottom"/>
            <w:shd w:val="clear" w:color="auto" w:fill="CFF0FC"/>
          </w:tcPr>
          <w:p>
            <w:pPr>
              <w:spacing w:after="0"/>
              <w:rPr>
                <w:sz w:val="20"/>
                <w:szCs w:val="20"/>
                <w:color w:val="auto"/>
              </w:rPr>
            </w:pPr>
            <w:r>
              <w:rPr>
                <w:rFonts w:ascii="Arial" w:cs="Arial" w:eastAsia="Arial" w:hAnsi="Arial"/>
                <w:sz w:val="15"/>
                <w:szCs w:val="15"/>
                <w:color w:val="auto"/>
              </w:rPr>
              <w:t>revenues</w:t>
            </w:r>
          </w:p>
        </w:tc>
        <w:tc>
          <w:tcPr>
            <w:tcW w:w="6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2"/>
              </w:rPr>
              <w:t>102,829</w:t>
            </w:r>
          </w:p>
        </w:tc>
        <w:tc>
          <w:tcPr>
            <w:tcW w:w="160" w:type="dxa"/>
            <w:vAlign w:val="bottom"/>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74.4</w:t>
            </w: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91,843</w:t>
            </w:r>
          </w:p>
        </w:tc>
        <w:tc>
          <w:tcPr>
            <w:tcW w:w="160" w:type="dxa"/>
            <w:vAlign w:val="bottom"/>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73.4</w:t>
            </w:r>
          </w:p>
        </w:tc>
        <w:tc>
          <w:tcPr>
            <w:tcW w:w="32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1"/>
              </w:rPr>
              <w:t>10,986</w:t>
            </w:r>
          </w:p>
        </w:tc>
        <w:tc>
          <w:tcPr>
            <w:tcW w:w="16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5"/>
              </w:rPr>
              <w:t>12.0</w:t>
            </w:r>
          </w:p>
        </w:tc>
        <w:tc>
          <w:tcPr>
            <w:tcW w:w="2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88"/>
              </w:rPr>
              <w:t>198,825</w:t>
            </w:r>
          </w:p>
        </w:tc>
        <w:tc>
          <w:tcPr>
            <w:tcW w:w="160" w:type="dxa"/>
            <w:vAlign w:val="bottom"/>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74.5</w:t>
            </w:r>
          </w:p>
        </w:tc>
        <w:tc>
          <w:tcPr>
            <w:tcW w:w="2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2"/>
              </w:rPr>
              <w:t>173,386</w:t>
            </w:r>
          </w:p>
        </w:tc>
        <w:tc>
          <w:tcPr>
            <w:tcW w:w="160" w:type="dxa"/>
            <w:vAlign w:val="bottom"/>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73.9</w:t>
            </w: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1"/>
              </w:rPr>
              <w:t>25,439</w:t>
            </w:r>
          </w:p>
        </w:tc>
        <w:tc>
          <w:tcPr>
            <w:tcW w:w="18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5"/>
              </w:rPr>
              <w:t>14.7</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400" w:type="dxa"/>
            <w:vAlign w:val="bottom"/>
          </w:tcPr>
          <w:p>
            <w:pPr>
              <w:spacing w:after="0" w:line="169" w:lineRule="exact"/>
              <w:rPr>
                <w:sz w:val="20"/>
                <w:szCs w:val="20"/>
                <w:color w:val="auto"/>
              </w:rPr>
            </w:pPr>
            <w:r>
              <w:rPr>
                <w:rFonts w:ascii="Arial" w:cs="Arial" w:eastAsia="Arial" w:hAnsi="Arial"/>
                <w:sz w:val="15"/>
                <w:szCs w:val="15"/>
                <w:color w:val="auto"/>
              </w:rPr>
              <w:t>Gross profit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5"/>
                <w:szCs w:val="15"/>
                <w:color w:val="auto"/>
              </w:rPr>
              <w:t>35,425</w:t>
            </w:r>
          </w:p>
        </w:tc>
        <w:tc>
          <w:tcPr>
            <w:tcW w:w="16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25.6</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5"/>
                <w:szCs w:val="15"/>
                <w:color w:val="auto"/>
              </w:rPr>
              <w:t>33,243</w:t>
            </w:r>
          </w:p>
        </w:tc>
        <w:tc>
          <w:tcPr>
            <w:tcW w:w="16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26.6</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rPr>
              <w:t>2,182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jc w:val="right"/>
              <w:spacing w:after="0" w:line="169" w:lineRule="exact"/>
              <w:rPr>
                <w:sz w:val="20"/>
                <w:szCs w:val="20"/>
                <w:color w:val="auto"/>
              </w:rPr>
            </w:pPr>
            <w:r>
              <w:rPr>
                <w:rFonts w:ascii="Arial" w:cs="Arial" w:eastAsia="Arial" w:hAnsi="Arial"/>
                <w:sz w:val="15"/>
                <w:szCs w:val="15"/>
                <w:color w:val="auto"/>
              </w:rPr>
              <w:t>6.6</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5"/>
                <w:szCs w:val="15"/>
                <w:color w:val="auto"/>
              </w:rPr>
              <w:t>68,070</w:t>
            </w:r>
          </w:p>
        </w:tc>
        <w:tc>
          <w:tcPr>
            <w:tcW w:w="16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25.5</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Arial" w:cs="Arial" w:eastAsia="Arial" w:hAnsi="Arial"/>
                <w:sz w:val="15"/>
                <w:szCs w:val="15"/>
                <w:color w:val="auto"/>
              </w:rPr>
              <w:t>61,176</w:t>
            </w:r>
          </w:p>
        </w:tc>
        <w:tc>
          <w:tcPr>
            <w:tcW w:w="16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26.1</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rPr>
              <w:t>6,894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line="169" w:lineRule="exact"/>
              <w:rPr>
                <w:sz w:val="20"/>
                <w:szCs w:val="20"/>
                <w:color w:val="auto"/>
              </w:rPr>
            </w:pPr>
            <w:r>
              <w:rPr>
                <w:rFonts w:ascii="Arial" w:cs="Arial" w:eastAsia="Arial" w:hAnsi="Arial"/>
                <w:sz w:val="15"/>
                <w:szCs w:val="15"/>
                <w:color w:val="auto"/>
                <w:w w:val="95"/>
              </w:rPr>
              <w:t>11.3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General and</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administrative</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0" w:type="dxa"/>
            <w:vAlign w:val="bottom"/>
            <w:shd w:val="clear" w:color="auto" w:fill="CFF0FC"/>
          </w:tcPr>
          <w:p>
            <w:pPr>
              <w:ind w:left="120"/>
              <w:spacing w:after="0"/>
              <w:rPr>
                <w:sz w:val="20"/>
                <w:szCs w:val="20"/>
                <w:color w:val="auto"/>
              </w:rPr>
            </w:pPr>
            <w:r>
              <w:rPr>
                <w:rFonts w:ascii="Arial" w:cs="Arial" w:eastAsia="Arial" w:hAnsi="Arial"/>
                <w:sz w:val="15"/>
                <w:szCs w:val="15"/>
                <w:color w:val="auto"/>
              </w:rPr>
              <w:t>expenses</w:t>
            </w:r>
          </w:p>
        </w:tc>
        <w:tc>
          <w:tcPr>
            <w:tcW w:w="6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13,232</w:t>
            </w:r>
          </w:p>
        </w:tc>
        <w:tc>
          <w:tcPr>
            <w:tcW w:w="160" w:type="dxa"/>
            <w:vAlign w:val="bottom"/>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9.6</w:t>
            </w: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10,309</w:t>
            </w:r>
          </w:p>
        </w:tc>
        <w:tc>
          <w:tcPr>
            <w:tcW w:w="160" w:type="dxa"/>
            <w:vAlign w:val="bottom"/>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8.2</w:t>
            </w:r>
          </w:p>
        </w:tc>
        <w:tc>
          <w:tcPr>
            <w:tcW w:w="32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2,923</w:t>
            </w:r>
          </w:p>
        </w:tc>
        <w:tc>
          <w:tcPr>
            <w:tcW w:w="16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5"/>
              </w:rPr>
              <w:t>28.4</w:t>
            </w:r>
          </w:p>
        </w:tc>
        <w:tc>
          <w:tcPr>
            <w:tcW w:w="2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25,771</w:t>
            </w:r>
          </w:p>
        </w:tc>
        <w:tc>
          <w:tcPr>
            <w:tcW w:w="160" w:type="dxa"/>
            <w:vAlign w:val="bottom"/>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9.7</w:t>
            </w:r>
          </w:p>
        </w:tc>
        <w:tc>
          <w:tcPr>
            <w:tcW w:w="2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18,790</w:t>
            </w:r>
          </w:p>
        </w:tc>
        <w:tc>
          <w:tcPr>
            <w:tcW w:w="160" w:type="dxa"/>
            <w:vAlign w:val="bottom"/>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8.0</w:t>
            </w: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6,981</w:t>
            </w:r>
          </w:p>
        </w:tc>
        <w:tc>
          <w:tcPr>
            <w:tcW w:w="18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5"/>
              </w:rPr>
              <w:t>37.2</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400" w:type="dxa"/>
            <w:vAlign w:val="bottom"/>
          </w:tcPr>
          <w:p>
            <w:pPr>
              <w:spacing w:after="0" w:line="156" w:lineRule="exact"/>
              <w:rPr>
                <w:sz w:val="20"/>
                <w:szCs w:val="20"/>
                <w:color w:val="auto"/>
              </w:rPr>
            </w:pPr>
            <w:r>
              <w:rPr>
                <w:rFonts w:ascii="Arial" w:cs="Arial" w:eastAsia="Arial" w:hAnsi="Arial"/>
                <w:sz w:val="15"/>
                <w:szCs w:val="15"/>
                <w:color w:val="auto"/>
              </w:rPr>
              <w:t>Segment operating</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400" w:type="dxa"/>
            <w:vAlign w:val="bottom"/>
          </w:tcPr>
          <w:p>
            <w:pPr>
              <w:spacing w:after="0"/>
              <w:rPr>
                <w:sz w:val="20"/>
                <w:szCs w:val="20"/>
                <w:color w:val="auto"/>
              </w:rPr>
            </w:pPr>
            <w:r>
              <w:rPr>
                <w:rFonts w:ascii="Arial" w:cs="Arial" w:eastAsia="Arial" w:hAnsi="Arial"/>
                <w:sz w:val="15"/>
                <w:szCs w:val="15"/>
                <w:color w:val="auto"/>
              </w:rPr>
              <w:t>income</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22,193</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16.1</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22,934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18.3</w:t>
            </w:r>
          </w:p>
        </w:tc>
        <w:tc>
          <w:tcPr>
            <w:tcW w:w="3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(741)</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(3.2) %</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42,299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15.8</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42,386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18.1</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gridSpan w:val="2"/>
          </w:tcPr>
          <w:p>
            <w:pPr>
              <w:ind w:left="40"/>
              <w:spacing w:after="0"/>
              <w:rPr>
                <w:sz w:val="20"/>
                <w:szCs w:val="20"/>
                <w:color w:val="auto"/>
              </w:rPr>
            </w:pPr>
            <w:r>
              <w:rPr>
                <w:rFonts w:ascii="Arial" w:cs="Arial" w:eastAsia="Arial" w:hAnsi="Arial"/>
                <w:sz w:val="15"/>
                <w:szCs w:val="15"/>
                <w:color w:val="auto"/>
                <w:w w:val="95"/>
              </w:rPr>
              <w:t>$</w:t>
            </w: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(87)</w:t>
            </w: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(0.2) %</w:t>
            </w:r>
          </w:p>
        </w:tc>
        <w:tc>
          <w:tcPr>
            <w:tcW w:w="0" w:type="dxa"/>
            <w:vAlign w:val="bottom"/>
          </w:tcPr>
          <w:p>
            <w:pPr>
              <w:spacing w:after="0"/>
              <w:rPr>
                <w:sz w:val="1"/>
                <w:szCs w:val="1"/>
                <w:color w:val="auto"/>
              </w:rPr>
            </w:pPr>
          </w:p>
        </w:tc>
      </w:tr>
      <w:tr>
        <w:trPr>
          <w:trHeight w:val="139"/>
        </w:trPr>
        <w:tc>
          <w:tcPr>
            <w:tcW w:w="1400" w:type="dxa"/>
            <w:vAlign w:val="bottom"/>
            <w:tcBorders>
              <w:top w:val="single" w:sz="8" w:color="CFF0FC"/>
            </w:tcBorders>
            <w:shd w:val="clear" w:color="auto" w:fill="CFF0FC"/>
          </w:tcPr>
          <w:p>
            <w:pPr>
              <w:spacing w:after="0" w:line="139" w:lineRule="exact"/>
              <w:rPr>
                <w:sz w:val="20"/>
                <w:szCs w:val="20"/>
                <w:color w:val="auto"/>
              </w:rPr>
            </w:pPr>
            <w:r>
              <w:rPr>
                <w:rFonts w:ascii="Arial" w:cs="Arial" w:eastAsia="Arial" w:hAnsi="Arial"/>
                <w:sz w:val="15"/>
                <w:szCs w:val="15"/>
                <w:b w:val="1"/>
                <w:bCs w:val="1"/>
                <w:color w:val="auto"/>
              </w:rPr>
              <w:t>Business Metrics</w:t>
            </w:r>
          </w:p>
        </w:tc>
        <w:tc>
          <w:tcPr>
            <w:tcW w:w="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FF0FC"/>
          </w:tcPr>
          <w:p>
            <w:pPr>
              <w:spacing w:after="0" w:line="162" w:lineRule="exact"/>
              <w:rPr>
                <w:sz w:val="20"/>
                <w:szCs w:val="20"/>
                <w:color w:val="auto"/>
              </w:rPr>
            </w:pPr>
            <w:r>
              <w:rPr>
                <w:rFonts w:ascii="Arial" w:cs="Arial" w:eastAsia="Arial" w:hAnsi="Arial"/>
                <w:sz w:val="15"/>
                <w:szCs w:val="15"/>
                <w:b w:val="1"/>
                <w:bCs w:val="1"/>
                <w:color w:val="auto"/>
              </w:rPr>
              <w:t>(Actual</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b w:val="1"/>
                <w:bCs w:val="1"/>
                <w:color w:val="auto"/>
              </w:rPr>
              <w:t>Numbers, Except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FF0FC"/>
          </w:tcPr>
          <w:p>
            <w:pPr>
              <w:spacing w:after="0" w:line="162" w:lineRule="exact"/>
              <w:rPr>
                <w:sz w:val="20"/>
                <w:szCs w:val="20"/>
                <w:color w:val="auto"/>
              </w:rPr>
            </w:pPr>
            <w:r>
              <w:rPr>
                <w:rFonts w:ascii="Arial" w:cs="Arial" w:eastAsia="Arial" w:hAnsi="Arial"/>
                <w:sz w:val="15"/>
                <w:szCs w:val="15"/>
                <w:b w:val="1"/>
                <w:bCs w:val="1"/>
                <w:color w:val="auto"/>
              </w:rPr>
              <w:t>Billable</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b w:val="1"/>
                <w:bCs w:val="1"/>
                <w:color w:val="auto"/>
              </w:rPr>
              <w:t>Hours in</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40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Thousands)</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line="162" w:lineRule="exact"/>
              <w:rPr>
                <w:sz w:val="20"/>
                <w:szCs w:val="20"/>
                <w:color w:val="auto"/>
              </w:rPr>
            </w:pPr>
            <w:r>
              <w:rPr>
                <w:rFonts w:ascii="Arial" w:cs="Arial" w:eastAsia="Arial" w:hAnsi="Arial"/>
                <w:sz w:val="15"/>
                <w:szCs w:val="15"/>
                <w:color w:val="auto"/>
              </w:rPr>
              <w:t>Average billable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0" w:type="dxa"/>
            <w:vAlign w:val="bottom"/>
          </w:tcPr>
          <w:p>
            <w:pPr>
              <w:spacing w:after="0"/>
              <w:rPr>
                <w:sz w:val="20"/>
                <w:szCs w:val="20"/>
                <w:color w:val="auto"/>
              </w:rPr>
            </w:pPr>
            <w:r>
              <w:rPr>
                <w:rFonts w:ascii="Arial" w:cs="Arial" w:eastAsia="Arial" w:hAnsi="Arial"/>
                <w:sz w:val="15"/>
                <w:szCs w:val="15"/>
                <w:color w:val="auto"/>
              </w:rPr>
              <w:t>census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39,026</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37,749</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1,277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3.4</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38,761</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37,741</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1,020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2.7</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1400" w:type="dxa"/>
            <w:vAlign w:val="bottom"/>
            <w:shd w:val="clear" w:color="auto" w:fill="CFF0FC"/>
          </w:tcPr>
          <w:p>
            <w:pPr>
              <w:spacing w:after="0"/>
              <w:rPr>
                <w:sz w:val="20"/>
                <w:szCs w:val="20"/>
                <w:color w:val="auto"/>
              </w:rPr>
            </w:pPr>
            <w:r>
              <w:rPr>
                <w:rFonts w:ascii="Arial" w:cs="Arial" w:eastAsia="Arial" w:hAnsi="Arial"/>
                <w:sz w:val="15"/>
                <w:szCs w:val="15"/>
                <w:color w:val="auto"/>
              </w:rPr>
              <w:t>Billable hours</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7,269</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6,828</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441</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w:t>
            </w:r>
          </w:p>
        </w:tc>
        <w:tc>
          <w:tcPr>
            <w:tcW w:w="2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14,133</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12,858</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1,275</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9.9</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line="162" w:lineRule="exact"/>
              <w:rPr>
                <w:sz w:val="20"/>
                <w:szCs w:val="20"/>
                <w:color w:val="auto"/>
              </w:rPr>
            </w:pPr>
            <w:r>
              <w:rPr>
                <w:rFonts w:ascii="Arial" w:cs="Arial" w:eastAsia="Arial" w:hAnsi="Arial"/>
                <w:sz w:val="15"/>
                <w:szCs w:val="15"/>
                <w:color w:val="auto"/>
              </w:rPr>
              <w:t>Average billable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line="162" w:lineRule="exact"/>
              <w:rPr>
                <w:sz w:val="20"/>
                <w:szCs w:val="20"/>
                <w:color w:val="auto"/>
              </w:rPr>
            </w:pPr>
            <w:r>
              <w:rPr>
                <w:rFonts w:ascii="Arial" w:cs="Arial" w:eastAsia="Arial" w:hAnsi="Arial"/>
                <w:sz w:val="15"/>
                <w:szCs w:val="15"/>
                <w:color w:val="auto"/>
              </w:rPr>
              <w:t>hours per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0" w:type="dxa"/>
            <w:vAlign w:val="bottom"/>
          </w:tcPr>
          <w:p>
            <w:pPr>
              <w:ind w:left="120"/>
              <w:spacing w:after="0"/>
              <w:rPr>
                <w:sz w:val="20"/>
                <w:szCs w:val="20"/>
                <w:color w:val="auto"/>
              </w:rPr>
            </w:pPr>
            <w:r>
              <w:rPr>
                <w:rFonts w:ascii="Arial" w:cs="Arial" w:eastAsia="Arial" w:hAnsi="Arial"/>
                <w:sz w:val="15"/>
                <w:szCs w:val="15"/>
                <w:color w:val="auto"/>
              </w:rPr>
              <w:t>census per month</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61.6</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59.8</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1.8</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3.0</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60.3</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56.5</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6.7</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Billable hours per</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0" w:type="dxa"/>
            <w:vAlign w:val="bottom"/>
            <w:shd w:val="clear" w:color="auto" w:fill="CFF0FC"/>
          </w:tcPr>
          <w:p>
            <w:pPr>
              <w:spacing w:after="0"/>
              <w:rPr>
                <w:sz w:val="20"/>
                <w:szCs w:val="20"/>
                <w:color w:val="auto"/>
              </w:rPr>
            </w:pPr>
            <w:r>
              <w:rPr>
                <w:rFonts w:ascii="Arial" w:cs="Arial" w:eastAsia="Arial" w:hAnsi="Arial"/>
                <w:sz w:val="15"/>
                <w:szCs w:val="15"/>
                <w:color w:val="auto"/>
              </w:rPr>
              <w:t>business day</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2"/>
              </w:rPr>
              <w:t>111,829</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2"/>
              </w:rPr>
              <w:t>105,053</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6,776</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w:t>
            </w:r>
          </w:p>
        </w:tc>
        <w:tc>
          <w:tcPr>
            <w:tcW w:w="2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8"/>
              </w:rPr>
              <w:t>109,557</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98,910</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1"/>
              </w:rPr>
              <w:t>10,647</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10.8</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line="162" w:lineRule="exact"/>
              <w:rPr>
                <w:sz w:val="20"/>
                <w:szCs w:val="20"/>
                <w:color w:val="auto"/>
              </w:rPr>
            </w:pPr>
            <w:r>
              <w:rPr>
                <w:rFonts w:ascii="Arial" w:cs="Arial" w:eastAsia="Arial" w:hAnsi="Arial"/>
                <w:sz w:val="15"/>
                <w:szCs w:val="15"/>
                <w:color w:val="auto"/>
                <w:w w:val="95"/>
              </w:rPr>
              <w:t>Revenues per billable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00" w:type="dxa"/>
            <w:vAlign w:val="bottom"/>
          </w:tcPr>
          <w:p>
            <w:pPr>
              <w:spacing w:after="0"/>
              <w:rPr>
                <w:sz w:val="20"/>
                <w:szCs w:val="20"/>
                <w:color w:val="auto"/>
              </w:rPr>
            </w:pPr>
            <w:r>
              <w:rPr>
                <w:rFonts w:ascii="Arial" w:cs="Arial" w:eastAsia="Arial" w:hAnsi="Arial"/>
                <w:sz w:val="15"/>
                <w:szCs w:val="15"/>
                <w:color w:val="auto"/>
              </w:rPr>
              <w:t>hour</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19.02</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18.32</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0.70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3.8</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18.88</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18.24</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gridSpan w:val="2"/>
          </w:tcPr>
          <w:p>
            <w:pPr>
              <w:ind w:left="40"/>
              <w:spacing w:after="0"/>
              <w:rPr>
                <w:sz w:val="20"/>
                <w:szCs w:val="20"/>
                <w:color w:val="auto"/>
              </w:rPr>
            </w:pPr>
            <w:r>
              <w:rPr>
                <w:rFonts w:ascii="Arial" w:cs="Arial" w:eastAsia="Arial" w:hAnsi="Arial"/>
                <w:sz w:val="15"/>
                <w:szCs w:val="15"/>
                <w:color w:val="auto"/>
                <w:w w:val="95"/>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0.64</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3.5</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120" w:firstLine="484"/>
        <w:spacing w:after="0" w:line="255" w:lineRule="auto"/>
        <w:rPr>
          <w:sz w:val="20"/>
          <w:szCs w:val="20"/>
          <w:color w:val="auto"/>
        </w:rPr>
      </w:pPr>
      <w:r>
        <w:rPr>
          <w:rFonts w:ascii="Arial" w:cs="Arial" w:eastAsia="Arial" w:hAnsi="Arial"/>
          <w:sz w:val="18"/>
          <w:szCs w:val="18"/>
          <w:color w:val="auto"/>
        </w:rPr>
        <w:t>Net service revenues from state, local and other governmental programs accounted for 54.3% and 57.9% of net service revenues for the three months ended June 30, 2019 and 2018, and 55.1% and 59.4% of net service revenues for the six months ended June 30, 2019 and 2018, respectively. Managed care organizations accounted for 39.1% and 34.6% of net service revenues for the three months ended June 30, 2019 and 2018, and 38.3% and 34.8% of net service revenues for the six months ended June 30, 2019 and 2018, respectively, with commercial insurance, private pay and other payors accounting for the remainder of net service revenues. One payor client, the Illinois Department on Aging, accounted for 27.5% and 30.4% of net service revenues for the three months ended June 30, 2019 and 2018, respectively, and accounted for 28.2% and 33.1% of net service revenues for the six months ended June 30, 2019 and 2018, respectively.</w:t>
      </w:r>
    </w:p>
    <w:p>
      <w:pPr>
        <w:spacing w:after="0" w:line="135" w:lineRule="exact"/>
        <w:rPr>
          <w:sz w:val="20"/>
          <w:szCs w:val="20"/>
          <w:color w:val="auto"/>
        </w:rPr>
      </w:pPr>
    </w:p>
    <w:p>
      <w:pPr>
        <w:ind w:right="180" w:firstLine="484"/>
        <w:spacing w:after="0" w:line="272" w:lineRule="auto"/>
        <w:rPr>
          <w:sz w:val="20"/>
          <w:szCs w:val="20"/>
          <w:color w:val="auto"/>
        </w:rPr>
      </w:pPr>
      <w:r>
        <w:rPr>
          <w:rFonts w:ascii="Arial" w:cs="Arial" w:eastAsia="Arial" w:hAnsi="Arial"/>
          <w:sz w:val="17"/>
          <w:szCs w:val="17"/>
          <w:color w:val="auto"/>
        </w:rPr>
        <w:t>Net service revenues increased by 10.5% for the three months ended June 30, 2019 compared to the three months ended June 30, 2018. Net service revenues increased primarily due to a 6.5% increase in billable hours and a 3.8% increase in revenues per billable hour for the three months ended June 30, 2019 compared to the three months ended June 30, 2018. Net service revenues increased by 13.8% for the six months ended June 30, 2019 compared to the six months ended June 30, 2018. Net service revenues increased primarily due to a 9.9% increase in billable hours and a 3.5% increase in revenues per billable hour for the six months ended June 30, 2019 compared to the six months ended June 30, 2018. Billable hours increased for the three and six months ended June 30, 2019 compared to June 30, 2018, partially due to the acquisition of Ambercare on May 1, 2018 and the acquisition of VIP on June 1, 2019. Revenues per billable hour increased due to rate increases in several states.</w:t>
      </w:r>
    </w:p>
    <w:p>
      <w:pPr>
        <w:spacing w:after="0" w:line="124" w:lineRule="exact"/>
        <w:rPr>
          <w:sz w:val="20"/>
          <w:szCs w:val="20"/>
          <w:color w:val="auto"/>
        </w:rPr>
      </w:pPr>
    </w:p>
    <w:p>
      <w:pPr>
        <w:ind w:right="80" w:firstLine="484"/>
        <w:spacing w:after="0" w:line="273" w:lineRule="auto"/>
        <w:rPr>
          <w:sz w:val="20"/>
          <w:szCs w:val="20"/>
          <w:color w:val="auto"/>
        </w:rPr>
      </w:pPr>
      <w:r>
        <w:rPr>
          <w:rFonts w:ascii="Arial" w:cs="Arial" w:eastAsia="Arial" w:hAnsi="Arial"/>
          <w:sz w:val="17"/>
          <w:szCs w:val="17"/>
          <w:color w:val="auto"/>
        </w:rPr>
        <w:t>Gross profit, expressed as a percentage of net service revenues, decreased from 26.6% for the three months ended June 30, 2018 to 25.6% for the three months ended June 30, 2019 and from 26.1% for the six months ended June 30, 2018 to 25.5% for the six months ended June 30, 2019. For the three months ended June 30, 2019, the decrease was due to an increase of direct service costs associated with salaries of 1.2% as a percentage of net service revenues compared to the three months ended June 30, 2018. For the six months ended June 30, 2019, the decrease was due to an increase of direct service costs associated with salaries of 0.9% as a percentage of net service revenues compared to the six months ended June 30, 2018, partially offset by a reduction of workers compensation as a percentage of revenue of 0.4%.</w:t>
      </w:r>
    </w:p>
    <w:p>
      <w:pPr>
        <w:spacing w:after="0" w:line="124" w:lineRule="exact"/>
        <w:rPr>
          <w:sz w:val="20"/>
          <w:szCs w:val="20"/>
          <w:color w:val="auto"/>
        </w:rPr>
      </w:pPr>
    </w:p>
    <w:p>
      <w:pPr>
        <w:ind w:right="60" w:firstLine="484"/>
        <w:spacing w:after="0" w:line="259" w:lineRule="auto"/>
        <w:rPr>
          <w:sz w:val="20"/>
          <w:szCs w:val="20"/>
          <w:color w:val="auto"/>
        </w:rPr>
      </w:pPr>
      <w:r>
        <w:rPr>
          <w:rFonts w:ascii="Arial" w:cs="Arial" w:eastAsia="Arial" w:hAnsi="Arial"/>
          <w:sz w:val="18"/>
          <w:szCs w:val="18"/>
          <w:color w:val="auto"/>
        </w:rPr>
        <w:t>General and administrative expenses increased by approximately $2.9 million and $7.0 million for the three and six months ended June 30, 2019, respectively. The increase in general and administrative expenses was primarily due to acquisitions that resulted in a $2.7 million and $6.3 million increase in administrative employee wages, taxes and benefit costs and a $0.2 million and $0.5 million increase in rent expenses for the three and six months ended June 30, 2019, respectively.</w:t>
      </w:r>
    </w:p>
    <w:p>
      <w:pPr>
        <w:sectPr>
          <w:pgSz w:w="11900" w:h="16838" w:orient="portrait"/>
          <w:cols w:equalWidth="0" w:num="1">
            <w:col w:w="11420"/>
          </w:cols>
          <w:pgMar w:left="240" w:top="121"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Hospice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w w:val="94"/>
              </w:rPr>
              <w:t>For the Three Months Ended June 30,</w:t>
            </w: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Six Months Ended June 30,</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487"/>
              <w:spacing w:after="0" w:line="155"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487"/>
              <w:spacing w:after="0" w:line="155" w:lineRule="exact"/>
              <w:rPr>
                <w:sz w:val="20"/>
                <w:szCs w:val="20"/>
                <w:color w:val="auto"/>
              </w:rPr>
            </w:pPr>
            <w:r>
              <w:rPr>
                <w:rFonts w:ascii="Arial" w:cs="Arial" w:eastAsia="Arial" w:hAnsi="Arial"/>
                <w:sz w:val="14"/>
                <w:szCs w:val="14"/>
                <w:b w:val="1"/>
                <w:bCs w:val="1"/>
                <w:color w:val="auto"/>
                <w:w w:val="83"/>
              </w:rPr>
              <w:t>2018</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ind w:left="240"/>
              <w:spacing w:after="0" w:line="155" w:lineRule="exact"/>
              <w:rPr>
                <w:sz w:val="20"/>
                <w:szCs w:val="20"/>
                <w:color w:val="auto"/>
              </w:rPr>
            </w:pPr>
            <w:r>
              <w:rPr>
                <w:rFonts w:ascii="Arial" w:cs="Arial" w:eastAsia="Arial" w:hAnsi="Arial"/>
                <w:sz w:val="14"/>
                <w:szCs w:val="14"/>
                <w:b w:val="1"/>
                <w:bCs w:val="1"/>
                <w:color w:val="auto"/>
                <w:w w:val="89"/>
              </w:rPr>
              <w:t>Change</w:t>
            </w:r>
          </w:p>
        </w:tc>
        <w:tc>
          <w:tcPr>
            <w:tcW w:w="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526"/>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447"/>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ind w:left="260"/>
              <w:spacing w:after="0" w:line="155" w:lineRule="exact"/>
              <w:rPr>
                <w:sz w:val="20"/>
                <w:szCs w:val="20"/>
                <w:color w:val="auto"/>
              </w:rPr>
            </w:pPr>
            <w:r>
              <w:rPr>
                <w:rFonts w:ascii="Arial" w:cs="Arial" w:eastAsia="Arial" w:hAnsi="Arial"/>
                <w:sz w:val="14"/>
                <w:szCs w:val="14"/>
                <w:b w:val="1"/>
                <w:bCs w:val="1"/>
                <w:color w:val="auto"/>
                <w:w w:val="89"/>
              </w:rPr>
              <w:t>Change</w:t>
            </w:r>
          </w:p>
        </w:tc>
        <w:tc>
          <w:tcPr>
            <w:tcW w:w="4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Hospice</w:t>
            </w:r>
          </w:p>
        </w:tc>
        <w:tc>
          <w:tcPr>
            <w:tcW w:w="80" w:type="dxa"/>
            <w:vAlign w:val="bottom"/>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8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36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40" w:type="dxa"/>
            <w:vAlign w:val="bottom"/>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Service</w:t>
            </w:r>
          </w:p>
        </w:tc>
        <w:tc>
          <w:tcPr>
            <w:tcW w:w="320" w:type="dxa"/>
            <w:vAlign w:val="bottom"/>
          </w:tcPr>
          <w:p>
            <w:pPr>
              <w:spacing w:after="0"/>
              <w:rPr>
                <w:sz w:val="12"/>
                <w:szCs w:val="12"/>
                <w:color w:val="auto"/>
              </w:rPr>
            </w:pPr>
          </w:p>
        </w:tc>
        <w:tc>
          <w:tcPr>
            <w:tcW w:w="8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440" w:type="dxa"/>
            <w:vAlign w:val="bottom"/>
            <w:vMerge w:val="restart"/>
          </w:tcPr>
          <w:p>
            <w:pPr>
              <w:jc w:val="right"/>
              <w:ind w:right="16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3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780" w:type="dxa"/>
            <w:vAlign w:val="bottom"/>
            <w:gridSpan w:val="2"/>
          </w:tcPr>
          <w:p>
            <w:pPr>
              <w:jc w:val="center"/>
              <w:ind w:left="84"/>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80" w:type="dxa"/>
            <w:vAlign w:val="bottom"/>
            <w:tcBorders>
              <w:top w:val="single" w:sz="8" w:color="auto"/>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Operating Results</w:t>
            </w:r>
          </w:p>
        </w:tc>
        <w:tc>
          <w:tcPr>
            <w:tcW w:w="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3300" w:type="dxa"/>
            <w:vAlign w:val="bottom"/>
            <w:tcBorders>
              <w:top w:val="single" w:sz="8" w:color="auto"/>
              <w:bottom w:val="single" w:sz="8" w:color="auto"/>
            </w:tcBorders>
            <w:gridSpan w:val="12"/>
          </w:tcPr>
          <w:p>
            <w:pPr>
              <w:ind w:left="220"/>
              <w:spacing w:after="0" w:line="155" w:lineRule="exact"/>
              <w:rPr>
                <w:sz w:val="20"/>
                <w:szCs w:val="20"/>
                <w:color w:val="auto"/>
              </w:rPr>
            </w:pPr>
            <w:r>
              <w:rPr>
                <w:rFonts w:ascii="Arial" w:cs="Arial" w:eastAsia="Arial" w:hAnsi="Arial"/>
                <w:sz w:val="14"/>
                <w:szCs w:val="14"/>
                <w:b w:val="1"/>
                <w:bCs w:val="1"/>
                <w:color w:val="auto"/>
              </w:rPr>
              <w:t>(Amounts in Thousands, Except Percentages)</w:t>
            </w:r>
          </w:p>
        </w:tc>
        <w:tc>
          <w:tcPr>
            <w:tcW w:w="7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460" w:type="dxa"/>
            <w:vAlign w:val="bottom"/>
            <w:tcBorders>
              <w:top w:val="single" w:sz="8" w:color="auto"/>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440" w:type="dxa"/>
            <w:vAlign w:val="bottom"/>
            <w:tcBorders>
              <w:top w:val="single" w:sz="8" w:color="auto"/>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Net service revenues</w:t>
            </w:r>
          </w:p>
        </w:tc>
        <w:tc>
          <w:tcPr>
            <w:tcW w:w="180" w:type="dxa"/>
            <w:vAlign w:val="bottom"/>
            <w:gridSpan w:val="2"/>
            <w:shd w:val="clear" w:color="auto" w:fill="CFF0FC"/>
          </w:tcPr>
          <w:p>
            <w:pPr>
              <w:ind w:left="80"/>
              <w:spacing w:after="0" w:line="169" w:lineRule="exact"/>
              <w:rPr>
                <w:sz w:val="20"/>
                <w:szCs w:val="20"/>
                <w:color w:val="auto"/>
              </w:rPr>
            </w:pPr>
            <w:r>
              <w:rPr>
                <w:rFonts w:ascii="Arial" w:cs="Arial" w:eastAsia="Arial" w:hAnsi="Arial"/>
                <w:sz w:val="15"/>
                <w:szCs w:val="15"/>
                <w:color w:val="auto"/>
                <w:w w:val="95"/>
              </w:rPr>
              <w:t>$</w:t>
            </w:r>
          </w:p>
        </w:tc>
        <w:tc>
          <w:tcPr>
            <w:tcW w:w="4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8,437</w:t>
            </w:r>
          </w:p>
        </w:tc>
        <w:tc>
          <w:tcPr>
            <w:tcW w:w="86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100.0</w:t>
            </w:r>
          </w:p>
        </w:tc>
        <w:tc>
          <w:tcPr>
            <w:tcW w:w="300" w:type="dxa"/>
            <w:vAlign w:val="bottom"/>
            <w:shd w:val="clear" w:color="auto" w:fill="CFF0FC"/>
          </w:tcPr>
          <w:p>
            <w:pPr>
              <w:jc w:val="right"/>
              <w:ind w:right="23"/>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w w:val="95"/>
              </w:rPr>
              <w:t>$</w:t>
            </w:r>
          </w:p>
        </w:tc>
        <w:tc>
          <w:tcPr>
            <w:tcW w:w="460" w:type="dxa"/>
            <w:vAlign w:val="bottom"/>
            <w:tcBorders>
              <w:right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4,649</w:t>
            </w:r>
          </w:p>
        </w:tc>
        <w:tc>
          <w:tcPr>
            <w:tcW w:w="84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100.0</w:t>
            </w:r>
          </w:p>
        </w:tc>
        <w:tc>
          <w:tcPr>
            <w:tcW w:w="300" w:type="dxa"/>
            <w:vAlign w:val="bottom"/>
            <w:shd w:val="clear" w:color="auto" w:fill="CFF0FC"/>
          </w:tcPr>
          <w:p>
            <w:pPr>
              <w:jc w:val="right"/>
              <w:ind w:right="23"/>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w w:val="95"/>
              </w:rPr>
              <w:t>$</w:t>
            </w:r>
          </w:p>
        </w:tc>
        <w:tc>
          <w:tcPr>
            <w:tcW w:w="4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3,788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81.5</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43"/>
              <w:spacing w:after="0" w:line="169" w:lineRule="exact"/>
              <w:rPr>
                <w:sz w:val="20"/>
                <w:szCs w:val="20"/>
                <w:color w:val="auto"/>
              </w:rPr>
            </w:pPr>
            <w:r>
              <w:rPr>
                <w:rFonts w:ascii="Arial" w:cs="Arial" w:eastAsia="Arial" w:hAnsi="Arial"/>
                <w:sz w:val="15"/>
                <w:szCs w:val="15"/>
                <w:color w:val="auto"/>
                <w:w w:val="89"/>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16,354</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100.0</w:t>
            </w:r>
          </w:p>
        </w:tc>
        <w:tc>
          <w:tcPr>
            <w:tcW w:w="340" w:type="dxa"/>
            <w:vAlign w:val="bottom"/>
            <w:shd w:val="clear" w:color="auto" w:fill="CFF0FC"/>
          </w:tcPr>
          <w:p>
            <w:pPr>
              <w:jc w:val="right"/>
              <w:ind w:right="23"/>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w w:val="95"/>
              </w:rPr>
              <w:t>$</w:t>
            </w:r>
          </w:p>
        </w:tc>
        <w:tc>
          <w:tcPr>
            <w:tcW w:w="4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4,649</w:t>
            </w:r>
          </w:p>
        </w:tc>
        <w:tc>
          <w:tcPr>
            <w:tcW w:w="78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100.0</w:t>
            </w:r>
          </w:p>
        </w:tc>
        <w:tc>
          <w:tcPr>
            <w:tcW w:w="320" w:type="dxa"/>
            <w:vAlign w:val="bottom"/>
            <w:shd w:val="clear" w:color="auto" w:fill="CFF0FC"/>
          </w:tcPr>
          <w:p>
            <w:pPr>
              <w:jc w:val="right"/>
              <w:ind w:right="23"/>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w w:val="95"/>
              </w:rPr>
              <w:t>$</w:t>
            </w:r>
          </w:p>
        </w:tc>
        <w:tc>
          <w:tcPr>
            <w:tcW w:w="4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1"/>
              </w:rPr>
              <w:t>11,705</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tcBorders>
              <w:right w:val="single" w:sz="8" w:color="CFF0FC"/>
            </w:tcBorders>
            <w:shd w:val="clear" w:color="auto" w:fill="CFF0FC"/>
          </w:tcPr>
          <w:p>
            <w:pPr>
              <w:jc w:val="right"/>
              <w:ind w:right="4"/>
              <w:spacing w:after="0" w:line="169" w:lineRule="exact"/>
              <w:rPr>
                <w:sz w:val="20"/>
                <w:szCs w:val="20"/>
                <w:color w:val="auto"/>
              </w:rPr>
            </w:pPr>
            <w:r>
              <w:rPr>
                <w:rFonts w:ascii="Arial" w:cs="Arial" w:eastAsia="Arial" w:hAnsi="Arial"/>
                <w:sz w:val="15"/>
                <w:szCs w:val="15"/>
                <w:color w:val="auto"/>
                <w:w w:val="90"/>
              </w:rPr>
              <w:t>251.8</w:t>
            </w:r>
          </w:p>
        </w:tc>
        <w:tc>
          <w:tcPr>
            <w:tcW w:w="1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1500" w:type="dxa"/>
            <w:vAlign w:val="bottom"/>
            <w:gridSpan w:val="2"/>
          </w:tcPr>
          <w:p>
            <w:pPr>
              <w:spacing w:after="0" w:line="162" w:lineRule="exact"/>
              <w:rPr>
                <w:sz w:val="20"/>
                <w:szCs w:val="20"/>
                <w:color w:val="auto"/>
              </w:rPr>
            </w:pPr>
            <w:r>
              <w:rPr>
                <w:rFonts w:ascii="Arial" w:cs="Arial" w:eastAsia="Arial" w:hAnsi="Arial"/>
                <w:sz w:val="15"/>
                <w:szCs w:val="15"/>
                <w:color w:val="auto"/>
              </w:rPr>
              <w:t>Cost of services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00" w:type="dxa"/>
            <w:vAlign w:val="bottom"/>
            <w:gridSpan w:val="2"/>
          </w:tcPr>
          <w:p>
            <w:pPr>
              <w:spacing w:after="0"/>
              <w:rPr>
                <w:sz w:val="20"/>
                <w:szCs w:val="20"/>
                <w:color w:val="auto"/>
              </w:rPr>
            </w:pPr>
            <w:r>
              <w:rPr>
                <w:rFonts w:ascii="Arial" w:cs="Arial" w:eastAsia="Arial" w:hAnsi="Arial"/>
                <w:sz w:val="15"/>
                <w:szCs w:val="15"/>
                <w:color w:val="auto"/>
              </w:rPr>
              <w:t>revenues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4,322</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51.2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2,574</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55.4</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1,748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67.9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8,092</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49.5</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2,574</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55.4</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5,518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4"/>
              <w:spacing w:after="0"/>
              <w:rPr>
                <w:sz w:val="20"/>
                <w:szCs w:val="20"/>
                <w:color w:val="auto"/>
              </w:rPr>
            </w:pPr>
            <w:r>
              <w:rPr>
                <w:rFonts w:ascii="Arial" w:cs="Arial" w:eastAsia="Arial" w:hAnsi="Arial"/>
                <w:sz w:val="15"/>
                <w:szCs w:val="15"/>
                <w:color w:val="auto"/>
                <w:w w:val="90"/>
              </w:rPr>
              <w:t>214.4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8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Gross profit</w:t>
            </w: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4,115</w:t>
            </w:r>
          </w:p>
        </w:tc>
        <w:tc>
          <w:tcPr>
            <w:tcW w:w="160" w:type="dxa"/>
            <w:vAlign w:val="bottom"/>
            <w:tcBorders>
              <w:top w:val="single" w:sz="8" w:color="CFF0FC"/>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48.8</w:t>
            </w:r>
          </w:p>
        </w:tc>
        <w:tc>
          <w:tcPr>
            <w:tcW w:w="3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right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2,075</w:t>
            </w:r>
          </w:p>
        </w:tc>
        <w:tc>
          <w:tcPr>
            <w:tcW w:w="140" w:type="dxa"/>
            <w:vAlign w:val="bottom"/>
            <w:tcBorders>
              <w:top w:val="single" w:sz="8" w:color="CFF0FC"/>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44.6</w:t>
            </w:r>
          </w:p>
        </w:tc>
        <w:tc>
          <w:tcPr>
            <w:tcW w:w="3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2,040</w:t>
            </w: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98.3</w:t>
            </w:r>
          </w:p>
        </w:tc>
        <w:tc>
          <w:tcPr>
            <w:tcW w:w="8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8,262</w:t>
            </w:r>
          </w:p>
        </w:tc>
        <w:tc>
          <w:tcPr>
            <w:tcW w:w="160" w:type="dxa"/>
            <w:vAlign w:val="bottom"/>
            <w:tcBorders>
              <w:top w:val="single" w:sz="8" w:color="CFF0FC"/>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50.5</w:t>
            </w:r>
          </w:p>
        </w:tc>
        <w:tc>
          <w:tcPr>
            <w:tcW w:w="3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2,075</w:t>
            </w:r>
          </w:p>
        </w:tc>
        <w:tc>
          <w:tcPr>
            <w:tcW w:w="180" w:type="dxa"/>
            <w:vAlign w:val="bottom"/>
            <w:tcBorders>
              <w:top w:val="single" w:sz="8" w:color="CFF0FC"/>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44.6</w:t>
            </w:r>
          </w:p>
        </w:tc>
        <w:tc>
          <w:tcPr>
            <w:tcW w:w="3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6,187</w:t>
            </w:r>
          </w:p>
        </w:tc>
        <w:tc>
          <w:tcPr>
            <w:tcW w:w="1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40" w:type="dxa"/>
            <w:vAlign w:val="bottom"/>
            <w:tcBorders>
              <w:top w:val="single" w:sz="8" w:color="auto"/>
              <w:right w:val="single" w:sz="8" w:color="CFF0FC"/>
            </w:tcBorders>
            <w:shd w:val="clear" w:color="auto" w:fill="CFF0FC"/>
          </w:tcPr>
          <w:p>
            <w:pPr>
              <w:jc w:val="right"/>
              <w:ind w:right="4"/>
              <w:spacing w:after="0" w:line="169" w:lineRule="exact"/>
              <w:rPr>
                <w:sz w:val="20"/>
                <w:szCs w:val="20"/>
                <w:color w:val="auto"/>
              </w:rPr>
            </w:pPr>
            <w:r>
              <w:rPr>
                <w:rFonts w:ascii="Arial" w:cs="Arial" w:eastAsia="Arial" w:hAnsi="Arial"/>
                <w:sz w:val="15"/>
                <w:szCs w:val="15"/>
                <w:color w:val="auto"/>
                <w:w w:val="90"/>
              </w:rPr>
              <w:t>298.2</w:t>
            </w:r>
          </w:p>
        </w:tc>
        <w:tc>
          <w:tcPr>
            <w:tcW w:w="18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gridSpan w:val="2"/>
          </w:tcPr>
          <w:p>
            <w:pPr>
              <w:spacing w:after="0" w:line="162" w:lineRule="exact"/>
              <w:rPr>
                <w:sz w:val="20"/>
                <w:szCs w:val="20"/>
                <w:color w:val="auto"/>
              </w:rPr>
            </w:pPr>
            <w:r>
              <w:rPr>
                <w:rFonts w:ascii="Arial" w:cs="Arial" w:eastAsia="Arial" w:hAnsi="Arial"/>
                <w:sz w:val="15"/>
                <w:szCs w:val="15"/>
                <w:color w:val="auto"/>
              </w:rPr>
              <w:t>General and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gridSpan w:val="2"/>
          </w:tcPr>
          <w:p>
            <w:pPr>
              <w:spacing w:after="0" w:line="162" w:lineRule="exact"/>
              <w:rPr>
                <w:sz w:val="20"/>
                <w:szCs w:val="20"/>
                <w:color w:val="auto"/>
              </w:rPr>
            </w:pPr>
            <w:r>
              <w:rPr>
                <w:rFonts w:ascii="Arial" w:cs="Arial" w:eastAsia="Arial" w:hAnsi="Arial"/>
                <w:sz w:val="15"/>
                <w:szCs w:val="15"/>
                <w:color w:val="auto"/>
              </w:rPr>
              <w:t>administrative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80" w:type="dxa"/>
            <w:vAlign w:val="bottom"/>
          </w:tcPr>
          <w:p>
            <w:pPr>
              <w:ind w:left="100"/>
              <w:spacing w:after="0"/>
              <w:rPr>
                <w:sz w:val="20"/>
                <w:szCs w:val="20"/>
                <w:color w:val="auto"/>
              </w:rPr>
            </w:pPr>
            <w:r>
              <w:rPr>
                <w:rFonts w:ascii="Arial" w:cs="Arial" w:eastAsia="Arial" w:hAnsi="Arial"/>
                <w:sz w:val="15"/>
                <w:szCs w:val="15"/>
                <w:color w:val="auto"/>
              </w:rPr>
              <w:t>expenses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1,548</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18.3</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854</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18.4</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694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81.3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3,138</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19.2</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854</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18.4</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2,284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4"/>
              <w:spacing w:after="0"/>
              <w:rPr>
                <w:sz w:val="20"/>
                <w:szCs w:val="20"/>
                <w:color w:val="auto"/>
              </w:rPr>
            </w:pPr>
            <w:r>
              <w:rPr>
                <w:rFonts w:ascii="Arial" w:cs="Arial" w:eastAsia="Arial" w:hAnsi="Arial"/>
                <w:sz w:val="15"/>
                <w:szCs w:val="15"/>
                <w:color w:val="auto"/>
                <w:w w:val="90"/>
              </w:rPr>
              <w:t>267.4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8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Segment operating</w:t>
            </w: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right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right w:val="single" w:sz="8" w:color="CFF0FC"/>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15"/>
                <w:szCs w:val="15"/>
                <w:color w:val="auto"/>
              </w:rPr>
              <w:t>income</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5"/>
                <w:szCs w:val="15"/>
                <w:color w:val="auto"/>
                <w:w w:val="95"/>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2,567</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30.4</w:t>
            </w:r>
          </w:p>
        </w:tc>
        <w:tc>
          <w:tcPr>
            <w:tcW w:w="30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5"/>
                <w:szCs w:val="15"/>
                <w:color w:val="auto"/>
                <w:w w:val="95"/>
              </w:rPr>
              <w:t>$</w:t>
            </w:r>
          </w:p>
        </w:tc>
        <w:tc>
          <w:tcPr>
            <w:tcW w:w="4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1,221</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26.3</w:t>
            </w:r>
          </w:p>
        </w:tc>
        <w:tc>
          <w:tcPr>
            <w:tcW w:w="30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5"/>
                <w:szCs w:val="15"/>
                <w:color w:val="auto"/>
                <w:w w:val="95"/>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1,346</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0"/>
              </w:rPr>
              <w:t>110.2</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89"/>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5,124</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31.3</w:t>
            </w:r>
          </w:p>
        </w:tc>
        <w:tc>
          <w:tcPr>
            <w:tcW w:w="34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5"/>
                <w:szCs w:val="15"/>
                <w:color w:val="auto"/>
                <w:w w:val="95"/>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1,221</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26.3</w:t>
            </w:r>
          </w:p>
        </w:tc>
        <w:tc>
          <w:tcPr>
            <w:tcW w:w="32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5"/>
                <w:szCs w:val="15"/>
                <w:color w:val="auto"/>
                <w:w w:val="95"/>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3,903</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w w:val="90"/>
              </w:rPr>
              <w:t>319.7</w:t>
            </w:r>
          </w:p>
        </w:tc>
        <w:tc>
          <w:tcPr>
            <w:tcW w:w="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5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Business Metrics</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0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(Actual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80" w:type="dxa"/>
            <w:vAlign w:val="bottom"/>
          </w:tcPr>
          <w:p>
            <w:pPr>
              <w:ind w:left="100"/>
              <w:spacing w:after="0"/>
              <w:rPr>
                <w:sz w:val="20"/>
                <w:szCs w:val="20"/>
                <w:color w:val="auto"/>
              </w:rPr>
            </w:pPr>
            <w:r>
              <w:rPr>
                <w:rFonts w:ascii="Arial" w:cs="Arial" w:eastAsia="Arial" w:hAnsi="Arial"/>
                <w:sz w:val="15"/>
                <w:szCs w:val="15"/>
                <w:b w:val="1"/>
                <w:bCs w:val="1"/>
                <w:color w:val="auto"/>
              </w:rPr>
              <w:t>Numbers)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15"/>
                <w:szCs w:val="15"/>
                <w:color w:val="auto"/>
              </w:rPr>
              <w:t>Admissions</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474</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250</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224</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89.6</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89"/>
              </w:rPr>
              <w:t>%</w:t>
            </w: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985</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250</w:t>
            </w: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735</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w w:val="90"/>
              </w:rPr>
              <w:t>294.0</w:t>
            </w:r>
          </w:p>
        </w:tc>
        <w:tc>
          <w:tcPr>
            <w:tcW w:w="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1500" w:type="dxa"/>
            <w:vAlign w:val="bottom"/>
            <w:gridSpan w:val="2"/>
          </w:tcPr>
          <w:p>
            <w:pPr>
              <w:spacing w:after="0"/>
              <w:rPr>
                <w:sz w:val="20"/>
                <w:szCs w:val="20"/>
                <w:color w:val="auto"/>
              </w:rPr>
            </w:pPr>
            <w:r>
              <w:rPr>
                <w:rFonts w:ascii="Arial" w:cs="Arial" w:eastAsia="Arial" w:hAnsi="Arial"/>
                <w:sz w:val="15"/>
                <w:szCs w:val="15"/>
                <w:color w:val="auto"/>
              </w:rPr>
              <w:t>Average daily census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611</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541</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70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12.9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593</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541</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52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4"/>
              <w:spacing w:after="0"/>
              <w:rPr>
                <w:sz w:val="20"/>
                <w:szCs w:val="20"/>
                <w:color w:val="auto"/>
              </w:rPr>
            </w:pPr>
            <w:r>
              <w:rPr>
                <w:rFonts w:ascii="Arial" w:cs="Arial" w:eastAsia="Arial" w:hAnsi="Arial"/>
                <w:sz w:val="15"/>
                <w:szCs w:val="15"/>
                <w:color w:val="auto"/>
              </w:rPr>
              <w:t>9.6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15"/>
                <w:szCs w:val="15"/>
                <w:color w:val="auto"/>
                <w:w w:val="97"/>
              </w:rPr>
              <w:t>Average length of stay</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127</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158</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(31)</w:t>
            </w:r>
          </w:p>
        </w:tc>
        <w:tc>
          <w:tcPr>
            <w:tcW w:w="10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(19.8)</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121</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158</w:t>
            </w: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(37.0)</w:t>
            </w:r>
          </w:p>
        </w:tc>
        <w:tc>
          <w:tcPr>
            <w:tcW w:w="100" w:type="dxa"/>
            <w:vAlign w:val="bottom"/>
            <w:shd w:val="clear" w:color="auto" w:fill="CFF0FC"/>
          </w:tcPr>
          <w:p>
            <w:pPr>
              <w:spacing w:after="0"/>
              <w:rPr>
                <w:sz w:val="15"/>
                <w:szCs w:val="15"/>
                <w:color w:val="auto"/>
              </w:rPr>
            </w:pPr>
          </w:p>
        </w:tc>
        <w:tc>
          <w:tcPr>
            <w:tcW w:w="4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(23.4)</w:t>
            </w: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00" w:type="dxa"/>
            <w:vAlign w:val="bottom"/>
            <w:gridSpan w:val="2"/>
          </w:tcPr>
          <w:p>
            <w:pPr>
              <w:spacing w:after="0"/>
              <w:rPr>
                <w:sz w:val="20"/>
                <w:szCs w:val="20"/>
                <w:color w:val="auto"/>
              </w:rPr>
            </w:pPr>
            <w:r>
              <w:rPr>
                <w:rFonts w:ascii="Arial" w:cs="Arial" w:eastAsia="Arial" w:hAnsi="Arial"/>
                <w:sz w:val="15"/>
                <w:szCs w:val="15"/>
                <w:color w:val="auto"/>
              </w:rPr>
              <w:t>Patient days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91"/>
              </w:rPr>
              <w:t>54,807</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1"/>
              </w:rPr>
              <w:t>32,600</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1"/>
              </w:rPr>
              <w:t>22,207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68.1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92"/>
              </w:rPr>
              <w:t>106,531</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91"/>
              </w:rPr>
              <w:t>32,600</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1"/>
              </w:rPr>
              <w:t>73,931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4"/>
              <w:spacing w:after="0"/>
              <w:rPr>
                <w:sz w:val="20"/>
                <w:szCs w:val="20"/>
                <w:color w:val="auto"/>
              </w:rPr>
            </w:pPr>
            <w:r>
              <w:rPr>
                <w:rFonts w:ascii="Arial" w:cs="Arial" w:eastAsia="Arial" w:hAnsi="Arial"/>
                <w:sz w:val="15"/>
                <w:szCs w:val="15"/>
                <w:color w:val="auto"/>
                <w:w w:val="90"/>
              </w:rPr>
              <w:t>226.8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shd w:val="clear" w:color="auto" w:fill="CFF0FC"/>
          </w:tcPr>
          <w:p>
            <w:pPr>
              <w:spacing w:after="0"/>
              <w:rPr>
                <w:sz w:val="20"/>
                <w:szCs w:val="20"/>
                <w:color w:val="auto"/>
              </w:rPr>
            </w:pPr>
            <w:r>
              <w:rPr>
                <w:rFonts w:ascii="Arial" w:cs="Arial" w:eastAsia="Arial" w:hAnsi="Arial"/>
                <w:sz w:val="15"/>
                <w:szCs w:val="15"/>
                <w:color w:val="auto"/>
                <w:w w:val="89"/>
              </w:rPr>
              <w:t>Revenue per patient day</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5"/>
                <w:szCs w:val="15"/>
                <w:color w:val="auto"/>
                <w:w w:val="95"/>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1"/>
              </w:rPr>
              <w:t>153.94</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5"/>
                <w:szCs w:val="15"/>
                <w:color w:val="auto"/>
                <w:w w:val="95"/>
              </w:rPr>
              <w:t>$</w:t>
            </w:r>
          </w:p>
        </w:tc>
        <w:tc>
          <w:tcPr>
            <w:tcW w:w="4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91"/>
              </w:rPr>
              <w:t>142.60</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5"/>
                <w:szCs w:val="15"/>
                <w:color w:val="auto"/>
                <w:w w:val="95"/>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11.34</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89"/>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153.52</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5"/>
                <w:szCs w:val="15"/>
                <w:color w:val="auto"/>
                <w:w w:val="95"/>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1"/>
              </w:rPr>
              <w:t>142.60</w:t>
            </w: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5"/>
                <w:szCs w:val="15"/>
                <w:color w:val="auto"/>
                <w:w w:val="95"/>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10.92</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rPr>
              <w:t>7.7</w:t>
            </w:r>
          </w:p>
        </w:tc>
        <w:tc>
          <w:tcPr>
            <w:tcW w:w="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420" w:firstLine="484"/>
        <w:spacing w:after="0" w:line="291" w:lineRule="auto"/>
        <w:rPr>
          <w:sz w:val="20"/>
          <w:szCs w:val="20"/>
          <w:color w:val="auto"/>
        </w:rPr>
      </w:pPr>
      <w:r>
        <w:rPr>
          <w:rFonts w:ascii="Arial" w:cs="Arial" w:eastAsia="Arial" w:hAnsi="Arial"/>
          <w:sz w:val="16"/>
          <w:szCs w:val="16"/>
          <w:color w:val="auto"/>
        </w:rPr>
        <w:t>On May 1, 2018, upon the completion of our acquisition of Ambercare, we began operating our hospice segment. Hospice generates net service revenues by providing care to patients with a life expectancy of six months or less, and their families. Net service revenues from Medicare accounted for</w:t>
      </w:r>
    </w:p>
    <w:p>
      <w:pPr>
        <w:ind w:right="20"/>
        <w:spacing w:after="0" w:line="255" w:lineRule="auto"/>
        <w:rPr>
          <w:sz w:val="20"/>
          <w:szCs w:val="20"/>
          <w:color w:val="auto"/>
        </w:rPr>
      </w:pPr>
      <w:r>
        <w:rPr>
          <w:rFonts w:ascii="Arial" w:cs="Arial" w:eastAsia="Arial" w:hAnsi="Arial"/>
          <w:sz w:val="18"/>
          <w:szCs w:val="18"/>
          <w:color w:val="auto"/>
        </w:rPr>
        <w:t>92.6% and 93.7% and managed care organizations accounted for 5.6% and 6.3% for the three months ended June 30, 2019 and 2018, respectively. Net service revenues from Medicare accounted for 92.9% and 93.7% and managed care organizations accounted for 5.1% and 6.3% for the six months ended June 30, 2019 and 2018, respectively.</w:t>
      </w:r>
    </w:p>
    <w:p>
      <w:pPr>
        <w:spacing w:after="0" w:line="136" w:lineRule="exact"/>
        <w:rPr>
          <w:sz w:val="20"/>
          <w:szCs w:val="20"/>
          <w:color w:val="auto"/>
        </w:rPr>
      </w:pPr>
    </w:p>
    <w:p>
      <w:pPr>
        <w:ind w:right="40" w:firstLine="484"/>
        <w:spacing w:after="0" w:line="293" w:lineRule="auto"/>
        <w:rPr>
          <w:sz w:val="20"/>
          <w:szCs w:val="20"/>
          <w:color w:val="auto"/>
        </w:rPr>
      </w:pPr>
      <w:r>
        <w:rPr>
          <w:rFonts w:ascii="Arial" w:cs="Arial" w:eastAsia="Arial" w:hAnsi="Arial"/>
          <w:sz w:val="16"/>
          <w:szCs w:val="16"/>
          <w:color w:val="auto"/>
        </w:rPr>
        <w:t>Gross profit, expressed as a percentage of net service revenues was 48.8% and 44.6% for the three months ended June 30, 2019 and 2018, respectively, and 50.5% and 44.6%, for the six months ended June 30, 2019 and 2018, respectively. General and administrative expenses, expressed as a percentage of net service revenues was 18.3% and 18.4% for the three months ended June 30, 2019 and 2018, respectively, and 19.2% and 18.4% for the six months ended June 30, 2019 and 2018, respectively. The hospice segment’s general and administrative expenses primarily consist of administrative employee wages, taxes and benefit costs, rent, information technology and office expenses. The hospice segment’s operating income was $2.6 million and $1.2 million for the three months ended June 30, 2019 and 2018, respectively, and $5.1 million and $1.2 million for the six months ended June 30, 2019 and 2018,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Health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w w:val="96"/>
              </w:rPr>
              <w:t>For the Three Months Ended June 30,</w:t>
            </w: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Six Months Ended June 30,</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487"/>
              <w:spacing w:after="0" w:line="155" w:lineRule="exact"/>
              <w:rPr>
                <w:sz w:val="20"/>
                <w:szCs w:val="20"/>
                <w:color w:val="auto"/>
              </w:rPr>
            </w:pPr>
            <w:r>
              <w:rPr>
                <w:rFonts w:ascii="Arial" w:cs="Arial" w:eastAsia="Arial" w:hAnsi="Arial"/>
                <w:sz w:val="14"/>
                <w:szCs w:val="14"/>
                <w:b w:val="1"/>
                <w:bCs w:val="1"/>
                <w:color w:val="auto"/>
                <w:w w:val="89"/>
              </w:rPr>
              <w:t>2019</w:t>
            </w: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507"/>
              <w:spacing w:after="0" w:line="155" w:lineRule="exact"/>
              <w:rPr>
                <w:sz w:val="20"/>
                <w:szCs w:val="20"/>
                <w:color w:val="auto"/>
              </w:rPr>
            </w:pPr>
            <w:r>
              <w:rPr>
                <w:rFonts w:ascii="Arial" w:cs="Arial" w:eastAsia="Arial" w:hAnsi="Arial"/>
                <w:sz w:val="14"/>
                <w:szCs w:val="14"/>
                <w:b w:val="1"/>
                <w:bCs w:val="1"/>
                <w:color w:val="auto"/>
                <w:w w:val="83"/>
              </w:rPr>
              <w:t>2018</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jc w:val="center"/>
              <w:ind w:left="184"/>
              <w:spacing w:after="0" w:line="155" w:lineRule="exact"/>
              <w:rPr>
                <w:sz w:val="20"/>
                <w:szCs w:val="20"/>
                <w:color w:val="auto"/>
              </w:rPr>
            </w:pPr>
            <w:r>
              <w:rPr>
                <w:rFonts w:ascii="Arial" w:cs="Arial" w:eastAsia="Arial" w:hAnsi="Arial"/>
                <w:sz w:val="14"/>
                <w:szCs w:val="14"/>
                <w:b w:val="1"/>
                <w:bCs w:val="1"/>
                <w:color w:val="auto"/>
                <w:w w:val="89"/>
              </w:rPr>
              <w:t>Change</w:t>
            </w:r>
          </w:p>
        </w:tc>
        <w:tc>
          <w:tcPr>
            <w:tcW w:w="3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487"/>
              <w:spacing w:after="0" w:line="155"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487"/>
              <w:spacing w:after="0" w:line="155" w:lineRule="exact"/>
              <w:rPr>
                <w:sz w:val="20"/>
                <w:szCs w:val="20"/>
                <w:color w:val="auto"/>
              </w:rPr>
            </w:pPr>
            <w:r>
              <w:rPr>
                <w:rFonts w:ascii="Arial" w:cs="Arial" w:eastAsia="Arial" w:hAnsi="Arial"/>
                <w:sz w:val="14"/>
                <w:szCs w:val="14"/>
                <w:b w:val="1"/>
                <w:bCs w:val="1"/>
                <w:color w:val="auto"/>
                <w:w w:val="89"/>
              </w:rPr>
              <w:t>2018</w:t>
            </w: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ind w:left="260"/>
              <w:spacing w:after="0" w:line="155" w:lineRule="exact"/>
              <w:rPr>
                <w:sz w:val="20"/>
                <w:szCs w:val="20"/>
                <w:color w:val="auto"/>
              </w:rPr>
            </w:pPr>
            <w:r>
              <w:rPr>
                <w:rFonts w:ascii="Arial" w:cs="Arial" w:eastAsia="Arial" w:hAnsi="Arial"/>
                <w:sz w:val="14"/>
                <w:szCs w:val="14"/>
                <w:b w:val="1"/>
                <w:bCs w:val="1"/>
                <w:color w:val="auto"/>
                <w:w w:val="89"/>
              </w:rPr>
              <w:t>Change</w:t>
            </w:r>
          </w:p>
        </w:tc>
        <w:tc>
          <w:tcPr>
            <w:tcW w:w="3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Home Health</w:t>
            </w:r>
          </w:p>
        </w:tc>
        <w:tc>
          <w:tcPr>
            <w:tcW w:w="80" w:type="dxa"/>
            <w:vAlign w:val="bottom"/>
          </w:tcPr>
          <w:p>
            <w:pPr>
              <w:spacing w:after="0"/>
              <w:rPr>
                <w:sz w:val="12"/>
                <w:szCs w:val="12"/>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Amount</w:t>
            </w:r>
          </w:p>
        </w:tc>
        <w:tc>
          <w:tcPr>
            <w:tcW w:w="860" w:type="dxa"/>
            <w:vAlign w:val="bottom"/>
            <w:gridSpan w:val="2"/>
          </w:tcPr>
          <w:p>
            <w:pPr>
              <w:jc w:val="center"/>
              <w:ind w:left="85"/>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20" w:type="dxa"/>
            <w:vAlign w:val="bottom"/>
          </w:tcPr>
          <w:p>
            <w:pPr>
              <w:spacing w:after="0"/>
              <w:rPr>
                <w:sz w:val="12"/>
                <w:szCs w:val="12"/>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8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36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8"/>
              </w:rPr>
              <w:t>Amount</w:t>
            </w:r>
          </w:p>
        </w:tc>
        <w:tc>
          <w:tcPr>
            <w:tcW w:w="860" w:type="dxa"/>
            <w:vAlign w:val="bottom"/>
            <w:gridSpan w:val="2"/>
          </w:tcPr>
          <w:p>
            <w:pPr>
              <w:jc w:val="center"/>
              <w:ind w:left="85"/>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20" w:type="dxa"/>
            <w:vAlign w:val="bottom"/>
          </w:tcPr>
          <w:p>
            <w:pPr>
              <w:spacing w:after="0"/>
              <w:rPr>
                <w:sz w:val="12"/>
                <w:szCs w:val="12"/>
                <w:color w:val="auto"/>
              </w:rPr>
            </w:pPr>
          </w:p>
        </w:tc>
        <w:tc>
          <w:tcPr>
            <w:tcW w:w="8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36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3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20" w:type="dxa"/>
            <w:vAlign w:val="bottom"/>
            <w:tcBorders>
              <w:top w:val="single" w:sz="8" w:color="auto"/>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Operating Results</w:t>
            </w:r>
          </w:p>
        </w:tc>
        <w:tc>
          <w:tcPr>
            <w:tcW w:w="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3040" w:type="dxa"/>
            <w:vAlign w:val="bottom"/>
            <w:tcBorders>
              <w:top w:val="single" w:sz="8" w:color="auto"/>
              <w:bottom w:val="single" w:sz="8" w:color="auto"/>
            </w:tcBorders>
            <w:gridSpan w:val="10"/>
          </w:tcPr>
          <w:p>
            <w:pPr>
              <w:jc w:val="center"/>
              <w:ind w:left="47"/>
              <w:spacing w:after="0" w:line="155" w:lineRule="exact"/>
              <w:rPr>
                <w:sz w:val="20"/>
                <w:szCs w:val="20"/>
                <w:color w:val="auto"/>
              </w:rPr>
            </w:pPr>
            <w:r>
              <w:rPr>
                <w:rFonts w:ascii="Arial" w:cs="Arial" w:eastAsia="Arial" w:hAnsi="Arial"/>
                <w:sz w:val="14"/>
                <w:szCs w:val="14"/>
                <w:b w:val="1"/>
                <w:bCs w:val="1"/>
                <w:color w:val="auto"/>
                <w:w w:val="91"/>
              </w:rPr>
              <w:t>(Amounts in Thousands, Except Percentages)</w:t>
            </w: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440" w:type="dxa"/>
            <w:vAlign w:val="bottom"/>
            <w:tcBorders>
              <w:top w:val="single" w:sz="8" w:color="auto"/>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Net service revenues</w:t>
            </w:r>
          </w:p>
        </w:tc>
        <w:tc>
          <w:tcPr>
            <w:tcW w:w="180" w:type="dxa"/>
            <w:vAlign w:val="bottom"/>
            <w:gridSpan w:val="2"/>
            <w:shd w:val="clear" w:color="auto" w:fill="CFF0FC"/>
          </w:tcPr>
          <w:p>
            <w:pPr>
              <w:ind w:left="80"/>
              <w:spacing w:after="0" w:line="169" w:lineRule="exact"/>
              <w:rPr>
                <w:sz w:val="20"/>
                <w:szCs w:val="20"/>
                <w:color w:val="auto"/>
              </w:rPr>
            </w:pPr>
            <w:r>
              <w:rPr>
                <w:rFonts w:ascii="Arial" w:cs="Arial" w:eastAsia="Arial" w:hAnsi="Arial"/>
                <w:sz w:val="15"/>
                <w:szCs w:val="15"/>
                <w:color w:val="auto"/>
                <w:w w:val="95"/>
              </w:rPr>
              <w:t>$</w:t>
            </w:r>
          </w:p>
        </w:tc>
        <w:tc>
          <w:tcPr>
            <w:tcW w:w="4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3,001</w:t>
            </w:r>
          </w:p>
        </w:tc>
        <w:tc>
          <w:tcPr>
            <w:tcW w:w="86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100.0</w:t>
            </w:r>
          </w:p>
        </w:tc>
        <w:tc>
          <w:tcPr>
            <w:tcW w:w="320" w:type="dxa"/>
            <w:vAlign w:val="bottom"/>
            <w:shd w:val="clear" w:color="auto" w:fill="CFF0FC"/>
          </w:tcPr>
          <w:p>
            <w:pPr>
              <w:jc w:val="right"/>
              <w:ind w:right="23"/>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w w:val="95"/>
              </w:rPr>
              <w:t>$</w:t>
            </w:r>
          </w:p>
        </w:tc>
        <w:tc>
          <w:tcPr>
            <w:tcW w:w="4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1,523</w:t>
            </w:r>
          </w:p>
        </w:tc>
        <w:tc>
          <w:tcPr>
            <w:tcW w:w="86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100.0</w:t>
            </w:r>
          </w:p>
        </w:tc>
        <w:tc>
          <w:tcPr>
            <w:tcW w:w="300" w:type="dxa"/>
            <w:vAlign w:val="bottom"/>
            <w:tcBorders>
              <w:right w:val="single" w:sz="8" w:color="CFF0FC"/>
            </w:tcBorders>
            <w:shd w:val="clear" w:color="auto" w:fill="CFF0FC"/>
          </w:tcPr>
          <w:p>
            <w:pPr>
              <w:jc w:val="right"/>
              <w:ind w:right="23"/>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w w:val="95"/>
              </w:rPr>
              <w:t>$</w:t>
            </w:r>
          </w:p>
        </w:tc>
        <w:tc>
          <w:tcPr>
            <w:tcW w:w="4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1,478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97.0</w:t>
            </w:r>
          </w:p>
        </w:tc>
        <w:tc>
          <w:tcPr>
            <w:tcW w:w="320" w:type="dxa"/>
            <w:vAlign w:val="bottom"/>
            <w:shd w:val="clear" w:color="auto" w:fill="CFF0FC"/>
          </w:tcPr>
          <w:p>
            <w:pPr>
              <w:jc w:val="right"/>
              <w:ind w:right="43"/>
              <w:spacing w:after="0" w:line="169"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5,697</w:t>
            </w:r>
          </w:p>
        </w:tc>
        <w:tc>
          <w:tcPr>
            <w:tcW w:w="86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100.0</w:t>
            </w:r>
          </w:p>
        </w:tc>
        <w:tc>
          <w:tcPr>
            <w:tcW w:w="300" w:type="dxa"/>
            <w:vAlign w:val="bottom"/>
            <w:shd w:val="clear" w:color="auto" w:fill="CFF0FC"/>
          </w:tcPr>
          <w:p>
            <w:pPr>
              <w:jc w:val="right"/>
              <w:ind w:right="23"/>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w w:val="95"/>
              </w:rPr>
              <w:t>$</w:t>
            </w:r>
          </w:p>
        </w:tc>
        <w:tc>
          <w:tcPr>
            <w:tcW w:w="4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1,523</w:t>
            </w:r>
          </w:p>
        </w:tc>
        <w:tc>
          <w:tcPr>
            <w:tcW w:w="86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100.0</w:t>
            </w:r>
          </w:p>
        </w:tc>
        <w:tc>
          <w:tcPr>
            <w:tcW w:w="320" w:type="dxa"/>
            <w:vAlign w:val="bottom"/>
            <w:tcBorders>
              <w:right w:val="single" w:sz="8" w:color="CFF0FC"/>
            </w:tcBorders>
            <w:shd w:val="clear" w:color="auto" w:fill="CFF0FC"/>
          </w:tcPr>
          <w:p>
            <w:pPr>
              <w:jc w:val="right"/>
              <w:ind w:right="23"/>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w w:val="95"/>
              </w:rPr>
              <w:t>$</w:t>
            </w:r>
          </w:p>
        </w:tc>
        <w:tc>
          <w:tcPr>
            <w:tcW w:w="4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4,174</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85"/>
              </w:rPr>
              <w:t>274.1</w:t>
            </w:r>
          </w:p>
        </w:tc>
        <w:tc>
          <w:tcPr>
            <w:tcW w:w="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1540" w:type="dxa"/>
            <w:vAlign w:val="bottom"/>
            <w:gridSpan w:val="2"/>
          </w:tcPr>
          <w:p>
            <w:pPr>
              <w:spacing w:after="0" w:line="162" w:lineRule="exact"/>
              <w:rPr>
                <w:sz w:val="20"/>
                <w:szCs w:val="20"/>
                <w:color w:val="auto"/>
              </w:rPr>
            </w:pPr>
            <w:r>
              <w:rPr>
                <w:rFonts w:ascii="Arial" w:cs="Arial" w:eastAsia="Arial" w:hAnsi="Arial"/>
                <w:sz w:val="15"/>
                <w:szCs w:val="15"/>
                <w:color w:val="auto"/>
              </w:rPr>
              <w:t>Cost of services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40" w:type="dxa"/>
            <w:vAlign w:val="bottom"/>
            <w:gridSpan w:val="2"/>
          </w:tcPr>
          <w:p>
            <w:pPr>
              <w:spacing w:after="0"/>
              <w:rPr>
                <w:sz w:val="20"/>
                <w:szCs w:val="20"/>
                <w:color w:val="auto"/>
              </w:rPr>
            </w:pPr>
            <w:r>
              <w:rPr>
                <w:rFonts w:ascii="Arial" w:cs="Arial" w:eastAsia="Arial" w:hAnsi="Arial"/>
                <w:sz w:val="15"/>
                <w:szCs w:val="15"/>
                <w:color w:val="auto"/>
              </w:rPr>
              <w:t>revenues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2,071</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69.0</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1,098</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72.1</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973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88.6</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3,985</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69.9</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1,098</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72.1</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2,887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w w:val="85"/>
              </w:rPr>
              <w:t>262.9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Gross profit</w:t>
            </w: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930</w:t>
            </w:r>
          </w:p>
        </w:tc>
        <w:tc>
          <w:tcPr>
            <w:tcW w:w="160" w:type="dxa"/>
            <w:vAlign w:val="bottom"/>
            <w:tcBorders>
              <w:top w:val="single" w:sz="8" w:color="CFF0FC"/>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31.0</w:t>
            </w:r>
          </w:p>
        </w:tc>
        <w:tc>
          <w:tcPr>
            <w:tcW w:w="3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425</w:t>
            </w:r>
          </w:p>
        </w:tc>
        <w:tc>
          <w:tcPr>
            <w:tcW w:w="160" w:type="dxa"/>
            <w:vAlign w:val="bottom"/>
            <w:tcBorders>
              <w:top w:val="single" w:sz="8" w:color="CFF0FC"/>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27.9</w:t>
            </w:r>
          </w:p>
        </w:tc>
        <w:tc>
          <w:tcPr>
            <w:tcW w:w="300" w:type="dxa"/>
            <w:vAlign w:val="bottom"/>
            <w:tcBorders>
              <w:top w:val="single" w:sz="8" w:color="CFF0FC"/>
              <w:right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505</w:t>
            </w: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360" w:type="dxa"/>
            <w:vAlign w:val="bottom"/>
            <w:tcBorders>
              <w:top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85"/>
              </w:rPr>
              <w:t>118.8</w:t>
            </w:r>
          </w:p>
        </w:tc>
        <w:tc>
          <w:tcPr>
            <w:tcW w:w="3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1,712</w:t>
            </w:r>
          </w:p>
        </w:tc>
        <w:tc>
          <w:tcPr>
            <w:tcW w:w="160" w:type="dxa"/>
            <w:vAlign w:val="bottom"/>
            <w:tcBorders>
              <w:top w:val="single" w:sz="8" w:color="CFF0FC"/>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30.1</w:t>
            </w:r>
          </w:p>
        </w:tc>
        <w:tc>
          <w:tcPr>
            <w:tcW w:w="3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425</w:t>
            </w:r>
          </w:p>
        </w:tc>
        <w:tc>
          <w:tcPr>
            <w:tcW w:w="160" w:type="dxa"/>
            <w:vAlign w:val="bottom"/>
            <w:tcBorders>
              <w:top w:val="single" w:sz="8" w:color="CFF0FC"/>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27.9</w:t>
            </w:r>
          </w:p>
        </w:tc>
        <w:tc>
          <w:tcPr>
            <w:tcW w:w="320" w:type="dxa"/>
            <w:vAlign w:val="bottom"/>
            <w:tcBorders>
              <w:top w:val="single" w:sz="8" w:color="CFF0FC"/>
              <w:right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1,287</w:t>
            </w:r>
          </w:p>
        </w:tc>
        <w:tc>
          <w:tcPr>
            <w:tcW w:w="2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85"/>
              </w:rPr>
              <w:t>302.8</w:t>
            </w:r>
          </w:p>
        </w:tc>
        <w:tc>
          <w:tcPr>
            <w:tcW w:w="2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gridSpan w:val="2"/>
          </w:tcPr>
          <w:p>
            <w:pPr>
              <w:spacing w:after="0" w:line="162" w:lineRule="exact"/>
              <w:rPr>
                <w:sz w:val="20"/>
                <w:szCs w:val="20"/>
                <w:color w:val="auto"/>
              </w:rPr>
            </w:pPr>
            <w:r>
              <w:rPr>
                <w:rFonts w:ascii="Arial" w:cs="Arial" w:eastAsia="Arial" w:hAnsi="Arial"/>
                <w:sz w:val="15"/>
                <w:szCs w:val="15"/>
                <w:color w:val="auto"/>
              </w:rPr>
              <w:t>General and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gridSpan w:val="2"/>
          </w:tcPr>
          <w:p>
            <w:pPr>
              <w:spacing w:after="0" w:line="162" w:lineRule="exact"/>
              <w:rPr>
                <w:sz w:val="20"/>
                <w:szCs w:val="20"/>
                <w:color w:val="auto"/>
              </w:rPr>
            </w:pPr>
            <w:r>
              <w:rPr>
                <w:rFonts w:ascii="Arial" w:cs="Arial" w:eastAsia="Arial" w:hAnsi="Arial"/>
                <w:sz w:val="15"/>
                <w:szCs w:val="15"/>
                <w:color w:val="auto"/>
              </w:rPr>
              <w:t>administrative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20" w:type="dxa"/>
            <w:vAlign w:val="bottom"/>
          </w:tcPr>
          <w:p>
            <w:pPr>
              <w:ind w:left="100"/>
              <w:spacing w:after="0"/>
              <w:rPr>
                <w:sz w:val="20"/>
                <w:szCs w:val="20"/>
                <w:color w:val="auto"/>
              </w:rPr>
            </w:pPr>
            <w:r>
              <w:rPr>
                <w:rFonts w:ascii="Arial" w:cs="Arial" w:eastAsia="Arial" w:hAnsi="Arial"/>
                <w:sz w:val="15"/>
                <w:szCs w:val="15"/>
                <w:color w:val="auto"/>
              </w:rPr>
              <w:t>expenses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656</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21.9</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343</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22.5</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313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91.3</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1,343</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23.6</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343</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22.5</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1,000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w w:val="85"/>
              </w:rPr>
              <w:t>291.5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2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Segment operating</w:t>
            </w: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right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CFF0FC"/>
              <w:right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15"/>
                <w:szCs w:val="15"/>
                <w:color w:val="auto"/>
              </w:rPr>
              <w:t>income</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5"/>
                <w:szCs w:val="15"/>
                <w:color w:val="auto"/>
                <w:w w:val="95"/>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274</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9.1</w:t>
            </w:r>
          </w:p>
        </w:tc>
        <w:tc>
          <w:tcPr>
            <w:tcW w:w="32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5"/>
                <w:szCs w:val="15"/>
                <w:color w:val="auto"/>
                <w:w w:val="95"/>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w:t>
            </w:r>
          </w:p>
        </w:tc>
        <w:tc>
          <w:tcPr>
            <w:tcW w:w="300" w:type="dxa"/>
            <w:vAlign w:val="bottom"/>
            <w:tcBorders>
              <w:right w:val="single" w:sz="8" w:color="CFF0FC"/>
            </w:tcBorders>
            <w:shd w:val="clear" w:color="auto" w:fill="CFF0FC"/>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5"/>
                <w:szCs w:val="15"/>
                <w:color w:val="auto"/>
                <w:w w:val="95"/>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192</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5"/>
              </w:rPr>
              <w:t>234.1</w:t>
            </w:r>
          </w:p>
        </w:tc>
        <w:tc>
          <w:tcPr>
            <w:tcW w:w="32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369</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w:t>
            </w:r>
          </w:p>
        </w:tc>
        <w:tc>
          <w:tcPr>
            <w:tcW w:w="30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5"/>
                <w:szCs w:val="15"/>
                <w:color w:val="auto"/>
                <w:w w:val="95"/>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w:t>
            </w:r>
          </w:p>
        </w:tc>
        <w:tc>
          <w:tcPr>
            <w:tcW w:w="320" w:type="dxa"/>
            <w:vAlign w:val="bottom"/>
            <w:tcBorders>
              <w:right w:val="single" w:sz="8" w:color="CFF0FC"/>
            </w:tcBorders>
            <w:shd w:val="clear" w:color="auto" w:fill="CFF0FC"/>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5"/>
                <w:szCs w:val="15"/>
                <w:color w:val="auto"/>
                <w:w w:val="95"/>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287</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5"/>
              </w:rPr>
              <w:t>350.0</w:t>
            </w:r>
          </w:p>
        </w:tc>
        <w:tc>
          <w:tcPr>
            <w:tcW w:w="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5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Business Metrics</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4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(Actual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520" w:type="dxa"/>
            <w:vAlign w:val="bottom"/>
          </w:tcPr>
          <w:p>
            <w:pPr>
              <w:ind w:left="100"/>
              <w:spacing w:after="0"/>
              <w:rPr>
                <w:sz w:val="20"/>
                <w:szCs w:val="20"/>
                <w:color w:val="auto"/>
              </w:rPr>
            </w:pPr>
            <w:r>
              <w:rPr>
                <w:rFonts w:ascii="Arial" w:cs="Arial" w:eastAsia="Arial" w:hAnsi="Arial"/>
                <w:sz w:val="15"/>
                <w:szCs w:val="15"/>
                <w:b w:val="1"/>
                <w:bCs w:val="1"/>
                <w:color w:val="auto"/>
              </w:rPr>
              <w:t>Numbers)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15"/>
                <w:szCs w:val="15"/>
                <w:color w:val="auto"/>
              </w:rPr>
              <w:t>New admissions</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700</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388</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312</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80.4</w:t>
            </w:r>
          </w:p>
        </w:tc>
        <w:tc>
          <w:tcPr>
            <w:tcW w:w="32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1,415</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388</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1,027</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5"/>
              </w:rPr>
              <w:t>264.7</w:t>
            </w:r>
          </w:p>
        </w:tc>
        <w:tc>
          <w:tcPr>
            <w:tcW w:w="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1540" w:type="dxa"/>
            <w:vAlign w:val="bottom"/>
            <w:gridSpan w:val="2"/>
          </w:tcPr>
          <w:p>
            <w:pPr>
              <w:spacing w:after="0"/>
              <w:rPr>
                <w:sz w:val="20"/>
                <w:szCs w:val="20"/>
                <w:color w:val="auto"/>
              </w:rPr>
            </w:pPr>
            <w:r>
              <w:rPr>
                <w:rFonts w:ascii="Arial" w:cs="Arial" w:eastAsia="Arial" w:hAnsi="Arial"/>
                <w:sz w:val="15"/>
                <w:szCs w:val="15"/>
                <w:color w:val="auto"/>
              </w:rPr>
              <w:t>Recertifications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543</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369</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174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47.2</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1,185</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369</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816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w w:val="85"/>
              </w:rPr>
              <w:t>221.1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15"/>
                <w:szCs w:val="15"/>
                <w:color w:val="auto"/>
              </w:rPr>
              <w:t>Total volume</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1,243</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757</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486</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64.2</w:t>
            </w:r>
          </w:p>
        </w:tc>
        <w:tc>
          <w:tcPr>
            <w:tcW w:w="3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2,600</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757</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1,843</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5"/>
              </w:rPr>
              <w:t>243.5</w:t>
            </w:r>
          </w:p>
        </w:tc>
        <w:tc>
          <w:tcPr>
            <w:tcW w:w="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540" w:type="dxa"/>
            <w:vAlign w:val="bottom"/>
            <w:gridSpan w:val="2"/>
          </w:tcPr>
          <w:p>
            <w:pPr>
              <w:spacing w:after="0"/>
              <w:rPr>
                <w:sz w:val="20"/>
                <w:szCs w:val="20"/>
                <w:color w:val="auto"/>
              </w:rPr>
            </w:pPr>
            <w:r>
              <w:rPr>
                <w:rFonts w:ascii="Arial" w:cs="Arial" w:eastAsia="Arial" w:hAnsi="Arial"/>
                <w:sz w:val="15"/>
                <w:szCs w:val="15"/>
                <w:color w:val="auto"/>
              </w:rPr>
              <w:t>Visits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1"/>
              </w:rPr>
              <w:t>24,157</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1"/>
              </w:rPr>
              <w:t>12,857</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91"/>
              </w:rPr>
              <w:t>11,300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87.9</w:t>
            </w:r>
          </w:p>
        </w:tc>
        <w:tc>
          <w:tcPr>
            <w:tcW w:w="32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1"/>
              </w:rPr>
              <w:t>43,711</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1"/>
              </w:rPr>
              <w:t>12,857</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91"/>
              </w:rPr>
              <w:t>30,854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w w:val="85"/>
              </w:rPr>
              <w:t>240.0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220" w:firstLine="484"/>
        <w:spacing w:after="0" w:line="297" w:lineRule="auto"/>
        <w:rPr>
          <w:sz w:val="20"/>
          <w:szCs w:val="20"/>
          <w:color w:val="auto"/>
        </w:rPr>
      </w:pPr>
      <w:r>
        <w:rPr>
          <w:rFonts w:ascii="Arial" w:cs="Arial" w:eastAsia="Arial" w:hAnsi="Arial"/>
          <w:sz w:val="16"/>
          <w:szCs w:val="16"/>
          <w:color w:val="auto"/>
        </w:rPr>
        <w:t>On May 1, 2018, upon the completion of our acquisition of Ambercare, we began operating our home health segment. Home health generates net service revenues by providing home health services on a short-term, intermittent or episodic basis to individuals, generally to treat an illness or injury. Net service revenues from Medicare accounted for 81.2% and 92.2%, managed care organizations accounted for 15.9% and 7.1% and other accounted for 2.9% and 0.7% for the three months ended June 30, 2019 and 2018, respectively. Net service revenues from Medicare accounted for 81.4% and 92.2%, managed care organizations accounted for 15.6% and 7.1% and other accounted for 3.0% and 0.7% for the six months ended June 30, 2019 and 2018, respectively.</w:t>
      </w:r>
    </w:p>
    <w:p>
      <w:pPr>
        <w:sectPr>
          <w:pgSz w:w="11900" w:h="16838" w:orient="portrait"/>
          <w:cols w:equalWidth="0" w:num="1">
            <w:col w:w="11420"/>
          </w:cols>
          <w:pgMar w:left="240" w:top="121"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ind w:right="100" w:firstLine="484"/>
        <w:spacing w:after="0" w:line="293" w:lineRule="auto"/>
        <w:rPr>
          <w:sz w:val="20"/>
          <w:szCs w:val="20"/>
          <w:color w:val="auto"/>
        </w:rPr>
      </w:pPr>
      <w:r>
        <w:rPr>
          <w:rFonts w:ascii="Arial" w:cs="Arial" w:eastAsia="Arial" w:hAnsi="Arial"/>
          <w:sz w:val="16"/>
          <w:szCs w:val="16"/>
          <w:color w:val="auto"/>
        </w:rPr>
        <w:t>Gross profit, expressed as a percentage of net service revenues was 31.0% and 27.9% for the three months ended June 30, 2019 and 2018 and 30.1% and 27.9% for the six months ended June 30, 2019 and 2018, respectively. General and administrative expenses, expressed as a percentage of net service revenues was 21.9% and 22.5%, respectively, for the three months ended June 30, 2019 and 2018 and 23.6% and 22.5% for the six months ended June 30, 2019 and 2018, respectively. The home health segment’s general and administrative expenses consist of administrative employee wages, taxes and benefit costs, rent, information technology and office expenses. The home health segment’s operating income was $0.3 million and $0.1 million for the three months ended June 30, 2019 and 2018, respectively, and $0.4 million and $0.1 million for the six months ended June 30, 2019 and 2018,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77" w:lineRule="exact"/>
        <w:rPr>
          <w:sz w:val="20"/>
          <w:szCs w:val="20"/>
          <w:color w:val="auto"/>
        </w:rPr>
      </w:pPr>
    </w:p>
    <w:p>
      <w:pPr>
        <w:ind w:right="140" w:firstLine="484"/>
        <w:spacing w:after="0" w:line="259" w:lineRule="auto"/>
        <w:rPr>
          <w:sz w:val="20"/>
          <w:szCs w:val="20"/>
          <w:color w:val="auto"/>
        </w:rPr>
      </w:pPr>
      <w:r>
        <w:rPr>
          <w:rFonts w:ascii="Arial" w:cs="Arial" w:eastAsia="Arial" w:hAnsi="Arial"/>
          <w:sz w:val="18"/>
          <w:szCs w:val="18"/>
          <w:color w:val="auto"/>
        </w:rPr>
        <w:t>Our primary sources of liquidity are cash from operations and borrowings under our credit facility. As described below under “Senior Secured Credit Facility”, we entered into a credit facility on May 8, 2018 that replaced our Terminated Senior Secured Credit Facility. As described below under “Amended and Restated Senior Secured Credit Facility”, we amended and restated our existing credit agreement on October 31, 2018. At June 30, 2019 and December 31, 2018, we had cash balances of $54.8 million and $70.4 million, respectively.</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During the six months ended June 30, 2019, we drew $19.6 million on the term loan portion of our credit facility to fund, in part, the VIP acquisition.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2019, we had no draws under the revolving loan portion of our credit facility. As of June 30, 2019, we had a total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 million in revolving loans, with an interest rate of 4.44%, and $19.6 million term loans, with an interest rate of 4.15%, outstanding on our credit facility.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After giving effect to the amount drawn on our credit facility, approximately $10.0 million of outstanding letters of credit and borrowing limits based on 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advance multiple of adjusted EBITDA, we had $141.9 million available for borrowing under our credit facility.</w:t>
      </w:r>
    </w:p>
    <w:p>
      <w:pPr>
        <w:spacing w:after="0" w:line="157" w:lineRule="exact"/>
        <w:rPr>
          <w:sz w:val="20"/>
          <w:szCs w:val="20"/>
          <w:color w:val="auto"/>
        </w:rPr>
      </w:pPr>
    </w:p>
    <w:p>
      <w:pPr>
        <w:ind w:right="280" w:firstLine="484"/>
        <w:spacing w:after="0" w:line="264" w:lineRule="auto"/>
        <w:rPr>
          <w:sz w:val="20"/>
          <w:szCs w:val="20"/>
          <w:color w:val="auto"/>
        </w:rPr>
      </w:pPr>
      <w:r>
        <w:rPr>
          <w:rFonts w:ascii="Arial" w:cs="Arial" w:eastAsia="Arial" w:hAnsi="Arial"/>
          <w:sz w:val="18"/>
          <w:szCs w:val="18"/>
          <w:color w:val="auto"/>
        </w:rPr>
        <w:t>At December 31, 2018, we had a total of $20.0 million revolving loans outstanding on our credit facility with an interest rate of 4.35%. After giving effect to the amount drawn on our credit facility, approximately $10.8 million of outstanding letters of credit and borrowing limits based on an advance multiple of adjusted EBITDA, we had $142.9 million available for borrowing under our revolving credit loan facility.</w:t>
      </w:r>
    </w:p>
    <w:p>
      <w:pPr>
        <w:spacing w:after="0" w:line="127" w:lineRule="exact"/>
        <w:rPr>
          <w:sz w:val="20"/>
          <w:szCs w:val="20"/>
          <w:color w:val="auto"/>
        </w:rPr>
      </w:pPr>
    </w:p>
    <w:p>
      <w:pPr>
        <w:ind w:right="20" w:firstLine="484"/>
        <w:spacing w:after="0" w:line="279" w:lineRule="auto"/>
        <w:rPr>
          <w:sz w:val="20"/>
          <w:szCs w:val="20"/>
          <w:color w:val="auto"/>
        </w:rPr>
      </w:pPr>
      <w:r>
        <w:rPr>
          <w:rFonts w:ascii="Arial" w:cs="Arial" w:eastAsia="Arial" w:hAnsi="Arial"/>
          <w:sz w:val="17"/>
          <w:szCs w:val="17"/>
          <w:color w:val="auto"/>
        </w:rPr>
        <w:t>Cash flows from operating activities represent the inflow of cash from our payor clients and the outflow of cash for payroll and payroll taxes, operating expenses, interest and taxes. Due to its revenue deficiencies as well as budget and financing issues, from time to time the state of Illinois has reimbursed us on a delayed basis with respect to our various agreements including with our largest payor, the Illinois Department on Aging. The open receivable balance from the state of Illinois increased by $12.5 million from $24.3 million as of December 31, 2018 to $36.8 million as of June 30, 2019.</w:t>
      </w:r>
    </w:p>
    <w:p>
      <w:pPr>
        <w:spacing w:after="0" w:line="117" w:lineRule="exact"/>
        <w:rPr>
          <w:sz w:val="20"/>
          <w:szCs w:val="20"/>
          <w:color w:val="auto"/>
        </w:rPr>
      </w:pPr>
    </w:p>
    <w:p>
      <w:pPr>
        <w:ind w:right="80" w:firstLine="484"/>
        <w:spacing w:after="0" w:line="276" w:lineRule="auto"/>
        <w:rPr>
          <w:sz w:val="20"/>
          <w:szCs w:val="20"/>
          <w:color w:val="auto"/>
        </w:rPr>
      </w:pPr>
      <w:r>
        <w:rPr>
          <w:rFonts w:ascii="Arial" w:cs="Arial" w:eastAsia="Arial" w:hAnsi="Arial"/>
          <w:sz w:val="17"/>
          <w:szCs w:val="17"/>
          <w:color w:val="auto"/>
        </w:rPr>
        <w:t>The Illinois Department on Aging’s payments for non-Medicaid consumers have been delayed in the past and may continue to be delayed in the future due to budget disputes. On June 4, 2018, the state of Illinois passed a budget for state fiscal year 2019, which began on July 1, 2018. On June 6, 2019, the state of Illinois passed a budget for state fiscal year 2020, which began on July 1, 2019. There remains uncertainty surrounding the State of Illinois’ future year budgets. If future budgets are not enacted, timely payments from the state of Illinois could be delayed in the future. The delays could adversely impact our liquidity and result in the need to increase borrowings under our credit facility or cause us to pursue other liquidity options.</w:t>
      </w:r>
    </w:p>
    <w:p>
      <w:pPr>
        <w:spacing w:after="0" w:line="119" w:lineRule="exact"/>
        <w:rPr>
          <w:sz w:val="20"/>
          <w:szCs w:val="20"/>
          <w:color w:val="auto"/>
        </w:rPr>
      </w:pPr>
    </w:p>
    <w:p>
      <w:pPr>
        <w:ind w:right="120" w:firstLine="484"/>
        <w:spacing w:after="0" w:line="290" w:lineRule="auto"/>
        <w:rPr>
          <w:sz w:val="20"/>
          <w:szCs w:val="20"/>
          <w:color w:val="auto"/>
        </w:rPr>
      </w:pPr>
      <w:r>
        <w:rPr>
          <w:rFonts w:ascii="Arial" w:cs="Arial" w:eastAsia="Arial" w:hAnsi="Arial"/>
          <w:sz w:val="16"/>
          <w:szCs w:val="16"/>
          <w:color w:val="auto"/>
        </w:rPr>
        <w:t>We are subject to minimum wage laws and minimum wages have increased in many of the jurisdictions in which we operate. Since our operations are concentrated in Illinois, New York and New Mexico, we are particularly sensitive to changes in these states. For example, in 2014, the Chicago City Council passed an ordinance that will raise the minimum wage for Chicago workers to $13 per hour on July 1, 2019, with increases adjusted to the Consumer Price Index in subsequent years. Since 2014, wage increases have only been partially offset by a reimbursement rate increase. In the budget process for the 2019 fiscal year, a proposed rate increase was not included in the final budget. In June of 2019, the State of Illinois finalized its fiscal year 2020 budget with the inclusion of an appropriation to raise in-home care rates to offset the costs of previous minimum wage increases. The state of Illinois currently projects an effective date of September 1, 2019 and January 1, 2020 for two reimbursement rate increases to fund all minimum wage increases. Our financial performance is impacted in quarters for which an offsetting reimbursement rate increase is not in effect.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Secured Credit Facility</w:t>
      </w:r>
    </w:p>
    <w:p>
      <w:pPr>
        <w:spacing w:after="0" w:line="90" w:lineRule="exact"/>
        <w:rPr>
          <w:sz w:val="20"/>
          <w:szCs w:val="20"/>
          <w:color w:val="auto"/>
        </w:rPr>
      </w:pPr>
    </w:p>
    <w:p>
      <w:pPr>
        <w:ind w:firstLine="484"/>
        <w:spacing w:after="0" w:line="283" w:lineRule="auto"/>
        <w:rPr>
          <w:sz w:val="20"/>
          <w:szCs w:val="20"/>
          <w:color w:val="auto"/>
        </w:rPr>
      </w:pPr>
      <w:r>
        <w:rPr>
          <w:rFonts w:ascii="Arial" w:cs="Arial" w:eastAsia="Arial" w:hAnsi="Arial"/>
          <w:sz w:val="16"/>
          <w:szCs w:val="16"/>
          <w:color w:val="auto"/>
        </w:rPr>
        <w:t>On October 31, 2018, we amended and restated our Existing Credit Agreement, with certain lenders and Capital One, National Association as a lender and swing line lender and as agent for all lenders. This amended and restated credit facility totals $269.6 million, inclusive of a $250.0 million revolving loan and a $19.6 million delayed draw term loan and is evidenced by the Credit Agreement. This amended and restated credit facility amended and restated our existing senior secured credit facility totaling $250.0 million. The maturity of this amended and restated credit facility is May 8, 2023, with borrowing under the delayed draw term loan available until June 30, 2019, as extended pursuant to the consent letter, dated January 30, 2019, executed by the Required Lenders (as defined in the Credit Agreement). Interest on our amended and restated credit facility may be payable at (x) the sum of (i) an applicable margin ranging from 0.75% to 1.50% based on the applicable senior net leverage ratio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w:t>
      </w:r>
    </w:p>
    <w:p>
      <w:pPr>
        <w:spacing w:after="0" w:line="7" w:lineRule="exact"/>
        <w:rPr>
          <w:sz w:val="20"/>
          <w:szCs w:val="20"/>
          <w:color w:val="auto"/>
        </w:rPr>
      </w:pPr>
    </w:p>
    <w:p>
      <w:pPr>
        <w:ind w:right="20" w:firstLine="8"/>
        <w:spacing w:after="0" w:line="252" w:lineRule="auto"/>
        <w:tabs>
          <w:tab w:leader="none" w:pos="21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applicable margin ranging from 1.75% to 2.50% based on the applicable senior net leverage ratio plus (ii) the offered rate per annum for similar dollar deposits for the applicable interest period that appears on Reuters Screen LIBOR01 Page (not to be less than zero). Swing loans may not be LIBOR loans. The availability of additional draws under this amended and restated credit facility is conditioned, among other things, upon (after giving effect to such draws) the Total Net Leverage Ratio (as defined in the Credit Agreement) not exceeding 3.75:1.00. In certain circumstances, in connection with a Material Acquisition (as defined in the Credit Agreement), we can elect to increase our Total Net Leverage Ratio compliance covenant to 4.25:1.00 for the then current fiscal quarter and the three succeeding fiscal quarters. In connection with this amended and restated credit facility, we incurred approximately $0.9 million of debt issuance costs.</w:t>
      </w:r>
    </w:p>
    <w:p>
      <w:pPr>
        <w:sectPr>
          <w:pgSz w:w="11900" w:h="16838" w:orient="portrait"/>
          <w:cols w:equalWidth="0" w:num="1">
            <w:col w:w="11420"/>
          </w:cols>
          <w:pgMar w:left="240" w:top="121"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ind w:right="160" w:firstLine="484"/>
        <w:spacing w:after="0" w:line="257" w:lineRule="auto"/>
        <w:rPr>
          <w:sz w:val="20"/>
          <w:szCs w:val="20"/>
          <w:color w:val="auto"/>
        </w:rPr>
      </w:pPr>
      <w:r>
        <w:rPr>
          <w:rFonts w:ascii="Arial" w:cs="Arial" w:eastAsia="Arial" w:hAnsi="Arial"/>
          <w:sz w:val="18"/>
          <w:szCs w:val="18"/>
          <w:color w:val="auto"/>
        </w:rPr>
        <w:t>Addus HealthCare is the borrower, and its parent, Holdings, and substantially all of Holdings’ subsidiaries are guarantors under this amended and restated credit facility, and it is collateralized by a first priority security interest in all of our and the other credit parties’ current and future tangible and intangible assets, including the shares of stock of the borrower and subsidiaries. The Credit Agreement contains affirmative and negative covenants customary for credit facilities of this type, including limitations on us with respect to liens, indebtedness, guaranties, investments, distributions, mergers and acquisitions and dispositions of assets.</w:t>
      </w:r>
    </w:p>
    <w:p>
      <w:pPr>
        <w:spacing w:after="0" w:line="134" w:lineRule="exact"/>
        <w:rPr>
          <w:sz w:val="20"/>
          <w:szCs w:val="20"/>
          <w:color w:val="auto"/>
        </w:rPr>
      </w:pPr>
    </w:p>
    <w:p>
      <w:pPr>
        <w:ind w:right="160" w:firstLine="484"/>
        <w:spacing w:after="0" w:line="277" w:lineRule="auto"/>
        <w:rPr>
          <w:sz w:val="20"/>
          <w:szCs w:val="20"/>
          <w:color w:val="auto"/>
        </w:rPr>
      </w:pPr>
      <w:r>
        <w:rPr>
          <w:rFonts w:ascii="Arial" w:cs="Arial" w:eastAsia="Arial" w:hAnsi="Arial"/>
          <w:sz w:val="18"/>
          <w:szCs w:val="18"/>
          <w:color w:val="auto"/>
        </w:rPr>
        <w:t>We pay a fee ranging from 0.20% to 0.35% based on the applicable senior net leverage ratio times the unused portion of the revolving loan portion of the amended and restated credit facility.</w:t>
      </w:r>
    </w:p>
    <w:p>
      <w:pPr>
        <w:spacing w:after="0" w:line="116" w:lineRule="exact"/>
        <w:rPr>
          <w:sz w:val="20"/>
          <w:szCs w:val="20"/>
          <w:color w:val="auto"/>
        </w:rPr>
      </w:pPr>
    </w:p>
    <w:p>
      <w:pPr>
        <w:ind w:right="240" w:firstLine="484"/>
        <w:spacing w:after="0" w:line="289" w:lineRule="auto"/>
        <w:rPr>
          <w:sz w:val="20"/>
          <w:szCs w:val="20"/>
          <w:color w:val="auto"/>
        </w:rPr>
      </w:pPr>
      <w:r>
        <w:rPr>
          <w:rFonts w:ascii="Arial" w:cs="Arial" w:eastAsia="Arial" w:hAnsi="Arial"/>
          <w:sz w:val="16"/>
          <w:szCs w:val="16"/>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 requirement to stay below a maximum Total Net Leverage Ratio (as defined in the Credit Agreement) and a requirement to stay below a maximum permitted amount of capital expenditures, as well as restrictions on guarantees, indebtedness, liens, investments and loans, subject to customary carve outs, a restriction on dividends (provided that Addus HealthCare may make distributions to us in an amount that does not exceed $7.5 million in any year absent of an event of default, plus limited exceptions for tax and administrative distributions), a restriction on the ability to consummate acquisitions (without the consent of the lenders) under our credit facility subject to compliance with the Total Net Leverage Ratio (as defined in the Credit Agreement), restrictions on mergers, dispositions of assets, and affiliate transactions, and restrictions on fundamental changes and lines of business.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June 30, 2019, we were in compliance with our covenants under the Credit Agreement.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90" w:lineRule="exact"/>
        <w:rPr>
          <w:sz w:val="20"/>
          <w:szCs w:val="20"/>
          <w:color w:val="auto"/>
        </w:rPr>
      </w:pPr>
    </w:p>
    <w:p>
      <w:pPr>
        <w:ind w:right="160" w:firstLine="484"/>
        <w:spacing w:after="0" w:line="276" w:lineRule="auto"/>
        <w:rPr>
          <w:sz w:val="20"/>
          <w:szCs w:val="20"/>
          <w:color w:val="auto"/>
        </w:rPr>
      </w:pPr>
      <w:r>
        <w:rPr>
          <w:rFonts w:ascii="Arial" w:cs="Arial" w:eastAsia="Arial" w:hAnsi="Arial"/>
          <w:sz w:val="17"/>
          <w:szCs w:val="17"/>
          <w:color w:val="auto"/>
        </w:rPr>
        <w:t>Prior to October 31, 2018, we were a party to the Existing Credit Agreement with certain lenders and Capital One, National Association, as a lender and swing lender and as agent for all lenders. This credit facility totaled $250.0 million, replaced our previous Terminated Senior Secured Credit Facility totaling $125.0 million, and terminated the Terminated Senior Secured Credit Agreement, dated as of November 10, 2015, as modified by the May 24, 2016 amendment, between us, certain lenders and Fifth Third Bank, as agent, which evidenced the Terminated Senior Secured Credit Facility. The credit facility included a $125.0 million revolving loan, a $45.0 million term loan and an $80.0 million delayed draw term loan.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changes in our cash flows for the six months ended June 30, 2019 and 2018:</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Pr>
          <w:p>
            <w:pPr>
              <w:spacing w:after="0"/>
              <w:rPr>
                <w:sz w:val="18"/>
                <w:szCs w:val="18"/>
                <w:color w:val="auto"/>
              </w:rPr>
            </w:pPr>
          </w:p>
        </w:tc>
        <w:tc>
          <w:tcPr>
            <w:tcW w:w="4020" w:type="dxa"/>
            <w:vAlign w:val="bottom"/>
            <w:tcBorders>
              <w:bottom w:val="single" w:sz="8" w:color="auto"/>
            </w:tcBorders>
            <w:gridSpan w:val="3"/>
          </w:tcPr>
          <w:p>
            <w:pPr>
              <w:jc w:val="center"/>
              <w:ind w:left="681"/>
              <w:spacing w:after="0"/>
              <w:rPr>
                <w:sz w:val="20"/>
                <w:szCs w:val="20"/>
                <w:color w:val="auto"/>
              </w:rPr>
            </w:pPr>
            <w:r>
              <w:rPr>
                <w:rFonts w:ascii="Arial" w:cs="Arial" w:eastAsia="Arial" w:hAnsi="Arial"/>
                <w:sz w:val="16"/>
                <w:szCs w:val="16"/>
                <w:b w:val="1"/>
                <w:bCs w:val="1"/>
                <w:color w:val="auto"/>
                <w:w w:val="92"/>
              </w:rPr>
              <w:t>For the Six Months Ended 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520" w:type="dxa"/>
            <w:vAlign w:val="bottom"/>
          </w:tcPr>
          <w:p>
            <w:pPr>
              <w:spacing w:after="0"/>
              <w:rPr>
                <w:sz w:val="20"/>
                <w:szCs w:val="20"/>
                <w:color w:val="auto"/>
              </w:rPr>
            </w:pPr>
          </w:p>
        </w:tc>
        <w:tc>
          <w:tcPr>
            <w:tcW w:w="14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2019</w:t>
            </w:r>
          </w:p>
        </w:tc>
        <w:tc>
          <w:tcPr>
            <w:tcW w:w="10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94"/>
              <w:spacing w:after="0"/>
              <w:rPr>
                <w:sz w:val="20"/>
                <w:szCs w:val="20"/>
                <w:color w:val="auto"/>
              </w:rPr>
            </w:pPr>
            <w:r>
              <w:rPr>
                <w:rFonts w:ascii="Arial" w:cs="Arial" w:eastAsia="Arial" w:hAnsi="Arial"/>
                <w:sz w:val="16"/>
                <w:szCs w:val="16"/>
                <w:b w:val="1"/>
                <w:bCs w:val="1"/>
                <w:color w:val="auto"/>
              </w:rPr>
              <w:t>2018</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7"/>
        </w:trPr>
        <w:tc>
          <w:tcPr>
            <w:tcW w:w="6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20" w:type="dxa"/>
            <w:vAlign w:val="bottom"/>
            <w:gridSpan w:val="2"/>
          </w:tcPr>
          <w:p>
            <w:pPr>
              <w:jc w:val="center"/>
              <w:ind w:right="554"/>
              <w:spacing w:after="0"/>
              <w:rPr>
                <w:sz w:val="20"/>
                <w:szCs w:val="20"/>
                <w:color w:val="auto"/>
              </w:rPr>
            </w:pPr>
            <w:r>
              <w:rPr>
                <w:rFonts w:ascii="Arial" w:cs="Arial" w:eastAsia="Arial" w:hAnsi="Arial"/>
                <w:sz w:val="16"/>
                <w:szCs w:val="16"/>
                <w:b w:val="1"/>
                <w:bCs w:val="1"/>
                <w:color w:val="auto"/>
                <w:w w:val="90"/>
              </w:rPr>
              <w:t>(Amounts in Thousands)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operating activities</w:t>
            </w:r>
          </w:p>
        </w:tc>
        <w:tc>
          <w:tcPr>
            <w:tcW w:w="1400" w:type="dxa"/>
            <w:vAlign w:val="bottom"/>
            <w:shd w:val="clear" w:color="auto" w:fill="CFF0FC"/>
          </w:tcPr>
          <w:p>
            <w:pPr>
              <w:jc w:val="right"/>
              <w:ind w:right="1241"/>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(4,078)</w:t>
            </w:r>
          </w:p>
        </w:tc>
        <w:tc>
          <w:tcPr>
            <w:tcW w:w="1600" w:type="dxa"/>
            <w:vAlign w:val="bottom"/>
            <w:shd w:val="clear" w:color="auto" w:fill="CFF0FC"/>
          </w:tcPr>
          <w:p>
            <w:pPr>
              <w:jc w:val="right"/>
              <w:ind w:right="1274"/>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20,164</w:t>
            </w:r>
          </w:p>
        </w:tc>
        <w:tc>
          <w:tcPr>
            <w:tcW w:w="100" w:type="dxa"/>
            <w:vAlign w:val="bottom"/>
            <w:shd w:val="clear" w:color="auto" w:fill="CFF0FC"/>
          </w:tcPr>
          <w:p>
            <w:pPr>
              <w:spacing w:after="0"/>
              <w:rPr>
                <w:sz w:val="20"/>
                <w:szCs w:val="20"/>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0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(31,804)</w:t>
            </w:r>
          </w:p>
        </w:tc>
        <w:tc>
          <w:tcPr>
            <w:tcW w:w="16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(63,471)</w:t>
            </w: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4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32"/>
              <w:spacing w:after="0"/>
              <w:rPr>
                <w:sz w:val="20"/>
                <w:szCs w:val="20"/>
                <w:color w:val="auto"/>
              </w:rPr>
            </w:pPr>
            <w:r>
              <w:rPr>
                <w:rFonts w:ascii="Arial" w:cs="Arial" w:eastAsia="Arial" w:hAnsi="Arial"/>
                <w:sz w:val="18"/>
                <w:szCs w:val="18"/>
                <w:color w:val="auto"/>
              </w:rPr>
              <w:t>20,268</w:t>
            </w:r>
          </w:p>
        </w:tc>
        <w:tc>
          <w:tcPr>
            <w:tcW w:w="16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58,770</w:t>
            </w:r>
          </w:p>
        </w:tc>
        <w:tc>
          <w:tcPr>
            <w:tcW w:w="100" w:type="dxa"/>
            <w:vAlign w:val="bottom"/>
            <w:shd w:val="clear" w:color="auto" w:fill="CFF0FC"/>
          </w:tcPr>
          <w:p>
            <w:pPr>
              <w:spacing w:after="0"/>
              <w:rPr>
                <w:sz w:val="19"/>
                <w:szCs w:val="19"/>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2019 Compared to Six Months Ended June 30, 2018</w:t>
      </w:r>
    </w:p>
    <w:p>
      <w:pPr>
        <w:spacing w:after="0" w:line="77" w:lineRule="exact"/>
        <w:rPr>
          <w:sz w:val="20"/>
          <w:szCs w:val="20"/>
          <w:color w:val="auto"/>
        </w:rPr>
      </w:pPr>
    </w:p>
    <w:p>
      <w:pPr>
        <w:ind w:right="20" w:firstLine="484"/>
        <w:spacing w:after="0" w:line="293" w:lineRule="auto"/>
        <w:rPr>
          <w:sz w:val="20"/>
          <w:szCs w:val="20"/>
          <w:color w:val="auto"/>
        </w:rPr>
      </w:pPr>
      <w:r>
        <w:rPr>
          <w:rFonts w:ascii="Arial" w:cs="Arial" w:eastAsia="Arial" w:hAnsi="Arial"/>
          <w:sz w:val="16"/>
          <w:szCs w:val="16"/>
          <w:color w:val="auto"/>
        </w:rPr>
        <w:t>Net cash used in operating activities was $4.1 million for the six months ended June 30, 2019, compared to net cash provided by operating activities of $20.2 million for the same period in 2018. The decrease in cash provided by operations was primarily due to an increase in accounts receivable for the Illinois Department on Aging. The related receivables due from the Illinois Department on Aging represented 27.7% and 22.5% of the Company’s net accounts receivable at June 30, 2019 and December 31, 2018, respectively. The increase in accounts receivable for the Illinois Department on Aging was due to the exhaustion of budgeted appropriations for the prior fiscal year ending June 30, 2019. The Illinois state budget for the fiscal year starting July 1, 2019 contains appropriations for outstanding receivables from the prior year, as well as expenditures expected in the new year.</w:t>
      </w:r>
    </w:p>
    <w:p>
      <w:pPr>
        <w:spacing w:after="0" w:line="111" w:lineRule="exact"/>
        <w:rPr>
          <w:sz w:val="20"/>
          <w:szCs w:val="20"/>
          <w:color w:val="auto"/>
        </w:rPr>
      </w:pPr>
    </w:p>
    <w:p>
      <w:pPr>
        <w:ind w:firstLine="484"/>
        <w:spacing w:after="0" w:line="255" w:lineRule="auto"/>
        <w:rPr>
          <w:sz w:val="20"/>
          <w:szCs w:val="20"/>
          <w:color w:val="auto"/>
        </w:rPr>
      </w:pPr>
      <w:r>
        <w:rPr>
          <w:rFonts w:ascii="Arial" w:cs="Arial" w:eastAsia="Arial" w:hAnsi="Arial"/>
          <w:sz w:val="18"/>
          <w:szCs w:val="18"/>
          <w:color w:val="auto"/>
        </w:rPr>
        <w:t>Net cash used in investing activities was $31.8 million for the six months ended June 30, 2019 compared to $63.5 million for the six months ended June 30, 2018. Our investing activities for the six months ended June 30, 2019 consisted of $29.9 million primarily for the acquisition of VIP and $2.0 million in purchases of property and equipment primarily related to our ongoing investments in our technology infrastructure. Our investing activities for the six months ended June 30, 2018 consisted of $39.6 million for the acquisition of Ambercare, net of cash acquired of $12.0 million, $18.9 million for the acquisition of Arcadia, $3.3 million for the acquisition of LifeStyle and $1.7 million in purchases of property and equipment primarily related to investments in our technology infrastructure.</w:t>
      </w:r>
    </w:p>
    <w:p>
      <w:pPr>
        <w:spacing w:after="0" w:line="139" w:lineRule="exact"/>
        <w:rPr>
          <w:sz w:val="20"/>
          <w:szCs w:val="20"/>
          <w:color w:val="auto"/>
        </w:rPr>
      </w:pPr>
    </w:p>
    <w:p>
      <w:pPr>
        <w:ind w:right="100" w:firstLine="484"/>
        <w:spacing w:after="0" w:line="255" w:lineRule="auto"/>
        <w:rPr>
          <w:sz w:val="20"/>
          <w:szCs w:val="20"/>
          <w:color w:val="auto"/>
        </w:rPr>
      </w:pPr>
      <w:r>
        <w:rPr>
          <w:rFonts w:ascii="Arial" w:cs="Arial" w:eastAsia="Arial" w:hAnsi="Arial"/>
          <w:sz w:val="18"/>
          <w:szCs w:val="18"/>
          <w:color w:val="auto"/>
        </w:rPr>
        <w:t>Net cash provided by financing activities was $20.3 for the six months ended June 30, 2019 compared to $58.8 million for the six months ended June 30, 2018. Our financing activities for the six months ended June 30, 2019 were borrowings of approximately $19.6 million on the delayed draw term loan portion of our credit facility to fund, in part, the VIP acquisition and $0.7 million in cash received from the exercise of stock options. Our financing activities for the six months ended June 30, 2018 were borrowings of approximately $60.4 million on the delayed draw term loan portion of our credit facility to fund the acquisitions of Arcadia and Ambercare, $1.1 million of payments on the term loan portion of the credit facility, $0.7 million in payments on financing lease obligations, $0.1 million in payments for debt issuance costs under the credit facility and $0.3 million in cash received from the exercise of stock options.</w:t>
      </w:r>
    </w:p>
    <w:p>
      <w:pPr>
        <w:sectPr>
          <w:pgSz w:w="11900" w:h="16838" w:orient="portrait"/>
          <w:cols w:equalWidth="0" w:num="1">
            <w:col w:w="11420"/>
          </w:cols>
          <w:pgMar w:left="240" w:top="121"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Accounts Receivable</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Gross accounts receivable as of June 30, 2019 and December 31, 2018 were approximately $134.1 million and $108.7 million,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Outstanding accounts receivable, net of the allowance for doubtful accounts, increased by $24.8 million as of June 30, 2019 compared to December 31, 2018.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accounts receivable for the Illinois Department on Aging was due to the exhaustion of budgeted appropriations for the prior fiscal year ending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2019. Additionally, with the acquisition of VIP, accounts receivable increased approximately $7.4 million.</w:t>
      </w:r>
    </w:p>
    <w:p>
      <w:pPr>
        <w:spacing w:after="0" w:line="157" w:lineRule="exact"/>
        <w:rPr>
          <w:sz w:val="20"/>
          <w:szCs w:val="20"/>
          <w:color w:val="auto"/>
        </w:rPr>
      </w:pPr>
    </w:p>
    <w:p>
      <w:pPr>
        <w:ind w:firstLine="484"/>
        <w:spacing w:after="0" w:line="276" w:lineRule="auto"/>
        <w:rPr>
          <w:sz w:val="20"/>
          <w:szCs w:val="20"/>
          <w:color w:val="auto"/>
        </w:rPr>
      </w:pPr>
      <w:r>
        <w:rPr>
          <w:rFonts w:ascii="Arial" w:cs="Arial" w:eastAsia="Arial" w:hAnsi="Arial"/>
          <w:sz w:val="17"/>
          <w:szCs w:val="17"/>
          <w:color w:val="auto"/>
        </w:rPr>
        <w:t>We calculate our days sales outstanding (“DSO”) by taking the trade accounts receivable outstanding net of the allowance for doubtful accounts divided by the total net service revenues for the last quarter, multiplied by the number of days in that quarter. Our DSOs were 81 days and 71 days at June 30, 2019 and December 31, 2018, respectively. The DSOs for our largest payor, the Illinois Department on Aging, at June 30, 2019 and December 31, 2018 were 82 days and 55 days, respectively. We may not receive payments on a consistent basis in the near term and our DSOs and the DSO for the Illinois Department on Aging may increase despite the state of Illinois’s enactment of state budgets for fiscal years 2019 and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2019, we did not have any off-balance sheet guarantees or arrangements with unconsolidated entities.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There have been no material changes to our critical accounting policies and estimates previously disclosed under the caption “Management’s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Discussion and Analysis of Financial Condition and Results of Operations — Critical Accounting Policies and Estimates” set forth in Part II, Item 7 of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period ended December 31, 2018, filed on March 18, 2019.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Refer to Note 1 to the Notes to Consolidated Financial Statements for further discussion.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62" w:lineRule="exact"/>
        <w:rPr>
          <w:sz w:val="20"/>
          <w:szCs w:val="20"/>
          <w:color w:val="auto"/>
        </w:rPr>
      </w:pPr>
    </w:p>
    <w:p>
      <w:pPr>
        <w:ind w:right="20" w:firstLine="484"/>
        <w:spacing w:after="0" w:line="276" w:lineRule="auto"/>
        <w:rPr>
          <w:sz w:val="20"/>
          <w:szCs w:val="20"/>
          <w:color w:val="auto"/>
        </w:rPr>
      </w:pPr>
      <w:r>
        <w:rPr>
          <w:rFonts w:ascii="Arial" w:cs="Arial" w:eastAsia="Arial" w:hAnsi="Arial"/>
          <w:sz w:val="17"/>
          <w:szCs w:val="17"/>
          <w:color w:val="auto"/>
        </w:rPr>
        <w:t>We are exposed to market risk associated with changes in interest rates on our variable rate long-term debt. As of June 30, 2019, we had outstanding borrowings of approximately $39.6 million on our credit facility, all of such borrowings were subject to variable interest rates. If the variable rates on this debt were 100 basis points higher than the rate applicable to the borrowing during the three and six months period ended June 30, 2019, our net income would have decreased by $52,200, or $0.00 per diluted share and $0.1 million, or $0.01 per diluted share, for the respective periods. We do not currently have any derivative or hedging arrangements, or other known exposures, to changes in interest rates.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77" w:lineRule="exact"/>
        <w:rPr>
          <w:sz w:val="20"/>
          <w:szCs w:val="20"/>
          <w:color w:val="auto"/>
        </w:rPr>
      </w:pPr>
    </w:p>
    <w:p>
      <w:pPr>
        <w:ind w:right="40" w:firstLine="484"/>
        <w:spacing w:after="0" w:line="270"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evaluated the effectiveness of our disclosure controls and procedures as of June 30, 2019. The term “disclosure controls and procedures,” as defined in Rules 13a-15(e) and 15d-15(e) under the Securities Exchange Act of 1934, as amended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SEC’s rules and forms. Disclosure controls and procedures include, without limitation, controls and procedures designed to reasonably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24" w:lineRule="exact"/>
        <w:rPr>
          <w:sz w:val="20"/>
          <w:szCs w:val="20"/>
          <w:color w:val="auto"/>
        </w:rPr>
      </w:pPr>
    </w:p>
    <w:p>
      <w:pPr>
        <w:ind w:right="440" w:firstLine="484"/>
        <w:spacing w:after="0" w:line="264" w:lineRule="auto"/>
        <w:rPr>
          <w:sz w:val="20"/>
          <w:szCs w:val="20"/>
          <w:color w:val="auto"/>
        </w:rPr>
      </w:pPr>
      <w:r>
        <w:rPr>
          <w:rFonts w:ascii="Arial" w:cs="Arial" w:eastAsia="Arial" w:hAnsi="Arial"/>
          <w:sz w:val="18"/>
          <w:szCs w:val="18"/>
          <w:color w:val="auto"/>
        </w:rPr>
        <w:t>Based on the evaluation of our disclosure controls and procedures, our Chief Executive Officer and Chief Financial Officer concluded that our disclosure controls and procedures were not effective as of June 30, 2019 due to a material weakness in internal control over financial reporting that was disclosed in our Annual Report on Form 10-K for the year ended December 31, 2018.</w:t>
      </w:r>
    </w:p>
    <w:p>
      <w:pPr>
        <w:spacing w:after="0" w:line="127" w:lineRule="exact"/>
        <w:rPr>
          <w:sz w:val="20"/>
          <w:szCs w:val="20"/>
          <w:color w:val="auto"/>
        </w:rPr>
      </w:pPr>
    </w:p>
    <w:p>
      <w:pPr>
        <w:ind w:right="120" w:firstLine="484"/>
        <w:spacing w:after="0" w:line="277" w:lineRule="auto"/>
        <w:rPr>
          <w:sz w:val="20"/>
          <w:szCs w:val="20"/>
          <w:color w:val="auto"/>
        </w:rPr>
      </w:pPr>
      <w:r>
        <w:rPr>
          <w:rFonts w:ascii="Arial" w:cs="Arial" w:eastAsia="Arial" w:hAnsi="Arial"/>
          <w:sz w:val="18"/>
          <w:szCs w:val="18"/>
          <w:color w:val="auto"/>
        </w:rPr>
        <w:t>However, we believe that the financial statements included in this quarterly report fairly present in all material respects our financial condition, results of operations, and cash flows for the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w:t>
      </w:r>
    </w:p>
    <w:p>
      <w:pPr>
        <w:spacing w:after="0" w:line="90" w:lineRule="exact"/>
        <w:rPr>
          <w:sz w:val="20"/>
          <w:szCs w:val="20"/>
          <w:color w:val="auto"/>
        </w:rPr>
      </w:pPr>
    </w:p>
    <w:p>
      <w:pPr>
        <w:ind w:firstLine="484"/>
        <w:spacing w:after="0" w:line="272" w:lineRule="auto"/>
        <w:rPr>
          <w:sz w:val="20"/>
          <w:szCs w:val="20"/>
          <w:color w:val="auto"/>
        </w:rPr>
      </w:pPr>
      <w:r>
        <w:rPr>
          <w:rFonts w:ascii="Arial" w:cs="Arial" w:eastAsia="Arial" w:hAnsi="Arial"/>
          <w:sz w:val="17"/>
          <w:szCs w:val="17"/>
          <w:color w:val="auto"/>
        </w:rPr>
        <w:t>As previously described in Part II, Item 9A of our Annual Report on Form 10-K for the year ended December 31, 2018, we began implementing a remediation plan to address the material weakness mentioned above. We received assurances from our preferred electronic visit verification (“EVV”) vendor that it will deliver a Service Organization Control 1 Type 2 (“SOC 1 Type 2”) report with respect to 2019. In addition, we are reviewing related existing controls to consider additional and modified controls to increase our level of precision to further strengthen the control environment without regard to whether we obtain the SOC 1 Type 2 report from our EVV vendor. The material weakness will not be considered remediated until the applicable controls are designed, implemented and in operation for a sufficient period of time and management has concluded, including delivery of the SOC 1 Type 2 report or otherwise and testing of our control environment, that these controls are designed and operating effectively.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77" w:lineRule="exact"/>
        <w:rPr>
          <w:sz w:val="20"/>
          <w:szCs w:val="20"/>
          <w:color w:val="auto"/>
        </w:rPr>
      </w:pPr>
    </w:p>
    <w:p>
      <w:pPr>
        <w:ind w:right="300" w:firstLine="484"/>
        <w:spacing w:after="0" w:line="277" w:lineRule="auto"/>
        <w:rPr>
          <w:sz w:val="20"/>
          <w:szCs w:val="20"/>
          <w:color w:val="auto"/>
        </w:rPr>
      </w:pPr>
      <w:r>
        <w:rPr>
          <w:rFonts w:ascii="Arial" w:cs="Arial" w:eastAsia="Arial" w:hAnsi="Arial"/>
          <w:sz w:val="18"/>
          <w:szCs w:val="18"/>
          <w:color w:val="auto"/>
        </w:rPr>
        <w:t>We continue to integrate application changes and acquisitions processes into our established internal control environment to effectively manage our risk and financial reporting efforts.</w:t>
      </w:r>
    </w:p>
    <w:p>
      <w:pPr>
        <w:spacing w:after="0" w:line="116" w:lineRule="exact"/>
        <w:rPr>
          <w:sz w:val="20"/>
          <w:szCs w:val="20"/>
          <w:color w:val="auto"/>
        </w:rPr>
      </w:pPr>
    </w:p>
    <w:p>
      <w:pPr>
        <w:ind w:right="80" w:firstLine="484"/>
        <w:spacing w:after="0" w:line="264" w:lineRule="auto"/>
        <w:rPr>
          <w:sz w:val="20"/>
          <w:szCs w:val="20"/>
          <w:color w:val="auto"/>
        </w:rPr>
      </w:pPr>
      <w:r>
        <w:rPr>
          <w:rFonts w:ascii="Arial" w:cs="Arial" w:eastAsia="Arial" w:hAnsi="Arial"/>
          <w:sz w:val="18"/>
          <w:szCs w:val="18"/>
          <w:color w:val="auto"/>
        </w:rPr>
        <w:t>Except as mentioned above, there were no changes in our internal control over financial reporting identified in connection with the evaluation required by Rule 13a-15(d) and 15d-15(d) of the Exchange Act that occurred during the fiscal quarter ended June 30, 2019 that has materially affected, or is reasonably likely to materially affect, our internal control over financial reporting.</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15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ind w:right="540" w:firstLine="484"/>
        <w:spacing w:after="0" w:line="342" w:lineRule="auto"/>
        <w:rPr>
          <w:sz w:val="20"/>
          <w:szCs w:val="20"/>
          <w:color w:val="auto"/>
        </w:rPr>
      </w:pPr>
      <w:r>
        <w:rPr>
          <w:rFonts w:ascii="Arial" w:cs="Arial" w:eastAsia="Arial" w:hAnsi="Arial"/>
          <w:sz w:val="16"/>
          <w:szCs w:val="16"/>
          <w:color w:val="auto"/>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spacing w:after="0" w:line="70" w:lineRule="exact"/>
        <w:rPr>
          <w:sz w:val="20"/>
          <w:szCs w:val="20"/>
          <w:color w:val="auto"/>
        </w:rPr>
      </w:pPr>
    </w:p>
    <w:p>
      <w:pPr>
        <w:ind w:firstLine="484"/>
        <w:spacing w:after="0" w:line="268" w:lineRule="auto"/>
        <w:rPr>
          <w:sz w:val="20"/>
          <w:szCs w:val="20"/>
          <w:color w:val="auto"/>
        </w:rPr>
      </w:pPr>
      <w:r>
        <w:rPr>
          <w:rFonts w:ascii="Arial" w:cs="Arial" w:eastAsia="Arial" w:hAnsi="Arial"/>
          <w:sz w:val="17"/>
          <w:szCs w:val="17"/>
          <w:color w:val="auto"/>
        </w:rPr>
        <w:t>On January 20, 2016, we were served with a lawsuit filed in the United States District Court for the Northern District of Illinois against our Company and Cigna Corporation by Stop Illinois Marketing Fraud, LLC, a qui tam relator formed for the purpose of bringing this action. In the action, the plaintiff alleges, inter alia, violations of the federal False Claims Act relating primarily to allegations of violations of the federal Anti-Kickback Statute and allegedly improper referrals of patients from our home care division to our home health business, substantially all of which was sold in 2013. The plaintiff seeks to recover damages, fees and costs under the federal False Claims Act including treble damages, civil penalties and its attorneys’ fees. The U.S. government has declined to intervene at this time. Plaintiff amended its complaint on April 4, 2016 to include additional allegations in support of its False Claims Act claims, including alleged violations of the federal Anti-Kickback Statute. We and Cigna Corporation filed a motion to dismiss the amended complaint on June 6, 2016. On February 3, 2017, the Court granted Cigna Corporation’s motion to dismiss in full, and granted our motion to dismiss in part allowing Plaintiff another chance to amend its complaint. Plaintiff timely filed a second amended complaint on March 10, 2017, withdrawing its conspiracy claim under the Federal False Claims Act and adding an explicit claim under the Illinois False Claims Act for the same underlying kickback allegations. On April 7, 2017, we filed a partial motion to dismiss the Second Amended Complaint. On May 24, 2017, the state of Illinois filed notice that it was declining to intervene in the plaintiff’s claim under the Illinois False Claims Act. On March 21, 2018, the Court granted our motion to dismiss the Second Amended Complaint in part and narrowed the lawsuit to whether the federal False Claims Act was violated with respect to home health services provided at three senior living facilities in Illinois. We intend to defend the litigation vigorously and believe the case will not have a material adverse effect on our business, financial condition 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jc w:val="both"/>
        <w:ind w:right="80" w:firstLine="484"/>
        <w:spacing w:after="0" w:line="257" w:lineRule="auto"/>
        <w:rPr>
          <w:sz w:val="20"/>
          <w:szCs w:val="20"/>
          <w:color w:val="auto"/>
        </w:rPr>
      </w:pPr>
      <w:r>
        <w:rPr>
          <w:rFonts w:ascii="Arial" w:cs="Arial" w:eastAsia="Arial" w:hAnsi="Arial"/>
          <w:sz w:val="18"/>
          <w:szCs w:val="18"/>
          <w:color w:val="auto"/>
        </w:rPr>
        <w:t>Investing in our common stock involves a high degree of risk. In addition to the other information set forth in this quarterly report on Form 10-Q, you should carefully consider the risk factors discussed under the caption “Risk Factors” set forth in Part I, Item 1A, of our Annual Report on Form 10-K for the year ended December 31, 2018. There have been no material changes to the risk factors previously disclosed under the caption “Risk Factors” in our Annual Report on Form 10-K. Additional risks and uncertainties not currently known to us or that we currently deem to be immaterial also may materially adversely affect our business, financial condition or operating results.</w:t>
      </w:r>
    </w:p>
    <w:p>
      <w:pPr>
        <w:spacing w:after="0" w:line="19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81" w:lineRule="exact"/>
        <w:rPr>
          <w:sz w:val="20"/>
          <w:szCs w:val="20"/>
          <w:color w:val="auto"/>
        </w:rPr>
      </w:pPr>
    </w:p>
    <w:p>
      <w:pPr>
        <w:ind w:right="100" w:firstLine="484"/>
        <w:spacing w:after="0" w:line="253" w:lineRule="auto"/>
        <w:rPr>
          <w:sz w:val="20"/>
          <w:szCs w:val="20"/>
          <w:color w:val="auto"/>
        </w:rPr>
      </w:pPr>
      <w:r>
        <w:rPr>
          <w:rFonts w:ascii="Arial" w:cs="Arial" w:eastAsia="Arial" w:hAnsi="Arial"/>
          <w:sz w:val="18"/>
          <w:szCs w:val="18"/>
          <w:color w:val="auto"/>
        </w:rPr>
        <w:t>On July 18, 2019, the Company and James “Zeke” Zoccoli, its Executive Vice President and Chief Information Officer, entered into a Transition Agreement (the “Transition Agreement”). Pursuant to the Transition Agreement, among other things, Mr. Zoccoli is retiring from his position effective as of July 31, 2019 (the “Transition Effective Date”), and Addus HealthCare agreed to continue to employ Mr. Zoccoli in a non-executive role for a period commencing on the Transition Effective Date and ending on July 31, 2020 (the “Transition Period”). Pursuant to the Transition Agreement and during the Transition Period, Addus HealthCare will pay Mr. Zoccoli as separation pay certain payments that he would have received under his Second Amended and Restated Employment and Non-Competition Agreement had he not resigned, namely: periodic cash payments amounting to $360,000 annually, (ii) health benefits consistent with those received prior to the Transition Effective Date, and (iii) a pro rata portion of the bonus he would have received. In addition, all equity awards previously granted to Mr. Zoccoli will continue to vest in accordance with the terms of applicable stock plans and award agreements through July 31, 2020.</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97" w:lineRule="exact"/>
        <w:rPr>
          <w:sz w:val="20"/>
          <w:szCs w:val="20"/>
          <w:color w:val="auto"/>
        </w:rPr>
      </w:pPr>
    </w:p>
    <w:p>
      <w:pPr>
        <w:ind w:left="700" w:hanging="598"/>
        <w:spacing w:after="0" w:line="277" w:lineRule="auto"/>
        <w:tabs>
          <w:tab w:leader="none" w:pos="68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57">
        <w:r>
          <w:rPr>
            <w:rFonts w:ascii="Arial" w:cs="Arial" w:eastAsia="Arial" w:hAnsi="Arial"/>
            <w:sz w:val="18"/>
            <w:szCs w:val="18"/>
            <w:u w:val="single" w:color="auto"/>
            <w:color w:val="0000EE"/>
          </w:rPr>
          <w:t>Amended and Restated Certificate of Incorporation of the Company dated as of October 27, 2009 (filed on November 20, 2009 as Exhibit 3.1 to the</w:t>
        </w:r>
      </w:hyperlink>
      <w:r>
        <w:rPr>
          <w:rFonts w:ascii="Arial" w:cs="Arial" w:eastAsia="Arial" w:hAnsi="Arial"/>
          <w:sz w:val="18"/>
          <w:szCs w:val="18"/>
          <w:u w:val="single" w:color="auto"/>
          <w:color w:val="0000EE"/>
        </w:rPr>
        <w:t xml:space="preserve"> </w:t>
      </w:r>
      <w:hyperlink r:id="rId57">
        <w:r>
          <w:rPr>
            <w:rFonts w:ascii="Arial" w:cs="Arial" w:eastAsia="Arial" w:hAnsi="Arial"/>
            <w:sz w:val="18"/>
            <w:szCs w:val="18"/>
            <w:u w:val="single" w:color="auto"/>
            <w:color w:val="0000EE"/>
          </w:rPr>
          <w:t>Company’s Quarterly Report on Form 10-Q (File No. 001-34504) and incorporated by reference herein)</w:t>
        </w:r>
      </w:hyperlink>
    </w:p>
    <w:p>
      <w:pPr>
        <w:spacing w:after="0" w:line="35" w:lineRule="exact"/>
        <w:rPr>
          <w:sz w:val="20"/>
          <w:szCs w:val="20"/>
          <w:color w:val="auto"/>
        </w:rPr>
      </w:pPr>
    </w:p>
    <w:p>
      <w:pPr>
        <w:ind w:left="700" w:right="100" w:hanging="598"/>
        <w:spacing w:after="0" w:line="308" w:lineRule="auto"/>
        <w:tabs>
          <w:tab w:leader="none" w:pos="680" w:val="left"/>
        </w:tabs>
        <w:rPr>
          <w:rFonts w:ascii="Arial" w:cs="Arial" w:eastAsia="Arial" w:hAnsi="Arial"/>
          <w:sz w:val="17"/>
          <w:szCs w:val="17"/>
          <w:u w:val="single" w:color="auto"/>
          <w:color w:val="0000EE"/>
        </w:rPr>
      </w:pPr>
      <w:r>
        <w:rPr>
          <w:rFonts w:ascii="Arial" w:cs="Arial" w:eastAsia="Arial" w:hAnsi="Arial"/>
          <w:sz w:val="18"/>
          <w:szCs w:val="18"/>
          <w:color w:val="auto"/>
        </w:rPr>
        <w:t>3.2</w:t>
      </w:r>
      <w:r>
        <w:rPr>
          <w:sz w:val="20"/>
          <w:szCs w:val="20"/>
          <w:color w:val="auto"/>
        </w:rPr>
        <w:tab/>
      </w:r>
      <w:hyperlink r:id="rId58">
        <w:r>
          <w:rPr>
            <w:rFonts w:ascii="Arial" w:cs="Arial" w:eastAsia="Arial" w:hAnsi="Arial"/>
            <w:sz w:val="17"/>
            <w:szCs w:val="17"/>
            <w:u w:val="single" w:color="auto"/>
            <w:color w:val="0000EE"/>
          </w:rPr>
          <w:t>Amended and Restated Bylaws of the Company, as amended by the First Amendment to the Amended and Restated Bylaws (filed on May 9, 2013</w:t>
        </w:r>
      </w:hyperlink>
      <w:r>
        <w:rPr>
          <w:rFonts w:ascii="Arial" w:cs="Arial" w:eastAsia="Arial" w:hAnsi="Arial"/>
          <w:sz w:val="17"/>
          <w:szCs w:val="17"/>
          <w:u w:val="single" w:color="auto"/>
          <w:color w:val="0000EE"/>
        </w:rPr>
        <w:t xml:space="preserve"> </w:t>
      </w:r>
      <w:hyperlink r:id="rId58">
        <w:r>
          <w:rPr>
            <w:rFonts w:ascii="Arial" w:cs="Arial" w:eastAsia="Arial" w:hAnsi="Arial"/>
            <w:sz w:val="17"/>
            <w:szCs w:val="17"/>
            <w:u w:val="single" w:color="auto"/>
            <w:color w:val="0000EE"/>
          </w:rPr>
          <w:t>as Exhibit 3.2 to the Company’s Quarterly Report on Form 10-Q (File No. 001-34504) and incorporated by reference herein)</w:t>
        </w:r>
      </w:hyperlink>
    </w:p>
    <w:p>
      <w:pPr>
        <w:spacing w:after="0" w:line="11" w:lineRule="exact"/>
        <w:rPr>
          <w:sz w:val="20"/>
          <w:szCs w:val="20"/>
          <w:color w:val="auto"/>
        </w:rPr>
      </w:pPr>
    </w:p>
    <w:p>
      <w:pPr>
        <w:ind w:left="700" w:right="340" w:hanging="598"/>
        <w:spacing w:after="0" w:line="277" w:lineRule="auto"/>
        <w:tabs>
          <w:tab w:leader="none" w:pos="68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59">
        <w:r>
          <w:rPr>
            <w:rFonts w:ascii="Arial" w:cs="Arial" w:eastAsia="Arial" w:hAnsi="Arial"/>
            <w:sz w:val="18"/>
            <w:szCs w:val="18"/>
            <w:u w:val="single" w:color="auto"/>
            <w:color w:val="0000EE"/>
          </w:rPr>
          <w:t>Form of Common Stock Certificate (filed on October 2, 2009 as Exhibit 4.1 to Amendment No. 4 to the Company’s Registration Statement on</w:t>
        </w:r>
      </w:hyperlink>
      <w:r>
        <w:rPr>
          <w:rFonts w:ascii="Arial" w:cs="Arial" w:eastAsia="Arial" w:hAnsi="Arial"/>
          <w:sz w:val="18"/>
          <w:szCs w:val="18"/>
          <w:u w:val="single" w:color="auto"/>
          <w:color w:val="0000EE"/>
        </w:rPr>
        <w:t xml:space="preserve"> </w:t>
      </w:r>
      <w:hyperlink r:id="rId59">
        <w:r>
          <w:rPr>
            <w:rFonts w:ascii="Arial" w:cs="Arial" w:eastAsia="Arial" w:hAnsi="Arial"/>
            <w:sz w:val="18"/>
            <w:szCs w:val="18"/>
            <w:u w:val="single" w:color="auto"/>
            <w:color w:val="0000EE"/>
          </w:rPr>
          <w:t>Form S-1 (File No. 333-160634) and incorporated by reference herein)</w:t>
        </w:r>
      </w:hyperlink>
    </w:p>
    <w:p>
      <w:pPr>
        <w:spacing w:after="0" w:line="35" w:lineRule="exact"/>
        <w:rPr>
          <w:sz w:val="20"/>
          <w:szCs w:val="20"/>
          <w:color w:val="auto"/>
        </w:rPr>
      </w:pPr>
    </w:p>
    <w:p>
      <w:pPr>
        <w:ind w:left="700" w:right="120" w:hanging="598"/>
        <w:spacing w:after="0" w:line="254" w:lineRule="auto"/>
        <w:tabs>
          <w:tab w:leader="none" w:pos="68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60">
        <w:r>
          <w:rPr>
            <w:rFonts w:ascii="Arial" w:cs="Arial" w:eastAsia="Arial" w:hAnsi="Arial"/>
            <w:sz w:val="18"/>
            <w:szCs w:val="18"/>
            <w:u w:val="single" w:color="auto"/>
            <w:color w:val="0000EE"/>
          </w:rPr>
          <w:t>Registration Rights Agreement, dated September 19, 2006, by and among Addus HomeCare Corporation, Eos Capital Partners III, L.P., Eos</w:t>
        </w:r>
      </w:hyperlink>
      <w:r>
        <w:rPr>
          <w:rFonts w:ascii="Arial" w:cs="Arial" w:eastAsia="Arial" w:hAnsi="Arial"/>
          <w:sz w:val="18"/>
          <w:szCs w:val="18"/>
          <w:u w:val="single" w:color="auto"/>
          <w:color w:val="0000EE"/>
        </w:rPr>
        <w:t xml:space="preserve"> </w:t>
      </w:r>
      <w:hyperlink r:id="rId60">
        <w:r>
          <w:rPr>
            <w:rFonts w:ascii="Arial" w:cs="Arial" w:eastAsia="Arial" w:hAnsi="Arial"/>
            <w:sz w:val="18"/>
            <w:szCs w:val="18"/>
            <w:u w:val="single" w:color="auto"/>
            <w:color w:val="0000EE"/>
          </w:rPr>
          <w:t>Partners SBIC III, L.P., Freeport Loan Fund LLC, W. Andrew Wright, III, Addus Term Trust, W. Andrew Wright Grantor Retained Annuity Trust,</w:t>
        </w:r>
      </w:hyperlink>
      <w:r>
        <w:rPr>
          <w:rFonts w:ascii="Arial" w:cs="Arial" w:eastAsia="Arial" w:hAnsi="Arial"/>
          <w:sz w:val="18"/>
          <w:szCs w:val="18"/>
          <w:u w:val="single" w:color="auto"/>
          <w:color w:val="0000EE"/>
        </w:rPr>
        <w:t xml:space="preserve"> </w:t>
      </w:r>
      <w:hyperlink r:id="rId60">
        <w:r>
          <w:rPr>
            <w:rFonts w:ascii="Arial" w:cs="Arial" w:eastAsia="Arial" w:hAnsi="Arial"/>
            <w:sz w:val="18"/>
            <w:szCs w:val="18"/>
            <w:u w:val="single" w:color="auto"/>
            <w:color w:val="0000EE"/>
          </w:rPr>
          <w:t>Mark S. Heaney, James A. Wright and Courtney E. Panzer (filed on July 17, 2009 as Exhibit 4.3 to Addus HomeCare Corporation’s Registration</w:t>
        </w:r>
      </w:hyperlink>
      <w:r>
        <w:rPr>
          <w:rFonts w:ascii="Arial" w:cs="Arial" w:eastAsia="Arial" w:hAnsi="Arial"/>
          <w:sz w:val="18"/>
          <w:szCs w:val="18"/>
          <w:u w:val="single" w:color="auto"/>
          <w:color w:val="0000EE"/>
        </w:rPr>
        <w:t xml:space="preserve"> </w:t>
      </w:r>
      <w:hyperlink r:id="rId60">
        <w:r>
          <w:rPr>
            <w:rFonts w:ascii="Arial" w:cs="Arial" w:eastAsia="Arial" w:hAnsi="Arial"/>
            <w:sz w:val="18"/>
            <w:szCs w:val="18"/>
            <w:u w:val="single" w:color="auto"/>
            <w:color w:val="0000EE"/>
          </w:rPr>
          <w:t>Statement on Form S-1 (File No. 333-160634) and incorporated by reference herein)</w:t>
        </w:r>
      </w:hyperlink>
    </w:p>
    <w:p>
      <w:pPr>
        <w:sectPr>
          <w:pgSz w:w="11900" w:h="16838" w:orient="portrait"/>
          <w:cols w:equalWidth="0" w:num="1">
            <w:col w:w="11340"/>
          </w:cols>
          <w:pgMar w:left="240" w:top="121" w:right="319" w:bottom="1440" w:gutter="0" w:footer="0" w:header="0"/>
        </w:sectPr>
      </w:pPr>
    </w:p>
    <w:p>
      <w:pPr>
        <w:spacing w:after="0" w:line="2"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10.1</w:t>
      </w:r>
    </w:p>
    <w:p>
      <w:pPr>
        <w:spacing w:after="0" w:line="342"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10.2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76" w:lineRule="exact"/>
        <w:rPr>
          <w:rFonts w:ascii="Arial" w:cs="Arial" w:eastAsia="Arial" w:hAnsi="Arial"/>
          <w:sz w:val="18"/>
          <w:szCs w:val="18"/>
          <w:u w:val="single" w:color="auto"/>
          <w:color w:val="0000EE"/>
        </w:rPr>
      </w:pPr>
    </w:p>
    <w:p>
      <w:pPr>
        <w:ind w:right="60"/>
        <w:spacing w:after="0" w:line="308" w:lineRule="auto"/>
        <w:rPr>
          <w:rFonts w:ascii="Arial" w:cs="Arial" w:eastAsia="Arial" w:hAnsi="Arial"/>
          <w:sz w:val="17"/>
          <w:szCs w:val="17"/>
          <w:u w:val="single" w:color="auto"/>
          <w:color w:val="0000EE"/>
        </w:rPr>
      </w:pPr>
      <w:hyperlink r:id="rId61">
        <w:r>
          <w:rPr>
            <w:rFonts w:ascii="Arial" w:cs="Arial" w:eastAsia="Arial" w:hAnsi="Arial"/>
            <w:sz w:val="17"/>
            <w:szCs w:val="17"/>
            <w:u w:val="single" w:color="auto"/>
            <w:color w:val="0000EE"/>
          </w:rPr>
          <w:t>Employment and Non-Competition Agreement, effective April 29, 2019, by and between Addus HealthCare, Inc. and Sean Gaffney (filed on April</w:t>
        </w:r>
      </w:hyperlink>
      <w:r>
        <w:rPr>
          <w:rFonts w:ascii="Arial" w:cs="Arial" w:eastAsia="Arial" w:hAnsi="Arial"/>
          <w:sz w:val="17"/>
          <w:szCs w:val="17"/>
          <w:u w:val="single" w:color="auto"/>
          <w:color w:val="0000EE"/>
        </w:rPr>
        <w:t xml:space="preserve"> </w:t>
      </w:r>
      <w:hyperlink r:id="rId61">
        <w:r>
          <w:rPr>
            <w:rFonts w:ascii="Arial" w:cs="Arial" w:eastAsia="Arial" w:hAnsi="Arial"/>
            <w:sz w:val="17"/>
            <w:szCs w:val="17"/>
            <w:u w:val="single" w:color="auto"/>
            <w:color w:val="0000EE"/>
          </w:rPr>
          <w:t>8, 2019 as Exhibit 99.2 to the Company’s Current Report on Form 8-K (File No. 001-34504) and incorporated by reference herein)+</w:t>
        </w:r>
      </w:hyperlink>
    </w:p>
    <w:p>
      <w:pPr>
        <w:spacing w:after="0" w:line="38" w:lineRule="exact"/>
        <w:rPr>
          <w:sz w:val="20"/>
          <w:szCs w:val="20"/>
          <w:color w:val="auto"/>
        </w:rPr>
      </w:pPr>
    </w:p>
    <w:p>
      <w:pPr>
        <w:ind w:right="120"/>
        <w:spacing w:after="0" w:line="334" w:lineRule="auto"/>
        <w:rPr>
          <w:rFonts w:ascii="Arial" w:cs="Arial" w:eastAsia="Arial" w:hAnsi="Arial"/>
          <w:sz w:val="16"/>
          <w:szCs w:val="16"/>
          <w:u w:val="single" w:color="auto"/>
          <w:color w:val="0000EE"/>
        </w:rPr>
      </w:pPr>
      <w:hyperlink r:id="rId62">
        <w:r>
          <w:rPr>
            <w:rFonts w:ascii="Arial" w:cs="Arial" w:eastAsia="Arial" w:hAnsi="Arial"/>
            <w:sz w:val="16"/>
            <w:szCs w:val="16"/>
            <w:u w:val="single" w:color="auto"/>
            <w:color w:val="0000EE"/>
          </w:rPr>
          <w:t>Transition Agreement and Release, effective as of July 31, 2019, by and between Addus HealthCare, Inc. and James “Zeke” Zoccoli (filed on July</w:t>
        </w:r>
      </w:hyperlink>
      <w:r>
        <w:rPr>
          <w:rFonts w:ascii="Arial" w:cs="Arial" w:eastAsia="Arial" w:hAnsi="Arial"/>
          <w:sz w:val="16"/>
          <w:szCs w:val="16"/>
          <w:u w:val="single" w:color="auto"/>
          <w:color w:val="0000EE"/>
        </w:rPr>
        <w:t xml:space="preserve"> </w:t>
      </w:r>
      <w:hyperlink r:id="rId62">
        <w:r>
          <w:rPr>
            <w:rFonts w:ascii="Arial" w:cs="Arial" w:eastAsia="Arial" w:hAnsi="Arial"/>
            <w:sz w:val="16"/>
            <w:szCs w:val="16"/>
            <w:u w:val="single" w:color="auto"/>
            <w:color w:val="0000EE"/>
          </w:rPr>
          <w:t>24, 2019 as Exhibit 10.1 to the Company’s Current Report on Form 8-K (File No. 001-34504) and incorporated by reference herein)+</w:t>
        </w:r>
      </w:hyperlink>
    </w:p>
    <w:p>
      <w:pPr>
        <w:spacing w:after="0" w:line="1" w:lineRule="exact"/>
        <w:rPr>
          <w:sz w:val="20"/>
          <w:szCs w:val="20"/>
          <w:color w:val="auto"/>
        </w:rPr>
      </w:pPr>
    </w:p>
    <w:p>
      <w:pPr>
        <w:sectPr>
          <w:pgSz w:w="11900" w:h="16838" w:orient="portrait"/>
          <w:cols w:equalWidth="0" w:num="2">
            <w:col w:w="320" w:space="380"/>
            <w:col w:w="10640"/>
          </w:cols>
          <w:pgMar w:left="240" w:top="121" w:right="319" w:bottom="1440" w:gutter="0" w:footer="0" w:header="0"/>
          <w:type w:val="continuous"/>
        </w:sectPr>
      </w:pPr>
    </w:p>
    <w:p>
      <w:pPr>
        <w:ind w:left="700" w:right="80" w:hanging="688"/>
        <w:spacing w:after="0" w:line="277" w:lineRule="auto"/>
        <w:tabs>
          <w:tab w:leader="none" w:pos="68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35">
        <w:r>
          <w:rPr>
            <w:rFonts w:ascii="Arial" w:cs="Arial" w:eastAsia="Arial" w:hAnsi="Arial"/>
            <w:sz w:val="18"/>
            <w:szCs w:val="18"/>
            <w:u w:val="single" w:color="auto"/>
            <w:color w:val="0000EE"/>
          </w:rPr>
          <w:t>Certification of Chief Executive Officer Pursuant to Rule 13a-14(a) of the Securities Exchange Act of 1934 as Adopted Pursuant to Section 302 of</w:t>
        </w:r>
      </w:hyperlink>
      <w:r>
        <w:rPr>
          <w:rFonts w:ascii="Arial" w:cs="Arial" w:eastAsia="Arial" w:hAnsi="Arial"/>
          <w:sz w:val="18"/>
          <w:szCs w:val="18"/>
          <w:u w:val="single" w:color="auto"/>
          <w:color w:val="0000EE"/>
        </w:rPr>
        <w:t xml:space="preserve"> </w:t>
      </w:r>
      <w:hyperlink w:anchor="page35">
        <w:r>
          <w:rPr>
            <w:rFonts w:ascii="Arial" w:cs="Arial" w:eastAsia="Arial" w:hAnsi="Arial"/>
            <w:sz w:val="18"/>
            <w:szCs w:val="18"/>
            <w:u w:val="single" w:color="auto"/>
            <w:color w:val="0000EE"/>
          </w:rPr>
          <w:t>the Sarbanes-Oxley Act of 2002*</w:t>
        </w:r>
      </w:hyperlink>
    </w:p>
    <w:p>
      <w:pPr>
        <w:spacing w:after="0" w:line="35" w:lineRule="exact"/>
        <w:rPr>
          <w:sz w:val="20"/>
          <w:szCs w:val="20"/>
          <w:color w:val="auto"/>
        </w:rPr>
      </w:pPr>
    </w:p>
    <w:p>
      <w:pPr>
        <w:ind w:left="700" w:right="140" w:hanging="688"/>
        <w:spacing w:after="0" w:line="277" w:lineRule="auto"/>
        <w:tabs>
          <w:tab w:leader="none" w:pos="68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36">
        <w:r>
          <w:rPr>
            <w:rFonts w:ascii="Arial" w:cs="Arial" w:eastAsia="Arial" w:hAnsi="Arial"/>
            <w:sz w:val="18"/>
            <w:szCs w:val="18"/>
            <w:u w:val="single" w:color="auto"/>
            <w:color w:val="0000EE"/>
          </w:rPr>
          <w:t>Certification of Chief Financial Officer Pursuant to Rule 13a-14(a) of the Securities Exchange Act of 1934 as Adopted Pursuant to Section 302 of</w:t>
        </w:r>
      </w:hyperlink>
      <w:r>
        <w:rPr>
          <w:rFonts w:ascii="Arial" w:cs="Arial" w:eastAsia="Arial" w:hAnsi="Arial"/>
          <w:sz w:val="18"/>
          <w:szCs w:val="18"/>
          <w:u w:val="single" w:color="auto"/>
          <w:color w:val="0000EE"/>
        </w:rPr>
        <w:t xml:space="preserve"> </w:t>
      </w:r>
      <w:hyperlink w:anchor="page36">
        <w:r>
          <w:rPr>
            <w:rFonts w:ascii="Arial" w:cs="Arial" w:eastAsia="Arial" w:hAnsi="Arial"/>
            <w:sz w:val="18"/>
            <w:szCs w:val="18"/>
            <w:u w:val="single" w:color="auto"/>
            <w:color w:val="0000EE"/>
          </w:rPr>
          <w:t>the Sarbanes-Oxley Act of 2002*</w:t>
        </w:r>
      </w:hyperlink>
    </w:p>
    <w:p>
      <w:pPr>
        <w:spacing w:after="0" w:line="35" w:lineRule="exact"/>
        <w:rPr>
          <w:sz w:val="20"/>
          <w:szCs w:val="20"/>
          <w:color w:val="auto"/>
        </w:rPr>
      </w:pPr>
    </w:p>
    <w:p>
      <w:pPr>
        <w:ind w:left="700" w:right="300" w:hanging="688"/>
        <w:spacing w:after="0" w:line="277" w:lineRule="auto"/>
        <w:tabs>
          <w:tab w:leader="none" w:pos="68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37">
        <w:r>
          <w:rPr>
            <w:rFonts w:ascii="Arial" w:cs="Arial" w:eastAsia="Arial" w:hAnsi="Arial"/>
            <w:sz w:val="18"/>
            <w:szCs w:val="18"/>
            <w:u w:val="single" w:color="auto"/>
            <w:color w:val="0000EE"/>
          </w:rPr>
          <w:t>Certification of Chief Executive Officer Pursuant to 18 U.S.C. Section 1350, as Adopted Pursuant to Section 906 of the Sarbanes-Oxley Act of</w:t>
        </w:r>
      </w:hyperlink>
      <w:r>
        <w:rPr>
          <w:rFonts w:ascii="Arial" w:cs="Arial" w:eastAsia="Arial" w:hAnsi="Arial"/>
          <w:sz w:val="18"/>
          <w:szCs w:val="18"/>
          <w:u w:val="single" w:color="auto"/>
          <w:color w:val="0000EE"/>
        </w:rPr>
        <w:t xml:space="preserve"> </w:t>
      </w:r>
      <w:hyperlink w:anchor="page37">
        <w:r>
          <w:rPr>
            <w:rFonts w:ascii="Arial" w:cs="Arial" w:eastAsia="Arial" w:hAnsi="Arial"/>
            <w:sz w:val="18"/>
            <w:szCs w:val="18"/>
            <w:u w:val="single" w:color="auto"/>
            <w:color w:val="0000EE"/>
          </w:rPr>
          <w:t>2002**</w:t>
        </w:r>
      </w:hyperlink>
    </w:p>
    <w:p>
      <w:pPr>
        <w:spacing w:after="0" w:line="76" w:lineRule="exact"/>
        <w:rPr>
          <w:sz w:val="20"/>
          <w:szCs w:val="20"/>
          <w:color w:val="auto"/>
        </w:rPr>
      </w:pPr>
    </w:p>
    <w:p>
      <w:pPr>
        <w:ind w:left="700" w:right="340" w:hanging="688"/>
        <w:spacing w:after="0" w:line="277" w:lineRule="auto"/>
        <w:tabs>
          <w:tab w:leader="none" w:pos="68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38">
        <w:r>
          <w:rPr>
            <w:rFonts w:ascii="Arial" w:cs="Arial" w:eastAsia="Arial" w:hAnsi="Arial"/>
            <w:sz w:val="18"/>
            <w:szCs w:val="18"/>
            <w:u w:val="single" w:color="auto"/>
            <w:color w:val="0000EE"/>
          </w:rPr>
          <w:t>Certification of Chief Financial Officer Pursuant to 18 U.S.C. Section 1350, as Adopted Pursuant to Section 906 of the Sarbanes-Oxley Act of</w:t>
        </w:r>
      </w:hyperlink>
      <w:r>
        <w:rPr>
          <w:rFonts w:ascii="Arial" w:cs="Arial" w:eastAsia="Arial" w:hAnsi="Arial"/>
          <w:sz w:val="18"/>
          <w:szCs w:val="18"/>
          <w:u w:val="single" w:color="auto"/>
          <w:color w:val="0000EE"/>
        </w:rPr>
        <w:t xml:space="preserve"> </w:t>
      </w:r>
      <w:hyperlink w:anchor="page38">
        <w:r>
          <w:rPr>
            <w:rFonts w:ascii="Arial" w:cs="Arial" w:eastAsia="Arial" w:hAnsi="Arial"/>
            <w:sz w:val="18"/>
            <w:szCs w:val="18"/>
            <w:u w:val="single" w:color="auto"/>
            <w:color w:val="0000EE"/>
          </w:rPr>
          <w:t>2002**</w:t>
        </w:r>
      </w:hyperlink>
    </w:p>
    <w:p>
      <w:pPr>
        <w:spacing w:after="0" w:line="35" w:lineRule="exact"/>
        <w:rPr>
          <w:sz w:val="20"/>
          <w:szCs w:val="20"/>
          <w:color w:val="auto"/>
        </w:rPr>
      </w:pPr>
    </w:p>
    <w:p>
      <w:pPr>
        <w:ind w:left="700" w:right="580" w:hanging="692"/>
        <w:spacing w:after="0" w:line="291" w:lineRule="auto"/>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Financial statements from the quarterly report on Form 10-Q of Addus HomeCare Corporation for the quarter ended June 30, 2019, filed on August 8, 2019 formatted in XBRL: (i) Condensed Consolidated Balance Sheets, (ii) Condensed Consolidated Statements of Income,</w:t>
      </w:r>
    </w:p>
    <w:p>
      <w:pPr>
        <w:ind w:left="700" w:right="320"/>
        <w:spacing w:after="0" w:line="261" w:lineRule="auto"/>
        <w:rPr>
          <w:rFonts w:ascii="Arial" w:cs="Arial" w:eastAsia="Arial" w:hAnsi="Arial"/>
          <w:sz w:val="16"/>
          <w:szCs w:val="16"/>
          <w:color w:val="auto"/>
        </w:rPr>
      </w:pPr>
      <w:r>
        <w:rPr>
          <w:rFonts w:ascii="Arial" w:cs="Arial" w:eastAsia="Arial" w:hAnsi="Arial"/>
          <w:sz w:val="18"/>
          <w:szCs w:val="18"/>
          <w:color w:val="auto"/>
        </w:rPr>
        <w:t>(iii) Condensed Consolidated Statements of Stockholders’ Equity, (iv) Condensed Consolidated Statements of Cash Flows, and (v) the Notes to Condensed Consolidated Financial Statements*</w:t>
      </w:r>
    </w:p>
    <w:p>
      <w:pPr>
        <w:spacing w:after="0" w:line="170"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9"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Indicates a management contract or compensation plan or arrangement.</w:t>
      </w: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57" w:lineRule="exact"/>
        <w:rPr>
          <w:sz w:val="20"/>
          <w:szCs w:val="20"/>
          <w:color w:val="auto"/>
        </w:rPr>
      </w:pPr>
    </w:p>
    <w:p>
      <w:pPr>
        <w:ind w:firstLine="48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740"/>
        <w:spacing w:after="0"/>
        <w:rPr>
          <w:sz w:val="20"/>
          <w:szCs w:val="20"/>
          <w:color w:val="auto"/>
        </w:rPr>
      </w:pPr>
      <w:r>
        <w:rPr>
          <w:rFonts w:ascii="Arial" w:cs="Arial" w:eastAsia="Arial" w:hAnsi="Arial"/>
          <w:sz w:val="16"/>
          <w:szCs w:val="16"/>
          <w:b w:val="1"/>
          <w:bCs w:val="1"/>
          <w:i w:val="1"/>
          <w:iCs w:val="1"/>
          <w:color w:val="auto"/>
        </w:rPr>
        <w:t>ADDUS HOMECARE CORPORATION</w:t>
      </w:r>
    </w:p>
    <w:p>
      <w:pPr>
        <w:spacing w:after="0" w:line="221" w:lineRule="exact"/>
        <w:rPr>
          <w:sz w:val="20"/>
          <w:szCs w:val="20"/>
          <w:color w:val="auto"/>
        </w:rPr>
      </w:pPr>
    </w:p>
    <w:p>
      <w:pPr>
        <w:spacing w:after="0"/>
        <w:tabs>
          <w:tab w:leader="none" w:pos="5720" w:val="left"/>
          <w:tab w:leader="none" w:pos="8020" w:val="left"/>
        </w:tabs>
        <w:rPr>
          <w:sz w:val="20"/>
          <w:szCs w:val="20"/>
          <w:color w:val="auto"/>
        </w:rPr>
      </w:pPr>
      <w:r>
        <w:rPr>
          <w:rFonts w:ascii="Arial" w:cs="Arial" w:eastAsia="Arial" w:hAnsi="Arial"/>
          <w:sz w:val="16"/>
          <w:szCs w:val="16"/>
          <w:color w:val="auto"/>
        </w:rPr>
        <w:t>Date: August 8,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26670</wp:posOffset>
            </wp:positionV>
            <wp:extent cx="33274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03" w:lineRule="exact"/>
        <w:rPr>
          <w:sz w:val="20"/>
          <w:szCs w:val="20"/>
          <w:color w:val="auto"/>
        </w:rPr>
      </w:pPr>
    </w:p>
    <w:p>
      <w:pPr>
        <w:jc w:val="center"/>
        <w:ind w:left="6180"/>
        <w:spacing w:after="0"/>
        <w:rPr>
          <w:sz w:val="20"/>
          <w:szCs w:val="20"/>
          <w:color w:val="auto"/>
        </w:rPr>
      </w:pPr>
      <w:r>
        <w:rPr>
          <w:rFonts w:ascii="Arial" w:cs="Arial" w:eastAsia="Arial" w:hAnsi="Arial"/>
          <w:sz w:val="16"/>
          <w:szCs w:val="16"/>
          <w:b w:val="1"/>
          <w:bCs w:val="1"/>
          <w:color w:val="auto"/>
        </w:rPr>
        <w:t>R. Dirk Allison</w:t>
      </w:r>
    </w:p>
    <w:p>
      <w:pPr>
        <w:spacing w:after="0" w:line="26" w:lineRule="exact"/>
        <w:rPr>
          <w:sz w:val="20"/>
          <w:szCs w:val="20"/>
          <w:color w:val="auto"/>
        </w:rPr>
      </w:pPr>
    </w:p>
    <w:p>
      <w:pPr>
        <w:jc w:val="center"/>
        <w:ind w:left="618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19" w:lineRule="exact"/>
        <w:rPr>
          <w:sz w:val="20"/>
          <w:szCs w:val="20"/>
          <w:color w:val="auto"/>
        </w:rPr>
      </w:pPr>
    </w:p>
    <w:p>
      <w:pPr>
        <w:jc w:val="center"/>
        <w:ind w:left="6180"/>
        <w:spacing w:after="0"/>
        <w:rPr>
          <w:sz w:val="20"/>
          <w:szCs w:val="20"/>
          <w:color w:val="auto"/>
        </w:rPr>
      </w:pPr>
      <w:r>
        <w:rPr>
          <w:rFonts w:ascii="Arial" w:cs="Arial" w:eastAsia="Arial" w:hAnsi="Arial"/>
          <w:sz w:val="16"/>
          <w:szCs w:val="16"/>
          <w:b w:val="1"/>
          <w:bCs w:val="1"/>
          <w:color w:val="auto"/>
        </w:rPr>
        <w:t>(As Principal Executive Officer)</w:t>
      </w:r>
    </w:p>
    <w:p>
      <w:pPr>
        <w:spacing w:after="0" w:line="231" w:lineRule="exact"/>
        <w:rPr>
          <w:sz w:val="20"/>
          <w:szCs w:val="20"/>
          <w:color w:val="auto"/>
        </w:rPr>
      </w:pPr>
    </w:p>
    <w:p>
      <w:pPr>
        <w:spacing w:after="0"/>
        <w:tabs>
          <w:tab w:leader="none" w:pos="5720" w:val="left"/>
          <w:tab w:leader="none" w:pos="8220" w:val="left"/>
        </w:tabs>
        <w:rPr>
          <w:sz w:val="20"/>
          <w:szCs w:val="20"/>
          <w:color w:val="auto"/>
        </w:rPr>
      </w:pPr>
      <w:r>
        <w:rPr>
          <w:rFonts w:ascii="Arial" w:cs="Arial" w:eastAsia="Arial" w:hAnsi="Arial"/>
          <w:sz w:val="16"/>
          <w:szCs w:val="16"/>
          <w:color w:val="auto"/>
        </w:rPr>
        <w:t>Date: August 8,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17780</wp:posOffset>
            </wp:positionV>
            <wp:extent cx="33274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89" w:lineRule="exact"/>
        <w:rPr>
          <w:sz w:val="20"/>
          <w:szCs w:val="20"/>
          <w:color w:val="auto"/>
        </w:rPr>
      </w:pPr>
    </w:p>
    <w:p>
      <w:pPr>
        <w:jc w:val="center"/>
        <w:ind w:left="6180"/>
        <w:spacing w:after="0"/>
        <w:rPr>
          <w:sz w:val="20"/>
          <w:szCs w:val="20"/>
          <w:color w:val="auto"/>
        </w:rPr>
      </w:pPr>
      <w:r>
        <w:rPr>
          <w:rFonts w:ascii="Arial" w:cs="Arial" w:eastAsia="Arial" w:hAnsi="Arial"/>
          <w:sz w:val="16"/>
          <w:szCs w:val="16"/>
          <w:b w:val="1"/>
          <w:bCs w:val="1"/>
          <w:color w:val="auto"/>
        </w:rPr>
        <w:t>Brian Poff</w:t>
      </w:r>
    </w:p>
    <w:p>
      <w:pPr>
        <w:spacing w:after="0" w:line="26" w:lineRule="exact"/>
        <w:rPr>
          <w:sz w:val="20"/>
          <w:szCs w:val="20"/>
          <w:color w:val="auto"/>
        </w:rPr>
      </w:pPr>
    </w:p>
    <w:p>
      <w:pPr>
        <w:jc w:val="center"/>
        <w:ind w:left="6180"/>
        <w:spacing w:after="0"/>
        <w:rPr>
          <w:sz w:val="20"/>
          <w:szCs w:val="20"/>
          <w:color w:val="auto"/>
        </w:rPr>
      </w:pPr>
      <w:r>
        <w:rPr>
          <w:rFonts w:ascii="Arial" w:cs="Arial" w:eastAsia="Arial" w:hAnsi="Arial"/>
          <w:sz w:val="16"/>
          <w:szCs w:val="16"/>
          <w:b w:val="1"/>
          <w:bCs w:val="1"/>
          <w:color w:val="auto"/>
        </w:rPr>
        <w:t>Chief Financial Officer</w:t>
      </w:r>
    </w:p>
    <w:p>
      <w:pPr>
        <w:spacing w:after="0" w:line="19" w:lineRule="exact"/>
        <w:rPr>
          <w:sz w:val="20"/>
          <w:szCs w:val="20"/>
          <w:color w:val="auto"/>
        </w:rPr>
      </w:pPr>
    </w:p>
    <w:p>
      <w:pPr>
        <w:jc w:val="center"/>
        <w:ind w:left="6180"/>
        <w:spacing w:after="0"/>
        <w:rPr>
          <w:sz w:val="20"/>
          <w:szCs w:val="20"/>
          <w:color w:val="auto"/>
        </w:rPr>
      </w:pPr>
      <w:r>
        <w:rPr>
          <w:rFonts w:ascii="Arial" w:cs="Arial" w:eastAsia="Arial" w:hAnsi="Arial"/>
          <w:sz w:val="16"/>
          <w:szCs w:val="16"/>
          <w:b w:val="1"/>
          <w:bCs w:val="1"/>
          <w:color w:val="auto"/>
        </w:rPr>
        <w:t>(As Principal Financial Officer)</w:t>
      </w:r>
    </w:p>
    <w:p>
      <w:pPr>
        <w:spacing w:after="0" w:line="200" w:lineRule="exact"/>
        <w:rPr>
          <w:sz w:val="20"/>
          <w:szCs w:val="20"/>
          <w:color w:val="auto"/>
        </w:rPr>
      </w:pP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760"/>
          </w:cols>
          <w:pgMar w:left="240" w:top="121" w:right="899" w:bottom="1440" w:gutter="0" w:footer="0" w:header="0"/>
        </w:sectPr>
      </w:pPr>
    </w:p>
    <w:bookmarkStart w:id="34" w:name="page35"/>
    <w:bookmarkEnd w:id="34"/>
    <w:p>
      <w:pPr>
        <w:ind w:left="10480"/>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 Dirk Allison, certify that:</w:t>
      </w:r>
    </w:p>
    <w:p>
      <w:pPr>
        <w:spacing w:after="0" w:line="171"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Addus HomeCare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1" w:lineRule="exact"/>
        <w:rPr>
          <w:rFonts w:ascii="Arial" w:cs="Arial" w:eastAsia="Arial" w:hAnsi="Arial"/>
          <w:sz w:val="18"/>
          <w:szCs w:val="18"/>
          <w:color w:val="auto"/>
        </w:rPr>
      </w:pPr>
    </w:p>
    <w:p>
      <w:pPr>
        <w:ind w:left="960" w:right="60" w:hanging="479"/>
        <w:spacing w:after="0" w:line="278" w:lineRule="auto"/>
        <w:tabs>
          <w:tab w:leader="none" w:pos="960"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ind w:left="960" w:hanging="479"/>
        <w:spacing w:after="0" w:line="278" w:lineRule="auto"/>
        <w:tabs>
          <w:tab w:leader="none" w:pos="960"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6"/>
          <w:szCs w:val="16"/>
          <w:color w:val="auto"/>
        </w:rPr>
      </w:pPr>
    </w:p>
    <w:p>
      <w:pPr>
        <w:ind w:left="960" w:right="440" w:hanging="479"/>
        <w:spacing w:after="0" w:line="293" w:lineRule="auto"/>
        <w:tabs>
          <w:tab w:leader="none" w:pos="96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6"/>
          <w:szCs w:val="16"/>
          <w:color w:val="auto"/>
        </w:rPr>
      </w:pPr>
    </w:p>
    <w:p>
      <w:pPr>
        <w:ind w:left="960" w:right="80" w:hanging="479"/>
        <w:spacing w:after="0" w:line="278" w:lineRule="auto"/>
        <w:tabs>
          <w:tab w:leader="none" w:pos="960"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6"/>
          <w:szCs w:val="16"/>
          <w:color w:val="auto"/>
        </w:rPr>
      </w:pPr>
    </w:p>
    <w:p>
      <w:pPr>
        <w:ind w:right="460" w:firstLine="8"/>
        <w:spacing w:after="0" w:line="308" w:lineRule="auto"/>
        <w:tabs>
          <w:tab w:leader="none" w:pos="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Arial" w:cs="Arial" w:eastAsia="Arial" w:hAnsi="Arial"/>
          <w:sz w:val="17"/>
          <w:szCs w:val="17"/>
          <w:color w:val="auto"/>
        </w:rPr>
      </w:pPr>
    </w:p>
    <w:p>
      <w:pPr>
        <w:ind w:left="960" w:right="600" w:hanging="479"/>
        <w:spacing w:after="0" w:line="293" w:lineRule="auto"/>
        <w:tabs>
          <w:tab w:leader="none" w:pos="96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6"/>
          <w:szCs w:val="16"/>
          <w:color w:val="auto"/>
        </w:rPr>
      </w:pPr>
    </w:p>
    <w:p>
      <w:pPr>
        <w:ind w:left="960" w:right="220" w:hanging="479"/>
        <w:spacing w:after="0" w:line="293" w:lineRule="auto"/>
        <w:tabs>
          <w:tab w:leader="none" w:pos="960" w:val="left"/>
        </w:tabs>
        <w:numPr>
          <w:ilvl w:val="1"/>
          <w:numId w:val="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80" w:type="dxa"/>
            <w:vAlign w:val="bottom"/>
          </w:tcPr>
          <w:p>
            <w:pPr>
              <w:spacing w:after="0"/>
              <w:rPr>
                <w:sz w:val="20"/>
                <w:szCs w:val="20"/>
                <w:color w:val="auto"/>
              </w:rPr>
            </w:pPr>
            <w:r>
              <w:rPr>
                <w:rFonts w:ascii="Arial" w:cs="Arial" w:eastAsia="Arial" w:hAnsi="Arial"/>
                <w:sz w:val="16"/>
                <w:szCs w:val="16"/>
                <w:color w:val="auto"/>
              </w:rPr>
              <w:t>Date: August 8, 2019</w:t>
            </w:r>
          </w:p>
        </w:tc>
        <w:tc>
          <w:tcPr>
            <w:tcW w:w="7940" w:type="dxa"/>
            <w:vAlign w:val="bottom"/>
            <w:gridSpan w:val="2"/>
          </w:tcPr>
          <w:p>
            <w:pPr>
              <w:ind w:left="2100"/>
              <w:spacing w:after="0"/>
              <w:rPr>
                <w:sz w:val="20"/>
                <w:szCs w:val="20"/>
                <w:color w:val="auto"/>
              </w:rPr>
            </w:pPr>
            <w:r>
              <w:rPr>
                <w:rFonts w:ascii="Arial" w:cs="Arial" w:eastAsia="Arial" w:hAnsi="Arial"/>
                <w:sz w:val="16"/>
                <w:szCs w:val="16"/>
                <w:color w:val="auto"/>
              </w:rPr>
              <w:t>By:  /s/ R. Dirk Allison</w:t>
            </w:r>
          </w:p>
        </w:tc>
      </w:tr>
      <w:tr>
        <w:trPr>
          <w:trHeight w:val="189"/>
        </w:trPr>
        <w:tc>
          <w:tcPr>
            <w:tcW w:w="34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5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 Dirk Allison</w:t>
            </w:r>
          </w:p>
        </w:tc>
      </w:tr>
      <w:tr>
        <w:trPr>
          <w:trHeight w:val="206"/>
        </w:trPr>
        <w:tc>
          <w:tcPr>
            <w:tcW w:w="34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500" w:type="dxa"/>
            <w:vAlign w:val="bottom"/>
          </w:tcPr>
          <w:p>
            <w:pPr>
              <w:spacing w:after="0"/>
              <w:rPr>
                <w:sz w:val="20"/>
                <w:szCs w:val="20"/>
                <w:color w:val="auto"/>
              </w:rPr>
            </w:pPr>
            <w:r>
              <w:rPr>
                <w:rFonts w:ascii="Arial" w:cs="Arial" w:eastAsia="Arial" w:hAnsi="Arial"/>
                <w:sz w:val="16"/>
                <w:szCs w:val="16"/>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35" w:name="page36"/>
    <w:bookmarkEnd w:id="35"/>
    <w:p>
      <w:pPr>
        <w:ind w:left="10480"/>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Brian Poff, certify that:</w:t>
      </w:r>
    </w:p>
    <w:p>
      <w:pPr>
        <w:spacing w:after="0" w:line="171"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Addus HomeCare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1" w:lineRule="exact"/>
        <w:rPr>
          <w:rFonts w:ascii="Arial" w:cs="Arial" w:eastAsia="Arial" w:hAnsi="Arial"/>
          <w:sz w:val="18"/>
          <w:szCs w:val="18"/>
          <w:color w:val="auto"/>
        </w:rPr>
      </w:pPr>
    </w:p>
    <w:p>
      <w:pPr>
        <w:ind w:left="960" w:right="60" w:hanging="479"/>
        <w:spacing w:after="0" w:line="278" w:lineRule="auto"/>
        <w:tabs>
          <w:tab w:leader="none" w:pos="9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ind w:left="960" w:hanging="479"/>
        <w:spacing w:after="0" w:line="278" w:lineRule="auto"/>
        <w:tabs>
          <w:tab w:leader="none" w:pos="9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6"/>
          <w:szCs w:val="16"/>
          <w:color w:val="auto"/>
        </w:rPr>
      </w:pPr>
    </w:p>
    <w:p>
      <w:pPr>
        <w:ind w:left="960" w:right="440" w:hanging="479"/>
        <w:spacing w:after="0" w:line="293" w:lineRule="auto"/>
        <w:tabs>
          <w:tab w:leader="none" w:pos="9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6"/>
          <w:szCs w:val="16"/>
          <w:color w:val="auto"/>
        </w:rPr>
      </w:pPr>
    </w:p>
    <w:p>
      <w:pPr>
        <w:ind w:left="960" w:right="80" w:hanging="479"/>
        <w:spacing w:after="0" w:line="278" w:lineRule="auto"/>
        <w:tabs>
          <w:tab w:leader="none" w:pos="9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6"/>
          <w:szCs w:val="16"/>
          <w:color w:val="auto"/>
        </w:rPr>
      </w:pPr>
    </w:p>
    <w:p>
      <w:pPr>
        <w:ind w:right="460" w:firstLine="8"/>
        <w:spacing w:after="0" w:line="308" w:lineRule="auto"/>
        <w:tabs>
          <w:tab w:leader="none" w:pos="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Arial" w:cs="Arial" w:eastAsia="Arial" w:hAnsi="Arial"/>
          <w:sz w:val="17"/>
          <w:szCs w:val="17"/>
          <w:color w:val="auto"/>
        </w:rPr>
      </w:pPr>
    </w:p>
    <w:p>
      <w:pPr>
        <w:ind w:left="960" w:right="600" w:hanging="479"/>
        <w:spacing w:after="0" w:line="293" w:lineRule="auto"/>
        <w:tabs>
          <w:tab w:leader="none" w:pos="9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6"/>
          <w:szCs w:val="16"/>
          <w:color w:val="auto"/>
        </w:rPr>
      </w:pPr>
    </w:p>
    <w:p>
      <w:pPr>
        <w:ind w:left="960" w:right="220" w:hanging="479"/>
        <w:spacing w:after="0" w:line="293" w:lineRule="auto"/>
        <w:tabs>
          <w:tab w:leader="none" w:pos="9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80" w:type="dxa"/>
            <w:vAlign w:val="bottom"/>
          </w:tcPr>
          <w:p>
            <w:pPr>
              <w:spacing w:after="0"/>
              <w:rPr>
                <w:sz w:val="20"/>
                <w:szCs w:val="20"/>
                <w:color w:val="auto"/>
              </w:rPr>
            </w:pPr>
            <w:r>
              <w:rPr>
                <w:rFonts w:ascii="Arial" w:cs="Arial" w:eastAsia="Arial" w:hAnsi="Arial"/>
                <w:sz w:val="16"/>
                <w:szCs w:val="16"/>
                <w:color w:val="auto"/>
              </w:rPr>
              <w:t>Date: August 8, 2019</w:t>
            </w:r>
          </w:p>
        </w:tc>
        <w:tc>
          <w:tcPr>
            <w:tcW w:w="7940" w:type="dxa"/>
            <w:vAlign w:val="bottom"/>
            <w:gridSpan w:val="2"/>
          </w:tcPr>
          <w:p>
            <w:pPr>
              <w:ind w:left="2100"/>
              <w:spacing w:after="0"/>
              <w:rPr>
                <w:sz w:val="20"/>
                <w:szCs w:val="20"/>
                <w:color w:val="auto"/>
              </w:rPr>
            </w:pPr>
            <w:r>
              <w:rPr>
                <w:rFonts w:ascii="Arial" w:cs="Arial" w:eastAsia="Arial" w:hAnsi="Arial"/>
                <w:sz w:val="16"/>
                <w:szCs w:val="16"/>
                <w:color w:val="auto"/>
              </w:rPr>
              <w:t>By:  /s/ Brian Poff</w:t>
            </w:r>
          </w:p>
        </w:tc>
      </w:tr>
      <w:tr>
        <w:trPr>
          <w:trHeight w:val="189"/>
        </w:trPr>
        <w:tc>
          <w:tcPr>
            <w:tcW w:w="34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5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Brian Poff</w:t>
            </w:r>
          </w:p>
        </w:tc>
      </w:tr>
      <w:tr>
        <w:trPr>
          <w:trHeight w:val="206"/>
        </w:trPr>
        <w:tc>
          <w:tcPr>
            <w:tcW w:w="34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50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connection with the Quarterly Report on Form 10-Q for the fiscal quarter ended June 30, 2019 of Addus HomeCare Corporation (the “Company”) as filed with the Securities and Exchange Commission on the date hereof (the “Report”), I, R. Dirk Allison, President and Chief Executive Officer of the Company, certify, pursuant to 18 U.S.C. Section 1350, as adopted pursuant to Section 906 of the Sarbanes-Oxley Act of 2002, that:</w:t>
      </w:r>
    </w:p>
    <w:p>
      <w:pPr>
        <w:spacing w:after="0" w:line="157" w:lineRule="exact"/>
        <w:rPr>
          <w:sz w:val="20"/>
          <w:szCs w:val="20"/>
          <w:color w:val="auto"/>
        </w:rPr>
      </w:pPr>
    </w:p>
    <w:p>
      <w:pPr>
        <w:ind w:left="880" w:hanging="841"/>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880" w:hanging="841"/>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500" w:type="dxa"/>
            <w:vAlign w:val="bottom"/>
          </w:tcPr>
          <w:p>
            <w:pPr>
              <w:spacing w:after="0"/>
              <w:rPr>
                <w:sz w:val="20"/>
                <w:szCs w:val="20"/>
                <w:color w:val="auto"/>
              </w:rPr>
            </w:pPr>
            <w:r>
              <w:rPr>
                <w:rFonts w:ascii="Arial" w:cs="Arial" w:eastAsia="Arial" w:hAnsi="Arial"/>
                <w:sz w:val="16"/>
                <w:szCs w:val="16"/>
                <w:color w:val="auto"/>
              </w:rPr>
              <w:t>Date: August 8, 2019</w:t>
            </w:r>
          </w:p>
        </w:tc>
        <w:tc>
          <w:tcPr>
            <w:tcW w:w="7920" w:type="dxa"/>
            <w:vAlign w:val="bottom"/>
            <w:gridSpan w:val="2"/>
          </w:tcPr>
          <w:p>
            <w:pPr>
              <w:ind w:left="2100"/>
              <w:spacing w:after="0"/>
              <w:rPr>
                <w:sz w:val="20"/>
                <w:szCs w:val="20"/>
                <w:color w:val="auto"/>
              </w:rPr>
            </w:pPr>
            <w:r>
              <w:rPr>
                <w:rFonts w:ascii="Arial" w:cs="Arial" w:eastAsia="Arial" w:hAnsi="Arial"/>
                <w:sz w:val="16"/>
                <w:szCs w:val="16"/>
                <w:color w:val="auto"/>
              </w:rPr>
              <w:t>By:  /s/ R. Dirk Allison</w:t>
            </w:r>
          </w:p>
        </w:tc>
      </w:tr>
      <w:tr>
        <w:trPr>
          <w:trHeight w:val="234"/>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4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 Dirk Allison</w:t>
            </w:r>
          </w:p>
        </w:tc>
      </w:tr>
      <w:tr>
        <w:trPr>
          <w:trHeight w:val="243"/>
        </w:trPr>
        <w:tc>
          <w:tcPr>
            <w:tcW w:w="35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the Quarterly Report on Form 10-Q for the fiscal quarter ended June 30, 2019 of Addus HomeCare Corporation (the “Company”) as filed with the Securities and Exchange Commission on the date hereof (the “Report”), I, Brian Poff, Chief Financial Officer of the Company, certify, pursuant to 18 U.S.C. Section 1350, as adopted pursuant to Section 906 of the Sarbanes-Oxley Act of 2002, that:</w:t>
      </w:r>
    </w:p>
    <w:p>
      <w:pPr>
        <w:spacing w:after="0" w:line="172" w:lineRule="exact"/>
        <w:rPr>
          <w:sz w:val="20"/>
          <w:szCs w:val="20"/>
          <w:color w:val="auto"/>
        </w:rPr>
      </w:pPr>
    </w:p>
    <w:p>
      <w:pPr>
        <w:ind w:left="880" w:hanging="841"/>
        <w:spacing w:after="0"/>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880" w:hanging="841"/>
        <w:spacing w:after="0"/>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500" w:type="dxa"/>
            <w:vAlign w:val="bottom"/>
          </w:tcPr>
          <w:p>
            <w:pPr>
              <w:spacing w:after="0"/>
              <w:rPr>
                <w:sz w:val="20"/>
                <w:szCs w:val="20"/>
                <w:color w:val="auto"/>
              </w:rPr>
            </w:pPr>
            <w:r>
              <w:rPr>
                <w:rFonts w:ascii="Arial" w:cs="Arial" w:eastAsia="Arial" w:hAnsi="Arial"/>
                <w:sz w:val="16"/>
                <w:szCs w:val="16"/>
                <w:color w:val="auto"/>
              </w:rPr>
              <w:t>Date: August 8, 2019</w:t>
            </w:r>
          </w:p>
        </w:tc>
        <w:tc>
          <w:tcPr>
            <w:tcW w:w="7920" w:type="dxa"/>
            <w:vAlign w:val="bottom"/>
            <w:gridSpan w:val="2"/>
          </w:tcPr>
          <w:p>
            <w:pPr>
              <w:ind w:left="2100"/>
              <w:spacing w:after="0"/>
              <w:rPr>
                <w:sz w:val="20"/>
                <w:szCs w:val="20"/>
                <w:color w:val="auto"/>
              </w:rPr>
            </w:pPr>
            <w:r>
              <w:rPr>
                <w:rFonts w:ascii="Arial" w:cs="Arial" w:eastAsia="Arial" w:hAnsi="Arial"/>
                <w:sz w:val="16"/>
                <w:szCs w:val="16"/>
                <w:color w:val="auto"/>
              </w:rPr>
              <w:t>By:   /s/ Brian Poff</w:t>
            </w:r>
          </w:p>
        </w:tc>
      </w:tr>
      <w:tr>
        <w:trPr>
          <w:trHeight w:val="20"/>
        </w:trPr>
        <w:tc>
          <w:tcPr>
            <w:tcW w:w="3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0" w:type="dxa"/>
            <w:vAlign w:val="bottom"/>
            <w:shd w:val="clear" w:color="auto" w:fill="000000"/>
          </w:tcPr>
          <w:p>
            <w:pPr>
              <w:spacing w:after="0" w:line="20" w:lineRule="exact"/>
              <w:rPr>
                <w:sz w:val="1"/>
                <w:szCs w:val="1"/>
                <w:color w:val="auto"/>
              </w:rPr>
            </w:pPr>
          </w:p>
        </w:tc>
      </w:tr>
      <w:tr>
        <w:trPr>
          <w:trHeight w:val="234"/>
        </w:trPr>
        <w:tc>
          <w:tcPr>
            <w:tcW w:w="3500" w:type="dxa"/>
            <w:vAlign w:val="bottom"/>
          </w:tcPr>
          <w:p>
            <w:pPr>
              <w:spacing w:after="0"/>
              <w:rPr>
                <w:sz w:val="20"/>
                <w:szCs w:val="20"/>
                <w:color w:val="auto"/>
              </w:rPr>
            </w:pPr>
          </w:p>
        </w:tc>
        <w:tc>
          <w:tcPr>
            <w:tcW w:w="7920" w:type="dxa"/>
            <w:vAlign w:val="bottom"/>
            <w:gridSpan w:val="2"/>
          </w:tcPr>
          <w:p>
            <w:pPr>
              <w:ind w:left="2520"/>
              <w:spacing w:after="0"/>
              <w:rPr>
                <w:sz w:val="20"/>
                <w:szCs w:val="20"/>
                <w:color w:val="auto"/>
              </w:rPr>
            </w:pPr>
            <w:r>
              <w:rPr>
                <w:rFonts w:ascii="Arial" w:cs="Arial" w:eastAsia="Arial" w:hAnsi="Arial"/>
                <w:sz w:val="16"/>
                <w:szCs w:val="16"/>
                <w:color w:val="auto"/>
              </w:rPr>
              <w:t>Brian Poff</w:t>
            </w:r>
          </w:p>
        </w:tc>
      </w:tr>
      <w:tr>
        <w:trPr>
          <w:trHeight w:val="243"/>
        </w:trPr>
        <w:tc>
          <w:tcPr>
            <w:tcW w:w="3500" w:type="dxa"/>
            <w:vAlign w:val="bottom"/>
          </w:tcPr>
          <w:p>
            <w:pPr>
              <w:spacing w:after="0"/>
              <w:rPr>
                <w:sz w:val="21"/>
                <w:szCs w:val="21"/>
                <w:color w:val="auto"/>
              </w:rPr>
            </w:pPr>
          </w:p>
        </w:tc>
        <w:tc>
          <w:tcPr>
            <w:tcW w:w="7920" w:type="dxa"/>
            <w:vAlign w:val="bottom"/>
            <w:gridSpan w:val="2"/>
          </w:tcPr>
          <w:p>
            <w:pPr>
              <w:ind w:left="2520"/>
              <w:spacing w:after="0"/>
              <w:rPr>
                <w:sz w:val="20"/>
                <w:szCs w:val="20"/>
                <w:color w:val="auto"/>
              </w:rPr>
            </w:pPr>
            <w:r>
              <w:rPr>
                <w:rFonts w:ascii="Arial" w:cs="Arial" w:eastAsia="Arial" w:hAnsi="Arial"/>
                <w:sz w:val="16"/>
                <w:szCs w:val="16"/>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2"/>
    </w:lvl>
  </w:abstractNum>
  <w:abstractNum w:abstractNumId="3">
    <w:nsid w:val="7545E146"/>
    <w:multiLevelType w:val="hybridMultilevel"/>
    <w:lvl w:ilvl="0">
      <w:lvlJc w:val="left"/>
      <w:lvlText w:val="%1."/>
      <w:numFmt w:val="decimal"/>
      <w:start w:val="9"/>
    </w:lvl>
  </w:abstractNum>
  <w:abstractNum w:abstractNumId="4">
    <w:nsid w:val="515F007C"/>
    <w:multiLevelType w:val="hybridMultilevel"/>
    <w:lvl w:ilvl="0">
      <w:lvlJc w:val="left"/>
      <w:lvlText w:val="(%1)"/>
      <w:numFmt w:val="lowerRoman"/>
      <w:start w:val="1"/>
    </w:lvl>
  </w:abstractNum>
  <w:abstractNum w:abstractNumId="5">
    <w:nsid w:val="5BD062C2"/>
    <w:multiLevelType w:val="hybridMultilevel"/>
    <w:lvl w:ilvl="0">
      <w:lvlJc w:val="left"/>
      <w:lvlText w:val="%1"/>
      <w:numFmt w:val="decimal"/>
      <w:start w:val="10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57" Type="http://schemas.openxmlformats.org/officeDocument/2006/relationships/hyperlink" Target="http://www.sec.gov/Archives/edgar/data/1468328/000119312509238641/dex31.htm" TargetMode="External"/><Relationship Id="rId58" Type="http://schemas.openxmlformats.org/officeDocument/2006/relationships/hyperlink" Target="http://www.sec.gov/Archives/edgar/data/1468328/000119312513211165/d535575dex32.htm" TargetMode="External"/><Relationship Id="rId59" Type="http://schemas.openxmlformats.org/officeDocument/2006/relationships/hyperlink" Target="http://www.sec.gov/Archives/edgar/data/1468328/000119312509202215/dex41.htm" TargetMode="External"/><Relationship Id="rId60" Type="http://schemas.openxmlformats.org/officeDocument/2006/relationships/hyperlink" Target="http://www.sec.gov/Archives/edgar/data/1468328/000119312509150710/dex43.htm" TargetMode="External"/><Relationship Id="rId61" Type="http://schemas.openxmlformats.org/officeDocument/2006/relationships/hyperlink" Target="http://www.sec.gov/Archives/edgar/data/1468328/000119312519100844/d732350d8k.htm" TargetMode="External"/><Relationship Id="rId62" Type="http://schemas.openxmlformats.org/officeDocument/2006/relationships/hyperlink" Target="http://www.sec.gov/Archives/edgar/data/1468328/000119312519200611/d778833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2019-12-28T07:29:56Z</dcterms:created>
  <dcterms:modified xsi:type="dcterms:W3CDTF">2019-12-28T07:29:56Z</dcterms:modified>
</cp:coreProperties>
</file>