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
        <w:bookmarkStart w:id="0" w:name="adus-20241231.htm"/>
        <w:bookmarkStart w:id="1" w:name="ksadus20241231"/>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8" w:space="1" w:color="000000"/>
        </w:pBdr>
        <w:bidi w:val="0"/>
        <w:spacing w:before="0" w:after="8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10-K</w:t>
      </w:r>
    </w:p>
    <w:p>
      <w:pPr>
        <w:pStyle w:val="TextBody"/>
        <w:pBdr>
          <w:bottom w:val="single" w:sz="8" w:space="1" w:color="000000"/>
        </w:pBdr>
        <w:bidi w:val="0"/>
        <w:spacing w:before="0" w:after="80"/>
        <w:jc w:val="center"/>
        <w:rPr/>
      </w:pPr>
      <w:r>
        <w:rPr/>
        <w:t> </w:t>
      </w:r>
    </w:p>
    <w:p>
      <w:pPr>
        <w:pStyle w:val="TextBody"/>
        <w:bidi w:val="0"/>
        <w:jc w:val="left"/>
        <w:rPr/>
      </w:pPr>
      <w:r>
        <w:rPr/>
        <w:t> </w:t>
      </w:r>
    </w:p>
    <w:tbl>
      <w:tblPr>
        <w:tblW w:w="9867" w:type="dxa"/>
        <w:jc w:val="left"/>
        <w:tblInd w:w="0" w:type="dxa"/>
        <w:tblLayout w:type="fixed"/>
        <w:tblCellMar>
          <w:top w:w="28" w:type="dxa"/>
          <w:left w:w="28" w:type="dxa"/>
          <w:bottom w:w="28" w:type="dxa"/>
          <w:right w:w="28" w:type="dxa"/>
        </w:tblCellMar>
      </w:tblPr>
      <w:tblGrid>
        <w:gridCol w:w="821"/>
        <w:gridCol w:w="9046"/>
      </w:tblGrid>
      <w:tr>
        <w:trPr/>
        <w:tc>
          <w:tcPr>
            <w:tcW w:w="821"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821" w:type="dxa"/>
            <w:tcBorders/>
            <w:tcMar>
              <w:top w:w="0" w:type="dxa"/>
              <w:left w:w="0" w:type="dxa"/>
              <w:bottom w:w="0" w:type="dxa"/>
              <w:right w:w="0" w:type="dxa"/>
            </w:tcMar>
            <w:vAlign w:val="center"/>
          </w:tcPr>
          <w:p>
            <w:pPr>
              <w:pStyle w:val="TableContents"/>
              <w:bidi w:val="0"/>
              <w:spacing w:before="0" w:after="283"/>
              <w:ind w:left="0" w:right="0" w:firstLine="490"/>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pBdr/>
              <w:bidi w:val="0"/>
              <w:spacing w:before="0" w:after="283"/>
              <w:ind w:left="0" w:right="0" w:hanging="490"/>
              <w:jc w:val="left"/>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 the fiscal year ended December 31, 2024</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For the transition period from to</w:t>
      </w:r>
      <w:r>
        <w:rPr>
          <w:rFonts w:ascii="Times New Roman" w:hAnsi="Times New Roman"/>
          <w:color w:val="000000"/>
          <w:sz w:val="20"/>
        </w:rPr>
        <w:t xml:space="preserve"> </w:t>
      </w:r>
    </w:p>
    <w:p>
      <w:pPr>
        <w:pStyle w:val="TextBody"/>
        <w:bidi w:val="0"/>
        <w:spacing w:before="80" w:after="120"/>
        <w:jc w:val="center"/>
        <w:rPr>
          <w:rFonts w:ascii="Times New Roman" w:hAnsi="Times New Roman"/>
          <w:b/>
          <w:color w:val="000000"/>
          <w:sz w:val="16"/>
        </w:rPr>
      </w:pPr>
      <w:r>
        <w:rPr>
          <w:rFonts w:ascii="Times New Roman" w:hAnsi="Times New Roman"/>
          <w:b/>
          <w:color w:val="000000"/>
          <w:sz w:val="16"/>
        </w:rPr>
        <w:t>Commission file number 001-34504</w:t>
      </w:r>
    </w:p>
    <w:p>
      <w:pPr>
        <w:pStyle w:val="TextBody"/>
        <w:pBdr>
          <w:bottom w:val="single" w:sz="8" w:space="1" w:color="000000"/>
        </w:pBdr>
        <w:bidi w:val="0"/>
        <w:spacing w:before="0" w:after="80"/>
        <w:jc w:val="center"/>
        <w:rPr/>
      </w:pPr>
      <w:r>
        <w:rPr/>
        <w:t> </w:t>
      </w:r>
    </w:p>
    <w:p>
      <w:pPr>
        <w:pStyle w:val="TextBody"/>
        <w:bidi w:val="0"/>
        <w:jc w:val="center"/>
        <w:rPr>
          <w:rFonts w:ascii="Times New Roman" w:hAnsi="Times New Roman"/>
          <w:b/>
          <w:color w:val="000000"/>
          <w:sz w:val="38"/>
        </w:rPr>
      </w:pPr>
      <w:r>
        <w:rPr>
          <w:rFonts w:ascii="Times New Roman" w:hAnsi="Times New Roman"/>
          <w:b/>
          <w:color w:val="000000"/>
          <w:sz w:val="38"/>
        </w:rPr>
        <w:t>ADDUS HOMECARE CORPORATION</w:t>
      </w:r>
    </w:p>
    <w:p>
      <w:pPr>
        <w:pStyle w:val="TextBody"/>
        <w:bidi w:val="0"/>
        <w:spacing w:before="120" w:after="283"/>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8" w:space="1" w:color="000000"/>
        </w:pBdr>
        <w:bidi w:val="0"/>
        <w:spacing w:before="0" w:after="80"/>
        <w:jc w:val="center"/>
        <w:rPr/>
      </w:pPr>
      <w:r>
        <w:rPr/>
        <w:t> </w:t>
      </w:r>
    </w:p>
    <w:tbl>
      <w:tblPr>
        <w:tblW w:w="4671" w:type="dxa"/>
        <w:jc w:val="left"/>
        <w:tblInd w:w="0" w:type="dxa"/>
        <w:tblLayout w:type="fixed"/>
        <w:tblCellMar>
          <w:top w:w="28" w:type="dxa"/>
          <w:left w:w="28" w:type="dxa"/>
          <w:bottom w:w="28" w:type="dxa"/>
          <w:right w:w="28" w:type="dxa"/>
        </w:tblCellMar>
      </w:tblPr>
      <w:tblGrid>
        <w:gridCol w:w="3301"/>
        <w:gridCol w:w="109"/>
        <w:gridCol w:w="1261"/>
      </w:tblGrid>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20-5340172</w:t>
            </w:r>
          </w:p>
        </w:tc>
      </w:tr>
      <w:tr>
        <w:trPr/>
        <w:tc>
          <w:tcPr>
            <w:tcW w:w="330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5"/>
              </w:rPr>
            </w:pPr>
            <w:r>
              <w:rPr>
                <w:rFonts w:ascii="Times New Roman" w:hAnsi="Times New Roman"/>
                <w:color w:val="000000"/>
                <w:sz w:val="15"/>
              </w:rPr>
              <w:t>(State or other jurisdiction of</w:t>
            </w:r>
          </w:p>
          <w:p>
            <w:pPr>
              <w:pStyle w:val="TableContents"/>
              <w:bidi w:val="0"/>
              <w:spacing w:before="0" w:after="120"/>
              <w:jc w:val="center"/>
              <w:rPr>
                <w:rFonts w:ascii="Times New Roman" w:hAnsi="Times New Roman"/>
                <w:color w:val="000000"/>
                <w:sz w:val="15"/>
              </w:rPr>
            </w:pPr>
            <w:r>
              <w:rPr>
                <w:rFonts w:ascii="Times New Roman" w:hAnsi="Times New Roman"/>
                <w:color w:val="000000"/>
                <w:sz w:val="15"/>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5"/>
              </w:rPr>
            </w:pPr>
            <w:r>
              <w:rPr>
                <w:rFonts w:ascii="Times New Roman" w:hAnsi="Times New Roman"/>
                <w:color w:val="000000"/>
                <w:sz w:val="15"/>
              </w:rPr>
              <w:t>(I.R.S. Employer</w:t>
            </w:r>
          </w:p>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Identification No.)</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6303 Cowboys Way, Suite 600</w:t>
            </w:r>
            <w:r>
              <w:rPr>
                <w:rFonts w:ascii="Times New Roman" w:hAnsi="Times New Roman"/>
                <w:color w:val="000000"/>
                <w:sz w:val="18"/>
              </w:rPr>
              <w:t xml:space="preserve"> </w:t>
            </w:r>
            <w:r>
              <w:rPr>
                <w:rFonts w:ascii="Times New Roman" w:hAnsi="Times New Roman"/>
                <w:b/>
                <w:color w:val="000000"/>
                <w:sz w:val="18"/>
              </w:rPr>
              <w:t>Frisco, 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75034</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(Zip Code)</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469-535-8200</w:t>
      </w:r>
    </w:p>
    <w:p>
      <w:pPr>
        <w:pStyle w:val="TextBody"/>
        <w:bidi w:val="0"/>
        <w:jc w:val="center"/>
        <w:rPr>
          <w:rFonts w:ascii="Times New Roman" w:hAnsi="Times New Roman"/>
          <w:b/>
          <w:color w:val="000000"/>
          <w:sz w:val="15"/>
        </w:rPr>
      </w:pPr>
      <w:r>
        <w:rPr>
          <w:rFonts w:ascii="Times New Roman" w:hAnsi="Times New Roman"/>
          <w:b/>
          <w:color w:val="000000"/>
          <w:sz w:val="15"/>
        </w:rPr>
        <w:t>(Registrant’s telephone number, including area code)</w:t>
      </w:r>
    </w:p>
    <w:p>
      <w:pPr>
        <w:pStyle w:val="TextBody"/>
        <w:bidi w:val="0"/>
        <w:spacing w:before="80" w:after="283"/>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center"/>
        <w:rPr/>
      </w:pPr>
      <w:r>
        <w:rPr/>
        <w:t> </w:t>
      </w:r>
    </w:p>
    <w:tbl>
      <w:tblPr>
        <w:tblW w:w="7548" w:type="dxa"/>
        <w:jc w:val="left"/>
        <w:tblInd w:w="0" w:type="dxa"/>
        <w:tblLayout w:type="fixed"/>
        <w:tblCellMar>
          <w:top w:w="28" w:type="dxa"/>
          <w:left w:w="28" w:type="dxa"/>
          <w:bottom w:w="28" w:type="dxa"/>
          <w:right w:w="28" w:type="dxa"/>
        </w:tblCellMar>
      </w:tblPr>
      <w:tblGrid>
        <w:gridCol w:w="2506"/>
        <w:gridCol w:w="1561"/>
        <w:gridCol w:w="3481"/>
      </w:tblGrid>
      <w:tr>
        <w:trPr/>
        <w:tc>
          <w:tcPr>
            <w:tcW w:w="250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5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w:t>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ADUS</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Securities registered pursuant to Section 12(g) of the Act:</w:t>
      </w:r>
      <w:r>
        <w:rPr>
          <w:rFonts w:ascii="Times New Roman" w:hAnsi="Times New Roman"/>
          <w:color w:val="000000"/>
          <w:sz w:val="20"/>
        </w:rPr>
        <w:t xml:space="preserve"> </w:t>
      </w:r>
      <w:r>
        <w:rPr>
          <w:rFonts w:ascii="Times New Roman" w:hAnsi="Times New Roman"/>
          <w:color w:val="000000"/>
          <w:sz w:val="18"/>
        </w:rPr>
        <w:t>None</w:t>
      </w:r>
    </w:p>
    <w:p>
      <w:pPr>
        <w:pStyle w:val="TextBody"/>
        <w:pBdr>
          <w:bottom w:val="single" w:sz="8" w:space="1" w:color="000000"/>
        </w:pBdr>
        <w:bidi w:val="0"/>
        <w:spacing w:before="0" w:after="80"/>
        <w:jc w:val="center"/>
        <w:rPr/>
      </w:pPr>
      <w:r>
        <w:rPr/>
        <w:t> </w:t>
      </w:r>
    </w:p>
    <w:p>
      <w:pPr>
        <w:pStyle w:val="TextBody"/>
        <w:bidi w:val="0"/>
        <w:jc w:val="left"/>
        <w:rPr>
          <w:rFonts w:ascii="Times New Roman" w:hAnsi="Times New Roman"/>
          <w:sz w:val="20"/>
        </w:rPr>
      </w:pPr>
      <w:r>
        <w:rPr>
          <w:rFonts w:ascii="Times New Roman" w:hAnsi="Times New Roman"/>
          <w:color w:val="000000"/>
          <w:sz w:val="15"/>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Section 15(d) of the Exchange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230" w:type="dxa"/>
        <w:jc w:val="left"/>
        <w:tblInd w:w="0" w:type="dxa"/>
        <w:tblLayout w:type="fixed"/>
        <w:tblCellMar>
          <w:top w:w="28" w:type="dxa"/>
          <w:left w:w="28" w:type="dxa"/>
          <w:bottom w:w="28" w:type="dxa"/>
          <w:right w:w="28" w:type="dxa"/>
        </w:tblCellMar>
      </w:tblPr>
      <w:tblGrid>
        <w:gridCol w:w="1501"/>
        <w:gridCol w:w="376"/>
        <w:gridCol w:w="146"/>
        <w:gridCol w:w="1846"/>
        <w:gridCol w:w="361"/>
      </w:tblGrid>
      <w:tr>
        <w:trPr/>
        <w:tc>
          <w:tcPr>
            <w:tcW w:w="150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5"/>
        </w:rPr>
      </w:pPr>
      <w:r>
        <w:rPr>
          <w:rFonts w:ascii="Times New Roman" w:hAnsi="Times New Roman"/>
          <w:color w:val="000000"/>
          <w:sz w:val="15"/>
        </w:rPr>
        <w:t>The aggregate market value of the voting and non-voting common stock held by non-affiliates of the registrant, based on the last sale price on The Nasdaq Stock Market LLC on June 30, 2024 (the last business day of the registrant’s most recently completed second fiscal quarter) was approximately $2,061,491,000.</w:t>
      </w:r>
    </w:p>
    <w:p>
      <w:pPr>
        <w:pStyle w:val="TextBody"/>
        <w:bidi w:val="0"/>
        <w:spacing w:before="40" w:after="40"/>
        <w:jc w:val="center"/>
        <w:rPr>
          <w:rFonts w:ascii="Times New Roman" w:hAnsi="Times New Roman"/>
          <w:sz w:val="20"/>
        </w:rPr>
      </w:pPr>
      <w:r>
        <w:rPr>
          <w:rFonts w:ascii="Times New Roman" w:hAnsi="Times New Roman"/>
          <w:color w:val="000000"/>
          <w:sz w:val="15"/>
        </w:rPr>
        <w:t>As of February 18, 2025, there were 18,172,865</w:t>
      </w:r>
      <w:r>
        <w:rPr>
          <w:rFonts w:ascii="Times New Roman" w:hAnsi="Times New Roman"/>
          <w:color w:val="000000"/>
          <w:sz w:val="20"/>
        </w:rPr>
        <w:t xml:space="preserve"> </w:t>
      </w:r>
      <w:r>
        <w:rPr>
          <w:rFonts w:ascii="Times New Roman" w:hAnsi="Times New Roman"/>
          <w:color w:val="000000"/>
          <w:sz w:val="15"/>
        </w:rPr>
        <w:t>shares of common stock outstanding.</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jc w:val="left"/>
        <w:rPr>
          <w:rFonts w:ascii="Times New Roman" w:hAnsi="Times New Roman"/>
          <w:color w:val="000000"/>
          <w:sz w:val="15"/>
        </w:rPr>
      </w:pPr>
      <w:r>
        <w:rPr>
          <w:rFonts w:ascii="Times New Roman" w:hAnsi="Times New Roman"/>
          <w:color w:val="000000"/>
          <w:sz w:val="15"/>
        </w:rPr>
        <w:t>Certain portions of the registrant’s Definitive Proxy Statement for its 2024 Annual Meeting of Stockholders (which is expected to be filed with the Commission within 120 days after the end of the registrant’s 2023 fiscal year) are incorporated by reference into Part III of this Annual Report on Form 10-K.</w:t>
      </w:r>
    </w:p>
    <w:tbl>
      <w:tblPr>
        <w:tblW w:w="7056" w:type="dxa"/>
        <w:jc w:val="left"/>
        <w:tblInd w:w="0" w:type="dxa"/>
        <w:tblLayout w:type="fixed"/>
        <w:tblCellMar>
          <w:top w:w="28" w:type="dxa"/>
          <w:left w:w="28" w:type="dxa"/>
          <w:bottom w:w="28" w:type="dxa"/>
          <w:right w:w="28" w:type="dxa"/>
        </w:tblCellMar>
      </w:tblPr>
      <w:tblGrid>
        <w:gridCol w:w="1696"/>
        <w:gridCol w:w="331"/>
        <w:gridCol w:w="1006"/>
        <w:gridCol w:w="1876"/>
        <w:gridCol w:w="1186"/>
        <w:gridCol w:w="961"/>
      </w:tblGrid>
      <w:tr>
        <w:trPr/>
        <w:tc>
          <w:tcPr>
            <w:tcW w:w="16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15"/>
              </w:rPr>
            </w:pPr>
            <w:r>
              <w:rPr>
                <w:rFonts w:ascii="Times New Roman" w:hAnsi="Times New Roman"/>
                <w:color w:val="000000"/>
                <w:sz w:val="15"/>
              </w:rPr>
              <w:t>Auditor Firm PCAOB Id:</w:t>
            </w:r>
          </w:p>
        </w:tc>
        <w:tc>
          <w:tcPr>
            <w:tcW w:w="3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15"/>
              </w:rPr>
            </w:pPr>
            <w:r>
              <w:rPr>
                <w:rFonts w:ascii="Times New Roman" w:hAnsi="Times New Roman"/>
                <w:color w:val="000000"/>
                <w:sz w:val="15"/>
              </w:rPr>
              <w:t>238</w:t>
            </w:r>
          </w:p>
        </w:tc>
        <w:tc>
          <w:tcPr>
            <w:tcW w:w="100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15"/>
              </w:rPr>
            </w:pPr>
            <w:r>
              <w:rPr>
                <w:rFonts w:ascii="Times New Roman" w:hAnsi="Times New Roman"/>
                <w:color w:val="000000"/>
                <w:sz w:val="15"/>
              </w:rPr>
              <w:t>Auditor Name:</w:t>
            </w:r>
          </w:p>
        </w:tc>
        <w:tc>
          <w:tcPr>
            <w:tcW w:w="18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15"/>
              </w:rPr>
            </w:pPr>
            <w:r>
              <w:rPr>
                <w:rFonts w:ascii="Times New Roman" w:hAnsi="Times New Roman"/>
                <w:color w:val="000000"/>
                <w:sz w:val="15"/>
              </w:rPr>
              <w:t>PricewaterhouseCoopers LLP</w:t>
            </w:r>
          </w:p>
        </w:tc>
        <w:tc>
          <w:tcPr>
            <w:tcW w:w="118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15"/>
              </w:rPr>
            </w:pPr>
            <w:r>
              <w:rPr>
                <w:rFonts w:ascii="Times New Roman" w:hAnsi="Times New Roman"/>
                <w:color w:val="000000"/>
                <w:sz w:val="15"/>
              </w:rPr>
              <w:t>Auditor Location:</w:t>
            </w:r>
          </w:p>
        </w:tc>
        <w:tc>
          <w:tcPr>
            <w:tcW w:w="96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15"/>
              </w:rPr>
            </w:pPr>
            <w:r>
              <w:rPr>
                <w:rFonts w:ascii="Times New Roman" w:hAnsi="Times New Roman"/>
                <w:color w:val="000000"/>
                <w:sz w:val="15"/>
              </w:rPr>
              <w:t>Dallas, Texas</w:t>
            </w:r>
          </w:p>
        </w:tc>
      </w:tr>
    </w:tbl>
    <w:p>
      <w:pPr>
        <w:pStyle w:val="TextBody"/>
        <w:pBdr>
          <w:bottom w:val="sing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9"/>
        <w:gridCol w:w="146"/>
        <w:gridCol w:w="8282"/>
        <w:gridCol w:w="146"/>
        <w:gridCol w:w="602"/>
      </w:tblGrid>
      <w:tr>
        <w:trPr/>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029" w:type="dxa"/>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b/>
                  <w:color w:val="0000FF"/>
                  <w:sz w:val="20"/>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17</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b/>
                  <w:color w:val="0000FF"/>
                  <w:sz w:val="20"/>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31</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b/>
                  <w:color w:val="0000FF"/>
                  <w:sz w:val="20"/>
                  <w:u w:val="single"/>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31</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b/>
                  <w:color w:val="0000FF"/>
                  <w:sz w:val="20"/>
                  <w:u w:val="single"/>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31</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b/>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9"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33</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b/>
                  <w:color w:val="0000FF"/>
                  <w:sz w:val="20"/>
                  <w:u w:val="single"/>
                </w:rPr>
                <w:t>Market for Registrant’s Common Equity,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33</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563C1"/>
                  <w:sz w:val="20"/>
                  <w:u w:val="single"/>
                </w:rPr>
                <w:t>[</w:t>
              </w:r>
            </w:hyperlink>
            <w:hyperlink w:anchor="item_6_reserved">
              <w:r>
                <w:rPr>
                  <w:rStyle w:val="InternetLink"/>
                  <w:rFonts w:ascii="Times New Roman" w:hAnsi="Times New Roman"/>
                  <w:b/>
                  <w:color w:val="0000FF"/>
                  <w:sz w:val="20"/>
                  <w:u w:val="single"/>
                </w:rPr>
                <w:t>Reserved</w:t>
              </w:r>
            </w:hyperlink>
            <w:hyperlink w:anchor="item_6_reserved">
              <w:r>
                <w:rPr>
                  <w:rStyle w:val="InternetLink"/>
                  <w:rFonts w:ascii="Times New Roman" w:hAnsi="Times New Roman"/>
                  <w:color w:val="0563C1"/>
                  <w:sz w:val="20"/>
                  <w:u w:val="single"/>
                </w:rPr>
                <w: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33</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managements_discussion_analysis_financia">
              <w:r>
                <w:rPr>
                  <w:rStyle w:val="InternetLink"/>
                  <w:rFonts w:ascii="Times New Roman" w:hAnsi="Times New Roman"/>
                  <w:b/>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34</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7A.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b/>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52</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b/>
                  <w:color w:val="0000FF"/>
                  <w:sz w:val="20"/>
                  <w:u w:val="single"/>
                </w:rPr>
                <w:t>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52</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b/>
                  <w:color w:val="0000FF"/>
                  <w:sz w:val="20"/>
                  <w:u w:val="single"/>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52</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9A.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b/>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52</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9B.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b/>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53</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9C.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b/>
                  <w:color w:val="0000FF"/>
                  <w:sz w:val="20"/>
                  <w:u w:val="single"/>
                </w:rPr>
                <w:t>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53</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9" w:type="dxa"/>
            <w:tcBorders/>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54</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b/>
                  <w:color w:val="0000FF"/>
                  <w:sz w:val="20"/>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54</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b/>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54</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b/>
                  <w:color w:val="0000FF"/>
                  <w:sz w:val="20"/>
                  <w:u w:val="single"/>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54</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b/>
                  <w:color w:val="0000FF"/>
                  <w:sz w:val="20"/>
                  <w:u w:val="single"/>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54</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14_principal_accounting_fees_and_se">
              <w:r>
                <w:rPr>
                  <w:rStyle w:val="InternetLink"/>
                  <w:rFonts w:ascii="Times New Roman" w:hAnsi="Times New Roman"/>
                  <w:b/>
                  <w:color w:val="0000FF"/>
                  <w:sz w:val="20"/>
                  <w:u w:val="single"/>
                </w:rPr>
                <w:t>Principal Accounting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54</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9" w:type="dxa"/>
            <w:tcBorders/>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55</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b/>
                  <w:color w:val="0000FF"/>
                  <w:sz w:val="20"/>
                  <w:u w:val="single"/>
                </w:rPr>
                <w:t>Exhibits and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55</w:t>
            </w:r>
          </w:p>
        </w:tc>
      </w:tr>
      <w:tr>
        <w:trPr/>
        <w:tc>
          <w:tcPr>
            <w:tcW w:w="1029" w:type="dxa"/>
            <w:tcBorders/>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2"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b/>
                  <w:color w:val="0000FF"/>
                  <w:sz w:val="20"/>
                  <w:u w:val="single"/>
                </w:rPr>
                <w:t>Form 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CAUTION CONCERNING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included in this Annual Report on Form 10-K, or in other documents that we file with the Securities and Exchange Commission (“SEC”) or in statements made by or on behalf of the Company,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macroeconomic conditions, including inflation and interest rates, legislative and political developments, trade disruptions and the potential adverse effects of current conditions;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business disruptions due to inclement weather, natural disasters, acts of terrorism, pandemics, civil insurrection or social unrest;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operational and reimbursement processes and payment structures at the state or federal levels;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Medicaid, Medicare, other government program and managed care organizations’ policies and payment rates, and the timeliness of reimbursements received under government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or our failure to comply with, existing federal and state laws or regulations, or our failure to comply with new government laws or regulations on a timely basis;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decisions of the U.S. Supreme Court regarding the actions of federal agencies;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presidential administrations;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in the healthcare industry;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geographical concentration of our operations;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case mix of consumers and payment methodologies;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operational changes resulting from the assumption by managed care organizations of responsibility for managing and paying for our services to consumers;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nature and success of future financial and/or delivery system reforms;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estimates and judgments associated with critical accounting policies;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maintain or establish new referral sources;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renew significant agreements or groups of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attract and retain qualified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federal, state and city minimum wage pressure, including any failure of any governmental entity to enact a minimum wage offset and/or the timing of any such enactment;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payments and covered services due to the overall economic conditions and deficit reduction measures by federal and state governments, and our expectations regarding these changes;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containment initiatives undertaken by federal and state governmental and other third-party payors;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access financing through the capital and credit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meet debt service requirements and comply with covenants in debt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integrate and manage our information systems;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security breaches, cyber-attacks, loss of data, or cybersecurity threats or incidents, and any actual or perceived failures to comply with legal requirements related to the privacy of confidential consumer data and other sensitive information;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size and growth of the markets for our services, including our expectations regarding the markets for our services;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eligibility standards and limits on services imposed by state governmental agencies;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for litigation, audits and investigations;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discretionary determinations by government officials;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successfully implement our business model to grow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continue identifying, pursuing, consummating and integrating acquisition opportunities, including our ability to realize the anticipated benefits from the Gentiva Acquisition, and expanding into new geographic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acquisitions and dispositions on our business, including the potential inability to realize the benefits of potential acquisitions;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effectiveness, quality and cost of our services;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successfully execute our growth strategy;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tax rates;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other matters, many of which are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forward-looking statements are inherently subject to risks and uncertainties, some of which cannot be predicted or quantified, you should not rely on any forward-looking statement as a prediction of future events. We expressly disclaim any obligation or undertaking, and we do not intend to release publicly any updates or changes in our expectations concerning the forward-looking statements or any changes in events, conditions or circumstances upon which any forward-looking statement may be based, except as required by law. For a discussion of some of the factors discussed above as well as additional factors, see Part I, Item 1A—“Risk Factors” and Part II, Item 7—”Management’s Discussion and Analysis of Financial Condition and Results of Operations—Critical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otherwise provided, “Addus,” “we,” “us,” “our,” and the “Company” refer to Addus HomeCare Corporation and our consolidated subsidiaries and “Holdings” refers to Addus HomeCare Corporation. When we refer to 2024, 2023 and 2022, we mean the twelve-month period then ended December 31, unless otherwise provided.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copy of this Annual Report on Form 10-K for the year ended December 31, 2024 as filed with the SEC, including all exhibits, is available on our internet website at http://www.addus.com on the “Investors” page link. Information contained on, or accessible through, our website is not a part of, and is not incorporated by reference into,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240" w:after="283"/>
        <w:jc w:val="left"/>
        <w:rPr>
          <w:rFonts w:ascii="Times New Roman" w:hAnsi="Times New Roman"/>
          <w:sz w:val="20"/>
        </w:rPr>
      </w:pPr>
      <w:bookmarkStart w:id="4" w:name="item_1_business"/>
      <w:bookmarkEnd w:id="4"/>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Addus has been providing home care services since 1979. We operate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we provided services in 23 states through approximately 258 offices. For the year ended December 31, 2024, we served approximately 105,000 discrete consumers.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drive organic growth while also growing through acquisitions, focusing on growth in the states in which we have a presence while adding clinical care services to our offerings. As of December 31, 2024, we provide all three levels of care, personal care, home health and hospice services, in Ohio, Tennessee, Illinois and New Mexico and strategically continue to pursue other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our financial results is provided in the table below.</w:t>
      </w:r>
    </w:p>
    <w:p>
      <w:pPr>
        <w:pStyle w:val="TextBody"/>
        <w:bidi w:val="0"/>
        <w:jc w:val="left"/>
        <w:rPr/>
      </w:pPr>
      <w:r>
        <w:rPr/>
        <w:t> </w:t>
      </w:r>
    </w:p>
    <w:tbl>
      <w:tblPr>
        <w:tblW w:w="6257" w:type="dxa"/>
        <w:jc w:val="left"/>
        <w:tblInd w:w="0" w:type="dxa"/>
        <w:tblLayout w:type="fixed"/>
        <w:tblCellMar>
          <w:top w:w="28" w:type="dxa"/>
          <w:left w:w="28" w:type="dxa"/>
          <w:bottom w:w="28" w:type="dxa"/>
          <w:right w:w="28" w:type="dxa"/>
        </w:tblCellMar>
      </w:tblPr>
      <w:tblGrid>
        <w:gridCol w:w="3136"/>
        <w:gridCol w:w="146"/>
        <w:gridCol w:w="216"/>
        <w:gridCol w:w="954"/>
        <w:gridCol w:w="149"/>
        <w:gridCol w:w="149"/>
        <w:gridCol w:w="216"/>
        <w:gridCol w:w="954"/>
        <w:gridCol w:w="146"/>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Personal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856,581</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Hospice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228,191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Home health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69,827</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service revenue by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1,154,599</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1,412,634</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services and operating model address a number of crucial needs across the healthcare continuum. Care provided in the home generally costs less than facility-based care and is typically preferred by consumers and their families. By providing services in the home to the elderly and others who require long-term care and support with the activities of daily living, we lower the cost of chronic and acute care treatment by delaying or eliminating the need for care in more expensive settings. In addition, our caregivers observe and report changes in the condition of our consumers for the purpose of facilitating early intervention in the disease process, which often reduces the cost of medical services by preventing unnecessary emergency room visits and/or hospital admissions and re-admissions. We coordinate the services provided by our team with those of other healthcare providers and payors, as appropriate. Changes in a consumer’s conditions are evaluated by appropriately trained managers, which may result in a report to the consumer’s case manager at a managed care organization or other payor. By providing care in the preferred setting of the home and by providing opportunities to improve the consumer’s conditions and allow early intervention as indicated, our model also is designed to improve consumer outcomes and satisfaction.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our model provides significant value to managed care organizations. States predominantly deliver services to Medicaid enrollees through comprehensive managed care models, most of which are administered by managed care organizations. As a result, managed care organizations have assumed significant responsibility for the healthcare needs and the related healthcare costs of our consumers. Managed care organizations have an economic incentive to better manage the healthcare expenditures of their members, lower costs and improve outcomes. We believe that our model is well positioned to assist in meeting those goals while also improving consumer satisfaction, and, as a result, we expect increased referrals from managed care organizations.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Market and Opportunity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provide home care services that primarily include personal care services to assist with activities of daily living, as well as hospice and home health services. These services allow the elderly and other infirm adults who require long-term care and assistance with activities of daily living to maintain their independence at home with their families. Personal care services are a significant component of home and community-based services (“HCBS”), which have grown in significance and demand in recent years. In particular, the demand for personal care services is growing from managed care delivery models, including Medicaid Long-Term Services and Supports programs and Medicare Advantage plans. Managed care plans aim to manage cost, utilization and quality through collaboration of health insurance plans and healthcare providers. We also offer personal care services to private pay consumers. We expect demand for HCBS to continue to grow due to the aging of the U.S. population and improved opportunities for individuals to receive home-based care as an alternative to institutional 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our model serves an aging population in a home setting at a lower cost, we believe that we have favorable opportunities for growth. The personal care, hospice and home health service industries have developed in a fragmented manner, with many small participants and a few larger participants that have a significant market share across multiple regions or states. The historic lack of licensure or certification requirements in some states makes it difficult to estimate the number of home-based services agencies, although these requirements and other barriers to entry such as the operational requirements discussed in the next paragraph are increasing. We expect ongoing consolidation within our industry, driven by the desire of healthcare systems and managed care organizations to narrow their networks of service providers, and also by the industry’s increasingly complex regulatory, operating and technology requirements. We believe we are well-positioned to capitalize on these trends, given our reputation in the market, strong payor relationships and integration of technology into our business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personal care services industry is subject to increasing regulation. Many states require providers to register with regulatory authorities or obtain licenses. At the federal level, efforts have focused on improved coordination of regulation across the various types of Medicaid programs through which personal care services are offered. For example, federal standards require states to mandate that providers use an electronic visit verification (“EVV”) system to collect certain data from Medicaid-funded home visits. States that do not comply face incremental reductions in federal Medicaid funding. States have flexibility in the model they use to implement the mandate, which means EVV systems, vendors and contracting processes can vary significantly by state. Providers must dedicate substantial resources toward continuing compliance with all applicable laws and regulations, and significant expenditures may be necessary to offer new services or to expand into new markets. We believe licensing and other operational requirements and regulations, the increasing focus on improving health outcomes, the rising cost and complexity of operations and technology and pressure on reimbursement rates may discourage new providers and may encourage industry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consumers are predominantly “dual eligibles,” meaning they are eligible for both Medicare and Medicaid. Most dual-eligible individuals have full Medicaid benefits, covered either through Medicaid fee-for-service or Medicaid managed care, and most of these individuals have Medicare benefits separately covered under traditional Medicare or Medicare Advantage. The Medicare-Medicaid Coordination Office (“MMCO”) was established within the Centers for Medicare &amp; Medicaid Services (“CMS”) to improve services for dual-eligible individuals and improve coordination between the federal government and states to enhance access to quality services to which they are entitled. The MMCO works with state Medicaid agencies, other federal and state agencies, physicians and others, to make available technical assistance and educational tools to improve care coordination between Medicare and Medicaid and to reduce costs and improve beneficiary experience while reducing administrative and regulatory barriers between the programs. In addition, the MMCO and the CMS Innovation Center are considering or have implemented demonstration projects affecting reimbursement for services provided to dual eligibles, and some members of Congress and the presidential administration have raised potential changes such as integrating Medicare and Medicaid coverage for dual eligibles in a single plan or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personal care program and our technology make us well-suited to partner with managed care organizations to address the needs of the dual-eligible population, and we believe that our ability to identify changes in our consumers’ health and condition before acute intervention is required will lower the overall cost of care. We believe this approach to care delivery and the integration of our services into the broader healthcare continuum are particularly attractive to managed care organizations and others who are ultimately responsible for the healthcare needs of our consumers and over time will increase our business with these organizations.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Growth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of our revenues is closely correlated with the number of consumers to whom we provide our services. Our continued growth depends on our ability to provide consistent high-quality care, maintain our existing payor relationships, establish relationships with new payors, increase our referral sources and attract and retain caregivers. Our continued growth is also dependent upon the authorization by state agencies of new consumers to receive our services. We believe there are several market opportunities for growth as the population ages. Moreover, individuals generally prefer to receive care in their homes, and we believe the COVID-19 pandemic heightened this preference due to health concerns that may be associated with institutional settings for long-term care, along with concerns about the re-imposition of visitor restrictions that were imposed in many long-term care facilities in response to the pandemic. Finally, we believe the provision of home-based services is more cost-effective than the provision of similar services in institutional settings for long-term care. We plan to continue our revenue growth and enhance our competitive positioning by executing on the following growth strategies: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Consistently Provide High-Quality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schedule and require our caregivers to perform their services as defined within the individual plan of care. We monitor the performance of our caregivers through regular supervisory visits in the homes of consumers. Our caregivers are provided with pre-service training and orientation and an evaluation of their skills. In many cases, caregivers are also required to attend ongoing in-service education. In certain states, our caregivers are required to complete certified training programs and maintain a state certification. The training assists our caregivers with identifying changes in our consumers’ health and condition before acute intervention is required, which we believe lowers the overall cost of care.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Drive Organic Growth in Existing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drive organic growth through several initiatives, including continuing to build and enhance our sales and marketing capabilities, enhancing our business intelligence analytic capabilities, recruiting and retaining employees and investing in technology and operations to drive efficiencies. We also expect our organic growth will benefit from an increase in demand for our services by an aging population and our increased alignment with referral sources and payors. We continue to selectively open new offices in existing markets when an opportunity is identified and appropriate.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Market to Managed Care Organizations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large-scale provider of home-based care, we market to and partner with managed care organizations, taking advantage of an industry shift from traditional fee-for-service Medicare and Medicaid toward managed care models that aim to better coordinate care, among other goals. We expect this shift to lead to narrower provider networks where we can be competitive by offering a larger, more experienced partner to these organizations, as well as by providing more sophisticated technology, electronic visit records and an outcomes-driven approach to service. We believe our coordinated care model and integration of services into the broader healthcare industry are particularly attractive to managed care organizations. In particular, our expansion from primarily personal care services into hospice and home health has increased our value to our managed care partners by diversifying our home-based care offerings.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Grow Through Acquisitions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to our organic growth, we have been growing through acquisitions that have expanded our presence in current markets or facilitated our entry into new markets. We completed two acquisitions in 2024: the personal care business of Curo Health Services, LLC, a Delaware limited liability company that does business as Gentiva, consisting of certain equity interests </w:t>
      </w:r>
      <w:r>
        <w:rPr>
          <w:rFonts w:ascii="Times New Roman" w:hAnsi="Times New Roman"/>
          <w:color w:val="212529"/>
          <w:sz w:val="20"/>
        </w:rPr>
        <w:t>and assets and liabilities, on December 2, 2024 (collectively, the “Gentiva Acquisition”), and Upstate Home Care Solutions (“Upstate”) on March 9, 2024</w:t>
      </w:r>
      <w:r>
        <w:rPr>
          <w:rFonts w:ascii="Times New Roman" w:hAnsi="Times New Roman"/>
          <w:color w:val="000000"/>
          <w:sz w:val="20"/>
        </w:rPr>
        <w:t>. Acquisitions completed in 2024 accounted for $22.6 million in net service revenues for the year ended December 31, 2024. We completed two acquisitions in 2023: Coastal Nursecare of Florida, Inc. (“CareStaff”) on January 1, 2023 and American Home Care, LLC, a Tennessee limited liability company (“AHC”), and its subsidiaries, Homecare, LLC, a Tennessee limited liability company (“Homecare”), Tennessee Valley Home Care, LLC (d/b/a Tennessee Quality Care – Home Health), a Tennessee limited liability company (“TQC – Home Health”), and Tri-County Home Health and Hospice, LLC (d/b/a Tennessee Quality Care - Hospice), a Tennessee limited liability company (“TQC – Hospice”, and collectively with AHC, Homecare and TQC – Home Health, “Tennessee Quality Care”) on August 1, 2023. Acquisitions completed in 2023 accounted for $18.8 million in net service revenues for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active pipeline and strong financial position support additional acquisitions. With rising consolidation pressures in the industry, our focus is on identifying growing markets with favorable demographics in states that are fiscally well managed and have a reasonable minimum wage environment and where we have the potential to become one of the leading providers in the state in order to support our managed care organization strategy. We believe our experience identifying and executing on opportunities generated by our acquisition pipeline, as well as our history of integrating acquisitions, will lead to additional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three business segments: personal care, hospice and home health. Without our services, many of our consumers would be at increased risk of hospitalization or placement in a long-term care institution.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Personal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personal care segment provides non-medical assistance with activities of daily living, primarily to persons who are at increased risk of hospitalization or institutionalization, such as the elderly, chronically ill or disabled. The services we provide include assistance with bathing, grooming, oral care, feeding and dressing, medication reminders, meal planning and preparation, housekeeping and transportation services. Many consumers need such services on a long-term basis to address chronic or acute conditions. Our personal care segment also includes staffing services, with clients including assisted living facilities, nursing homes and hospice facilities. Each payor client establishes its own eligibility standards, determines the type, amount, duration and scope of services, and establishes the applicable reimbursement rate in accordance with applicable laws, regulations or contracts.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Hospice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hospice segment provides physical, emotional and spiritual care for people who are terminally ill as well as related services for their families. The hospice services we provide include palliative nursing care, social work, spiritual counseling, homemaker services and bereavement counseling. Generally, patients receiving hospice services have a life expectancy of six months or less.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Home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home health segment provides services that are primarily medical in nature to individuals who may require assistance during an illness or after hospitalization and include skilled nursing and physical, occupational and speech therapy. We generally provide home health services on a short-term, intermittent or episodic basis to individuals, typically to assist patients recovering from an illness or injury.</w:t>
      </w:r>
    </w:p>
    <w:p>
      <w:pPr>
        <w:pStyle w:val="TextBody"/>
        <w:bidi w:val="0"/>
        <w:spacing w:before="240" w:after="283"/>
        <w:jc w:val="left"/>
        <w:rPr>
          <w:rFonts w:ascii="Times New Roman" w:hAnsi="Times New Roman"/>
          <w:sz w:val="20"/>
        </w:rPr>
      </w:pPr>
      <w:r>
        <w:rPr>
          <w:rFonts w:ascii="Times New Roman" w:hAnsi="Times New Roman"/>
          <w:color w:val="000000"/>
          <w:sz w:val="20"/>
        </w:rPr>
        <w:t>We measure the performance of each segment using a number of different metrics. See “</w:t>
      </w:r>
      <w:r>
        <w:rPr>
          <w:rFonts w:ascii="Times New Roman" w:hAnsi="Times New Roman"/>
          <w:i/>
          <w:color w:val="000000"/>
          <w:sz w:val="20"/>
        </w:rPr>
        <w:t>Management’s Discussion and Analysis of Financial Condition and Results of Operations—Results of Operations</w:t>
      </w:r>
      <w:r>
        <w:rPr>
          <w:rFonts w:ascii="Times New Roman" w:hAnsi="Times New Roman"/>
          <w:color w:val="000000"/>
          <w:sz w:val="20"/>
        </w:rPr>
        <w:t>” for information regarding the Company’s segment metrics.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payor clients are principally federal, state and local governmental agencies and managed care organizations. The federal, state and local programs under which the agencies operate are subject to legislative, administrative and budgetary restrictions, changes and other risks that can influence reimbursement rates. Managed care organizations that effectively operate as an extension of government payors are subject to similar economic pressures. Our commercial insurance payor clients are typically for-profit companies and are continuously seeking opportunities to control costs.</w:t>
      </w:r>
    </w:p>
    <w:p>
      <w:pPr>
        <w:pStyle w:val="TextBody"/>
        <w:bidi w:val="0"/>
        <w:spacing w:before="240" w:after="283"/>
        <w:jc w:val="left"/>
        <w:rPr>
          <w:rFonts w:ascii="Times New Roman" w:hAnsi="Times New Roman"/>
          <w:sz w:val="20"/>
        </w:rPr>
      </w:pPr>
      <w:r>
        <w:rPr>
          <w:rFonts w:ascii="Times New Roman" w:hAnsi="Times New Roman"/>
          <w:color w:val="000000"/>
          <w:sz w:val="20"/>
        </w:rPr>
        <w:t>Most of our services are provided pursuant to agreements with state and local governmental social and aging service agencies. These agreements generally have an initial term of one to two years and may be terminated with 60 days’ notice. They are typically renewed for one to five-year terms, provided that we have complied with licensing, certification and program standards, and other regulatory requirements. Reimbursement rates and methods vary by state and service type, but are typically based on an hourly or unit-of-service basis. Managed care organizations are a significant portion of our personal care segment payor mix as a result of states shifting from administering fee-for-service programs to utilizing managed care models. See “</w:t>
      </w:r>
      <w:r>
        <w:rPr>
          <w:rFonts w:ascii="Times New Roman" w:hAnsi="Times New Roman"/>
          <w:i/>
          <w:color w:val="000000"/>
          <w:sz w:val="20"/>
        </w:rPr>
        <w:t>Management’s Discussion and Analysis of Financial Condition and Results of Operations—Overview</w:t>
      </w:r>
      <w:r>
        <w:rPr>
          <w:rFonts w:ascii="Times New Roman" w:hAnsi="Times New Roman"/>
          <w:color w:val="000000"/>
          <w:sz w:val="20"/>
        </w:rPr>
        <w:t>” for our revenue mix by payor type.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industry is highly competitive, fragmented and market specific. Each local market has its own competitive profile, and no single competitor has significant market share across all of our markets. Other providers, entities and individuals in the communities we serve provide services similar to those we offer. Our competition consists of personal care service providers, home health providers, hospice providers, private caregivers, publicly held companies, privately held companies, privately held single-site agencies, hospital-based agencies, not-for-profit organizations, community-based organizations, managed care organizations and self-directed care programs. Some of our competitors and/or competitive care models may have greater financial, technical, political and marketing resources, as well as name recognition with consumers and payors. We have experienced, and expect to continue to experience, competition from new entrants into our markets. Increased competition may result in pricing pressures, loss of or failure to gain market share or loss of consumers or payors, any of which could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strategies are designed to help our service lines remain competitive. Factors that impact our competitive position include the quality of care and services we provide, our ability to attract and retain caregivers and other personnel, our relationships with potential referral sources and our ability to retain and renew our contracts with payors and enter into new contracts on favorable terms. The trend toward increased consolidation among payors tends to increase payor bargaining power over fee structures. Trends toward clinical and pricing transparency may also impact our competitive position, ability to obtain and maintain favorable contract terms and consumer volumes. A number of states have adopted their own healthcare price transparency requirements. CMS websites make available to the public data submitted by home health agencies, hospices and other Medicare-certified providers in connection with Medicare reimbursement claims, including performance data on quality measures and patient satisfaction. In addition, federal and state regulations, including state certificate of need (“CON”) laws, which limit the expansion of healthcare facilities or services, may affect the competitive landscape.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focus on initiating and maintaining working relationships with state and local governmental agencies responsible for the oversight and provision of the services we offer. We target these agencies in our current markets and in geographical areas that we have identified as potential markets for expansion. We also seek to identify service needs or changes in the service delivery or reimbursement systems of governmental entities and attempt to work with and provide input to the responsible government personnel, provider associations and consumer advocacy groups.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focus on establishing new and maintaining existing referral relationships with various managed care organizations that contract with the states to service the Medicaid programs. We believe these relationships are necessary to generate continued referrals of new clients in markets we serve.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receive substantially all of our personal care consumers through third-party referrals, including state departments and local government agencies on aging, social services, rehabilitation, mental health and children’s services, managed care organizations and the Veterans Health Administration. Generally, family members of potential consumers are made aware of available in-home services or alternative living arrangements through state or local case management systems, which may be operated by governmental or private agencies.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provide ongoing education and outreach in our target communities in order to inform the community about state and locally-subsidized care options and to communicate our role in providing quality personal care services. We also utilize consumer-directed sales, marketing and advertising programs designed to attract consumers.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our hospice and home health patients, we receive substantially all of our referrals through other healthcare providers, such as hospitals, physicians, nursing homes and assisted living facilities. We have a team of community liaisons in our hospice and home health operations that educate and develop relationships with other healthcare providers and the community at large.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Payment for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of the reimbursement we receive for services we provide comes from federal, state and local government programs, such as Medicare, Medicaid and other state programs, managed care organizations and the Veterans Health Administration. In addition, we are reimbursed by commercial insurance and private pay consumers. Depending on the type of service, coverage for services may be predicated on a case manager, physician or nurse determination that the care is necessary or on the development of a plan for care in the home.</w:t>
      </w:r>
    </w:p>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Medicare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Medicare is a federal program that provides certain medical insurance benefits to persons aged 65 or older, some disabled persons, persons with end-stage renal disease and persons with amyotrophic lateral sclerosis. Each of our hospice and home care agencies must comply with the extensive conditions of participation in the Medicare program in order to continue receiving Medicare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reimbursement adjustments and policies discussed below, the Budget Control Act of 2011 requires automatic spending reductions to reduce the federal deficit, resulting in a uniform percentage reduction across all Medicare programs of 2%. These cuts continue through the first eight months of federal fiscal year 2032.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Hospice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Medicare beneficiaries who have a terminal illness and a life expectancy of six months or less may elect to receive hospice benefits (i.e., palliative services for management of a terminal illness) in lieu of standard Medicare coverage for treatment. Hospice services are paid under the Medicare Hospice Prospective Payment System (“HPPS”), under which CMS sets a daily rate for each day a patient is enrolled in the hospice benefit. The daily rate depends on the level of care provided to a patient (routine home care, continuous home care, inpatient respite care, or general inpatient care). CMS requires hospice providers to submit quality reporting data each year and updates hospice payment rates annually using a market basket index. Hospices that do not satisfy quality reporting requirements are subject to a 4 percentage point reduction to the market basket percentage update. Additionally, hospice providers are subject to two specific payment limit caps under the Medicare program each federal fiscal year: the inpatient cap and the aggregate cap.</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Home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CMS reimburses home health agencies under a prospective payment system, paying a national, standardized 30-day period payment rate if a period of care meets a threshold of home health visits. The daily home health payment rate is adjusted for case-mix and area wage levels. CMS uses the Patient-Driven Groupings Model (“PDGM”) as the case-mix classification model to place periods of care into payment categories, classifying patients based on clinical characteristics. An outlier adjustment may be paid for periods of care in which costs exceed a specific threshold amount. CMS updates home health payment rates annually using a market basket index. Home health agencies that do not submit required quality data are subject to a 2 percentage point reduction to the market basket update. Under the Home Health Value-Based Purchasing (“HHVBP”) Model, home health agencies receive increases or reductions to their Medicare fee-for-service payments of up to 5%, based on performance against specific quality measures relative to the performance of other home health providers. Data collected in each performance year impacts Medicare payments two years later.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Medicare requires home health agencies to submit a one-time Notice of Admission (“NOA”) for each patient that establishes that the beneficiary is under a Medicare home health period of care. Failure to submit the NOA within five calendar days from the start of care date will result in a reduction to the 30-day period payment amount for each day from the start of care date until the date the NOA is submitted.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Medicaid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Medicaid is a state-administered program that provides certain social and medical services to qualifying low-income individuals and is jointly funded by the federal government and individual states. The federal government pays a percentage match for state Medicaid expenditures that varies by state and other factors, with no pre-set limit on federal spending. Reimbursement rates and methods vary by state and service type, but are typically based on an hourly or unit-of-service rate. Rates are subject to adjustment based on statutory and regulatory changes, administrative rulings, government funding limitations and interpretations of policy by individual state agencies. Within guidelines established by federal statutes and regulations, and subject to federal oversight, each state establishes its own eligibility standards, determines the type, amount, duration and scope of services, sets the rate of payment for services and administers its own program. States typically cover intermittent home health services for Medicaid beneficiaries, but cover continuous services for children and young adults with complicated medical conditions and home and community-based services for seniors and people with disabilities.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models vary by state. Home health services are often reimbursed by state Medicaid programs on a fee-for-service basis. For hospice services, the state pays an amount for each day that a beneficiary is under the care of a hospice provider based on the type and intensity of services furnished. Many states are moving the administration of their Medicaid hospice and home healthcare programs to managed care organizations in order to effectively manage costs by making spending more predictable for states. Personal care services and other HCBS are largely reimbursed on a fee-for-service basis. In states that deliver HCBS through managed care, reimbursement can be set as a percentage of the Medicaid fee-for-service rates or otherwise tied to state fee-for-service schedules. Some states use supplemental payment arrangements to make additional payments to providers that are separate from base payments and not specifically tied to an individual’s care. For example, some supplemental payments are intended to address the difference between Medicaid fee-for-service payments and Medicare reimbursement rates, or payments under other state-specific programs. These supplemental reimbursement arrangements are generally authorized by CMS for a specified period of time and require CMS’ approval to be extended.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government and many states are using or considering various strategies to reduce Medicaid expenditures. Outside of the government response to the COVID-19 pandemic, federal and state budgetary pressures have, in recent years, resulted, and likely will continue to result, in decreased spending or decreased spending growth for Medicaid programs. For example, many states have adopted, or are considering, legislation that may reduce coverage and/or enroll Medicaid recipients in managed care programs. Managed Medicaid programs enable states to contract with entities for patient enrollment, care management and claims adjudication, with states usually retaining program responsibilities for financing, eligibility criteria and core benefit plan design. Many states have implemented state-directed payment (“SDP”) arrangements to direct certain Medicaid managed care plan expenditures. These arrangements, which are subject to approval by CMS, allow states to implement delivery system and provider payment initiatives by requiring Medicaid managed care organizations to pay providers according to specific rates or methods. For example, SDP arrangements may require managed care plans to implement value-based purchasing models or performance improvement initiatives or may direct managed care plans to adopt specific payment parameters, such as minimum or maximum fee schedules for specific types of providers. Some states have converted supplemental payment programs to SDP arrangements, diverting previously available funding. SDP arrangements can be limited to a specific subset of providers, and providers that do not satisfy applicable criteria may be ineligible for payments. The use and nature of SDP arrangements are subject to policy changes. For example, CMS published a rule (the “Medicaid Managed Care Rule”) in May 2024 that addresses access, financing and quality within Medicaid managed care programs. The rule includes new and updated requirements for SDP arrangements designed for a more consistent and transparent approach for participating states. The rule removes regulatory barriers to help states use SDP arrangements to implement value-based purchasing payment arrangements and include non-network providers in SDP arrangements. Further, the rule requires states to ensure each provider receiving an SDP attest by January 1, 2028, that they do not participate in any arrangement that holds taxpayers harmless for the cost of a tax. The various elements of the rule take effect between issuance and early 2028.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some states use, or have applied to use, waivers granted by CMS to impose non-standard eligibility or enrollment restrictions, implement Medicaid expansion under the Patient Protection and Affordable Care Act, as amended by the Health Care and Education Reconciliation Act of 2010 (collectively, the “ACA”), or otherwise implement programs that vary from federal standards. For example, over three-quarters of Medicaid beneficiaries in Illinois are a part of the HealthChoice Illinois statewide managed care program, which is serviced by various managed care organizations and includes senior citizens, adults with disabilities who are not eligible for Medicare, and dual eligibles receiving certain long-term services and supports. In recent years, aspects of existing or proposed Medicaid programs have been subject to legal challenge, resulting in uncertainty. In addition, federal legislation and administrative policies that shape administration of the Medicaid programs at the state level are subject to change, including as a result of changes in the presidential administration and legal challenges. Changes to the federal funding formula for Medicaid could also have a significant impact on Medicaid programs and enrollment, particularly if federal contributions for Medicaid programs decrease and states are unable to offset the reductions.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Illinois Department on Aging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amount of our net service revenues from our personal care segment are derived from one specific payor client, the Illinois Department on Aging, which accounted for 21.0% and 20.9% of our net service revenues for 2024 and 2023, respectively. The Illinois Department on Aging coordinates programs and community-based services intended to improve quality of life and preserve the independence of older individuals. The Illinois Department on Aging is funded by Medicaid, Illinois’ Commitment to Human Services Fund, and general revenue funds of the state of Illinois, and also receives funding available under the federal Older Americans Act (“OAA”). The Illinois Department on Aging’s Community Care Program (“CCP”) provides adult day services, emergency home response, automated medication dispenser services, and in-home services, which include personal care services, to individuals who are age 60 and over and meet other eligibility requirements. Some of these services are provided through a Medicaid waiver granted by CMS.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Consumers are identified by “care coordinators” contracted independently with local organizations affiliated with the Illinois Department on Aging. Once a consumer has been evaluated and determined to be eligible for a program, an assigned care coordinator refers the consumer to a list of authorized providers, from which the consumer selects the provider. We provide our services in accordance with a care plan developed by the care coordinator and under administrative directives from the Illinois Department on Aging. We are reimbursed on an hourly fee-for-service basis.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Veterans Health Administration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Veterans Health Administration operates the nation’s largest integrated healthcare system, with more than 1,300 healthcare facilities, and provides healthcare benefits, including personal care, hospice and home health services, to eligible military veterans. The Veterans Health Administration provides funding to regional and local offices and facilities that support the in-home care needs of eligible aged and disabled veterans. Services are funded by local Veterans Medical Centers and the aid and attendance pension, which reimburses veterans for their otherwise unreimbursed health and long-term care expenses. We currently have relationships and agreements with the Veterans Health Administration to provide personal care services in several states, principally in New Mexico, Illinois and California.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sources of funding are available to support personal care, hospice and home health services in different states and localities. For example, many states appropriate general funds or special use funds through targeted taxes or lotteries to finance personal care services for senior citizens and individuals with disabilities. Depending on the state, these funds may be used to supplement existing Medicaid programs or for distinct programs that serve non-Medicaid eligible consumers.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Commercial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long-term care insurance policies contain benefits for in-home services. Policies are generally subject to dollar limitations on the amount of daily, weekly or monthly coverage provided.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Private Pay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private pay services are provided on an hourly or type of services basis. Our rates are established to achieve a pre-determined gross margin, and are competitive with those of other local providers. We bill our private pay consumers for services rendered weekly, bi-monthly or monthly. Other private payors include workers’ compensation programs/insurance, preferred provider organizations and employers.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Value-Based Care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CMS has indicated that promoting value-based, person-centered care is among its top priorities, and commercial payors are also increasingly using value-based care arrangements. Generally, value-based care aims to hold providers accountable for delivering efficient, effective care by tying provider reimbursement to patient outcomes or related measures. Value-based care arrangements vary in the method for determining payments and the level of risk assumed, among other factors. For example, Medicare reimbursement may be adjusted based on quality and efficiency measures and/or compliance with quality reporting requirements. In addition, CMS websites make available to the public data submitted by home health agencies, hospices, and other Medicare-certified providers in connection with Medicare reimbursement claims, including performance data on quality measures and patient satisfaction. CMS uses quality information to administer other value-based care models, such as the HHVBP Model, under which home health agencies receive increases or reductions to their Medicare fee-for-service payments based on their performance against specific quality measures, relative to the performance of other home health agencies. CMS also identifies hospices for the Hospice Special Focus Program based on quality information. Through this program, which the agency launched in late 2024 to increase accountability for quality of care, CMS monitors hospices identified as poor performers, providing additional health and safety oversight intended to enable improvement. The CMS website makes publicly available information about hospices selected for the program. Hospices that fail to complete the Hospice Special Focus Program by demonstrating compliance with program requirements may be subject to enforcement actions, including termination from the Medicare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2030, the CMS Innovation Center aims to have all fee-for-service Medicare beneficiaries and most Medicaid beneficiaries in a care relationship with accountability for quality and total cost of care. An accountable care organization (“ACO”), an example of a value-based care model, is a group of providers and suppliers that work together to invest in infrastructure and redesign delivery processes to achieve high quality and efficient delivery of services. ACOs are intended to produce savings through improved quality and operational efficiency. ACOs that achieve quality performance standards established by HHS are eligible to share in a portion of the amounts saved by the Medicare program. Several private third-party payors are also increasingly employing alternative payment models, which may increasingly shift financial risk to providers or increase payments for quality improvement. We expect value-based purchasing programs, including models that condition reimbursement on patient outcome measures, to become more common with both governmental and non-governmental payors.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Insurance Programs and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workers’ compensation, general and professional liability, cyber, automobile, directors’ and officers’ liability, fiduciary liability and excess liability insurance. We offer various health insurance plans to eligible full-time and part-time employees. We believe our insurance coverage and self-insurance reserves are adequate for our current operations. However, we cannot be certain that any potential losses or asserted claims will not exceed such insurance coverage and self-insurance reserves.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Human Capital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breakdown of our part- and full-time employees, including the employees in our corporate support center, as of December 31, 2024:</w:t>
      </w:r>
    </w:p>
    <w:p>
      <w:pPr>
        <w:pStyle w:val="TextBody"/>
        <w:bidi w:val="0"/>
        <w:jc w:val="left"/>
        <w:rPr/>
      </w:pPr>
      <w:r>
        <w:rPr/>
        <w:t> </w:t>
      </w:r>
    </w:p>
    <w:tbl>
      <w:tblPr>
        <w:tblW w:w="5687" w:type="dxa"/>
        <w:jc w:val="left"/>
        <w:tblInd w:w="0" w:type="dxa"/>
        <w:tblLayout w:type="fixed"/>
        <w:tblCellMar>
          <w:top w:w="28" w:type="dxa"/>
          <w:left w:w="28" w:type="dxa"/>
          <w:bottom w:w="28" w:type="dxa"/>
          <w:right w:w="28" w:type="dxa"/>
        </w:tblCellMar>
      </w:tblPr>
      <w:tblGrid>
        <w:gridCol w:w="2356"/>
        <w:gridCol w:w="146"/>
        <w:gridCol w:w="155"/>
        <w:gridCol w:w="611"/>
        <w:gridCol w:w="146"/>
        <w:gridCol w:w="146"/>
        <w:gridCol w:w="146"/>
        <w:gridCol w:w="676"/>
        <w:gridCol w:w="146"/>
        <w:gridCol w:w="146"/>
        <w:gridCol w:w="146"/>
        <w:gridCol w:w="676"/>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Caregivers and agency staff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support centers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Addus, our people are crucial to our mission. Our Addus CARES commitment to human capital excellence inspires a culture that attracts, retains, and engages our employees to serve our important mission, and it is fundamental to our corporate philosophy.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Workforce Composition: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workforce is a dynamic and diverse assembly of talent. At the core of our operations is a dedicated team of 5,548 full-time caregivers, clinical staff, and administrative employees. Complementing their efforts are 43,517 part-time caregivers and administrative employees. We offer flexibility in the form of adaptable work options, which may not be as readily available in other industries. In our most recent annual employee engagement survey, our workforce scored work-life balance at an 80% satisfaction rating.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over 600 administrative and professional employees at our two corporate support centers.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Approximately 17,283 or 34.8% of our total employees are represented by labor unions. We maintain strong working relationships with these labor unions. We have numerous collective bargaining agreements with local affiliates of the Service Employees International Union (“SEIU”), which are renegotiated from time to time.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People Development and Experience: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in a strong workplace culture focused on people development. We have named this initiative “Addus CARES”, which represents our commitment to creating a culture that attracts, retains, and engages people to serve our important mission. We aspire to create a workplace that values and listens to its employees, provides ample opportunities for their skills development, and effectively recognizes their achievements. By leveraging our People Development and Experience Department, we aspire to create a workplace that values and listens to its employees, provides ample opportunities for their skills development, and effectively recognizes their achievements throughout the employee life cycle.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Addus prioritizes a robust listening strategy that offers regular feedback opportunities throughout an employee’s tenure. We leverage tools such as our annual engagement survey and a newly introduced innovative tool for conducting more effective one-on-one conversations between supervisors and employees, allowing for more open communication and the opportunity to better address our employees’ needs and concerns.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dedication to workforce experience is also reflected in the breadth of our training programs and our ongoing commitment to employee development, including our Ignite and Emerge employee development programs. Ignite equips new leaders with the necessary skills, tools, and resources to lead within our organizational culture and values. Emerge cultivates future leaders, strengthening our future with a diverse internal leadership pipeline for potential future promotions. Additionally, Addus deploys ongoing learning opportunities throughout the employee life cycle via the Addus Learning Academy and clinical learning management systems. The Addus Learning Academy allows employees to access online resources needed to build and enhance the important skills related to their respective roles at Addus and to provide beneficial soft-skills training for personal growth. Addus’ clinical learning management systems provide a catalog of continuing learning opportunities for patient-facing employees to improve their clinical skills and promote consistent, quality 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it is important to acknowledge our employees and managers who are carrying our mission and values forward every day, and we are committed to fostering employee engagement through effective recognition programs and communications. The Addus Elite employee recognition program consists of three levels of employee recognition: real-time peer-to-peer, quarterly company-wide, and annual Addus Elite Hall of Fame. All three components are designed to recognize and celebrate the work our employees do daily. Additionally, we have focused our organizational communication tools to disseminate vital company information more efficiently and effectively through the Addus Resource Center, AddusConnect, and Addus Ink. The Addus Resource Center is a company information portal for on-demand company information. AddusConnect is a biweekly e-newsletter that succinctly features important company updates, information, and resources. Addus Ink is a semi-annual publication that highlights local stories and news from around the country that celebrate our mission and values.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Employee Welfare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our commitment to providing high quality care and service to our clients and patients, while also promoting the health and well-being of our employees, Addus takes a multifaceted approach to employee wellness and safety.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strategically designed benefit offerings, Addus provides access to healthcare coverage that balances the medical needs of our workforce with affordability for our diverse employment populations. In addition, the company aims to assist in the financial well-being of our workforce through company benefits such as early wage access programs, an employee discount marketplace, and educational resources for employees on financial well-being. Addus offers a non-profit employee disaster relief fund program, Addus ACTS, that provides emergency financial grants for employees in need.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Addus maintains a structured workplace safety program throughout the employee life cycle that provides job-relevant education, training, and skills focused on both the prevention of workplace injuries and improving awareness of mitigation efforts, should risks materialize on the job. Through these comprehensive safety efforts, the Addus safety program enhances our ability to provide consistent and quality client care and service.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Talent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Talent acquisition is a strategic imperative of the company, and our Addus CARES culture is committed to attracting, retaining, and engaging talent. Our commitment to talent acquisition is evident in both our internal mobility efforts and our external recruitment. Internally, the company provides a tuition reimbursement program designed to encourage the continued educational pursuit of academic degrees that prepare employees for their next logical internal career progression, or that improve their ability to perform their current role. Clinical ladder initiatives focus on clinical certification advancement of existing employees. External recruitment has been bolstered by new investments in job search efforts, programmatic job advertising, and new recruitment technologies, most recently with the introduction of an artificial intelligence (“AI”) powered conversation and scheduling assistant designed to engage in real-time with potential job candidates. Recruitment strategies, including company-wide hiring events, local partnerships with colleges and nursing schools, sponsored clinical rotations, and student scholarships have better positioned the company to attract top talent.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utilize multiple applications to support our various lines of business and locations for patient accounting. Each application supports its respective line of business and locations with administrative, office, clinical and operating information system needs, including compliance of our operating systems with federal and state privacy, security and interoperability requirements. Each assists our staff in gathering information to improve the quality of consumer care, optimize financial performance, promote regulatory compliance and enhance staff efficiency. Each application is hosted by the vendor in a secure data center, which provides multiple redundancies for storage, power, bandwidth and security.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comply with federal and state laws and regulations around EVV use, we utilize several different vendors and have built interfaces between the EVV vendor and the patient accounting system utilized in the respective branch location. Our caregivers use a mix of Interactive Voice Response (“IVR”) and mobile applications for EVV. In addition, we use these technologies to record basic information about each visit, record start and end times for a scheduled shift, track mileage reimbursement, send text messages to the caregivers and communicate basic payroll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license the Qlik Business Intelligence (“Qlik”) platform to provide historical, current, and forward-looking operational performance analysis. We currently have our personal care and hospice segments integrated into Qlik. Qlik provides high-level historical and current analytical views to measure performance against budget and deliver insight into the various factors driving our execution against our financial, operational, and compliance goals. This analysis is available in summary and detailed views to accommodate user needs at all levels, from senior management to operators in the field.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utilize the ADP Vantage Suite as our base human resources and payroll processing system and use their services and products to manage our leave of absence processes, benefits, 401(k) and flexible spending account administration, garnishment services, payroll tax filings, ACA compliance and filings, and time and attendance. For financial management, we utilize Oracle’s Planning Budgeting Cloud Service as our solution for budgeting, forecasting, and financial reporting and Oracle Fusion for the general ledger, accounts payable and fixed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Government Regulation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Our business is subject to extensive federal, state and local regulation. New laws and regulations, or changes to or new interpretations of existing laws and regulations, may have a material impact on the scope of services offered (including the definition of permissible activities), the relative cost of doing business, and the methods and amounts of payment for care by both governmental and other payors. In addition, differences among state laws may impede our ability to expand into certain markets. If we fail to comply with applicable laws and regulations, we could suffer administrative civil or criminal penalties, including substantial fines, the loss of our licenses to operate and the loss of our ability to participate in federal or state programs. In addition, the healthcare industry has experienced, and is expected to continue to experience, extensive and dynamic change. It is difficult to predict the effect of these changes on budgetary allocations for our services. See further discussion at “</w:t>
      </w:r>
      <w:r>
        <w:rPr>
          <w:rFonts w:ascii="Times New Roman" w:hAnsi="Times New Roman"/>
          <w:i/>
          <w:color w:val="000000"/>
          <w:sz w:val="20"/>
        </w:rPr>
        <w:t>Management’s Discussion and Analysis of Financial Condition and Results of Operations—“Liquidity and Capital Resources</w:t>
      </w:r>
      <w:r>
        <w:rPr>
          <w:rFonts w:ascii="Times New Roman" w:hAnsi="Times New Roman"/>
          <w:color w:val="000000"/>
          <w:sz w:val="20"/>
        </w:rPr>
        <w: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Medicare and Medicaid Participation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participate in and qualify for reimbursement under Medicare, our home health agencies and hospices must comply with extensive conditions of participation. Likewise, to participate in Medicaid programs, our personal care services, hospices and home health agencies are subject to various requirements imposed by federal and state authorities. If we were to violate the applicable federal and state regulations governing Medicare or Medicaid participation, we could be excluded from participation in federal and state healthcare programs and be subject to substantial administrative, civil and criminal penalties.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Developments in Healthcare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healthcare industry is subject to changing political, regulatory, economic and other influences at the federal and state level, along with scientific and technological initiatives and innovations that may affect our business. Healthcare reform efforts at the federal and state levels have been aimed at reducing costs and government spending and increasing access to health insurance. For example, the ACA increased health insurance coverage through a combination of public program expansion, private sector health insurance requirements and other reforms. However, changes in the law’s implementation, subsequent legislation and regulations, state initiatives and other factors have affected or may affect the number of individuals that elect or are able to obtain public or private health insurance and the scope of such coverage, if purchased. Federal law, for instance, temporarily enhanced subsidies available for individuals to purchase coverage through ACA health exchange marketplaces by lowering premiums and raising income eligibility thresholds. The enhanced subsidies are available through 2025, but further extension is uncertain, and their expiration may increase the uninsured population. Other legislative and executive branch initiatives related to health insurance, such as permitting the sale of insurance plans that lack currently required consumer protections, could significantly affect insurance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CMS finalized a rule intended to improve access to services and quality of care for Medicaid beneficiaries across fee-for-service and managed care delivery systems, but which could negatively impact our business and financial condition. The final rule includes significant provisions related to HCBS, including the “80/20” or “payment adequacy” requirement, which will require states to ensure that at least 80% of all Medicaid payments a provider receives for homemaker, home health aide, and personal care services, less certain excluded costs, under specified programs are spent on total compensation (including benefits) for direct care workers furnishing these services, rather than administrative overhead or profit, subject to limited exceptions. States are required to ensure compliance with the 80/20 requirement by mid-2030. The final rule also includes several other measures intended to promote transparency and enhance quality and access to services, including a variety of reporting requirements for states. However, due to legal challenges and administration changes, it is unclear whether the rule will be implemented as finalized.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outcome of the 2024 federal elections, affecting both the executive and legislative branches, increases regulatory uncertainty and the potential for significant policy changes. President Trump has issued executive orders that impact or may impact the healthcare industry, including an order establishing a presidential advisory commission focused on restructuring and streamlining government agencies and reducing or eliminating regulations and federal government programs and other expenditures. Further, some members of Congress and the presidential administration have raised potential measures that may impact our operations, such as those intended to accelerate the shift from traditional Medicare to Medicare Advantage or eliminating some or all of the consumer protections established by the ACA.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and state governments also continue to explore other payment and delivery system reform initiatives. For example, comprehensive managed care models, most of which are administered by managed care organizations, have in recent years become the dominant way in which states deliver services to Medicaid enrollees, as state governments seek to control the cost of Medicaid programs. Payment and delivery reform initiatives also include value-based purchasing models and related initiatives that incentivize reporting of and improvements in quality of care and cost-effectiveness. The CMS Innovation Center tests innovative payment and service delivery systems to reduce Medicare and Medicaid program expenditures while maintaining or enhancing quality. For example, the CMS Innovation Center has established pilot programs that bundle acute care hospital services with physician services and post-acute care services, which may include home health services for certain patients. In addition, the CMS Innovation Center collaborates with the Medicare-Medicaid Coordination Office to support care coordination models for dually eligible individuals that aim to integrate benefits and better align financing of the Medicare and Medicaid programs. Other congressional and administrative initiatives and proposals have also focused on the dual-eligible population, including proposals to enroll all dual-eligible individuals in a single plan or program that provides both Medicare and Medicaid benefits. Other industry participants, such as private payors and large employer groups and their affiliates, may introduce or encourage additional financial or delivery system reforms. For example, in recent years, private and/or public payer policies have encouraged or required enrollment in managed care programs, favored outpatient care over inpatient care, and resulted in provider consolidation.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uncertainty regarding the potential impact of further health-related public policy developments at the federal and state levels. Regulatory uncertainty has increased as a result of recent U.S. Supreme Court decisions that increase judicial scrutiny of agency authority, shift greater responsibility for statutory interpretation to courts and expand the timeline in which a plaintiff can sue regulators. Recent decisions of the U.S. Supreme Court are expected to have significant impacts on government agency regulation, particularly within the heavily regulated healthcare industry, in part through an increase in legal challenges to healthcare regulations and agency guidance and decisions. Federal agencies oversee, regulate and otherwise affect many aspects of our business, including through Medicare and Medicaid payment and coverage policies, policies affecting size of the uninsured population, administration of state Medicaid programs, and enforcement and interpretation of fraud and abuse laws. The recent Supreme Court decisions may also result in inconsistent judicial interpretations and delays in and other impacts to the agency rulemaking and legislative processes.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Permits, Licensure and Certificate of Need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hospice, home health and personal care services are authorized and/or licensed in accordance with various state and county requirements, which also address a variety of operational issues including standards for the provision of medical or care services, clinical records, personnel, infection control and care plans. Additionally, healthcare professionals at our agencies are required to be individually licensed or certified under state law. Although our personal care service caregivers are generally not subject to licensure requirements, certain states require them to complete pre- and post-employment training programs, background checks, and, in certain instances, maintain state certification. We believe we are currently licensed appropriately as required by the laws of the states in which we operate in all material respects, but additional licensing requirements may be imposed upon us in existing markets or markets that we enter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states also require a provider to obtain a CON or permit of approval before establishing, constructing, acquiring or expanding certain health services, operations or facilities or making certain capital expenditures. These requirements are intended to avoid unnecessary duplication of services. In order to obtain a CON, a state health planning agency must determine that a need exists for the project.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Fraud and Abuse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and regulations governing our operations, including the terms of participation in Medicare, Medicaid and other government programs, impose certain requirements and limitations on our operations, business arrangements and our interactions with providers and consumers. These laws include, but are not limited to, the federal Anti-Kickback Statute, the federal Stark Law, the federal False Claims Act (“FCA”), the federal Civil Monetary Penalties Law, other federal and state fraud and abuse, insurance fraud, and fee-splitting laws, which may extend to services reimbursable by any payor, including private insurers.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fraud and abuse laws and regulations to which we are subject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providers and others from directly or indirectly soliciting, receiving, offering or paying any remuneration with the intent of generating referrals or orders for services or items covered by a federal healthcare program. Courts have interpreted this statute broadly and held that there is a violation of the Anti-Kickback Statute if just one purpose of the remuneration is to generate referrals.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self-referral law, commonly known as the Stark Law, which prohibits physicians from referring Medicare and Medicaid patients to healthcare entities in which they or any of their immediate family members have ownership interests or other financial arrangements, if these entities provide certain “designated health services” (including home health services) reimbursable by Medicare or Medicaid, unless an exception applies. The Stark Law also prohibits entities that provide designated health services reimbursable by Medicare and Medicaid from billing the Medicare and Medicaid programs for any items or services that result from a prohibited referral and requires the entities to refund amounts received for items or services provided pursuant to the prohibited referral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FCA and similar state laws that govern the submission of claims for reimbursement and prohibit the making of false claims or statements. The government may use the FCA to prosecute Medicare and other government program fraud in areas such as coding errors and billing for services not provided. Among the many other potential bases for liability is the knowing and improper failure to report and refund amounts owed to the government within 60 days of identifying an overpayment. Submission of claims for services or items generated in violation of the Anti-Kickback Statute constitutes a false or fraudulent claim under the FCA. The federal government has taken the position, and some courts have held, that providers who allegedly have violated other statutes, such as the Stark Law, have thereby submitted false claims under the FCA. The FCA may be enforced directly by the federal government or by a whistleblower on the government’s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Monetary Penalties Law, which prohibits, among other conduct, offering remuneration to influence a Medicare or Medicaid beneficiary’s selection of a healthcare provider, contracting with an individual or entity known to be excluded from a federal healthcare program, billing for services not rendered or for medically unnecessary services, misrepresenting actual services rendered in order to obtain higher reimbursement, and the failure to return overpayments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anti-kickback and self-referral provisions, false claims laws, insurance fraud laws, and fee-splitting laws. The scope and interpretation of these state laws vary, and in some cases apply to items or services reimbursed by any payor, including patients and commercial insurers. For instance, the Illinois Insurance Claims Fraud Prevention Act penalizes the knowing offer or payment of remuneration to induce a person to procure clients or patients under a contract of insurance, including commercial insurance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Penalties for violation of various fraud and abuse laws or other failure to substantially comply with the numerous conditions of participation in the Medicare or Medicaid programs may result in criminal penalties, civil sanctions, including substantial civil monetary penalties, and exclusion from participation in federal healthcare programs, including Medicare and Medicaid.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Payment Integrity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routine and periodic surveys and audits by various governmental agencies and other payors. From time to time, we receive and respond to survey reports containing statements of deficiencies. Periodic and random audits conducted or directed by these agencies could result in a delay in receipt or an adjustment to the amount of reimbursements due or received under federal or state programs and could result in referrals to other agencies to investigate and/or prosecute potential fraud or abuse.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CMS and state Medicaid agencies contract with third parties to promote the integrity of the Medicaid and Medicare programs through reviews of quality concerns and detections and corrections of improper payments. For example, CMS and state Medicaid agencies contract with recovery audit contractors (“RACs”) on a contingency fee basis to conduct post-payment reviews to detect and correct improper payments in the Medicare and Medicaid programs. RACs review claims submitted to Medicare for billing compliance, including correct coding and medical necessity. The RAC program’s scope also includes Medicaid claims. States may coordinate with Medicaid RACs regarding recoupment of overpayments and refer suspected fraud and abuse to appropriate law enforcement agencies. In addition, CMS engages unified program integrity contractors (“UPICS”) to perform proactive analysis, audits, investigations and other program integrity functions across the Medicare and Medicaid programs, with the goal of identifying and deterring fraud and abuse to avoid improper payments. Working across five geographic jurisdictions, UPICs collaborate with states and coordinate provider investigations across the Medicare and Medicaid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various federal and state agencies, such as HHS, issue guidance that identifies practices and provider types that may be subject to heightened scrutiny, as well as practices that may violate fraud and abuse laws. We believe, but cannot assure you, that our operations comply with the principles expressed by these agencies.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HIPAA and Other Privacy and Security, Data Exchange and AI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of 1996, as amended (“HIPAA”) and its implementing regulations require the use of uniform electronic data transmission standards and code sets for certain healthcare claims and reimbursement payment transactions submitted or received electronically. HIPAA extensively regulates the use, disclosure, confidentiality, availability and integrity of individually identifiable health information, known as “protected health information,” and provides for a number of individual rights with respect to such information. As a “covered entity” subject to HIPAA, we are required to maintain privacy and security policies, train workforce members, maintain physical, administrative, and technical safeguards, enter into confidentiality agreements with vendors that handle protected health information (“business associates”), and permit individuals to access and amend their protected health information. In addition, we must report any breaches of unsecured protected health information to affected individuals, to HHS and, in situations involving large breaches, to the media. HIPAA violations may result in criminal penalties and significant civil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federal and state laws and regulations that apply to the collection, use, retention, protection, security, disclosure, transfer and other processing of personal data may impose additional or inconsistent obligations and/or result in additional penalties. For example, various state laws and regulations require us to notify affected individuals in the event of a data breach involving individually identifiable information. Several states have passed comprehensive privacy legislation, and several privacy bills have been proposed both at the federal and state levels that may result in additional legal requirements that impact our business. The potential effects of these laws are far-reaching and may require us to incur substantial expenses, including costs associated with modifying our data processing practices and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and industry participants are also subject to a growing number of requirements intended to promote the interoperability and exchange of patient health information, including prohibitions on information blocking. For example, certain healthcare providers and other entities are subject to information blocking restrictions pursuant to the 21st Century Cures Act that prohibit practices that are likely to interfere with the access, exchange or use of electronic health information, except as required by law or specified by HHS as a reasonable and necessary activity. Violations may result in penalties or other disincentives. In July 2024, HHS finalized a rule establishing disincentives for information blocking by hospitals, clinicians eligible for the Merit-based Incentive Payment System (“MSSP”) and ACOs, ACO participants, and ACO providers or suppliers under the MSSP.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AI in connection with recruitment and are considering other uses. The regulatory framework for AI is rapidly evolving as many federal and state legislatures and agencies have adopted, introduced or are currently considering additional laws and regulations that impact the use of AI, particularly in the employment and health care space. Additionally, existing laws and regulations may be interpreted in ways that could impact our use of AI. The cost to comply with such laws and regulations could be significant and would increase our operating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Environmental, Health and Safety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federal, state and local regulations governing the storage, transport, use and disposal of hazardous materials and waste products. In the event of an accident involving such hazardous materials, we could be held liable for any damages that result, and any liability could exceed the limits or fall outside the coverage of our insurance. We may not be able to maintain insurance on acceptable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could be affected by climate change to the extent that climate change results in severe weather conditions or other disruptions impacting the communities in which we conduct operations or adversely impacts general economic conditions, including in communities in which we conduct operations. Moreover, legal requirements regulating greenhouse gas emissions or otherwise associated with the transition to a lower carbon economy may increase in the future, which could increase our costs associated with compliance and otherwise disrupt and adversely affect our operations. At the current time, our compliance with environmental legal requirements, including legal requirements relating to climate change, do not have a material effect on our capital expenditures, financial results or operations, and we did not incur material capital expenditures for environmental matters during the year ended December 31, 2024. However, it is possible that future environmental-related developments may impact us, including as a result of climate change and/or new legal requirements associated with the transition to a lower carbon economy, in a manner that we are currently unable to predict.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Access to Public Filings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Through our website, </w:t>
      </w:r>
      <w:r>
        <w:rPr>
          <w:rFonts w:ascii="Times New Roman" w:hAnsi="Times New Roman"/>
          <w:i/>
          <w:color w:val="000000"/>
          <w:sz w:val="20"/>
        </w:rPr>
        <w:t>www.addus.com,</w:t>
      </w:r>
      <w:r>
        <w:rPr>
          <w:rFonts w:ascii="Times New Roman" w:hAnsi="Times New Roman"/>
          <w:color w:val="000000"/>
          <w:sz w:val="20"/>
        </w:rPr>
        <w:t xml:space="preserve"> we make available, free of charge, our Annual Reports on Form 10-K, Quarterly Reports on Form 10-Q, Current Reports on Form 8-K and all amendments to those reports filed or furnished pursuant to Section 13(a) or 15(d) of the Securities Exchange Act of 1934, as amended (the “Exchange Act”) as soon as reasonably practicable after we electronically file such material with, or furnish it to, the SEC. In addition to our website, the SEC maintains an internet site that contains our reports, proxy and information statements, and other information that we file electronically with the SEC at </w:t>
      </w:r>
      <w:r>
        <w:rPr>
          <w:rFonts w:ascii="Times New Roman" w:hAnsi="Times New Roman"/>
          <w:i/>
          <w:sz w:val="20"/>
        </w:rPr>
        <w:t>www.sec.gov</w:t>
      </w:r>
      <w:r>
        <w:rPr>
          <w:rFonts w:ascii="Times New Roman" w:hAnsi="Times New Roman"/>
          <w:i/>
          <w:color w:val="000000"/>
          <w:sz w:val="20"/>
        </w:rPr>
        <w:t xml:space="preserve">. </w:t>
      </w:r>
      <w:r>
        <w:rPr>
          <w:rFonts w:ascii="Times New Roman" w:hAnsi="Times New Roman"/>
          <w:color w:val="000000"/>
          <w:sz w:val="20"/>
        </w:rPr>
        <w:t>The references to our website address in this Form 10-K do not constitute incorporation by reference of the information contained on the website and should not be considered part of this document.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 w:name="item_1a_risk_factors"/>
      <w:bookmarkEnd w:id="5"/>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Any of the risks described below, and the risks described elsewhere in this Form 10-K, could have a material adverse effect on our business and consolidated financial condition, results of operations and cash flows, cause the trading price of our common stock to decline and cause the actual outcome of matters to differ materially from our current expectations as reflected in forward-looking statements made in this Form 10-K. The considerations and risks that follow are organized within relevant headings but may be relevant to other headings as well. The risk factors described below and elsewhere in this Form 10-K are not the only risks we face. Our business and consolidated financial condition, results of operations and cash flows may also be materially adversely affected by factors that are not currently known to us, by factors that we currently consider immaterial or by factors that are not specific to us, such as general economic conditions.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refer to the explanation of the qualifications and limitations on forward-looking statements under “Special Caution Concerning Forward-Looking Statements.” All forward-looking statements made by us are qualified by the risk factors described below.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Growth Strategy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growth strategy depends on our ability to manage growing and effectively integrating operations and we may not be successful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plan calls for significant growth over the next several years through the expansion of our services in existing markets and the potential establishment of a presence in new markets. This growth has placed and continues to place significant demands on our management team, systems, internal controls and financial and professional resources. Meeting our growth plans requires us to continue to develop our financial control and reporting system and could require us to incur expenses for hiring additional qualified personnel, retaining professionals to assist in developing the appropriate control systems and expanding our information technology infrastructure. Our inability to effectively manage growth could have a material adverse effect on our financial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Completed or future acquisitions, or growth initiatives, may be unsuccessful and could expose us to unforeseen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strategy includes potential geographical expansion into new markets and the addition of new services in existing markets through the acquisition of local service providers. These acquisitions involve significant risks and uncertainties, including difficulties assimilating acquired personnel and other corporate cultures into our business, the potential loss of key employees or consumers of acquired providers, regulatory risks, the assumption of liabilities, exposure to unforeseen liabilities of acquired providers and the diversion of the management team’s attention. In addition, our due diligence review of acquired businesses may not successfully identify all potential issues. Further, following completion of an acquisition, we may not be able to maintain the growth rate, levels of revenue, earnings or operating efficiency that we and the acquired business have achieved or might achieve separately. The failure to effectively integrate future acquisitions could have a material adverse impact on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grown our business opportunistically through de novo offices and we may in the future selectively open new offices in existing and new states. De novo offices involve risks, including those relating to licensing, accreditation, payor program enrollment, hiring new personnel, establishing relationships with referral sources and delays or difficulty in installing our operating and information systems. We may not be successful in generating sufficient business activity to sustain the operating costs of such de novo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unable to pursue acquisitions or expand into new geographic regions without obtaining additional capital or consent from our lenders.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2024 and 2023, we had cash balances of $98.9 million and $64.8 million, respectively, and $223.0 million and $126.4 million, respectively, of outstanding debt on our credit facility. After giving effect to the amount drawn on our credit facility, approximately $8.0 million of outstanding letters of credit at each of December 31, 2024 and 2023, and borrowing limits based on an advanced multiple of Adjusted EBITDA (as defined in the Credit Agreement), we had $346.6 million and $335.6 million available for borrowing under our credit facility as of December 31, 2024 and 2023, respectively. Since our credit facility provides for borrowings based on a multiple of an Adjusted EBITDA ratio, any declines in our Adjusted EBITDA would result in a decrease in our available borrowings under our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timing, size and success of our acquisition efforts, our efforts to expand into new geographic regions or the associated capital commitments. If we do not have sufficient cash resources or availability under our credit facility, our growth could be limited unless we obtain additional equity or debt financing. In the future, we may elect to issue additional equity securities in conjunction with raising capital, completing an acquisition or expanding into a new geographic region. Such issuances could be dilutive to existing shareholders. In addition, our ability under our credit facility to consummate acquisitions is restricted if we exceed certain Total Net Leverage Ratio (as defined in the Credit Agreement, and subject to adjustments as provided therein) thresholds, without the consent of the lenders; provided, however, in certain circumstances, in connection with a Material Acquisition (as defined in the Credit Agreement), we can elect to increase our Total Net Leverage Ratio compliance covenant for the then current fiscal quarter and the three succeeding fiscal quarters. Further, our credit facility requires, among other things, that we are in pro forma compliance with the financial covenants set forth therein and that no event of default exists before and after giving effect to any proposed acquisition. Our ability to expand in a manner consistent with historic practices may be limited if we are unable to obtain such consent from our lenders.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Business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financial results have been, and may continue to be, adversely impacted by negative 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conditions in the United States continue to be challenging in certain respects, including as a result of inflationary pressures, elevated interest rates, challenging labor market conditions and potential adverse effects associated with current geopolitical conditions. Taking into account these factors, we have incurred, and may continue to incur, increased competition for new caregivers and skilled healthcare staff, which will continue to impact our ability to attract and retain new employees. Further, the inflationary conditions have resulted in, and may continue to result in, increased operating costs, particularly as the result of increased wages we have paid and may continue to pay our caregivers and other personnel and our ability to attract and retain personnel. We might not be able to realize rate increases from government programs and private payors, which represent most of our revenue, and any rate increases obtained may not be sufficient to offset increases to operating expenses. Higher interest rates also raise our financing costs. These factors had an unfavorable impact on our financial results during the year ended December 31, 2024, and may have an unfavorable impact on our financial results in future periods which could be material. If economic conditions in the United States significantly deteriorate, any such developments could materially and adversely affect our results of operations, financial position, and/or our cash flows. Negative macroeconomic conditions could also disrupt financial markets and capital markets and the businesses of financial institutions, potentially causing a slowdown in the decision-making of these institutions. This may affect the timing on which we may obtain any additional funding and there can be no assurance that we will be able to raise additional funds on terms acceptable to us,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there is ongoing uncertainty regarding the federal budget and federal spending levels, and we anticipate that the federal deficit, the magnitude of Medicare and Medicaid expenditures and the aging of and health status trends within the U.S. population will continue to place pressure on government healthcare programs. It is difficult to predict whether, when, or what additional deficit reduction initiatives may be proposed by Congress, but it is possible that future deficit reduction legislation will mandate additional Medicare and/or Medicaid spending reductions. There is uncertainty regarding the impact of any failure to increase the “debt ceiling,” and any U.S. government default on its debt could have broad macroeconomic effects. Further, any shutdown of the federal government, failure to enact annual appropriations, hold on congressionally authorized spending or interruptions in the distribution of governmental funds could adversely affect our financial results. States may also face significant fiscal challenges and revise their revenue forecasts and adjust their budgets, and sales tax collections and income tax receipts could be depressed, which may place further pressure on government healthcare program spending, among other effects.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Timing differences in reimbursement may cause liquidity problems.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fund operations primarily through the collection of accounts receivable, but there is a delay between the time that we provide services and the time that we receive reimbursement or payment for these services. These delays may result from such factors as changes by payors to data submission requirements, requests by fiscal intermediaries for additional data or documentation, other Medicare or Medicaid issues, or information system problems. Further, state budgets could be impacted to the extent economic conditions in the United States are challenging in 2025. To address fiscal challenges, various states may in the future delay reimbursement, which would adversely affect our liquidity. In addition, from time to time, procedural issues require us to resubmit claims before payment is remitted, which contributes to our aged receivables. Additionally, we may experience unanticipated delays in receiving reimbursement from state programs due to changes in their policies or billing or audit procedures. Delays in receiving reimbursement or payments from Medicare, Medicaid and other payors, including as a result of delays or issues implementing reimbursement-related rules, such as periodic payment updates for government programs, may adversely impact our working capital. As a result, working capital management, including prompt and diligent billing and collection, is an important factor in our results of operations and liquidity. Our working capital management procedures may not successfully negate this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routine and periodic surveys, audits and investigations by governmental agencies and private payors, which could have adverse findings that may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and have been subject to routine and periodic surveys, audits and investigations by various governmental agencies. In addition to surveys to determine compliance with the conditions of participation, CMS has engaged a number of contractors (including Medicare Administrative Contractors (“MACs”), RACs and UPICs) to conduct audits and investigations to evaluate billing practices and identify overpayments. In addition, individual states have similar integrity programs, including Medicaid RAC Programs. In certain states, payment of home health claims may be impacted by the Review Choice Demonstration for Home Health Services, a program intended to identify and prevent fraud, reduce the number of Medicare appeals, and improve provider compliance with Medicare program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Private third-party payors may also conduct audits and investigations, and we also perform internal audits and monitoring.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audits and investigations can result and have resulted in recoupments by Medicare, state programs and other payors of amounts previously paid to us if we fail to comply with applicable laws or program requirements. Depending on the nature of the conduct found in such audits and investigations and whether the underlying conduct could be considered systemic, the resolution of these audits and investigations could have a material, adverse effect on our financial position, results of operations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Private third-party payors may also conduct audits and investigations, and we also perform internal audits and monitoring. Depending on the nature of the conduct found in such audits and whether the underlying conduct could be considered systemic, the resolution of these audits could have a material, adverse effect on our financial position, results of operations and liquidity.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revenues are concentrated in a small number of states, which makes us particularly sensitive to regulatory and economic changes in those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revenues are particularly sensitive to regulatory and economic changes in states in which we generate a significant portion of our revenues including Illinois and New Mexico. We expect to derive a significant portion of our revenues from Texas going forward as a result of the Gentiva Acquisition. Accordingly, any change in the current demographic, economic, competitive or regulatory conditions in these states could have an adverse effect on our business, financial condition or results of operations. Changes to the Medicaid programs in these states, each of which has implemented Medicaid expansion under the ACA, could also have a disproportionately adverse effect on our business, financial condition, results of operations or cash flows. For example, if federal funding for the expansion population is reduced, trigger laws in Illinois and New Mexico would end Medicaid expansion in those states or require other changes, and states without such trigger laws may be unable to offset federal regulations and/or be required to make cuts to their Medicaid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efforts to reduce the costs of the Illinois Department on Aging programs could adversely affect our service revenues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years ended December 31, 2024 and 2023, we derived approximately 21.0% and 20.9%, respectively, of our revenue from the Illinois Department on Aging programs. State government officials have in the past attempted, and in the future may attempt, to reduce government spending by proposing changes aimed at reducing expenditures by this department. The nature and extent of any proposed future cost reduction initiatives is difficult to predict. If future reforms impact the eligibility of consumers for services, the number of hours authorized or otherwise restrict services provided to existing consumers, our service revenues, results of operations, financial position and growth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Failure to renew a significant payor agreement or group of related payor agreements may materially impact our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agreements is generally in effect for a specific term, but they are also generally terminable with 60 days’ notice. Our ability to renew or retain our agreements depends on our quality of service and reputation, as well as other factors over which we have little or no control, such as state appropriations and changes in provider eligibility requirements. Additionally, failure to satisfy any of the numerous technical renewal requirements in connection with the proposals we submit for agreements could result in a proposal being rejected even if it contains favorable pricing terms. Failure to obtain, renew or retain agreements with major payors may negatively impact our results of operations and revenue. We can give no assurance these agreements will be renewed on commercially reasonable terms or at 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Negative publicity or changes in public perception of our services may decrease consumer volumes and adversely affect our ability to receive referrals, obtain new agreements and renew existing agreements, any of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receiving referrals, obtaining new agreements and renewing our existing agreements depends upon maintaining our reputation as a quality service provider among governmental authorities, physicians, hospitals, discharge planning departments, case managers, nursing homes, rehabilitation centers, advocacy groups, consumers and their families, other referral sources and the public. The HCBS Quality Measure Set, published by CMS, is intended to promote more common and consistent use of nationally standardized quality measures within and across state HCBS programs. Use of these HCBS measures by states, managed care organizations and other entities involved in HCBS is voluntary. In addition, the CMS websites make publicly available certain data on home health agency and hospice performance on quality measures and patient satisfaction. Medicare reimbursement for these provider types is tied to reporting of quality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believe that the services that we provide are of high quality, if our quality measures, some of which are published online by CMS, are deemed to be unsatisfactory or not of the highest value in relation to those of our competitors, our reputation could be negatively affected. Negative publicity, changes in public perceptions of our services or government investigations of our operations could damage our reputation, hinder our ability to receive referrals, retain agreements or obtain new agreements and discourage consumers from using our services. Increased government scrutiny may also contribute to an increase in compliance costs. Any of these events could reduce consumer volumes and have a negative effect on our business, financial condition and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may be harmed by labor relations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 risk of work stoppages and other labor relations matters because our hourly workforce is highly unionized. As of December 31, 2024, 34.8% of our workforce was represented by labor unions. We have numerous agreements with local SEIU affiliates which are renegotiated from time to time. These negotiations are often initiated when we receive increases in our hourly rates from various state agencies. Upon expiration of these collective bargaining agreements, we may not be able to negotiate labor agreements on satisfactory terms with these labor unions. A strike, work stoppage or other slowdown could result in a disruption of our operations and/or higher ongoing labor costs, which could adversely affect our business. Moreover, potential changes to federal labor laws and regulations, could increase the likelihood of employee unionization activity and the ability of employees to unionize. Labor costs are the most significant component of our total expenditures and, therefore, an increase in the cost of labor could significantly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were required to write down all or part of our goodwill and/or our intangible assets, our net earnings and net worth could be materially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and intangible assets with finite lives represent a significant portion of our assets. Goodwill represents the excess of cost over the fair market value of net assets acquired in business combinations. For example, if our market capitalization drops significantly below the amount of net equity recorded on our balance sheet, it might indicate a decline in our fair value and would require us to further evaluate whether our goodwill has been impaired. If as part of our annual review of goodwill and intangibles, we were required to write down all or a significant part of our goodwill and/or intangible assets, our net earnings and net worth could be materially adversely affected, which could affect our flexibility to obtain additional financing. In addition, if our assumptions used in preparing our valuations for purposes of impairment testing differ materially from actual future results, we may record impairment charges in the future and our financial results may be materially adversely affected. We had $970.6 million and $663.0 million of goodwill and $109.6 million and $92.0 million of intangible assets recorded on our Consolidated Balance Sheets at December 31,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not possible at this time to determine if there will be any future impairment charge, or if there is, whether such charges would be material. We will continue to review our goodwill and other intangible assets for possible impairment. We cannot be certain that a downturn in our business or changes in market conditions will not result in an impairment of goodwill or other intangible assets and the recognition of resulting expenses in future periods, which could adversely affect our results of operations for those periods.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such failure could adversely impact our business and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404 of the Sarbanes-Oxley Act of 2002, or the Sarbanes-Oxley Act, requires our management to report on, and requires our independent registered public accounting firm to attest to, the effectiveness of our internal control over financial reporting. Compliance with SEC regulations adopted pursuant to Section 404 of the Sarbanes Oxley Act requires annual management assessments of the effectiveness of our internal control over financial reporting. Compliance with Section 404(b) of the Sarbanes-Oxley Act has increased our legal and financial compliance costs making some activities more difficult, time-consuming or costly and may also place strain on our personnel, systems and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that we now or in the future have deficiencies in our internal control over financial reporting that are not remediated, our ability to accurately and timely report our financial position, results of operations, cash flows or key operating metrics could be impaired, which could result in a material misstatement in our financial statements, late filings of our annual and quarterly reports under the Exchange Act, restatements of our consolidated financial statements or other corrective disclosures, or other material adverse effects on our business, reputation, results of operations, financial condition or liquidity and could create a perception that our financial results do not fairly state our financial condition or results of operations, any of which could have an adverse effect on the value of our stock.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Regulatory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hospice operations are subject to annual Medicare caps. If we exceed the caps, our business and consolidated financial condition, results of operations and cash flows could be materially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payments made by Medicare to each hospice provider number (generally corresponding to each of our hospice agencies) are subject to an inpatient cap and an aggregate cap, which CMS sets each federal fiscal year. The inpatient cap limits the number of days of inpatient care for which Medicare will pay to no more than 20% of total patient care days. The aggregate cap limits the amount of Medicare reimbursement a hospice may receive each year, based on the number of Medicare patients served. If a hospice’s Medicare payments exceed its inpatient or aggregate caps, it must repay to Medicare the excess amount. If payments received under any of our hospice provider numbers exceed these caps, we may be required to reimburse Medicare such excess amounts, which could have a material adverse effect on our business and consolidated financial condition, results of operations and cash flows.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Reductions in reimbursement and other changes to Medicare, Medicaid, and other federal, state and local medical and social programs could adversely affect our consumer caseload, units of service, revenues, gross profit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caseload and revenues are derived from government healthcare programs, primarily Medicare and Medicaid. For the year ended December 31, 2024, we derived approximately 61.8% of our net service revenues from state and local governmental agencies, primarily through Medicaid state programs and 22.2% from Medicare. However, changes in government healthcare programs may decrease the reimbursement we receive or limit access to, or utilization of, our services. As federal healthcare expenditures continue to increase and as many state governments navigate budgetary pressures, federal and state governments have made, and may continue to make, significant changes to the Medicare and Medicaid programs and reimbursement received for services rendered to beneficiaries of such programs. For example, the Budget Control Act of 2011 (“BCA”) requires automatic spending reductions to reduce the federal deficit, resulting in a uniform reduction across all Medicare programs of 2% per fiscal year that extends through the first eight months of 2032. It is difficult to predict whether, when, or what other deficit reduction initiatives may be proposed by Congress, but future legislation may include additional Medicare spending reductions.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Medicaid program, which is jointly funded by the federal and state governments, is often a state’s largest program. Governmental agencies generally condition their agreements upon a sufficient budgetary appropriation. Almost all of the states in which we operate have experienced periodic financial pressures and budgetary shortfalls due to challenging economic conditions and the rising costs of healthcare, among other factors. As a result, many states have made, are considering or may consider making changes in their Medicaid or other state and local medical and social programs, including enacting legislation designed to reduce Medicaid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that have occurred or that may occur at the federal or state level to contain costs include,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increases in, or decreasing, reimbursement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redefining eligibility standards or coverage criteria for social and medical programs or the receipt of services under those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consumer responsibility, including through increased co-payment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decreasing benefits, such as limiting the number of hours of personal care services that will be covered;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changing reimbursement methodology and program participation eligibility;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slowing payments to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utilization of self-directed care alternatives or “all inclusive”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shifting beneficiaries to managed care organizations;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demonstration projects and alternative payment models.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legislation and administrative actions at the federal level may impact the funding for, or structure of, the Medicaid program, and may shape the administration of the Medicaid program at the state level, including by affecting provider reimbursement rates and eligibility and coverage policies. For example, some members of Congress and the presidential administration have raised, and Congress may in the future adopt, proposals intended to reduce Medicaid expenditures such as restructuring the Medicaid program to give states a “block grant” or fixed amount of overall funding for their respective Medicaid programs or to impose spending caps such as per Medicaid beneficiary limits on federal contributions. Reductions in federal funding or changes to the federal funding formula for Medicaid could have a significant impact, particularly in states that expanded Medicaid under the ACA and especially if federal contributions for Medicaid expansion populations decrease and states are unable to offset the reductions. Further, some states have trigger laws that would end their Medicaid expansion or require other changes if federal funding for the expansion populations is reduced.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2024, we derived approximately 43.7% of our net service revenues from services provided in Illinois and 15.3% of our net service revenues in New Mexico. We expect to derive a significant portion of our revenues from Texas going forward as a result of the Gentiva Acquisition. Because a substantial portion of our business is concentrated in these states, any significant reduction in state expenditures that pay for our services or other significant changes in these states may have a disproportionately negative impact on our future operating results. We cannot predict whether states material to our operating results will experience changes or other challenges that negatively impact our ability to be reimbursed for our services in a timely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volume of uninsured patients could adversely affect our cash flows and results of operations. In recent years, federal and state legislatures have considered or passed various proposals impacting the size of the uninsured population. For example, federal legislation temporarily enhanced subsidies available for purchasing coverage through the federal and state-based health insurance marketplaces by lowering premiums and raising income eligibility thresholds. These subsidies were extended through 2025, but further extension is uncertain, and their expiration would adversely impact enrollment through these health insurance marketplaces and may increase the uninsured rate. In addition, the number of individuals enrolled in Medicaid declined in 2024 in comparison to 2023. This decline reversed a trend of increased enrollment that occurred as a result of COVID-19 relief legislation that authorized a temporary increase in federal funds for certain Medicaid expenditures in states that maintained continuous Medicaid enrollment, among other requirements. The end of the continuous enrollment condition in 2023, including the resumption of redeterminations for Medicaid enrollees, resulted in significant coverage disruptions and dis-enrollments of enrollees. While we believe the population targeted by our business model was less affected than other Medicaid enrollees, we experienced some negative impact from redeterminations in 2024. We believe states in which we operate have substantially completed redeterminations associated with the unwinding of the continuous coverage requirement and do not anticipate any additional material impact to our business from the unwinding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Congress, CMS and state authorities may implement changes to reimbursement for or coverage of items and services that affect our business and operations. For example, CMS periodically revises the reimbursement systems used to reimburse healthcare providers, including through changes to the home health and hospice reimbursement systems, which may result in reduced Medicare and/or Medicaid payments. In addition, delays or issues implementing reimbursement-related rules, including periodic payment updates for government programs, and interruptions in the distribution of governmental funds, could have an adverse impact on our business. The shift toward value-based care continues, including through the implementation of alternative payment models and various demonstration projects. Some states have obtained CMS approval to test new or existing approaches to payment and delivery of Medicaid benefits. Payment policies for different types of providers and for various items and services continue to evolve, and future health reform efforts could impact both federal and state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changes in Medicare, Medicaid or other state and local medical and social programs result in a reduction in available funds for the services we offer, a reduction in the number of beneficiaries eligible for our services or a reduction in the number of hours or amount of services that beneficiaries eligible for our services may receive, then our revenues and profitability could be negatively impacted. Our profitability depends principally on the levels of government-mandated payment rates and our ability to manage the cost of providing services. In some cases, commercial insurance companies and other private payors rely on government payment systems to determine payment rates and policies. As a result, changes to government healthcare programs that reduce Medicare, Medicaid or other payments may negatively impact payments from private payors, as well. Any reduction in reimbursements from governmental or private payors or policies that negatively affect utilization of our services, such as the imposition of copayments or prior authorization requirements, could also materially adversely affect our profitability.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Federal and state regulation may impair our ability to consummate acquisitions or open new agencies.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laws and regulations may adversely impact our ability to acquire or open new start-up agencies, and the change of ownership processes for Medicare, Medicaid and other payors can be complex. For example, a Medicare regulation known as the “36 Month Rule” restricts the assumption by a new majority owner of a Medicare-certified home health agency or hospice provider’s Medicare provider agreement and billing privileges. The 36 Month Rule applies if the acquired home health agency or hospice either enrolled in Medicare or underwent a change in majority ownership fewer than 36 months prior to the acquisition, subject to certain exceptions. Instead, the buyer must enroll as a new provider with Medicare. The 36 Month Rule can increase competition for acquisition targets that are not subject to the rule and may cause significant Medicare billing delays for the purchases of home health agencies and hospices that are subject to the rule. Home health agencies and hospices undergoing changes of ownership are considered a “high-risk” provider type, subjecting provider enrollment applications to increased scrutiny, which may result in delays in processing. Further, in the past, CMS has limited enrollment of new home health agencies. If another moratorium is imposed on enrollment of new providers in a geographic area we desire to service, our ability to expand operations may be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operations in a state will also depend, where required, on our ability to obtain a state license to operate and, in some cases, CON approval. States may limit the number of new licenses they issue or restrict changes of ownership of existing licensed entities. For example, California law prohibits the California Department of Public Health from approving a change of ownership of a hospice agency license within five years of its initial issuance. In addition, some states require healthcare entities to make disclosures to or receive approval from state attorneys general or other designated entities in advance of sales or other transactions. The failure to obtain any required CON or license or other required approvals or make required disclosure could impair our ability to operate or expand our business. The increasingly challenging regulatory environment may negatively impact our ability to acquire healthcare businesses if they are found to have material unresolved compliance issues. Resolving any such issues and completing applicable review or approval processes could significantly delay or prevent us from acquiring other businesses and increase our acquisition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implementation of alternative payment models and the transition of Medicaid and Medicare beneficiaries to managed care organizations may limit our market share and could adversely affect our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government and commercial payors are transitioning providers to alternative payment models that are designed to promote cost-efficiency, quality and coordination of care. For example, ACOs incentivize hospitals, physician groups, and other providers to organize and coordinate patient care while reducing unnecessary costs. Some states have implemented, or plan to implement, accountable care models for their Medicaid populations. If we are not included in these programs, or if ACOs establish programs that overlap with our services, we are at risk for losing market share and for a loss of our current business. Further, if we fail to effectively provide or coordinate the efficient delivery of quality services, our reputation may be negatively impacted, we may receive reduced reimbursement amounts and we may owe repayments to payors, which could cause our revenues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similarly impacted by increased enrollment of Medicare and Medicaid beneficiaries in managed care plans, which is part of the general shift away from traditional fee-for-service models. Under the managed Medicare program, known as Medicare Advantage, the federal government contracts with private health insurers to provide Medicare benefits. Insurers may choose to offer supplemental benefits, including in-home support services, and impose higher plan costs on beneficiaries. Approximately half of Medicare beneficiaries are enrolled in a Medicare Advantage plan, a figure that continues to grow. If more of our services are offered under Medicare Advantage plans in the future, we could experience reduced reimbursement, limited utilization, and increased competition for managed care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States predominantly deliver services to Medicaid enrollees through managed Medicaid plans as a strategy to control costs and manage resources. We may experience increased competition for managed care contracts due to state regulation and limitations. We cannot assure you that we will be successful in our efforts to be included in plan networks, that we will be able to secure favorable contracts with all or some of the managed care organizations, that our reimbursement under these programs will remain at current levels, that the authorizations for services will remain at current levels or that our profitability will remain at levels consistent with past performance. In addition, operational processes may not be well defined as a state transitions beneficiaries to managed care. For example, membership, new referrals and the related authorization for services to be provided may be delayed, which may result in delays in service delivery to consumers or in payment for services rendered. Difficulties with operational processes may negatively affect our revenue growth rates, cash flow and profitability for services provided. Other alternative payment models may be presented by the government and commercial payors that subject our Company to financial risk. It is difficult to predict the nature and success of any such models. We cannot predict at this time what effect alternative payment models may have on our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industry is highly competitive, fragmented and market-specific.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healthcare and long-term care industries are highly competitive among service providers and care models. We compete with personal care service providers, hospice providers, home health providers, private caregivers, publicly held companies, privately held companies, privately held single-site agencies, hospital-based agencies, not-for-profit organizations, community-based organizations and self-directed care programs. Some of these providers and competitive care models may have greater financial, technical, political and marketing resources, name recognition or a larger number of consumers and payors than we do. In addition, some of our competitors offer more services than we do in the markets in which we operate. These competitive advantages may limit our ability to attract and retain referrals in local markets and to increase our overall market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many states, there are limited barriers to entry in providing personal care services. However, some states require entities to obtain a license before providing home care services. Licensure is generally required of agencies providing home health and hospice services, though requirements vary by state. Some states also require a provider to obtain a CON or other type of approval before establishing, purchasing, or expanding certain health services, operations or facilities. CON restrictions may reduce the level of competition in a given industry or in a particular geographic region. Changes in licensure and CON requirements and recognition of new provider types or payment models could remove or reduce barriers to entry. In addition, economic changes such as increases in minimum wage and changes in Department of Labor rules can also impact the ease of entry into a market. These factors may affect competition in the states in which we operate.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Often our contracts with payors are not exclusive. Local competitors may develop strategic relationships with referral sources and payors. Further, consolidation within the payor industry, vertical integration efforts involving payors and healthcare providers, and cost-reduction strategies by payors continue to increase. In addition, existing competitors may offer new or enhanced services that we do not provide or be viewed by consumers as a more desirable local alternative. These and other factors could impact our ability to contract with payors on favorable terms, result in pricing pressures, loss of or failure to gain market share or loss of consumers or payors, or otherwise affect our competitive position. Further, the introduction of new and enhanced service offerings, in combination with the development of strategic relationships by our competitors, could cause a decline in revenue, a loss of market acceptance of our services and a negative impact on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Trends toward clinical and price transparency and value-based purchasing may have an impact on our competitive position, ability to obtain and maintain favorable contract terms, and consumer volumes. For example, health insurers must provide online price comparison tools to help individuals get personalized cost estimates for covered items and services. HHS also requires health insurers to publish online the charges negotiated with providers for healthcare services. In addition, CMS websites make publicly available certain data on home health agency and hospice performance on quality measures and patient satisfaction. It is unclear how price transparency requirements, value-based purchasing and similar initiatives will affect consumer behavior, our relationships with payors, or our ability to set and negotiate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these competitive trends to continue. If we are unable to compete effectively, consumers may seek services from other providers, which could have a negative impact on our business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the extensive laws and regulations governing our business, we could be subject to penalties or be required to make changes to our operations, which could negatively impact our business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industry is extensively regulated at the federal and state government levels. The laws and regulations governing our operations, along with the terms of participation in various government programs, affect the way in which we do business, the services we offer, and our interactions with providers and consumers. These legal and regulatory requirements relate to, among other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facility and personnel licensure, and certification and enrollment with government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for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appropriateness and necessity of services provided;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adequacy and quality of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qualifications, training and supervision of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confidentiality, maintenance, interoperability, exchange and security of medical records and other health-related and personal information, including information blocking, data breach, ransomware, identify theft and online tracking of personal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of services via telehealth, including technological standards and coverage restrictions or other limitations on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use of AI and other predictive algorithms, including those used in clinical decision support tools;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environmental protection, health and safety;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relationships with physicians, other referral sources and recipients of referrals;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policies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of, and changes to, facilities and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adequacy and manner of documentation for services provided;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billing and coding for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and proper handling of overpayments;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collection and communications with consumers.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laws include, but are not limited to, the federal Anti-Kickback Statute, the federal Stark Law, the federal FCA, the federal Civil Monetary Penalties Law, other federal and state fraud and abuse, insurance fraud, and fee-splitting laws, which may extend to services reimbursable by any payor, including private insurers, the No Surprises Act, and federal and state laws governing the security and privacy of health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contractual relationships with current and potential referral sources and recipients, including hospitals and health systems, skilled nursing facilities and certain physicians who provide medical director and clinical services to our Company. We attempt to structure our relationships to meet applicable regulatory requirements, but we cannot provide assurance that every relationship is fully compliant. Further, we may fail to discover instances of noncompliance by businesses we acquire.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applicable laws and regulations, which are subject to change, we could be subject to civil sanctions and criminal penalties, including substantial monetary penalties, exclusion from participation in Medicare, Medicaid and other federal and state healthcare programs, the suspension or revocation of licenses, we could face nonpayment or encounter delays in our ability to bill and collect for services provided, and we could be subject to civil lawsuits, any of which could adversely affect our business, results of operations, or financial results. Actions taken against one of our entities may subject our other entities to adverse consequences. While we endeavor to comply with applicable laws and regulations and government program requirements, we cannot ensure you that our practices are fully compliant or that courts or regulatory agencies will not interpret those laws and regulations in ways that will adversely affect our practices. Further, the laws and regulations and program requirements governing our business are subject to change, interpretations may evolve and enforcement focus may shift. These changes could subject us to allegations of impropriety or illegality, require restructuring of relationships with referral sources and recipients or otherwise require changes to our operations. Changes could also reduce authorizations for services to be provided or result in reductions in consumer eligibility for our services, which could decrease our revenues and operating performance. The costs of compliance with, and the other burdens imposed by, applicable laws and regulations and program requirements may be substantial and could increase our operational costs, pose challenges for our management team, result in interruptions or delays in the availability of systems and/or result in a patient volume decline, any of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government agencies have heightened and coordinated civil and criminal enforcement efforts throughout the healthcare industry. We may face audits or investigations by government agencies or third parties, including under certain of our contractual relationships. An adverse outcome under any such audit or investigation, a determination that we have violated applicable laws and regulations, or a public announcement that we are being investigated for possible violations could result in liability, result in adverse publicity, require us to change our operations and/or to implement plans of correction for alleged deficiencies, and result in other negative consequences that could adversely affect our business, financial condition,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comply with all applicable federal, state and local laws and regulations relating to employment, including OSHA requirements, wage and hour and other compensation requirements (including disclosure requirements), employee benefits, providing leave and sick pay, employment insurance, proper classification of workers as employees or independent contractors, immigration and equal employment opportunity laws. These laws and regulations can vary significantly among jurisdictions and can be highly technical. Costs and expenses related to these requirements are a significant operating expense and may increase as a result of, among other things, changes in federal, state or local laws or regulations, or the interpretation thereof, requiring employers to provide specified benefits or rights to employees, increases in the minimum wage and local living wage ordinances, increases in the level of existing benefits or the lengthening of periods for which unemployment benefits are available. Each of our subsidiaries that employ an average of at least 50 full-time employees in a calendar year are required to offer a minimum level of health coverage for 95% of our full-time employees in 2024 or be subject to an annual penalty, for example. Since our personal care operations are concentrated in Illinois and New Mexico, we are also particularly sensitive to changes in laws and regulations in these states. We may not be able to offset any increased costs and expenses. Furthermore, any failure to comply with these laws, including even a seemingly minor infraction, can result in significant penalties which could harm our reputation and have a material adverse effect on our business. The COVID-19 pandemic increased some of these risks, with certain states modifying occupational health and safety guidelines in a manner that increases scrutiny and complexity of operations with respect to appropriate training and use in the workplace of PPE and the possibility of corresponding regulatory audit activity with respect to the adequacy of our practices and procedures. The COVID-19 pandemic also resulted in states modifying standards associated with payment amounts and required justifications to qualify for sick leave and unemployment benefits. These modifications may result in increased operational costs to us, which may adversely impact our financial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individuals and entities excluded by the OIG from federal healthcare programs, including Medicare and Medicaid, are prohibited from receiving payment from federal healthcare programs for any items or services they furnish, order or provide, and providers who employ or contract with excluded individuals are subject to significant penalties. If we inadvertently hire or contract with an excluded person, or if any of our current employees or contractors becomes an excluded person in the future without our knowledge, we may be subject to substantial civil penalties, including civil monetary penalties, an assessment of up to three times the amount claimed and exclusion from the program, and may also face liability under the FCA.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may be adversely impacted by changes and uncertainty in the healthcare industry, including healthcare public policy developments and other changes to laws and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healthcare industry is subject to changing political, regulatory and other influences. Regulatory uncertainty has increased as a result of decisions issued by the U.S. Supreme Court in June 2024 that affect review of federal agency actions. These decisions increase judicial scrutiny of agency authority, shift greater responsibility for statutory interpretation to courts, expand the time period during which a plaintiff can sue regulators, and may result in inconsistent judicial interpretations and delays in agency rulemaking processes. In </w:t>
      </w:r>
      <w:r>
        <w:rPr>
          <w:rFonts w:ascii="Times New Roman" w:hAnsi="Times New Roman"/>
          <w:i/>
          <w:color w:val="000000"/>
          <w:sz w:val="20"/>
        </w:rPr>
        <w:t>Loper Bright Enterprises v. Raimondo</w:t>
      </w:r>
      <w:r>
        <w:rPr>
          <w:rFonts w:ascii="Times New Roman" w:hAnsi="Times New Roman"/>
          <w:color w:val="000000"/>
          <w:sz w:val="20"/>
        </w:rPr>
        <w:t>, the Court overruled a legal framework that gave significant judicial deference to federal agency interpretations of federal statutes. The Court held that courts must instead exercise independent judgment when deciding whether an agency has acted within its statutory authority and that courts may not defer to an agency interpretation simply because a statute is ambiguous. The Loper Bright decision and other recent decisions of the U.S. Supreme Court could have significant impacts on government agency regulation, particularly within the heavily-regulated healthcare industry, and may have broad implications for our business. While the effects of these decisions will become apparent over the coming months and years, we anticipate an increase in legal challenges to healthcare regulations and agency guidance and decisions, including but not limited to those issued by HHS and its agencies, including CMS, the FDA, and the OIG. Federal agencies oversee, regulate and otherwise affect many aspects of our business, including through Medicare and Medicaid payment and coverage policies, policies affecting size of the uninsured population, administration of state Medicaid programs, and enforcement and interpretation of fraud and abuse laws. Impacts of the recent Supreme Court decisions could require us to make changes to our operations and have a material negative impact on our business. The outcome of the 2024 federal elections, affecting both the executive and legislative branches, also increases regulatory uncertainty and the potential for significant policy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healthcare industry has been and continues to be impacted by healthcare reform efforts. For example, the ACA affects how healthcare services are covered, delivered, and reimbursed, and expanded health insurance coverage through a combination of public program expansion and private sector health insurance reforms. Changes in the law’s implementation, subsequent legislation and regulations, state initiatives and other factors have affected and may continue to affect the number of individuals that elect to obtain public or private health insurance or the scope of such coverage, if purchased, and may impact our payor mix. Reductions in the number of insured individuals or the scope of insurance coverage, or an increase in patients covered under governmental health programs or other health plans with lower reimbursement levels, may have an adverse effect on our business. For example, federal legislation temporarily enhanced subsidies available for purchasing coverage through the ACA health insurance marketplaces by lowering premiums and raising income eligibility thresholds. Subsequent legislation extended these enhanced subsidies through 2025, but further extension is uncertain, and their expiration may increase the uninsured rate. Other legislative and executive branch initiatives related to health insurance, such as permitting the sale of insurance plans that lack currently required consumer protections, could significantly affect insurance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Medicare and Medicaid programs are subject to change, including as a result of changes in the presidential administration. For example, some members of Congress and the presidential administration have raised potential changes intended to accelerate the shift from traditional Medicare to Medicare Advantage, repealing the ACA or eliminating some of its consumer protections. Further, changes in governmental administration, including changes in agency structures and staffing, such as reduction or elimination of personnel and agencies, may result in changes to established rulemaking conventions and timelines, including for regularly-issued reimbursement rules, among other effects. Legislation and administrative actions at the federal level may also impact funding for, or the structure of, the Medicaid program and may shape administration of the Medicaid program at the state level. For example, in May 2024, CMS finalized a rule that requires states to ensure by mid-2030 that at least 80% of all Medicaid payments a provider receives for homemaker, home health aide, and personal care services, less excluded costs, under specified programs are spent on total compensation for direct care workers furnishing these services, subject to limited exceptions. If implemented in its current form, the final rule could negatively impact our business and financial performance by, among other things, increasing our labor costs. In addition, CMS may change Medicaid payment models and grant states additional flexibilities in the administration of state Medicaid programs, including by modifying the scope of waivers under which states may implement Medicaid expansion provisions, impose different eligibility or enrollment restrictions, or otherwise implement programs that vary from federal standards. Further, changes to the federal funding formula for Medicaid could significantly impact states that expanded Medicaid under the ACA, especially if federal contributions for Medicaid expansion populations decrease or are eliminated and states are unable to offset the reductions. Some states have trigger laws that would end their Medicaid expansion or require other changes if federal funding is reduced. Some of these Medicaid changes may decrease Medicaid enrollment, result in reductions to various state healthcare programs or have other effects that could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recent reform initiatives and proposals at the federal and state levels include those focused on price transparency and value-based pricing, which may impact our competitive position, patient volumes, and the relationships between providers, patients, and payors. For example, CMS websites make publicly available certain data on home health agency and hospice performance on quality measures and patient satisfaction, and Medicare reimbursement is tied to reporting of quality measures. Other industry participants, such as private payors and large employer groups and their affiliates, may introduce additional financial or delivery system reforms.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uncertainty regarding whether, when and what other public policy initiatives will be adopted by federal and state governments and/or the private sector, the timing and implementation of any such efforts, and the impact of those efforts on providers as well as other healthcare industry participants. It is difficult to predict the nature and/or success of current and future public policy changes, any of which may have an adverse effect on our business, financial condition, and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industry trend toward value-based purchasing may negatively impact our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trend toward value-based purchasing of healthcare services among both government and commercial payors. Generally, value-based purchasing programs tie payment to the quality and efficiency of care provided. For example, Medicare requires hospices and home health agencies to report certain quality data in order to receive full reimbursement. Failure to report quality data or poor performance may negatively impact the amount of reimbursement received. In addition, CMS publishes home health and hospice quality measure data online to allow consumers and others to search and compare data for Medicare-certified providers. Alongside this quality and public reporting effort, home health agencies receive, under the HHVBP Model, increases or decreases to their Medicare fee-for-service payments of up to 5% based on performance against specific quality measures relative to the performance of other home health providers. Data collected in each performance year impacts Medicare payments two years later.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future, CMS may establish new value-based purchasing programs affecting a broader range of providers, some of which may be mandatory. Initiatives aimed at improving quality and cost of care include alternative payment models, such as ACOs and bundled payment arrangements. The CMS Innovation Center is aiming to have all fee-for-service Medicare beneficiaries and most Medicaid beneficiaries in a care relationship with accountability for quality and total cost of care by 2030. There are also several state-driven value-based care initiatives. For example, some states have aligned quality metrics across payors through legislation or regulation. Commercial payors are shifting toward value-based reimbursement arrangements as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value-based purchasing programs, including programs that condition reimbursement on patient outcome measures, to become more common and to involve a higher percentage of reimbursement amounts. It is unclear whether alternative models will successfully coordinate care and reduce costs or whether they will decrease overall reimbursement. While we believe we are adapting our business strategies to compete in a value-based reimbursement environment, we are unable at this time to predict how this trend will affect our results of operations. If we perform at a level below the outcomes demonstrated by our competitors, fail to satisfy quality data reporting requirements, are unable to meet or exceed quality performance standards under any applicable value-based purchasing program, or otherwise fail to effectively provide or coordinate the efficient delivery of quality healthcare services, our reputation in the industry may be negatively impacted, we may receive reduced reimbursement amounts and we may owe repayments to payors, causing our revenues, financial position, results of operations and cash flows to decline.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Liability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operations subject us to risk of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in the healthcare and personal care services industries exposes us to an inherent risk of wrongful death, personal injury, professional malpractice and other potential claims or litigation brought by our consumers and employees. From time to time, we are subject to claims alleging that we did not properly treat or care for a consumer, that we failed to follow internal or external procedures, resulting in death or harm to a consumer, or that our employees mistreated our consumers, resulting in death or harm. We are also subject to claims arising out of accidents involving vehicle collisions brought by consumers whom we transport, from employees driving to or from home visits or other affected individuals. We may also be subject to lawsuits from patients, employees and others exposed to contagious diseases in connection with the services provided by our workforce in client residences and third party facilities. Some of the actions brought against us may seek large sums of money as damages and involve significant defense costs. Our professional and general liability insurance may not cover all claims against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regulatory agencies have previously brought and may in the future initiate administrative proceedings alleging violations of statutes and regulations arising from our services and seek to impose monetary penalties or other sanctions on us. We could be required to pay substantial amounts to respond to regulatory investigations or, if we do not prevail, damages or penalties arising from these legal proceedings. We also are subject to potential lawsuits under the federal FCA or other federal and state whistleblower statutes designed to combat fraud and abuse in our industry. These and other similar lawsuits can involve significant defense costs, as well as significant monetary awards or penalties that may not be covered by our insurance. If our third-party insurance coverage and self-insurance coverage reserves are not adequate to cover these claims, it could have a material adverse effect on our business, results of operations and financial condition. Even if we are successful in our defense, lawsuits or regulatory proceedings could distract us from running our business or irreparably damage our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insurance liability coverage may not be sufficient for our business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insurance consistent with industry practice, the insurance we maintain may not be sufficient to satisfy all claims made against us. We cannot assure you that claims will not be made in the future in excess of the limits of our insurance, and any such claims, if successful and in excess of such limits, may have a material adverse effect on our business or assets. We utilize historical data to estimate our reserves for our insurance programs. If losses on asserted claims exceed the current insurance coverage and accrued reserves, our business, results of operations and financial condition could be adversely affected. Changes in our annual insurance costs and self-insured retention limits depend in large part on the insurance market, and insurance coverage may not continue to be available to us at commercially reasonable rates, in adequate amounts or on satisfactory terms.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Data Security and Privacy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depends on the proper functioning, availability, and security of our information systems. Our operations may be disrupted if we are unable to effectively integrate, manage and maintain the security of our information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on effective and secure information systems that assist us in, among other things, gathering information to improve the quality of consumer care, optimizing financial performance, adjusting consumer mix, monitoring regulatory compliance and enhancing staff efficiency. We rely on external service providers to provide continual maintenance, upgrading, and enhancement of our primary information systems used for our operational needs. The software we license for our various patient information systems supports intake, personnel scheduling, office clinical and centralized billing and receivables management in an integrated database, enabling us to standardize the care delivered across our network of offices and monitor our performance and consumer outcomes. Information systems may be vulnerable to damage from a variety of sources, including telecommunications or network failures, human acts and natural disasters. We have a significant number of administrative employees working remotely, increasing our dependence on systems that facilitate remote access to our system, and we may experience increased risks as a result.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providers fail to support the software or systems we use, or if we lose our software licenses, our operations could be negatively affected. Our business also depends on a comprehensive payroll and human resources system for basic payroll functions and reporting, payroll tax reporting, managing wage assignments and garnishments. We rely on an external service provider, ADP, to provide continual maintenance, upgrading and enhancement of our primary human resource and payroll systems. To the extent that ADP fails to support the software or systems, or any of the related support services provided by them, our internal operations could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supports the use of EVV to electronically collect visit information when our caregivers and providers deliver home care services. Our solution uses a combination of IVR and GPS enabled smartphones to capture time in and time out, mileage and travel time, as well as the completed care plan tasks. We license this software through CellTrak and partner with states that utilize other software. We rely on these vendors to provide continual maintenance and enhancements, as well as security of any protected data. To the extent that our EVV vendors fail to support these processes, our internal operations could be negatively affected. Under the 21st Century Cures Act, states must require the use of EVV for all Medicaid-funded personal care services and home health services that require an in-home visit by a provider. States that failed to meet the deadlines for implementation, which include some states in which we operate, are subject to incremental reductions in federal Medicaid funding, which may negatively impact the reimbursement we receive for our services. In addition, if states adopt new or modify existing standards for EVV that are not compatible with our operations, our internal operations could be negatively affected. Further, to the extent that the EVV solutions that we use are determined to be noncompliant with federal or state EVV requirements, we could be subject to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taken and continue to take precautionary measures designed to prevent problems that could affect our information systems. We have implemented backup of our key information systems that are designed to allow our operations to failover to our geographically separate disaster recovery datacenter with a quick return to operations for all sites and systems in the event our main datacenter becomes inoperable because of a natural disaster, attacks or other cause. All of our sites and branch offices have redundant connections to our primary and backup datacenters using data lines and cellular connections through VPN or MPLS. The key business functions for our main sites also have redundancies with key functions geographically split between our two main facilities, should one not be available due to the above-mentioned scenarios. While we believe these measures are reasonable, no system of information security is able to eliminate the risk of business disruptions, and we or our third-party vendors that we rely upon may experience system failures.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a reduction in the performance, reliability, or availability of our information systems, our operations and ability to process transactions and produce timely and accurate reports could be adversely affected. If we experience difficulties with the transition and integration of information systems or are unable to implement, maintain, or expand our systems properly, we could suffer from, among other things, operational disruptions, regulatory problems, and increases in administrative expenses. The occurrence of any system failure could result in interruptions, delays, the loss or corruption of data and cessations or interruptions in the availability of systems, all of which could have a material, adverse effect on our financial position and results of operations and harm our business reputation.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cyber-attack or security breach could cause a loss of confidential consumer data, give rise to remediation and other expenses, expose us to liability under privacy laws, consumer protection laws, common law and other legal theories, subject us to litigation and federal and state governmental inquiries, damage our reputation, result in interruptions or delays to services, adversely impact our financial results, and otherwise be disruptive to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directly and through our vendors and other third parties, collect and store sensitive information, including proprietary business information, protected health information of our patients and personally identifiable information of our employees, patients and consumers. We rely extensively on computer systems to manage clinical and financial data, to communicate with our consumers, payors, vendors and other third parties, and to summarize and analyze our operating results. Our personnel use devices that store or transmit information integral to the provision of services, and we frequently exchange clinical and financial data with third parties in connection with our routine operations and in order to meet our contractual and regulatory obligations. The secure maintenance of this information and technology is critical to our business operations, and we are required to comply with the federal and state privacy and security laws and requirements, including HIPAA and state privacy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invested in security measures designed to protect against the threat of security breaches and cyber-attacks, as well as cybersecurity systems, protocols and monitoring procedures. Each of these steps is intended to protect the confidentiality, integrity and availability of our data and the systems and devices that store and transmit such data. However, despite these efforts, our technology, and that of our third-party service providers, may fail to adequately secure the protected health information and personally identifiable information we create, receive, transmit and maintain in our databases. We may be at increased risk because we outsource certain services or functions to, or have systems that interface with, third parties. These third parties may store or have access to our data. The information systems of third parties are also subject to various risks, and a breach or attack affecting any of these third parties could harm our business. In addition, the rapid evaluation and increased adoption of artificial intelligence technologies may heighten our cybersecurity risks by making cybersecurity attacks more difficult to detect, contain and mitigate.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cyber threat environment presents increased risk for all companies, including companies in our industry. Threats from malicious persons and groups, new vulnerabilities and advanced new attacks against our, or our vendors’, information systems and devices create risk of cybersecurity incidents, including ransomware, malware and phishing incidents, in which third parties attempt to fraudulently induce our employees or our vendors’ employees into disclosing usernames, passwords or other sensitive information, which can in turn be used for unauthorized access to our or our vendors’ systems. We are regularly the target of attempted cybersecurity and other threats that could have a security impact, and we expect to continue to experience an increase in cybersecurity threats in the future, as the volume and intensity of cyberattacks on healthcare entities and vendors continue to increase. Furthermore, because the tools and techniques used in cyber-attacks change frequently and may not be immediately recognized, we may be unable to anticipate techniques or implement adequate preventative measures, and we may experience or be affected by security or data breaches that remain undetected for an extended time. Even if identified, we may be unable to adequately investigate or remediate incidents or breaches due to attackers increasingly using tools and techniques that are designed to circumvent controls, to avoid detection, and to remove or obfuscate forensic evidence. The rapid evolution and increased adoption of artificial intelligence technologies may intensify cybersecurity risks by making cyber-attacks more difficult to detect, contain or mitigate. Internal access management failures or vulnerabilities in hardware, software or applications could also result in the compromise of confidential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prioritize the development and enhancement of controls and processes designed to protect our business, information systems and data from attack, damage or unauthorized access. As cyber threats continue to evolve and increase in volume and sophistication, we may be required to expend significant additional resources to continue to enhance our protective measures or to investigate and remediate security incidents or vulnerabilities. We may also be required to expend additional resources to comply with evolving federal and state requirements related to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spite of our policies, procedures and other security measures used to protect our computer systems and data, occasionally, we have experienced breaches that have required us to notify affected consumers and the government, and we have worked with consumers and the government to resolve such issues. While these past breaches have not had a significant adverse impact on our business or results of operations, there can be no assurance that we will not be subject to additional and/or more severe cyber-attacks or security breaches in the future. If we or any of our third-party service providers or certain other third-parties are subject to cyber-attacks or experience security or data breaches in the future, this could result in harm to consumers, interruptions and delays in services provided to consumers, loss, misappropriation, corruption, or unauthorized access of protected patient medical data or other information subject to privacy laws, disruption to our information technology systems and/or business, the inability to access data, reputational harm, or adversely impact our financial results. We may also be subject us to litigation and governmental enforcement actions (including under HIPAA and other applicable laws) as a result of cyber-attacks or security or data breaches, which could result in fines, settlement agreements, corrective action plans, and of which could have a material adverse effect on our business, financial position and results of operations. Some state laws provide a private right of action for data breaches, which may increase data breach litigation. In addition, any significant cybersecurity event may require us to devote significant management time and resources to address and respond to any such event, interfere with the pursuit of other important business strategies and initiatives, and cause us to incur additional expenditures, which could be material, including to investigate such events, remedy cybersecurity problems, recover lost data, prevent future compromises and adapt systems and practices in response to such events. Moreover, there is no assurance that any remedial actions will meaningfully limit the success of future attempts to breach our information systems, particularly because malicious actors are increasingly sophisticated and utilize tools and techniques specifically designed to circumvent security measures, avoid detection and obfuscate forensic evidence, which means we may be unable to identify, investigate or remediate effectively or in a timely manner. Further, our insurance coverage intended to address cybersecurity and data breach risks may not be sufficient to cover all losses or the types of claims that may arise.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Human Capital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attract and retain qualified personnel or we may incur increased costs in doing so.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attract and retain qualified non-executive personnel in the markets in which we operate in order to provide our services. We compete for personnel with other providers of social and medical services as well as companies in other service-based industries. As the labor market continues to be tight and unemployment remains at low levels, the competition for employees has increased, which will continue to impact our ability to attract and retain new caregivers. In addition, the competition for skilled healthcare staff has increased significantly, which continues to impact our ability to attract and retain qualified skilled healthcare staff. To the extent that the United States experiences low unemployment levels and shortages of caregivers and skilled healthcare staff, it may continue to hinder our ability to attract and retain sufficient caregivers and skilled healthcare staff to meet the continuing demand for both our non-clinical and clinical services. Staffing challenges may be exacerbated by the implementation of a final rule issued by CMS in May 2024 that establishes minimum staffing standards for Medicare- and Medicaid-certified long-term care facilities, to be phased in over five years. Moreover, increased staffing challenges have resulted in, and may continue to result in, increased labor costs to satisfy our staffing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offset higher labor costs by increasing the rates we charge for our services. In addition, if we fail to attract and retain qualified and skilled personnel, our ability to conduct our business operations effectively and our results of operations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may be greater for managers, such as regional and agency directors. Our ability to attract and retain personnel depends on several factors, including our ability to provide employees with attractive assignments and competitive benefits and salaries. If we are unable to attract and retain qualified personnel, we may be unable to provide our services, the quality of our services may decline, and we could lose consumers and referral 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the services of our executive team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upon the continued employment of certain members of our executive team to manage several of our key functional areas, including operations, business development, accounting, finance, human resources, marketing, information systems, contracting and compliance. Moreover, the current competitive labor market may make it more difficult to retain or hire members of our executive team. The departure of any member of our executive team may materially adversely affect our operations, and any replacement for a departed member of our executive team may be unable to execute our strategies at the same level.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Related to Our Indebtedness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Restrictive covenants in the agreements governing our indebtedness may adversely affect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credit facility contains various covenants that limit our ability to take certain actions, including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create, incur, assume or suffer to exist any lien;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 or otherwise dispose of assets, including capital stock of subsidiaries;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merge, consolidate, sell or otherwise dispose of all or substantially all our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restricted payments, including paying dividends and making certain loans and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incur, assume, permit to exist, or otherwise become or remain directly or indirectly liable with respect to any additional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transactions with affiliates;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any additional line of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amend our organization documents;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a change in accounting treatment or reporting practices, change our name or change our jurisdiction of organization or 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any payment or prepayment of certain subordinated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agreements that restrict dividends and certain other payments from subsidiaries;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a sale leaseback or similar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credit facility contains restrictive covenants and requires us to maintain specified financial ratios and satisfy other financial condition tests. Our ability to meet these restrictive covenants and financial ratios and tests may be affected by events beyond our control, and we cannot assure you that we will meet those tests.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breach of any of these covenants could result in a default under our credit facility. Upon the occurrence of an event of default under our credit facility, all amounts outstanding under our credit facility may become immediately due and payable and all commitments under our credit facility to extend further credit may be terminated. The acceleration of any such indebtedness will result in an event of default under all of our other long-term indebtedness.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Factors beyond our control, including inclement weather, natural disasters, acts of terrorism, pandemics, riots, civil insurrection or social unrest, looting, protests, strikes and street demonstrations, may impact our ability to provide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weather conditions, natural disasters, acts of terrorism, military conflict, pandemics, riots, civil insurrection or social unrest, looting, protests, strikes or street demonstrations may prevent our employees from providing authorized services. We are not paid for authorized services that are not delivered due to these events. Furthermore, prolonged disruptions as a result of such events in the markets in which we operate could disrupt our relationships with consumers, patients, caregivers and employees and referral sources located in affected areas and, in the case of our corporate office, our ability to provide administrative support services, including billing and collection services. The impact of disasters and similar events is inherently uncertain. Moreover, adverse weather conditions may become more frequent and/or severe as the result of climate change. We could be affected by climate change and other environmental issues to the extent such issues adversely affect the general economy, adversely impact our supply chain or increase the costs of supplies needed for our operations, or otherwise result in disruptions impacting the communities in which our facilities are located. In addition, legal requirements regulating greenhouse gas emissions and energy inputs or otherwise associated with the transition to a lower carbon economy may increase in the future, which could increase our costs associated with compliance and otherwise disrupt and adversely affect our operations. The impact of these or other factors beyond our control could have an adverse effect on our business, financial position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emergence and effects related to a potential future pandemic, epidemic, or outbreak of infectious disease could adversely impact our business and future results of operations and financial condition, and we may be more vulnerable to the effects of a public health emergency than other businesses due to the nature of our business and consumers.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provider of healthcare and personal care services, we are subject to the health and economic effects of public health conditions. If a pandemic, epidemic, or outbreak of an infectious disease or other public health crisis were to affect our markets, our business could be adversely affected. Any such crisis could diminish public trust in healthcare providers, particularly those that are treating or have treated patients affected by contagious diseases. Patient volumes may decline or volumes of uninsured and underinsured patients may increase, depending on the economic circumstances surrounding the pandemic, epidemic or outbreak. Further, a pandemic, epidemic or outbreak could adversely impact our business by causing a temporary shutdown or difficulty accessing patients, particularly facility-based patients, by causing disruption or delays in supply chains for materials and products, or by causing staffing shortages. Our business may be more vulnerable to the effects of a public health crisis than other businesses due to the health status of our typical consumer and patient populations. The majority of our consumers and patients are older individuals who may experience complex medical conditions or socioeconomic factors. Our employees may also be at greater risk of contracting contagious diseases due to their increased exposure to vulnerable consumers. Due to the physical proximity required to offer many of our services, our employees could have difficulty attending to our consumers if social distancing policies or quarantines are instituted in response to a public health crisis. Further, we could face litigation if our employees or customers contract contagious diseases while our employees perform their duties. Although we have contingency plans in place, including infection control plans, the potential impact of, as well as the public’s response and governmental responses to, any such future pandemic, epidemic or outbreak of infectious disease with respect to our markets is difficult to predict and could adversely impact our business and future results of operations and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7" w:name="item_1c_cybersecurity"/>
      <w:bookmarkEnd w:id="7"/>
      <w:r>
        <w:rPr>
          <w:rFonts w:ascii="Times New Roman" w:hAnsi="Times New Roman"/>
          <w:b/>
          <w:color w:val="000000"/>
          <w:sz w:val="20"/>
        </w:rPr>
        <w:t>ITEM 1C. CYBERSECURITY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that cybersecurity threats pose a risk to our business. As part of the Company’s overall risk management systems and processes, we employ a risk management framework designed with the goals of identifying, assessing and managing material risks from cybersecurity threats. Key aspects of this risk management framework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cybersecurity incident response plan, coordinated by the Company’s IT department and Chief Information Security Officer, which includes controls and procedures for identifying, reporting and responding to cybersecurity incidents;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Partnering with outside cybersecurity vendors periodically to gain an independent view of our cybersecurity and information security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Providing our employees with regular training on cybersecurity and the protection of our information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testing a business continuity and disaster recovery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Database activity monitoring, encryption, secure file transfer protocols and application firewalls;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insurance coverage intended to address cybersecurity and data breach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implemented processes to help identify, assess and manage cybersecurity risks associated with our use of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risks from cybersecurity threats of which we are currently aware, including as a result of any previous cybersecurity incidents, have materially affected or are reasonably likely to materially affect us, including our business strategy, results of operations or financial condition. For additional information, see “A cyber-attack or security breach could cause a loss of confidential consumer data, give rise to remediation and other expenses, expose us to liability under privacy laws, consumer protection laws, common law and other legal theories, subject us to litigation and federal and state governmental inquiries, damage our reputation, result in interruptions or delays to services, adversely impact our financial results, and otherwise be disruptive to our business” included in Part I, Item 1A of this Form 10-K.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management program is integrated into our overall risk management system and processes. Together with the Board’s standing committees, the Company’s Board of Directors is responsible for ensuring that material risks, including material cybersecurity risks, are identified and managed appropriately. The Board receives updates at least bi-annually from our Chief Information Officer concerning our information security and cyber risk strategy, cyber defense initiatives, cyber event preparedness and cybersecurity risk assessments. The Chief Information Officer has extensive IT and program management experience and works closely with our Chief Information Security Officer, who oversees our cybersecurity program on a day-to-day basis. The Chief Information Security Officer has extensive cybersecurity experience, including more than 15 years working in senior IT infrastructure and IT security roles in the healthcare sector (seven of which years were spent as the Chief Information Security Officer). Our cybersecurity incident response plan provides that the Chief Information Security Officer will work with our IT Department and the impacted segment of our business to investigate and respond to any identified incident (including by escalating the incident to the Company’s senior management and the Board depending on the nature and scope). </w:t>
      </w:r>
    </w:p>
    <w:p>
      <w:pPr>
        <w:pStyle w:val="TextBody"/>
        <w:bidi w:val="0"/>
        <w:spacing w:before="360" w:after="283"/>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any real property. We lease administrative offices for our local branches, none of which are individually material. We lease approximately 59,000 and 75,000 square feet of office space in Downers Grove, Illinois and Frisco, Texas, respectively, which serve as our support centers. We sublease approximately 21,000 and 37,400 square feet of our office space in Downers Grove and Frisco, respectively, to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9" w:name="item_3_legal_proceedings"/>
      <w:bookmarkEnd w:id="9"/>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information with respect to this item may be found in Note 11 to the Consolidated Financial Statements in Part II, Item 8—“Financial Statements and Supplementary Data,” which is incorporated herein by reference.</w:t>
      </w:r>
    </w:p>
    <w:p>
      <w:pPr>
        <w:pStyle w:val="TextBody"/>
        <w:bidi w:val="0"/>
        <w:spacing w:before="36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b/>
          <w:color w:val="000000"/>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on The Nasdaq Global Market under the symbol “ADUS.”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2.0% of our shares of common stock were held by our officers and directors and approximately 98.0% of our common stock was held by 440 institutional investors. An insignificant amount of common stock is held by individual holders. As of February 18, 2025, Addus HomeCare Corporation had approximately 43,455 shareholders of its common stock, including 85 shareholders of record.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paid dividends on our common stock, including in the two most recent fiscal years, and we do not intend to pay any dividends on our common stock in the foreseeable future. We currently plan to retain any earnings to support the operation, and to finance the growth, of our business rather than to pay cash dividends. Payments of any cash dividends in the future will depend on our financial condition, capital requirements, credit facility limitations, earnings, as well as other factors deemed relevant by our Board. Our credit facility restricts our ability to declare or pay any dividend or other distribution to Holdings unless no default or event of default has occurred and is continuing or would arise as a result thereof and the aggregate amount of dividends and distributions paid in any fiscal year does not exceed $10.0 million per annum.</w:t>
      </w:r>
    </w:p>
    <w:p>
      <w:pPr>
        <w:pStyle w:val="TextBody"/>
        <w:bidi w:val="0"/>
        <w:spacing w:before="360" w:after="283"/>
        <w:jc w:val="left"/>
        <w:rPr>
          <w:rFonts w:ascii="Times New Roman" w:hAnsi="Times New Roman"/>
          <w:sz w:val="20"/>
        </w:rPr>
      </w:pPr>
      <w:bookmarkStart w:id="13" w:name="item_6_reserved"/>
      <w:bookmarkEnd w:id="13"/>
      <w:r>
        <w:rPr>
          <w:rFonts w:ascii="Times New Roman" w:hAnsi="Times New Roman"/>
          <w:b/>
          <w:color w:val="000000"/>
          <w:sz w:val="20"/>
        </w:rPr>
        <w:t xml:space="preserve">ITEM 6. </w:t>
      </w:r>
      <w:r>
        <w:rPr>
          <w:rFonts w:ascii="Times New Roman" w:hAnsi="Times New Roman"/>
          <w:color w:val="000000"/>
          <w:sz w:val="20"/>
        </w:rPr>
        <w:t>[</w:t>
      </w:r>
      <w:r>
        <w:rPr>
          <w:rFonts w:ascii="Times New Roman" w:hAnsi="Times New Roman"/>
          <w:b/>
          <w:color w:val="000000"/>
          <w:sz w:val="20"/>
        </w:rPr>
        <w:t>Reserved]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4" w:name="managements_discussion_analysis_financia"/>
      <w:bookmarkEnd w:id="14"/>
      <w:r>
        <w:rPr>
          <w:rFonts w:ascii="Times New Roman" w:hAnsi="Times New Roman"/>
          <w:b/>
          <w:color w:val="000000"/>
          <w:sz w:val="20"/>
        </w:rPr>
        <w:t>ITEM 7.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together with our Consolidated Financial Statements and the related notes included elsewhere in this Annual Report on Form 10-K. This discussion contains forward-looking statements about our business and operations. Our actual results may differ materially from those we currently anticipate as a result of the factors we describe under “Risk Factors” and elsewhere in this Annual Report on Form 10-K and other risks as well as other factors that are not currently known to us, that we currently consider immaterial or that are not specific to us, such as general economic conditions. The discussion of our financial condition and results of operations for the year ended December 31, 2023 compared to the year ended December 31, 2022, included in Item 7. Management’s Discussion and Analysis of Financial Condition and Results of Operations (“MD&amp;A”) can be found in the Annual Report on Form 10-K for the year ended December 31,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34.8%, 36.6% and 36.0% of our revenue during the years ended December 31, 2024,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certain consolidated financial and statistical data results for 2024, 2023 and 2022 are provided in the table below. </w:t>
      </w:r>
    </w:p>
    <w:p>
      <w:pPr>
        <w:pStyle w:val="TextBody"/>
        <w:bidi w:val="0"/>
        <w:jc w:val="left"/>
        <w:rPr/>
      </w:pPr>
      <w:r>
        <w:rPr/>
        <w:t> </w:t>
      </w:r>
    </w:p>
    <w:tbl>
      <w:tblPr>
        <w:tblW w:w="6573" w:type="dxa"/>
        <w:jc w:val="left"/>
        <w:tblInd w:w="0" w:type="dxa"/>
        <w:tblLayout w:type="fixed"/>
        <w:tblCellMar>
          <w:top w:w="28" w:type="dxa"/>
          <w:left w:w="28" w:type="dxa"/>
          <w:bottom w:w="28" w:type="dxa"/>
          <w:right w:w="28" w:type="dxa"/>
        </w:tblCellMar>
      </w:tblPr>
      <w:tblGrid>
        <w:gridCol w:w="2281"/>
        <w:gridCol w:w="146"/>
        <w:gridCol w:w="216"/>
        <w:gridCol w:w="955"/>
        <w:gridCol w:w="149"/>
        <w:gridCol w:w="149"/>
        <w:gridCol w:w="216"/>
        <w:gridCol w:w="955"/>
        <w:gridCol w:w="149"/>
        <w:gridCol w:w="149"/>
        <w:gridCol w:w="216"/>
        <w:gridCol w:w="801"/>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 except States and Locations)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1,154,599</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1,058,651</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1,412,634</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1,024,426</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140,290</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121,020</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served at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Locations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The Company defines adjusted EBITDA as earnings before interest expense, other non-operating income, taxes, depreciation, amortization, acquisition expense, stock-based compensation expense, restructure and other non-recurring costs, gain or loss on the sale of assets, impairment of operating lease assets, retroactive rate increases from New York and the retroactive impact from collective bargaining negotiations. Adjusted EBITDA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 Additionally, our calculation of Adjusted EBITDA may not be comparable to similarly titled measures reported by other companies. Management believes that Adjusted EBITDA is useful to investors, management and others in evaluating the Company’s operating performance, to provide investors with insight and consistency in the Company’s financial reporting and to present a basis for comparison of the Company’s business operations among periods, and to facilitate comparison with the results of the Company’s peers. Additionally, we believe that Adjusted EBITDA is a measure widely used by securities analysts, investors and others to evaluate the financial performance of other public companies. The financial results presented in accordance with U.S. GAAP and a reconciliation of this non-GAAP measure included within this Annual Report on Form 10-K should be carefully evaluated.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1, 2023, we completed the acquisition of CareStaff for approximately $1.0 million, with funding provided by available cash. With the purchase of CareStaff, the Company expanded its personal care services to consumers in Florida.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 2023, we completed the acquisition of Tennessee Quality Care for approximately $111.2 million, with funding primarily provided by drawing on the Company’s revolving credit facility. With the purchase of Tennessee Quality Care, the Company expanded its services within its hospice and home health segment to Tennessee.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9, 2024, we completed our acquisition of the operations of Upstate for $0.4 million, with funding provided by available cash. With the purchase of Upstate, the Company expanded its personal care services segment in South Carolina.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 2024, we completed the Gentiva Acquisition for approximately $353.6 million, with funding primarily provided by drawing on the Company’s revolving credit facility and a portion of the net proceeds of the Company’s public offering of common stock. The purchase price is subject to the completion of working capital and related adjustments. With the Gentiva Acquisition, the Company expanded its services within its personal care services segment in Arizona, Arkansas, California and North Carolina, and entered the market in Missouri and Texas. The home health segment also was expanded in Tennessee.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Divestiture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May 20, 2024, we entered into a definitive asset purchase agreement to sell all of our New York operations (the “New York Asset Sale”). The Company entered into a consulting agreement with the purchaser, as the transfer of clients and caregivers and payment for assets pursuant to the New York Asset Sale is occurring over time as regulatory approvals are received, coordination of the transfer of clients and caregivers occurs, and the change of control takes place. In connection with this transaction, the Company will cease operations in New York. In October 2024, the Company qualified for sale consideration of the New York Asset Sale. As a result, the Company has deconsolidated the results of its New York operations and recorded a gain on divestiture of $3.7 million. The New York Asset Sale purchase price of up to $23.0 million includes an initial payment of $4.6 million, $6.9 million paid pro rata as a deferred payment as caregivers are transferred and 50% in the form of contingent consideration for the Company’s Consumer Directed Personal Assistance Program (“CDPAP”)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by Payor and Significant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payor clients are principally federal, state and local governmental agencies and managed care organizations. The federal, state and local programs under which the agencies operate are subject to legislative, administrative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 Medicare advantage revenue is included within Medicare.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years ended December 31, 2024, 2023 and 2022, our revenue by payor and significant states by segment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7"/>
        <w:gridCol w:w="146"/>
        <w:gridCol w:w="223"/>
        <w:gridCol w:w="827"/>
        <w:gridCol w:w="146"/>
        <w:gridCol w:w="146"/>
        <w:gridCol w:w="159"/>
        <w:gridCol w:w="622"/>
        <w:gridCol w:w="146"/>
        <w:gridCol w:w="271"/>
        <w:gridCol w:w="146"/>
        <w:gridCol w:w="223"/>
        <w:gridCol w:w="827"/>
        <w:gridCol w:w="146"/>
        <w:gridCol w:w="146"/>
        <w:gridCol w:w="159"/>
        <w:gridCol w:w="622"/>
        <w:gridCol w:w="146"/>
        <w:gridCol w:w="271"/>
        <w:gridCol w:w="146"/>
        <w:gridCol w:w="223"/>
        <w:gridCol w:w="827"/>
        <w:gridCol w:w="146"/>
        <w:gridCol w:w="146"/>
        <w:gridCol w:w="159"/>
        <w:gridCol w:w="622"/>
        <w:gridCol w:w="146"/>
        <w:gridCol w:w="321"/>
      </w:tblGrid>
      <w:tr>
        <w:trPr/>
        <w:tc>
          <w:tcPr>
            <w:tcW w:w="2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0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5"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local and other governmental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organizations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personal care segment net </w:t>
              <w:br/>
              <w:t>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personal care segment net </w:t>
              <w:br/>
              <w: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acquisition of Upstate and the Gentiva Acquisition in 2024, the Company expanded its personal care services to consumers in the state of Arizona, Arkansas, California, Missouri, North Carolina, South Carolina and Texas.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1"/>
        <w:gridCol w:w="146"/>
        <w:gridCol w:w="225"/>
        <w:gridCol w:w="834"/>
        <w:gridCol w:w="146"/>
        <w:gridCol w:w="146"/>
        <w:gridCol w:w="185"/>
        <w:gridCol w:w="726"/>
        <w:gridCol w:w="146"/>
        <w:gridCol w:w="271"/>
        <w:gridCol w:w="146"/>
        <w:gridCol w:w="225"/>
        <w:gridCol w:w="834"/>
        <w:gridCol w:w="146"/>
        <w:gridCol w:w="146"/>
        <w:gridCol w:w="185"/>
        <w:gridCol w:w="726"/>
        <w:gridCol w:w="146"/>
        <w:gridCol w:w="271"/>
        <w:gridCol w:w="146"/>
        <w:gridCol w:w="225"/>
        <w:gridCol w:w="834"/>
        <w:gridCol w:w="146"/>
        <w:gridCol w:w="146"/>
        <w:gridCol w:w="185"/>
        <w:gridCol w:w="726"/>
        <w:gridCol w:w="146"/>
        <w:gridCol w:w="320"/>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organizations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hospice segment net </w:t>
              <w:br/>
              <w:t>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Mexico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hospice segment net </w:t>
              <w:br/>
              <w: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the acquisition of Tennessee Quality Care in 2023, the Company expanded its hospice services to patients in the state of Tennessee and with the acquisition of JourneyCare in 2022, the Company also expanded its hospice services to patients in the state of Illinois.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0"/>
        <w:gridCol w:w="146"/>
        <w:gridCol w:w="238"/>
        <w:gridCol w:w="764"/>
        <w:gridCol w:w="146"/>
        <w:gridCol w:w="146"/>
        <w:gridCol w:w="187"/>
        <w:gridCol w:w="734"/>
        <w:gridCol w:w="146"/>
        <w:gridCol w:w="271"/>
        <w:gridCol w:w="146"/>
        <w:gridCol w:w="238"/>
        <w:gridCol w:w="764"/>
        <w:gridCol w:w="146"/>
        <w:gridCol w:w="146"/>
        <w:gridCol w:w="187"/>
        <w:gridCol w:w="734"/>
        <w:gridCol w:w="146"/>
        <w:gridCol w:w="271"/>
        <w:gridCol w:w="146"/>
        <w:gridCol w:w="238"/>
        <w:gridCol w:w="764"/>
        <w:gridCol w:w="146"/>
        <w:gridCol w:w="146"/>
        <w:gridCol w:w="187"/>
        <w:gridCol w:w="734"/>
        <w:gridCol w:w="146"/>
        <w:gridCol w:w="322"/>
      </w:tblGrid>
      <w:tr>
        <w:trPr/>
        <w:tc>
          <w:tcPr>
            <w:tcW w:w="1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1"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organizations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home health segment net </w:t>
              <w:br/>
              <w:t>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Mexico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Tennessee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home health segment net </w:t>
              <w:br/>
              <w:t>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the Gentiva Acquisition, the Company expanded its home health services to patients in the state of Tennessee. With the acquisition of Tennessee Quality Care in 2023, the Company expanded its home health services to patients in the state of Tennessee.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derive a significant amount of our net service revenues in Illinois, which represented 43.7% and 44.5% of our net service revenues for the years ended December 31, 2024 and 2023, respectively. A significant amount of our revenue is derived from one payor client, the Illinois Department on Aging, the largest payor program for our Illinois personal care operations, which accounted for 21.0% and 20.9% of our net service revenues for the years ended December 31, 2024 and 2023,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Illinois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City of Chicago requires the Chicago minimum wage to be adjusted annually based on increases in the Consumer Price Index (“CPI”), subject to a cap and other requirements. On July 1, 2024, the rate was adjusted to $16.20 based on the increase in the CPI.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Illinois Medicaid omnibus legislation passed in June 2023 included an increase in hourly rates for in-home care services to $28.07, which took effect on January 1, 2024, and required a minimum wage rate of $17.00 per hour. CMS approved an amendment to the Illinois HCBS waiver for Persons who are Elderly, which included the rate increase for in-home care services to $28.07, effective January 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Illinois fiscal year 2025 budget includes an increase in hourly rates for in-home care services to $29.63, effective January 1, 2025, and required a minimum wage of $18.00 per hour for direct service workers. CMS approved an amendment to Illinois’ Persons who are Elderly waiver program that included this rate increase, effective January 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will benefit from the rate increases noted above as planned for 2025, but there is no assurance that there will be additional rate increases in Illinois for fiscal years beyond fiscal year 2025 to offset increases to minimum wage, and our financial performance will be adversely impacted for any periods in which an additional offsetting reimbursement rate increase is not in effect.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Medicare and Medicaid Reimbursement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Hospice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Hospice services provided to Medicare beneficiaries are paid under the Medicare Hospice Prospective Payment System, under which CMS sets a daily rate for each day a patient is enrolled in the hospice benefit. The daily rate depends on the level of care provided to a patient (routine home care, continuous home care, inpatient respite care, or general inpatient care). Daily rates are adjusted for factors such as area wage levels. CMS updates hospice payment rates each federal fiscal year. Effective October 1, 2024, CMS increased hospice payment rates by 2.9%. This reflects a 3.4% market basket increase and a negative 0.5 percentage point productivity adjustment. Hospices that do not satisfy quality reporting requirements are subject to a 4-percentage point reduction to the market basket update.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Overall payments made by Medicare to each hospice provider number are subject to an inpatient cap and an aggregate cap. The inpatient cap limits the number of days of inpatient care for which Medicare will pay to no more than 20% of total patient care days. Days in excess of the limitation are paid at the routine home care rate. The aggregate cap, which is set each federal fiscal year, limits the total Medicare reimbursement that a hospice may receive in a cap year (typically the federal fiscal year), based on an annual per-beneficiary cap amount and the number of Medicare patients served. The aggregate cap was updated to $34,465.34 for federal fiscal year 2025. If a hospice’s Medicare payments exceed its inpatient or aggregate caps, it must repay Medicare the excess amount.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Home Health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the discipline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Patient-Driven Groupings Model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CMS updates the HHPPS payment rates each calendar year. For calendar year 2025, CMS estimates that Medicare payments to home health agencies will increase by 0.5%. This is based on a home health payment update percentage of 2.7%, which reflects a 3.2% market basket update, reduced by a productivity adjustment of 0.5 percentage points and an estimated 1.8% decrease associated with the transition to the PDGM, among other changes. Home health providers that do not comply with quality data reporting requirements are subject to a 2-percentage point reduction to their market basket update. In addition,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nationwide Home Health Value-Based Purchasing (“HHVBP”) Model, home health agencies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is currently limited to home health agencies in Illinois, Ohio, Oklahoma, North Carolina, Florida and Texas. Providers in states subject to the Review Choice Demonstration for Home Health Services may initially select either pre-claim review or post-payment review. Home health agencies that maintain high compliance levels are eligible for additional options that may be less burdensome. This program has not had a material impact on our results of operations or financial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 xml:space="preserve">CMS Final Rule: </w:t>
      </w:r>
      <w:r>
        <w:rPr>
          <w:rFonts w:ascii="Times New Roman" w:hAnsi="Times New Roman"/>
          <w:color w:val="000000"/>
          <w:sz w:val="20"/>
        </w:rPr>
        <w:t>“</w:t>
      </w:r>
      <w:r>
        <w:rPr>
          <w:rFonts w:ascii="Times New Roman" w:hAnsi="Times New Roman"/>
          <w:b/>
          <w:i/>
          <w:color w:val="000000"/>
          <w:sz w:val="20"/>
        </w:rPr>
        <w:t>Ensuring Access to Medicaid Services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CMS finalized a rule intended to improve access to services and quality of care for Medicaid beneficiaries across fee-for-service and managed care delivery systems. The final rule includes significant provisions related to HCBS, including the “80/20” or “payment adequacy” requirement, which will require states to ensure that at least 80% of all Medicaid payments a provider receives for homemaker, home health aide, and personal care services, less certain excluded costs, under specified programs are spent on total compensation (including benefits) for direct care workers furnishing these services, rather than administrative overhead or profit, subject to limited exceptions. States are required to ensure compliance with the 80/20 requirement by mid-2030. The final rule includes several other measures intended to promote transparency and enhance quality and access to services, including a variety of reporting requirements for states. Given the very long implementation period and the likelihood of further changes as a result of litigation, administration and congressional changes, further rule-making and state changes in response to the final rule, it is premature to predict the ultimate impact of the final rule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Potential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Home care and other healthcare providers may be significantly impacted by changes to the Medicaid program, including changes resulting from legislation and administrative actions at the federal and state levels. Federal actions may impact funding for, or the structure of, the Medicaid program and may shape provider reimbursement rates, eligibility and coverage policies and other aspects of state Medicaid programs. Currently, the federal government pays a percentage match for state Medicaid expenditures that varies by state and other factors, with no pre-set limit on federal spending. However, some members of Congress and the presidential administration have raised, and Congress may in the future adopt, proposals intended to reduce Medicaid expenditures such as restructuring the Medicaid program to give states a “block grant” or fixed amount of overall funding for their respective Medicaid programs or to impose spending caps such as per Medicaid beneficiary limits on federal contributions. Reductions in federal funding or changes to the federal funding formula for Medicaid could have a significant impact, particularly in states that expanded Medicaid under the ACA and especially if federal contributions for Medicaid expansion populations decrease and states are unable to offset the reductions. In addition, some states use or have applied to use Medicaid waivers granted by CMS to implement the ACA’s Medicaid expansion provisions, impose different eligibility or enrollment restrictions or otherwise implement programs that vary from federal standards. Some of these program variations may reduce the number of current and/or future Medicaid enrollees.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the 2024 federal elections, affecting both the executive and legislative branches, increases regulatory uncertainty and the potential for significant policy changes. President Trump has issued executive orders that impact or may impact the healthcare industry, including an order establishing a presidential advisory commission focused on restructuring and streamlining government agencies and reducing or eliminating regulations and federal government programs and other expenditures. Further, some members of Congress and the presidential administration have raised potential measures intended to accelerate the shift from traditional Medicare to Medicare Advantage or eliminating some or all of the consumer protections established by the ACA.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Components of our Statements of Income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Service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payor clients, including federal, state and local governmental agencies, managed care organizations, commercial insurers and private consumers.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Service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credit losses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Depreciation and Amortization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is reported when incurred and principally consists of interest and unused credit line fees on the credit facility.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income is from domestic sources. We incur state and local taxes in states in which we operate. Our effective income tax rate was 25.9% and 23.1% for the years ended December 31, 2024 and 2023, respectively. The difference between our federal statutory and effective income tax rates was principally due to the inclusion of state taxes, non-deductible compensation, and non-deductible permanent items, partially offset by the use of federal employment tax credits. </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Year Ended December 31, 2024 Compared to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for the periods indicated, our consolidated results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20"/>
        <w:gridCol w:w="146"/>
        <w:gridCol w:w="211"/>
        <w:gridCol w:w="931"/>
        <w:gridCol w:w="166"/>
        <w:gridCol w:w="146"/>
        <w:gridCol w:w="189"/>
        <w:gridCol w:w="644"/>
        <w:gridCol w:w="166"/>
        <w:gridCol w:w="271"/>
        <w:gridCol w:w="146"/>
        <w:gridCol w:w="211"/>
        <w:gridCol w:w="931"/>
        <w:gridCol w:w="166"/>
        <w:gridCol w:w="146"/>
        <w:gridCol w:w="189"/>
        <w:gridCol w:w="644"/>
        <w:gridCol w:w="166"/>
        <w:gridCol w:w="271"/>
        <w:gridCol w:w="146"/>
        <w:gridCol w:w="211"/>
        <w:gridCol w:w="676"/>
        <w:gridCol w:w="166"/>
        <w:gridCol w:w="146"/>
        <w:gridCol w:w="146"/>
        <w:gridCol w:w="571"/>
        <w:gridCol w:w="166"/>
        <w:gridCol w:w="317"/>
      </w:tblGrid>
      <w:tr>
        <w:trPr/>
        <w:tc>
          <w:tcPr>
            <w:tcW w:w="1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Service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Service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service revenues increased by 9.1% to $1,154.6 million for the year ended December 31, 2024 compared to $1,058.7 million in 2023. Net service revenue increased by $61.9 million, $21.0 million and $13.0 million in our personal care, hospice and home health segments, respectively, for the year ended December 31, 2024, compared to 2023. Net service revenue in our personal care segment increased due to a 5.2% increase in revenues per billable hour and a 2.1% increase in billable hours for the year ended December 31, 2024 compared to 2023. The increase in our hospice segment revenue was primarily due to an increase in average daily census and revenue per patient day, mainly attributed to the acquisition of Tennessee Quality Care on August 1, 2023. The increase in our home health segment is primarily due to the full-year effect in 2024 of the acquisition of Tennessee Quality Care on August 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profit, expressed as a percentage of net service revenues, increased to 32.5% for the year ended December 31, 2024, from 32.1% in 2023. The increase was primarily attributable to the increase in gross profit percentage in our personal care and hospice segments of 0.4% and 0.2%, respectively, offset by a marginal decline in our home health segment of 0.2%.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increased to $258.8 million for the year ended December 31, 2024 compared to $234.8 million in 2023. The increase in general and administrative expenses was primarily due to the full-year effect of the Tennessee Quality Care acquisition that resulted in an increase in administrative employee wages, taxes and benefit costs of $11.7 million. General and administrative expenses, expressed as a percentage of net service revenues, slightly increased to 22.4% for 2024, from 22.2% in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and amortization decreased to $13.5 million for the year ended December 31, 2024 from $14.1 million in 2023, primarily due to the decrease of intangible asset amortization related to accelerated amortization and the reduction in amortization expense of tradenames, which were fully amortized, partially offset by the full-year effect in 2024 of our fiscal year 2023 acquisitions and fiscal year 2024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interest expense, net decreased to $7.7 million from $11.1 million for the year ended December 31, 2024 compared to 2023. The decrease in interest expense was primarily due to decreased amounts held under our credit facility for the year ended December 31, 2024 compared to 2023. Interest income increased $2.9 million due to an increase in cash investment into interest bearing accounts from the Company’s public offering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income is from domestic sources. We incur state and local taxes in states in which we operate. The effective income tax rate was 25.9% and 23.1% for the years ended December 31, 2024 and 2023, respectively. Our higher effective income tax rate in 2024 was due to the increase of non-deductible compensation and non-deductible permanent items, as well as lower benefit from the use of federal employment tax credits. For the years ended December 31, 2024 and 2023, the non-deductible compensation, non-deductible permanent items, and federal employment tax credits were 0.8% and (1.7)%,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Results of Operations – 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and related analysis summarize our operating results and business metrics by segment: </w:t>
      </w:r>
    </w:p>
    <w:p>
      <w:pPr>
        <w:pStyle w:val="TextBody"/>
        <w:bidi w:val="0"/>
        <w:spacing w:before="120" w:after="283"/>
        <w:jc w:val="left"/>
        <w:rPr>
          <w:rFonts w:ascii="Times New Roman" w:hAnsi="Times New Roman"/>
          <w:sz w:val="20"/>
        </w:rPr>
      </w:pPr>
      <w:r>
        <w:rPr>
          <w:rFonts w:ascii="Times New Roman" w:hAnsi="Times New Roman"/>
          <w:b/>
          <w:i/>
          <w:color w:val="000000"/>
          <w:sz w:val="20"/>
        </w:rPr>
        <w:t>Personal Care Segment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12"/>
        <w:gridCol w:w="146"/>
        <w:gridCol w:w="211"/>
        <w:gridCol w:w="781"/>
        <w:gridCol w:w="146"/>
        <w:gridCol w:w="271"/>
        <w:gridCol w:w="167"/>
        <w:gridCol w:w="657"/>
        <w:gridCol w:w="146"/>
        <w:gridCol w:w="271"/>
        <w:gridCol w:w="146"/>
        <w:gridCol w:w="211"/>
        <w:gridCol w:w="781"/>
        <w:gridCol w:w="146"/>
        <w:gridCol w:w="271"/>
        <w:gridCol w:w="167"/>
        <w:gridCol w:w="657"/>
        <w:gridCol w:w="146"/>
        <w:gridCol w:w="271"/>
        <w:gridCol w:w="146"/>
        <w:gridCol w:w="211"/>
        <w:gridCol w:w="676"/>
        <w:gridCol w:w="166"/>
        <w:gridCol w:w="146"/>
        <w:gridCol w:w="146"/>
        <w:gridCol w:w="526"/>
        <w:gridCol w:w="166"/>
        <w:gridCol w:w="318"/>
      </w:tblGrid>
      <w:tr>
        <w:trPr/>
        <w:tc>
          <w:tcPr>
            <w:tcW w:w="2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3"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3"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 Except Percentages)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Business Metrics (Actual Numbers, Except</w:t>
              <w:br/>
              <w:t>   Billable Hours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Locations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billable census *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Billable hours *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billable hours per census per month *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Billable hours per business day *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Revenues per billable hour *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Same store growth revenue % *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xml:space="preserve">Average billable census is the number of unique clients receiving a billable service during the year and is the total census divided by months in operation during the period.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xml:space="preserve">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left"/>
        <w:rPr/>
      </w:pPr>
      <w:r>
        <w:rPr>
          <w:rFonts w:ascii="Times New Roman" w:hAnsi="Times New Roman"/>
          <w:color w:val="000000"/>
          <w:sz w:val="18"/>
        </w:rPr>
        <w:t>Same store growth reflects the change in year-over-year revenue for the same store base. We define the same store base to include those stores open for at least 52 full weeks. This measure highlights the</w:t>
      </w:r>
      <w:r>
        <w:rPr>
          <w:color w:val="000000"/>
        </w:rPr>
        <w:t xml:space="preserve"> </w:t>
      </w:r>
      <w:r>
        <w:rPr>
          <w:rFonts w:ascii="Times New Roman" w:hAnsi="Times New Roman"/>
          <w:color w:val="000000"/>
          <w:sz w:val="18"/>
        </w:rPr>
        <w:t>performance of existing stores, while excluding the impact of acquisitions, new store openings and closures, and American Rescue Plan Act of 2021 associated revenue from this calculation.</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personal care segment derives a significant amount of its net service revenues from operations in Illinois, which represented 38.2% and 38.8% of our net service revenues for the years ended December 31, 2024 and 2023, respectively. One payor client, the Illinois Department on Aging, accounted for 21.0% and 20.9% of net service revenues for the years ended December 31, 2024 and 2023, respectively. Net service revenues from state, local and other governmental programs accounted for 53.3% and 50.4% of net service revenues for the years ended December 31, 2024 and 2023, respectively. Managed care organizations accounted for 44.0% and 46.2% of net service revenues for the years ended December 31, 2024 and 2023, respectively, with commercial insurance, private pay and other payors accounting for the remainder of net service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service revenues increased by 7.8% for the year ended December 31, 2024 compared to the year ended December 31, 2023 primarily as a result of an increase in revenues per billable hour of 5.2%, mainly attributed to the rate increases discussed above.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profit, expressed as a percentage of net service revenues, increased from 27.9% for the year ended December 31, 2023 to 28.3% for the year ended December 31, 2024 due to an increase in the reimbursement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personal care segment’s general and administrative expenses primarily consist of administrative employee wages, taxes and benefit costs, rent, information technology and office expenses. General and administrative expenses, expressed as a percentage of net service revenues, was 7.9% and 8.1% for the years ended December 31, 2024 and 2023,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Hospice Segment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5"/>
        <w:gridCol w:w="146"/>
        <w:gridCol w:w="211"/>
        <w:gridCol w:w="931"/>
        <w:gridCol w:w="146"/>
        <w:gridCol w:w="271"/>
        <w:gridCol w:w="177"/>
        <w:gridCol w:w="695"/>
        <w:gridCol w:w="146"/>
        <w:gridCol w:w="271"/>
        <w:gridCol w:w="146"/>
        <w:gridCol w:w="211"/>
        <w:gridCol w:w="931"/>
        <w:gridCol w:w="146"/>
        <w:gridCol w:w="271"/>
        <w:gridCol w:w="177"/>
        <w:gridCol w:w="695"/>
        <w:gridCol w:w="146"/>
        <w:gridCol w:w="271"/>
        <w:gridCol w:w="146"/>
        <w:gridCol w:w="211"/>
        <w:gridCol w:w="676"/>
        <w:gridCol w:w="166"/>
        <w:gridCol w:w="146"/>
        <w:gridCol w:w="146"/>
        <w:gridCol w:w="466"/>
        <w:gridCol w:w="166"/>
        <w:gridCol w:w="319"/>
      </w:tblGrid>
      <w:tr>
        <w:trPr/>
        <w:tc>
          <w:tcPr>
            <w:tcW w:w="1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9"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9"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 Except Percentages)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Business Metrics (Actual Numbers)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Locations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Admissions *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daily census *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length of stay *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Patient days *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Revenue per patient day *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color w:val="000000"/>
              </w:rPr>
              <w:t> </w:t>
            </w:r>
            <w:r>
              <w:rPr>
                <w:rFonts w:ascii="Times New Roman" w:hAnsi="Times New Roman"/>
                <w:color w:val="000000"/>
                <w:sz w:val="20"/>
              </w:rPr>
              <w:t xml:space="preserve">- Revenue *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color w:val="000000"/>
              </w:rPr>
              <w:t> </w:t>
            </w:r>
            <w:r>
              <w:rPr>
                <w:rFonts w:ascii="Times New Roman" w:hAnsi="Times New Roman"/>
                <w:color w:val="000000"/>
                <w:sz w:val="20"/>
              </w:rPr>
              <w:t xml:space="preserve">- Average daily census *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Represents referral process and new patients on service during the period.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xml:space="preserve">Average daily census is total patient days divided by the number of days in the period, adjusted for patient days for acquisitions beginning on date of acquisition.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xml:space="preserve">Average length of stay is the average number of days a patient is on service, calculated upon discharge, and is total patient days divided by total discharges in the period.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Patient days is days of service for all patients in the period.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Revenue per patient day is hospice revenue divided by the number of patient days in the period.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40" w:after="283"/>
        <w:jc w:val="left"/>
        <w:rPr/>
      </w:pPr>
      <w:r>
        <w:rPr>
          <w:rFonts w:ascii="Times New Roman" w:hAnsi="Times New Roman"/>
          <w:color w:val="000000"/>
          <w:sz w:val="18"/>
        </w:rPr>
        <w:t>Revenue organic growth and average daily census organic growth reflect the change in year-over-year revenue and average daily census for the same store base. We define the same store base to include those stores open for at least 52 full weeks. These measures highlight the</w:t>
      </w:r>
      <w:r>
        <w:rPr>
          <w:color w:val="000000"/>
        </w:rPr>
        <w:t xml:space="preserve"> </w:t>
      </w:r>
      <w:r>
        <w:rPr>
          <w:rFonts w:ascii="Times New Roman" w:hAnsi="Times New Roman"/>
          <w:color w:val="000000"/>
          <w:sz w:val="18"/>
        </w:rPr>
        <w:t>performance of existing stores, while excluding the impact of acquisitions, new store openings and closures.</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Hospice generates revenue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care, continuous care, general inpatient care and respite care. Our hospice segment principally provides routine care.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service revenues from Medicare accounted for 91.2% and 89.9% and managed care organizations accounted for 3.3% and 3.4% for the years ended December 31, 2024 and 2023, respectively. Net service revenues increased by $21.0 million for the year ended December 31, 2024 compared to the year ended December 31, 2023 primarily due to increases in average daily census and revenue per patient day, mainly attributed to the organic growth and the acquisition of the operations of Tennessee Quality Care on August 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profit, expressed as a percentage of net service revenues, was relatively consistent at 47.0% and 46.8% for the years ended December 31, 2024 and 2023,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hospice segment’s general and administrative expenses primarily consist of administrative employee wages, taxes and benefit costs, rent, information technology and office expenses. General and administrative expenses, expressed as a percentage of net service revenues, was 24.3% and 25.1% for the years ended December 31, 2024 and 2023, respectively. The decrease in general and administrative expenses was primarily due to more efficient operations for administrative employees for the year ended December 31, 2024.</w:t>
      </w:r>
    </w:p>
    <w:p>
      <w:pPr>
        <w:pStyle w:val="TextBody"/>
        <w:bidi w:val="0"/>
        <w:spacing w:before="360" w:after="283"/>
        <w:jc w:val="left"/>
        <w:rPr>
          <w:rFonts w:ascii="Times New Roman" w:hAnsi="Times New Roman"/>
          <w:sz w:val="20"/>
        </w:rPr>
      </w:pPr>
      <w:r>
        <w:rPr>
          <w:rFonts w:ascii="Times New Roman" w:hAnsi="Times New Roman"/>
          <w:b/>
          <w:i/>
          <w:color w:val="000000"/>
          <w:sz w:val="20"/>
        </w:rPr>
        <w:t>Home Health Segment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13"/>
        <w:gridCol w:w="146"/>
        <w:gridCol w:w="211"/>
        <w:gridCol w:w="781"/>
        <w:gridCol w:w="166"/>
        <w:gridCol w:w="271"/>
        <w:gridCol w:w="184"/>
        <w:gridCol w:w="720"/>
        <w:gridCol w:w="146"/>
        <w:gridCol w:w="271"/>
        <w:gridCol w:w="146"/>
        <w:gridCol w:w="211"/>
        <w:gridCol w:w="781"/>
        <w:gridCol w:w="166"/>
        <w:gridCol w:w="271"/>
        <w:gridCol w:w="184"/>
        <w:gridCol w:w="720"/>
        <w:gridCol w:w="146"/>
        <w:gridCol w:w="271"/>
        <w:gridCol w:w="146"/>
        <w:gridCol w:w="211"/>
        <w:gridCol w:w="676"/>
        <w:gridCol w:w="146"/>
        <w:gridCol w:w="146"/>
        <w:gridCol w:w="146"/>
        <w:gridCol w:w="466"/>
        <w:gridCol w:w="146"/>
        <w:gridCol w:w="317"/>
      </w:tblGrid>
      <w:tr>
        <w:trPr/>
        <w:tc>
          <w:tcPr>
            <w:tcW w:w="2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83"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83"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Business Metrics (Actual Numbers)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Locations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New admissions *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Recertifications *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volume *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Visits *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color w:val="000000"/>
              </w:rPr>
              <w:t> </w:t>
            </w:r>
            <w:r>
              <w:rPr>
                <w:rFonts w:ascii="Times New Roman" w:hAnsi="Times New Roman"/>
                <w:color w:val="000000"/>
                <w:sz w:val="20"/>
              </w:rPr>
              <w:t xml:space="preserve">- Revenue *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Represents new patients during the period.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A home health certification period begins with a start of care visit and continues for 60 days. If at the end of the initial certification, the patient continues to require home health services, a recertification is required. This represents the number of recertifications during the period.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Total volume is total admissions and total recertifications in the period.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Represents number of services to patients in the period.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40" w:after="283"/>
        <w:jc w:val="left"/>
        <w:rPr/>
      </w:pPr>
      <w:r>
        <w:rPr>
          <w:rFonts w:ascii="Times New Roman" w:hAnsi="Times New Roman"/>
          <w:color w:val="000000"/>
          <w:sz w:val="18"/>
        </w:rPr>
        <w:t>Revenue organic growth and new admissions organic growth reflect the change in year-over-year revenue and new admissions for the same store base. We define the same store base to include those stores open for at least 52 full weeks. These measures highlight the</w:t>
      </w:r>
      <w:r>
        <w:rPr>
          <w:color w:val="000000"/>
        </w:rPr>
        <w:t xml:space="preserve"> </w:t>
      </w:r>
      <w:r>
        <w:rPr>
          <w:rFonts w:ascii="Times New Roman" w:hAnsi="Times New Roman"/>
          <w:color w:val="000000"/>
          <w:sz w:val="18"/>
        </w:rPr>
        <w:t>performance of existing stores, while excluding the impact of acquisitions, new store openings and closures.</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Home health generates revenue by providing home health services on a short-term, intermittent or episodic basis to individuals, generally to treat an illness or injury. Net service revenues from Medicare accounted for 69.5% and 72.3% and managed care organizations accounted for 25.2% and 22.2% for the years ended December 31, 2024 and 2023, respectively. Home health services provided to Medicare beneficiaries are paid under the Medicare HHPPS,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service revenues increased by $13.0 million for the year ended December 31, 2024 compared to 2023. Total visits increased for the year ended December 31, 2023, mainly attributed to the full-year effect of the acquisition of Tennessee Quality Care on August 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expressed as a percentage of net service revenues, was relatively consistent at 36.8% and 37.0% for the years ended December 31, 2024 and 2023,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home health segment’s general and administrative expenses consist of administrative employee wages, taxes and benefit costs, rent, information technology and office expenses. General and administrative expenses, expressed as a percentage of net service revenues, were 25.5% and 24.7% for the years ended December 31, 2024 and 2023, respectively. The increase in general and administrative expenses was primarily due to increases in administrative employee wages, taxes and benefit costs for the year ended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a non-GAAP measure that has limitations as an analytical tool, and should not be considered in isolation or as a substitute for analysis of our results of operations as reported under generally accepted accounting principles in the United States (“GAAP”). The financial results presented in accordance with U.S. GAAP and a reconciliation of this non-GAAP measure included within this Annual Report on Form 10-K should be carefully evaluated.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define Adjusted EBITDA as earnings before interest expense, other non-operating income, taxes, depreciation, amortization, acquisition expenses, stock-based compensation expense, restructure expenses and other non-recurring costs, gain or loss on the sale of assets, impairment of operating lease assets, retroactive rate increases from New York and the retroactive impact from collective bargaining negotiations. Adjusted EBITDA is a performance measure used by management that is not calculated in accordance with GAAP. It should not be considered in isolation or as a substitute for net income, operating income or any other measure of financial performance calculated in accordance with GAAP. Additionally, our calculation of Adjusted EBITDA may not be comparable to similarly titled measures reported by other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believes that Adjusted EBITDA is useful to investors, management and others in evaluating our operating performance for the following reasons: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reporting Adjusted EBITDA, we believe that we provide investors with insight and consistency in our financial reporting and present a basis for comparison of our business operations between current, past and future periods. We believe that Adjusted EBITDA allows management, investors and others to evaluate and compare our core operating results, including return on capital and operating efficiencies, from period to period, by removing the impact of our capital structure (interest expense), asset base (amortization and depreciation), tax consequences, stock-based compensation expense and other identified adjustments.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EBITDA is a measure widely used by securities analysts, investors and others to evaluate the financial performance of other public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stock-based compensation expense of $11.2 million, $10.3 million and $10.6 million for the years ended December 31, 2024, 2023 and 2022, respectively. By comparing our Adjusted EBITDA in different periods, our investors can evaluate our operating results without stock-based compensation expense, which is a non-cash expense which we believe is not a key measure of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management has chosen to use Adjusted EBITDA as a performance measure because we believe that the amount of non-cash expenses, such as depreciation, amortization and stock-based compensation expense, may not directly correlate to the underlying performance of our business operations, and because such expenses can vary significantly from period to period as a result of new acquisitions, full amortization of previously acquired tangible and intangible assets or the timing of new stock-based awards, as the case may be. This facilitates internal comparisons to historical operating results, as well as external comparisons to the operating results of our competitors and other companies in the personal care services industry. Because management believes Adjusted EBITDA is useful as a performance measure, management uses Adjusted EBITDA: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one of our primary financial measures in the day-to-day oversight of our business to allocate financial and human resources across our organization, to assess appropriate levels of marketing and other initiatives and to generally enhance the financial performance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preparation of our annual operating budget, as well as for other planning purposes on a quarterly and annual basis, including allocations in order to implement our growth strategy, to determine appropriate levels of investments in acquisitions and to endeavor to achieve strong core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evaluate the effectiveness of business strategies, such as the allocation of resources, the mix of organic growth and acquisitive growth and adjustments to our payor mix;</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means of evaluating the effectiveness of management in directing our core operating performance, which we consider to be performance that can be affected by our management in any particular period through their allocation and use of resources that affect our underlying revenue and profit-generating operations during that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valuation of prospective acquisitions, and to evaluate the effectiveness of integration of past acquisitions into our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communications with our Board concerning our financial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Adjusted EBITDA is frequently used by investors and securities analysts in their evaluations of companies, Adjusted EBITDA has limitations as an analytical tool, and you should not consider it in isolation or as a substitute for analysis of our results of operations as reported under GAAP. Some of these limitations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our cash expenditures or future requirements for capital expenditures or other contractual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changes in, or cash requirements for, our working capital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interest expense or interest income;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cash requirements for income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or amortized will often have to be replaced in the future, and Adjusted EBITDA does not reflect any cash requirements for these replacements;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any acquisition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any stock-based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any restructure expense and other non-recurring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in our industry may calculate Adjusted EBITDA differently than we do, limiting its usefulness as a comparative measure.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compensates for these limitations by using GAAP financial measures in addition to Adjusted EBITDA in managing the day-to-day and long-term operations of our business. We believe that consideration of Adjusted EBITDA, together with a careful review of our GAAP financial measures, is the most informed method of analyzing our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a reconciliation of net income, the most directly comparable GAAP measure, to Adjusted EBITDA:</w:t>
      </w:r>
    </w:p>
    <w:p>
      <w:pPr>
        <w:pStyle w:val="TextBody"/>
        <w:bidi w:val="0"/>
        <w:jc w:val="left"/>
        <w:rPr/>
      </w:pPr>
      <w:r>
        <w:rPr/>
        <w:t> </w:t>
      </w:r>
    </w:p>
    <w:tbl>
      <w:tblPr>
        <w:tblW w:w="8608" w:type="dxa"/>
        <w:jc w:val="left"/>
        <w:tblInd w:w="0" w:type="dxa"/>
        <w:tblLayout w:type="fixed"/>
        <w:tblCellMar>
          <w:top w:w="28" w:type="dxa"/>
          <w:left w:w="28" w:type="dxa"/>
          <w:bottom w:w="28" w:type="dxa"/>
          <w:right w:w="28" w:type="dxa"/>
        </w:tblCellMar>
      </w:tblPr>
      <w:tblGrid>
        <w:gridCol w:w="4471"/>
        <w:gridCol w:w="146"/>
        <w:gridCol w:w="211"/>
        <w:gridCol w:w="781"/>
        <w:gridCol w:w="166"/>
        <w:gridCol w:w="146"/>
        <w:gridCol w:w="211"/>
        <w:gridCol w:w="781"/>
        <w:gridCol w:w="166"/>
        <w:gridCol w:w="146"/>
        <w:gridCol w:w="211"/>
        <w:gridCol w:w="781"/>
        <w:gridCol w:w="39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Reconciliation of net income to Adjusted EBITDA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Impact of retroactive New York rate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Restructure expense and other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140,290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101,480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The selected historical Consolidated Statements of Income data for the fiscal years ended December 31, 2024, 2023 and 2022, were derived from our audited Consolidated Financial Statements.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Management deems Adjusted EBITDA to be a key performance indicator. Management uses key performance indicators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pStyle w:val="TextBody"/>
        <w:bidi w:val="0"/>
        <w:spacing w:before="360" w:after="283"/>
        <w:jc w:val="left"/>
        <w:rPr>
          <w:rFonts w:ascii="Times New Roman" w:hAnsi="Times New Roman"/>
          <w:b/>
          <w:i/>
          <w:color w:val="000000"/>
          <w:sz w:val="20"/>
        </w:rPr>
      </w:pPr>
      <w:bookmarkStart w:id="15" w:name="fis_income_statement_2"/>
      <w:bookmarkStart w:id="16" w:name="fis_liquidity_capital"/>
      <w:bookmarkEnd w:id="15"/>
      <w:bookmarkEnd w:id="16"/>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sources of liquidity are cash on hand and cash from operations and borrowings under our credit facility. At December 31, 2024 and 2023, we had cash balances of $98.9 million and $64.8 million, respectively. Cash flows from operating activities represent the inflow of cash from our payor clients and the outflow of cash for payroll and payroll taxes, operating expenses, interest and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drew approximately $233.0 million on the revolver portion of our credit facility to fund, in part, the purchase price paid in connection with the Gentiva Acquisition and repaid $136.4 million under our revolving credit facility in 2024. At December 31, 2024, we had a total of $223.0 million in revolving loans, with an interest rate of 6.34% outstanding on our credit facility. After giving effect to the amounts drawn on our credit facility, approximately $8.0 million of outstanding letters of credit and borrowing limits based on an advance multiple of Adjusted EBITDA (as defined in the Credit Agreement), we had $577.7 million of capacity and $346.6 million available for borrowing under our credit facility. At December 31, 2023, we had a total of $126.4 million of revolving loans, with an interest rate of 7.21%. During the year ended December 31, 2023, the Company drew approximately $110.0 million on the revolver portion of its credit facility to fund, in part, the Tennessee Quality Care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credit facility requires us to maintain a total net leverage ratio not exceeding 3.75:1.00. At December 31, 2024,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Borrowing Capacity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Credit Agreement provides for a $650.0 million revolving credit facility and a $150.0 million incremental loan facility, which incremental loan facility may be for term loans or an increase to the revolving loan commitments. The maturity of the credit facility is July 30, 2028.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9, Long-Term Debt, to the Notes to Consolidated Financial Statements for additional details of our long-term debt.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28, 2024, the Company completed a public offering of an aggregate 1,725,000 shares of common stock, par value $0.001 per share, including 225,000 shares of common stock sold pursuant to the exercise in full by the underwriters of their option to purchase additional shares, at a public offering price of $108.00 per share (the “Public Offering”). The Company received net proceeds of approximately $175.6 million, after deducting underwriting discounts and estimated offering expenses of approximately $10.7 million. The Company used approximately $81.4 million from the net proceeds of the Public Offering for the repayment of indebtedness outstanding under its credit facility and may use any remaining net proceeds of the Public Offering for general corporate purposes, including the Gentiva Acquisition and any future acquisitions or investments. The Public Offering resulted in an increase to additional paid in capital of approximately $175.6 million on the Company’s Consolidated Balance Sheet at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Current Macroeconomic Conditions and American Rescue Plan Act of 2021 Relief Funding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conditions in the United States continue to be challenging in certain respects. For example, the United States economy continues to experience inflationary pressures, elevated interest rates and challenging labor market conditions. Any economic downturn would pose a risk to states’ revenues, which in turn could affect our reimbursements and collections received for services rendered. Depending on the severity and length of any potential economic downturn as well as the extent of any federal support, states could face significant fiscal challenges and revise their revenue forecasts and adjust their budgets, and sales tax collections and income tax withholdings could be depressed.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ARPA Spending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American Rescue Plan Act of 2021 (“ARPA”) provides for $350 billion in relief funding for eligible state, local, territorial, and Tribal governments to mitigate the fiscal effects of the COVID-19 public health emergency. Additionally, the law provided for a 10-percentage point increase in federal matching funds for Medicaid HCBS from April 1, 2021, through March 31, 2022, provided the state satisfied certain conditions. States are generally permitted to use the state funds equivalent to the additional federal funds through March 31, 2025, but CMS has granted extensions to several states. States must use the monies attributable to this matching fund increase to supplement, not supplant, their level of state spending for the implementation of activities enhanced under the Medicaid HCBS in effect as of April 1,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received state funding provided by the ARPA in an aggregate amount of $15.7 million and $3.7 million for the years ended December 31, 2024 and 2023, respectively. The Company utilized $10.2 million and $10.5 million of these funds during the years ended December 31, 2024 and 2023, respectively, primarily for caregivers and adding support to recruiting and retention efforts. The deferred portion of ARPA funding was $11.2 million and $5.8 million for the years ended December 31, 2024 and 2023, respectively, which is included within Government stimulus advances on the Company’s Consolidated Balance Sheets.</w:t>
      </w:r>
    </w:p>
    <w:p>
      <w:pPr>
        <w:pStyle w:val="TextBody"/>
        <w:bidi w:val="0"/>
        <w:spacing w:before="360" w:after="283"/>
        <w:jc w:val="left"/>
        <w:rPr>
          <w:rFonts w:ascii="Times New Roman" w:hAnsi="Times New Roman"/>
          <w:b/>
          <w:i/>
          <w:color w:val="000000"/>
          <w:sz w:val="20"/>
        </w:rPr>
      </w:pPr>
      <w:bookmarkStart w:id="17" w:name="fis_unidentified_table_17"/>
      <w:bookmarkEnd w:id="17"/>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historical changes in our cash flows for the years ended December 31, 2024, 2023 and 2022:</w:t>
      </w:r>
    </w:p>
    <w:p>
      <w:pPr>
        <w:pStyle w:val="TextBody"/>
        <w:bidi w:val="0"/>
        <w:jc w:val="left"/>
        <w:rPr/>
      </w:pPr>
      <w:r>
        <w:rPr/>
        <w:t> </w:t>
      </w:r>
    </w:p>
    <w:tbl>
      <w:tblPr>
        <w:tblW w:w="8353" w:type="dxa"/>
        <w:jc w:val="left"/>
        <w:tblInd w:w="0" w:type="dxa"/>
        <w:tblLayout w:type="fixed"/>
        <w:tblCellMar>
          <w:top w:w="28" w:type="dxa"/>
          <w:left w:w="28" w:type="dxa"/>
          <w:bottom w:w="28" w:type="dxa"/>
          <w:right w:w="28" w:type="dxa"/>
        </w:tblCellMar>
      </w:tblPr>
      <w:tblGrid>
        <w:gridCol w:w="4216"/>
        <w:gridCol w:w="146"/>
        <w:gridCol w:w="211"/>
        <w:gridCol w:w="841"/>
        <w:gridCol w:w="166"/>
        <w:gridCol w:w="146"/>
        <w:gridCol w:w="211"/>
        <w:gridCol w:w="841"/>
        <w:gridCol w:w="166"/>
        <w:gridCol w:w="146"/>
        <w:gridCol w:w="211"/>
        <w:gridCol w:w="841"/>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was $116.4 million for the year ended December 31, 2024, compared to $112.2 million in 2023 primarily due to the increase in net income offset by a decrease in cash flows from changes in operating assets and liabilities. The changes in accounts receivable were primarily related to the growth in revenue during the year ended December 31, 2024 compared to 2023, as described below. The related receivables due from the Illinois Department on Aging represented 21.7% and 25.8% of net accounts receivable at December 31, 2024 and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investing activities was $354.6 million for the year ended December 31, 2024, compared to $119.2 million for the year ended December 31, 2023. Our investing activities for the year ended December 31, 2024 primarily consisted of $0.4 million for the acquisition of Upstate, $353.5 million for the Gentiva Acquisition, $6.1 million in purchases of property and equipment related to technology infrastructure, offset by $5.4 million in proceeds received on the sale of our New York business. Our investing activities for the year ended December 31, 2023 consisted of $1.0 million primarily for the acquisition of CareStaff, $111.2 million for the acquisition of Tennessee Quality Care and $9.4 million in purchases of property and equipment primarily related to technology infrastructure.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$272.3 million for the year ended December 31, 2024 compared to net cash used in $8.2 million for the year ended December 31, 2023. Our financing activities for the year ended December 31, 2024 included borrowings of $233.0 million on the revolver portion of our credit facility to fund the Gentiva Acquisition, $175.6 million in net proceeds received from the Public Offering and cash received from the exercise of stock options of $3.4 million, offset by $136.4 million payment on the revolver portion of our credit facility and cash paid for debt issuance costs of $3.4 million. Our financing activities for the year ended December 31, 2023 included borrowings of $110.0 million on the revolver portion of our credit facility to fund two acquisitions and the payment of $118.5 million of our revolving loans.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Outstanding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accounts receivable as of December 31, 2024 and 2023 were $126.4 million and $117.8 million, respectively. Outstanding accounts receivable, net of the allowance for credit losses, increased by $7.4 million as of December 31, 2024 compared to December 31, 2023. The open receivable balance from the Illinois Department on Aging, the largest payor program for the Company’s Illinois personal care operation, decreased by $3.1 million from $29.8 million as of December 31, 2023 to $26.7 million as of December 31, 2024.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calculate our DSO by taking the accounts receivable outstanding, net of the allowance for credit losses, divided by the net service revenues for the last quarter, multiplied by the number of days in that quarter. Our DSOs were 39 days at each of December 31, 2024 and 2023. The DSOs for our largest payor, the Illinois Department on Aging, at December 31, 2024 and 2023 were 40 days and 50 days,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did not have any off-balance sheet guarantees or arrangements with unconsolidated entities.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are based on our Consolidated Financial Statements prepared in accordance with GAAP. The preparation of the financial statements requires us to make estimates and assumptions that affect the reported amounts of assets and liabilities, revenues and expense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significant accounting policies are described in Note 1 to the Notes to Consolidated Financial Statements. An accounting policy is deemed to be critical if it involves a significant level of estimation uncertainty and has had or is reasonably likely to have a material impact on our financial condition or results of operations. We base our estimates and judgments on historical experience and other sources and factors that we believe to be reasonable under the circumstances, however, actual results may differ from these estimates. Our critical accounting policies requiring estimates, assumptions and judgments that we believe have the most significant impact on our consolidated financial statements are described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 Accounts Receivable and Allowances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service revenue is recognized at the amount that reflects the consideration the Company expects to receive in exchange for providing services directly to consumers. Receipts are from federal, state and local governmental agencies, managed care organizations, commercial insurers and private consumers for services rendered. The Company assesses the consumers’ ability to pay at the time of their admission based on the Company’s verification of the customer’s insurance coverage under the Medicare, Medicaid, and other commercial or managed care insurance programs. Laws and regulations governing the governmental programs in which we participate are complex and subject to interpretation. Net service revenues related to uninsured accounts, or self-pay, is recorded net of implicit price concessions estimated based on historical collection experience to reduce revenue to the estimated amount we expect to collect. Amounts collected from all sources may be less than amounts billed due to implicit price concessions resulting from client eligibility issues, insufficient or incomplete documentation, services at levels other than authorized, pricing differences and other reasons unrelated to credit risk. We monitor our net service revenues and collections from these sources and record any necessary adjustment to net service revenues based upon management’s assessment of historical write offs and expected net collections, business and economic conditions, trends in federal, state and private employer healthcare coverage and other collection indicators.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Accounts receivable is reduced to the amount expected to be collected in future periods for services rendered to customers prior to the balance sheet date.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Collection of net service revenues we expect to receive is normally a function of providing complete and correct billing information to the payors within the various filing deadlines. The evaluation of these historical and other factors involves complex, subjective judgments impacting the determination of the implicit price concession assumption. In addition, we compare our cash collections to recorded net service revenues and evaluate our historical allowances, including implicit price concessions, based upon the ultimate resolution of the accounts receivable balance.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Goodwill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business combination accounting, assets and liabilities are generally recognized at their fair values and the difference between the consideration transferred, excluding transaction costs, and the fair values of the assets and liabilities is recognized as goodwill. The Company’s significant identifiable intangible assets consist of customer and referral relationships, trade names and trademarks and state licenses. The Company uses various valuation techniques to determine initial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 The Company estimates the fair values of the trade names using the relief-from-royalty method, which requires assumptions such as the long-term growth rates of future revenues, the relief from royalty rate for such revenue, the tax rate and the discount rate. The Company estimates the fair value of existing indefinite-lived state licenses based on a blended approach of the replacement cost method and cost savings method, which involves estimating the total process costs and opportunity costs to obtain a license, by estimating future earnings before interest and taxes and applying an estimated discount rate, tax rate and time to obtain the license. The Company estimates the fair value of existing finite-lived state licenses based on a method of analyzing the definite revenue streams with the license and without the license, which involves estimating revenues and expenses, estimated time to build up to a current revenue base, which is market specific, and the non-licensed revenue allocation, revenue growth rates, discount rate and tax amortization benefits. The Company estimates the fair value of customer and referral relationships based on a multi-period excess earnings method, which involves identifying revenue streams associated with the assets, estimating the attrition rates based upon historical financial data, expenses and cash flows associated with the assets, contributory asset charges, rates of return for specific assets, growth rates, discount rate and tax amortization benefits. The Company estimates the fair value of non-competition agreements based on a method of analyzing the factors to compete and factors not to compete, which involves estimating historical financial data, forecasted financial statements, growth rates, tax amortization benefit, discount rate, review of factors to compete and factors not to compete as well as an assessment of the probability of successful enforcement for each non-competition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2024 and 2023, goodwill was $970.6 million and $663.0 million, respectively, included in our Consolidated Balance Sheets. The carrying value of our goodwill is the excess of the purchase price over the fair value of the net assets acquired from various acquisitions. In accordance with ASC Topic 350, </w:t>
      </w:r>
      <w:r>
        <w:rPr>
          <w:rFonts w:ascii="Times New Roman" w:hAnsi="Times New Roman"/>
          <w:i/>
          <w:color w:val="000000"/>
          <w:sz w:val="20"/>
        </w:rPr>
        <w:t>Goodwill and Other Intangible Assets</w:t>
      </w:r>
      <w:r>
        <w:rPr>
          <w:rFonts w:ascii="Times New Roman" w:hAnsi="Times New Roman"/>
          <w:color w:val="000000"/>
          <w:sz w:val="20"/>
        </w:rPr>
        <w:t xml:space="preserve">, goodwill and intangible assets with indefinite useful lives are not amortized. We test goodwill for impairment at the reporting unit level on an annual basis, as of October 1, or whenever potential impairment triggers occur, such as a significant change in business climate or regulatory changes that would indicate that an impairment may have occurred. We may elect to use a qualitative test to determine whether impairment has occurred, focused on various factors including macroeconomic conditions, market trends, specific reporting unit financial performance and other entity specific events, to determine if it is more likely than not that the fair value of a reporting unit exceeds its carrying value, including goodwill. We may also bypass the qualitative assessment and perform a quantitative test. Additionally, it is our policy to update the fair value calculation of our reporting units and perform the quantitative goodwill impairment test on a periodic basis. The quantitative goodwill impairment test involves comparing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years ended December 31, 2024, 2023 and 2022, we performed the quantitative analysis to evaluate whether an impairment occurred. Since quoted market prices for our reporting units are not available, we rely on widely accepted valuation techniques to determine fair value, including discounted cash flow and market multiple approaches, which capture both the future income potential of the reporting unit and the market behaviors and actions of market participants in the industry that includes the reporting unit. These types of models require us to make assumptions and estimates regarding future cash flows, industry-specific economic factors and the profitability of future business strategies. The discounted cash flow model uses a projection of estimated operating results and cash flows that are discounted using a weighted average cost of capital. The market multiple model estimates fair value based on market multiples of earnings before interest, taxes and depreciation and amortization. Under the discounted cash flow model, the projection uses management’s best estimates of economic and market conditions over the projected period for each reporting unit using significant assumptions such as revenue growth rates, operating margins and the weighted-average cost of capital.</w:t>
      </w:r>
    </w:p>
    <w:p>
      <w:pPr>
        <w:pStyle w:val="TextBody"/>
        <w:bidi w:val="0"/>
        <w:spacing w:before="240" w:after="283"/>
        <w:jc w:val="left"/>
        <w:rPr>
          <w:rFonts w:ascii="Times New Roman" w:hAnsi="Times New Roman"/>
          <w:sz w:val="20"/>
        </w:rPr>
      </w:pPr>
      <w:r>
        <w:rPr>
          <w:rFonts w:ascii="Times New Roman" w:hAnsi="Times New Roman"/>
          <w:color w:val="000000"/>
          <w:sz w:val="20"/>
        </w:rPr>
        <w:t>Based on the totality of the information available, we concluded that it was more likely than not that the estimated fair values of our reporting units were greater than their carrying values. Consequently, we concluded that there were no impairments for the years ended December 31, 2024</w:t>
      </w:r>
      <w:r>
        <w:rPr>
          <w:rFonts w:ascii="Times New Roman" w:hAnsi="Times New Roman"/>
          <w:color w:val="000000"/>
          <w:sz w:val="24"/>
        </w:rPr>
        <w:t xml:space="preserve">, </w:t>
      </w:r>
      <w:r>
        <w:rPr>
          <w:rFonts w:ascii="Times New Roman" w:hAnsi="Times New Roman"/>
          <w:color w:val="000000"/>
          <w:sz w:val="20"/>
        </w:rPr>
        <w:t>2023 or 2022. The Company bases its fair value estimates on assumptions management believes to be reasonable but which are unpredictable and inherently uncertain. Actual future results may differ from those estimates.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2024 and 2023, intangibles, net of accumulated amortization, was $109.6 million and $92.0 million, respectively, included in our Consolidated Balance Sheets. Our identifiable intangible assets consist of customer and referral relationships, trade names, trademarks, state licenses and non-competition agreements. Definite-lived intangible assets are amortized using straight-line and accelerated methods based upon the estimated useful lives of the respective assets, which range from one to twenty-five years, and assessed for impairment whenever events or changes in circumstances indicate that the carrying amount may not be recoverable. Customer and referral relationships are amortized systematically over the periods of expected economic benefit, which range from five to ten years. We would recognize an impairment loss when the estimated future non-discounted cash flows associated with the intangible asset are less than the carrying value. An impairment charge would then be recorded for the excess of the carrying value over the fair value. We estimate the fair value of these intangible assets using the income approach. In accordance with ASC Topic 350, </w:t>
      </w:r>
      <w:r>
        <w:rPr>
          <w:rFonts w:ascii="Times New Roman" w:hAnsi="Times New Roman"/>
          <w:i/>
          <w:color w:val="000000"/>
          <w:sz w:val="20"/>
        </w:rPr>
        <w:t>Goodwill and Other Intangible Assets</w:t>
      </w:r>
      <w:r>
        <w:rPr>
          <w:rFonts w:ascii="Times New Roman" w:hAnsi="Times New Roman"/>
          <w:color w:val="000000"/>
          <w:sz w:val="20"/>
        </w:rPr>
        <w:t>, intangible assets with indefinite useful lives are not amortized.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No impairment charge was recorded for the years ended December 31, 2024, 2023 or 2022. Amortization of intangible assets is reported in the statement of income caption, “Depreciation and amortization” and not included in the income statement caption cost of service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1 to the Notes to Consolidated Financial Statements for further discussion.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Standby Letters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outstanding letters of credit of $8.0 million at December 31, 2024. These standby letters of credit benefit our third-party insurer for our high deductible workers’ compensation insurance program. The amount of the letters of credit is negotiated annually in conjunction with the insurance renewals.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on hand, our anticipated cash flows from operations and amounts available under our Credit Agreement will be sufficient to fund our anticipated operating and investing needs for the next 12 months and for the foreseeable future thereafter. Cash from operations could also be affected by various risks and uncertainties, including, but not limited to the effects of risks detailed in Part I, Item 1A—”Risk Factors”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the Company had outstanding debt on our revolving loan under our credit facility of $223.0 million, payable on July 30, 2028. Interest payments associated with the debt aggregate to $54.5 million, with $15.6 million payable within 12 months. As described in Note 9 to the Notes to Consolidated Financial Statements, interest on borrowings under the revolving loan are variable. The calculated interest payable amounts use actual rates available through January 2024 and assumes the January rates of 6.34%, for all future interest payable on the revolving loans. See Note 9, Long-Term Debt, to the Notes to Consolidated Financial Statements for additional details of our long-term debt.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lease arrangements for local branches, our corporate headquarters and certain equipment. As of December 31, 2024, the Company had fixed lease payment obligations aggregating to $65.0 million, with $15.8 million payable within 12 months. See Note 2, Leases, to the Notes to Consolidated Financial Statements for additional details of our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sublet a portion of its corporate headquarters space in Frisco, Texas in November 2022 to a third party under a two-year sublease term for a monthly base rent of $0.1 million. The sublease expired in January 2025. As the result, the Company recorded $5.0 million in impairment charges on operating lease assets, included within general administrative expenses. Of the $5.0 million in impairment charges on operating lease assets recorded, $2.2 million in exit charges was included.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Impact of Inflation</w:t>
      </w:r>
    </w:p>
    <w:p>
      <w:pPr>
        <w:pStyle w:val="TextBody"/>
        <w:bidi w:val="0"/>
        <w:spacing w:before="120" w:after="283"/>
        <w:jc w:val="left"/>
        <w:rPr>
          <w:rFonts w:ascii="Times New Roman" w:hAnsi="Times New Roman"/>
          <w:sz w:val="20"/>
        </w:rPr>
      </w:pPr>
      <w:r>
        <w:rPr>
          <w:rFonts w:ascii="Times New Roman" w:hAnsi="Times New Roman"/>
          <w:color w:val="000000"/>
          <w:sz w:val="20"/>
        </w:rPr>
        <w:t>The United States has recently experienced high rates of inflation. These inflationary conditions have resulted in, and may continue to result in, increased operating costs, particularly as the result of increased wages we have paid and may continue to pay our caregivers and other personnel and our ability to attract and retain personnel. Increased price levels might allow us to increase our fees to private pay clients, but our ability to realize rate increases from government programs might be limited despite inflation. Inflation may also raise our financing costs. For additional information regarding the risks to us from the current competitive labor market and increasing labor costs, see Item 1A—Risk Factors — “</w:t>
      </w:r>
      <w:r>
        <w:rPr>
          <w:rFonts w:ascii="Times New Roman" w:hAnsi="Times New Roman"/>
          <w:i/>
          <w:color w:val="000000"/>
          <w:sz w:val="20"/>
        </w:rPr>
        <w:t>We may not be able to attract and retain qualified personnel or we may incur increased costs in doing so.</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8" w:name="item_7a_quantitative_qualitative_disclos"/>
      <w:bookmarkEnd w:id="18"/>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associated with changes in interest rates on our variable rate long-term debt. As of December 31, 2024, we had outstanding borrowings of approximately $223.0 million on our credit facility, all of which was subject to variable interest rates. As of December 31, 2023, we had outstanding borrowings of approximately $126.4 million on our credit facility, all of which was subject to variable interest rates. If the variable rates on this debt were 100 basis points higher than the rate applicable to the borrowing during the year ended December 31, 2024, our net income would have decreased by $0.6 million, or $0.03 per diluted share. We do not currently have any derivative or hedging arrangements, or other known exposures, to changes in interest rates.</w:t>
      </w:r>
    </w:p>
    <w:p>
      <w:pPr>
        <w:pStyle w:val="TextBody"/>
        <w:bidi w:val="0"/>
        <w:spacing w:before="360" w:after="283"/>
        <w:jc w:val="left"/>
        <w:rPr>
          <w:rFonts w:ascii="Times New Roman" w:hAnsi="Times New Roman"/>
          <w:sz w:val="20"/>
        </w:rPr>
      </w:pPr>
      <w:bookmarkStart w:id="19" w:name="item_8_financial_statements_supplementar"/>
      <w:bookmarkEnd w:id="19"/>
      <w:r>
        <w:rPr>
          <w:rFonts w:ascii="Times New Roman" w:hAnsi="Times New Roman"/>
          <w:b/>
          <w:color w:val="000000"/>
          <w:sz w:val="20"/>
        </w:rPr>
        <w:t>ITEM 8.</w:t>
      </w:r>
      <w:r>
        <w:rPr>
          <w:rFonts w:ascii="Times New Roman" w:hAnsi="Times New Roman"/>
          <w:color w:val="000000"/>
          <w:sz w:val="20"/>
        </w:rPr>
        <w:t xml:space="preserve"> </w:t>
      </w:r>
      <w:r>
        <w:rPr>
          <w:rFonts w:ascii="Times New Roman" w:hAnsi="Times New Roman"/>
          <w:b/>
          <w:color w:val="000000"/>
          <w:sz w:val="20"/>
        </w:rPr>
        <w:t>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together with the related Notes to Consolidated Financial Statements and the report of our independent registered public accounting firm, are set forth on the pages indicated in Part IV, Item 15—”Exhibits and Financial Statement Schedules.”</w:t>
      </w:r>
    </w:p>
    <w:p>
      <w:pPr>
        <w:pStyle w:val="TextBody"/>
        <w:bidi w:val="0"/>
        <w:spacing w:before="360" w:after="283"/>
        <w:jc w:val="left"/>
        <w:rPr>
          <w:rFonts w:ascii="Times New Roman" w:hAnsi="Times New Roman"/>
          <w:sz w:val="20"/>
        </w:rPr>
      </w:pPr>
      <w:bookmarkStart w:id="20" w:name="item_9_changes_in_disagreements_with_acc"/>
      <w:bookmarkEnd w:id="20"/>
      <w:r>
        <w:rPr>
          <w:rFonts w:ascii="Times New Roman" w:hAnsi="Times New Roman"/>
          <w:b/>
          <w:color w:val="000000"/>
          <w:sz w:val="20"/>
        </w:rPr>
        <w:t>ITEM 9.</w:t>
      </w:r>
      <w:r>
        <w:rPr>
          <w:rFonts w:ascii="Times New Roman" w:hAnsi="Times New Roman"/>
          <w:color w:val="000000"/>
          <w:sz w:val="20"/>
        </w:rPr>
        <w:t xml:space="preserve"> </w:t>
      </w:r>
      <w:r>
        <w:rPr>
          <w:rFonts w:ascii="Times New Roman" w:hAnsi="Times New Roman"/>
          <w:b/>
          <w:color w:val="000000"/>
          <w:sz w:val="20"/>
        </w:rPr>
        <w:t>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1" w:name="item_9a_controls_procedures"/>
      <w:bookmarkEnd w:id="21"/>
      <w:r>
        <w:rPr>
          <w:rFonts w:ascii="Times New Roman" w:hAnsi="Times New Roman"/>
          <w:b/>
          <w:color w:val="000000"/>
          <w:sz w:val="20"/>
        </w:rPr>
        <w:t>ITEM 9A.</w:t>
      </w:r>
      <w:r>
        <w:rPr>
          <w:rFonts w:ascii="Times New Roman" w:hAnsi="Times New Roman"/>
          <w:color w:val="000000"/>
          <w:sz w:val="20"/>
        </w:rPr>
        <w:t xml:space="preserve"> </w:t>
      </w:r>
      <w:r>
        <w:rPr>
          <w:rFonts w:ascii="Times New Roman" w:hAnsi="Times New Roman"/>
          <w:b/>
          <w:color w:val="000000"/>
          <w:sz w:val="20"/>
        </w:rPr>
        <w:t>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our Chief Financial Officer, conducted an evaluation of our disclosure controls and procedures, as such term is defined under Rule 13a-15(e) promulgated under the Securities Exchange Act of 1934, as amended (the “Exchange Act”). Disclosure controls and procedures include, without limitation, controls and procedures designed to ensure that information required to be disclosed by an issuer in the reports that it files or submits under the Exchange Act is recorded, processed, summarized and reported, within the time periods specified in the SEC’s rules and forms, and that such information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evaluation of our disclosure controls and procedures, our Chief Executive Officer and Chief Financial Officer concluded that our disclosure controls and procedures were effective as of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such term is defined in Exchange Act Rule 13a-15(f). Because of its inherent limitations, internal control over financial reporting may not prevent or detect misstatements. Under the supervision and with the participation of our management, including our Chief Executive Officer and Chief Financial Officer, we conducted an assessment of the effectiveness of our internal control over financial reporting based on the framework in Internal Control — Integrated Framework issued by the Committee of Sponsoring Organizations of the Treadway Commission (2013 framework). Based on our assessment under the framework in Internal Control — Integrated Framework, our management concluded that our internal control over financial reporting was effective as of December 31, 2024.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Under SEC Staff guidance, companies are permitted to exclude acquisitions from their first assessment of internal control over financial reporting which covers the period in which such acquisition was completed. We excluded </w:t>
      </w:r>
      <w:r>
        <w:rPr>
          <w:rFonts w:ascii="Times New Roman" w:hAnsi="Times New Roman"/>
          <w:color w:val="212529"/>
          <w:sz w:val="20"/>
        </w:rPr>
        <w:t xml:space="preserve">the personal care business of Curo Health Services, LLC, a Delaware limited liability company that does business as Gentiva (the </w:t>
      </w:r>
      <w:r>
        <w:rPr>
          <w:rFonts w:ascii="Times New Roman" w:hAnsi="Times New Roman"/>
          <w:color w:val="000000"/>
          <w:sz w:val="20"/>
        </w:rPr>
        <w:t>“</w:t>
      </w:r>
      <w:r>
        <w:rPr>
          <w:rFonts w:ascii="Times New Roman" w:hAnsi="Times New Roman"/>
          <w:color w:val="212529"/>
          <w:sz w:val="20"/>
        </w:rPr>
        <w:t>Gentiva Acquisition</w:t>
      </w:r>
      <w:r>
        <w:rPr>
          <w:rFonts w:ascii="Times New Roman" w:hAnsi="Times New Roman"/>
          <w:color w:val="000000"/>
          <w:sz w:val="20"/>
        </w:rPr>
        <w:t>”</w:t>
      </w:r>
      <w:r>
        <w:rPr>
          <w:rFonts w:ascii="Times New Roman" w:hAnsi="Times New Roman"/>
          <w:color w:val="212529"/>
          <w:sz w:val="20"/>
        </w:rPr>
        <w:t>),</w:t>
      </w:r>
      <w:r>
        <w:rPr>
          <w:rFonts w:ascii="Times New Roman" w:hAnsi="Times New Roman"/>
          <w:color w:val="000000"/>
          <w:sz w:val="20"/>
        </w:rPr>
        <w:t xml:space="preserve"> from our assessment of internal control over financial reporting as of December 31, 2024 because it was acquired in a purchase business combination on December 2,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These acquired operations represented 2.0% of our revenues, 3.0% of our operating income and 2.4% of our assets as of and for the year ended December 31, 2024.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internal control over financial reporting as of December 31, 2024 has been audited by PricewaterhouseCoopers LLP, an independent registered public accounting firm, as stated in its report which appears within Part IV, Item 15—“Exhibits and Financial Statement Schedules.”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that occurred during the fiscal quarter ended December 31, 2024 that have materially affected, or are reasonably likely to materially affect, our internal control over financial reporting.</w:t>
      </w:r>
    </w:p>
    <w:p>
      <w:pPr>
        <w:pStyle w:val="TextBody"/>
        <w:bidi w:val="0"/>
        <w:spacing w:before="360" w:after="283"/>
        <w:jc w:val="left"/>
        <w:rPr>
          <w:rFonts w:ascii="Times New Roman" w:hAnsi="Times New Roman"/>
          <w:sz w:val="20"/>
        </w:rPr>
      </w:pPr>
      <w:bookmarkStart w:id="22" w:name="item_9b_or_information"/>
      <w:bookmarkEnd w:id="22"/>
      <w:r>
        <w:rPr>
          <w:rFonts w:ascii="Times New Roman" w:hAnsi="Times New Roman"/>
          <w:b/>
          <w:color w:val="000000"/>
          <w:sz w:val="20"/>
        </w:rPr>
        <w:t>ITEM 9B.</w:t>
      </w:r>
      <w:r>
        <w:rPr>
          <w:rFonts w:ascii="Times New Roman" w:hAnsi="Times New Roman"/>
          <w:color w:val="000000"/>
          <w:sz w:val="20"/>
        </w:rPr>
        <w:t xml:space="preserve"> </w:t>
      </w:r>
      <w:r>
        <w:rPr>
          <w:rFonts w:ascii="Times New Roman" w:hAnsi="Times New Roman"/>
          <w:b/>
          <w:color w:val="000000"/>
          <w:sz w:val="20"/>
        </w:rPr>
        <w:t>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 Without limiting the generality of the foregoing, during the quarter ended December 31, 2024, no director or Section 16 officer adopted or terminated any Rule 10b5-1 trading arrangements or non-Rule 10b5-1 trading arrangements, as such terms are defined in Item 408 of Regulation S-K.</w:t>
      </w:r>
    </w:p>
    <w:p>
      <w:pPr>
        <w:pStyle w:val="TextBody"/>
        <w:bidi w:val="0"/>
        <w:spacing w:before="360" w:after="283"/>
        <w:jc w:val="left"/>
        <w:rPr>
          <w:rFonts w:ascii="Times New Roman" w:hAnsi="Times New Roman"/>
          <w:sz w:val="20"/>
        </w:rPr>
      </w:pPr>
      <w:bookmarkStart w:id="23" w:name="item_9c_disclosure_regarding_foreign_jur"/>
      <w:bookmarkEnd w:id="23"/>
      <w:r>
        <w:rPr>
          <w:rFonts w:ascii="Times New Roman" w:hAnsi="Times New Roman"/>
          <w:b/>
          <w:color w:val="000000"/>
          <w:sz w:val="20"/>
        </w:rPr>
        <w:t>ITEM 9C.</w:t>
      </w:r>
      <w:r>
        <w:rPr>
          <w:rFonts w:ascii="Times New Roman" w:hAnsi="Times New Roman"/>
          <w:color w:val="000000"/>
          <w:sz w:val="20"/>
        </w:rPr>
        <w:t xml:space="preserve"> </w:t>
      </w:r>
      <w:r>
        <w:rPr>
          <w:rFonts w:ascii="Times New Roman" w:hAnsi="Times New Roman"/>
          <w:b/>
          <w:color w:val="000000"/>
          <w:sz w:val="20"/>
        </w:rPr>
        <w:t>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4" w:name="part_iii"/>
      <w:bookmarkEnd w:id="2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Certain information required by Part III is omitted from this Annual Report on Form 10-K as we intend to file our definitive Proxy Statement for the 2025 Annual Meeting of Stockholders pursuant to Regulation 14A of the Exchange Act not later than 120 days after the end of the fiscal year covered by this Annual Report, and certain information included in the Proxy Statement is incorporated herein by reference.</w:t>
      </w:r>
    </w:p>
    <w:p>
      <w:pPr>
        <w:pStyle w:val="TextBody"/>
        <w:bidi w:val="0"/>
        <w:spacing w:before="360" w:after="283"/>
        <w:jc w:val="left"/>
        <w:rPr>
          <w:rFonts w:ascii="Times New Roman" w:hAnsi="Times New Roman"/>
          <w:b/>
          <w:color w:val="000000"/>
          <w:sz w:val="20"/>
        </w:rPr>
      </w:pPr>
      <w:bookmarkStart w:id="25" w:name="item_10_directors_executive_ficers_corpo"/>
      <w:bookmarkEnd w:id="25"/>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2025 Proxy Statement to be filed with the SEC not later than 120 days after the end of the fiscal year ended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 Code of Business Conduct and Ethics (“Code of Conduct”) that is applicable to all of our employees, officers and members of our Board of Directors, and our subsidiaries. The Code of Conduct addresses, among other things, legal compliance, conflicts of interest, corporate opportunities, protection and proper use of Company assets, confidential and proprietary information, integrity of records, compliance with accounting principles and relations with government agencies. A copy of the current version of our Code of Conduct is available in the Investors—Corporate Governance section of our internet website located at www.addus.com. A copy of the Code of Conduct is also available in print, free of charge, to any stockholder who requests it by writing to Addus HomeCare Corporation, 6303 Cowboys Way, Suite 600, Frisco, TX 75034. We intend to post amendments to or waivers from, if any, our Code of Conduct at this location on our website, in each case to the extent such amendment or waiver would otherwise require the filing of a Current Report on Form 8-K pursuant to Item 5.05 thereof.</w:t>
      </w:r>
    </w:p>
    <w:p>
      <w:pPr>
        <w:pStyle w:val="TextBody"/>
        <w:bidi w:val="0"/>
        <w:spacing w:before="360" w:after="283"/>
        <w:jc w:val="left"/>
        <w:rPr>
          <w:rFonts w:ascii="Times New Roman" w:hAnsi="Times New Roman"/>
          <w:b/>
          <w:color w:val="000000"/>
          <w:sz w:val="20"/>
        </w:rPr>
      </w:pPr>
      <w:bookmarkStart w:id="26" w:name="item_11_executive_compensation"/>
      <w:bookmarkEnd w:id="26"/>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2025 Proxy Statement to be filed with the SEC not later than 120 days after the end of the fiscal year ended December 31, 2024.</w:t>
      </w:r>
    </w:p>
    <w:p>
      <w:pPr>
        <w:pStyle w:val="TextBody"/>
        <w:bidi w:val="0"/>
        <w:spacing w:before="360" w:after="283"/>
        <w:jc w:val="left"/>
        <w:rPr>
          <w:rFonts w:ascii="Times New Roman" w:hAnsi="Times New Roman"/>
          <w:b/>
          <w:color w:val="000000"/>
          <w:sz w:val="20"/>
        </w:rPr>
      </w:pPr>
      <w:bookmarkStart w:id="27" w:name="item_12_security_ownership_certain_benef"/>
      <w:bookmarkEnd w:id="27"/>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2025 Proxy Statement to be filed with the SEC not later than 120 days after the end of the fiscal year ended December 31, 2024.</w:t>
      </w:r>
    </w:p>
    <w:p>
      <w:pPr>
        <w:pStyle w:val="TextBody"/>
        <w:bidi w:val="0"/>
        <w:spacing w:before="360" w:after="283"/>
        <w:jc w:val="left"/>
        <w:rPr>
          <w:rFonts w:ascii="Times New Roman" w:hAnsi="Times New Roman"/>
          <w:b/>
          <w:color w:val="000000"/>
          <w:sz w:val="20"/>
        </w:rPr>
      </w:pPr>
      <w:bookmarkStart w:id="28" w:name="item_13_certain_relationships_related_tr"/>
      <w:bookmarkEnd w:id="28"/>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2025 Proxy Statement to be filed with the SEC not later than 120 days after the end of the fiscal year ended December 31, 2024.</w:t>
      </w:r>
    </w:p>
    <w:p>
      <w:pPr>
        <w:pStyle w:val="TextBody"/>
        <w:bidi w:val="0"/>
        <w:spacing w:before="360" w:after="283"/>
        <w:jc w:val="left"/>
        <w:rPr>
          <w:rFonts w:ascii="Times New Roman" w:hAnsi="Times New Roman"/>
          <w:b/>
          <w:color w:val="000000"/>
          <w:sz w:val="20"/>
        </w:rPr>
      </w:pPr>
      <w:bookmarkStart w:id="29" w:name="item_14_principal_accounting_fees_and_se"/>
      <w:bookmarkEnd w:id="29"/>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2025 Proxy Statement to be filed with the SEC not later than 120 days after the end of the fiscal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0" w:name="part_iv"/>
      <w:bookmarkEnd w:id="30"/>
      <w:r>
        <w:rPr>
          <w:rFonts w:ascii="Times New Roman" w:hAnsi="Times New Roman"/>
          <w:b/>
          <w:color w:val="000000"/>
          <w:sz w:val="20"/>
        </w:rPr>
        <w:t>PART IV</w:t>
      </w:r>
    </w:p>
    <w:p>
      <w:pPr>
        <w:pStyle w:val="TextBody"/>
        <w:bidi w:val="0"/>
        <w:spacing w:before="240" w:after="283"/>
        <w:jc w:val="left"/>
        <w:rPr>
          <w:rFonts w:ascii="Times New Roman" w:hAnsi="Times New Roman"/>
          <w:b/>
          <w:color w:val="000000"/>
          <w:sz w:val="20"/>
        </w:rPr>
      </w:pPr>
      <w:bookmarkStart w:id="31" w:name="item_15_exhibits_financial_statement_sch"/>
      <w:bookmarkEnd w:id="31"/>
      <w:r>
        <w:rPr>
          <w:rFonts w:ascii="Times New Roman" w:hAnsi="Times New Roman"/>
          <w:b/>
          <w:color w:val="000000"/>
          <w:sz w:val="20"/>
        </w:rPr>
        <w:t>ITEM 15. EXHIBITS AND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(2) The Financial Statements listed on the index on page F-1 following are included herein. All schedules are omitted, either because they are not applicable or because the required information is shown in the financial statements or the notes thereto.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Exhibits</w:t>
      </w:r>
    </w:p>
    <w:p>
      <w:pPr>
        <w:pStyle w:val="TextBody"/>
        <w:bidi w:val="0"/>
        <w:spacing w:before="240" w:after="283"/>
        <w:jc w:val="center"/>
        <w:rPr>
          <w:rFonts w:ascii="Times New Roman" w:hAnsi="Times New Roman"/>
          <w:sz w:val="20"/>
        </w:rPr>
      </w:pPr>
      <w:bookmarkStart w:id="32" w:name="exhibit_index"/>
      <w:bookmarkEnd w:id="32"/>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819"/>
        <w:gridCol w:w="146"/>
        <w:gridCol w:w="586"/>
        <w:gridCol w:w="146"/>
        <w:gridCol w:w="765"/>
        <w:gridCol w:w="146"/>
        <w:gridCol w:w="651"/>
        <w:gridCol w:w="146"/>
        <w:gridCol w:w="843"/>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8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8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1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6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Filing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r>
      <w:tr>
        <w:trPr/>
        <w:tc>
          <w:tcPr>
            <w:tcW w:w="9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3.1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Addus HomeCare Corporation dated as of October 27, 2009.</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11/20/2009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9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3.2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Addus HomeCare Corporation, as amended by the First Amendment to Amended and Restated Bylaws</w:t>
              </w:r>
            </w:hyperlink>
            <w:hyperlink r:id="rId6">
              <w:r>
                <w:rPr>
                  <w:rStyle w:val="InternetLink"/>
                  <w:rFonts w:ascii="Times New Roman" w:hAnsi="Times New Roman"/>
                  <w:color w:val="0563C1"/>
                  <w:sz w:val="20"/>
                  <w:u w:val="single"/>
                </w:rPr>
                <w: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05/9/2013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9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4.1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10/2/2009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9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4.2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Description of Securities of Addus HomeCare Corporation Registered under Section 12 of the Exchange Act.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8/10/2020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10.1*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Addus Holding Corporation 2006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7/17/2009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r>
      <w:tr>
        <w:trPr/>
        <w:tc>
          <w:tcPr>
            <w:tcW w:w="9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10.2*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Director Form of Non-Qualified Stock Option Certificate under the 2006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7/17/2009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r>
      <w:tr>
        <w:trPr/>
        <w:tc>
          <w:tcPr>
            <w:tcW w:w="9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10.3*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Executive Form of Non-Qualified Stock Option Certificate under the 2006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7/17/2009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r>
      <w:tr>
        <w:trPr/>
        <w:tc>
          <w:tcPr>
            <w:tcW w:w="9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80"/>
                  <w:sz w:val="20"/>
                  <w:u w:val="single"/>
                </w:rPr>
                <w:t>10.</w:t>
              </w:r>
            </w:hyperlink>
            <w:r>
              <w:rPr>
                <w:rFonts w:ascii="Times New Roman" w:hAnsi="Times New Roman"/>
                <w:color w:val="0000FF"/>
                <w:sz w:val="20"/>
                <w:u w:val="single"/>
              </w:rPr>
              <w:t>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2009 Form of Indemnification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7/17/2009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r>
      <w:tr>
        <w:trPr/>
        <w:tc>
          <w:tcPr>
            <w:tcW w:w="9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10.5*</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Addus HomeCare Corporation 2009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r>
      <w:tr>
        <w:trPr/>
        <w:tc>
          <w:tcPr>
            <w:tcW w:w="9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10.6*</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Nonqualified Stock Option Award Agreement pursuant to the 2009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10.20(a)</w:t>
            </w:r>
          </w:p>
        </w:tc>
      </w:tr>
      <w:tr>
        <w:trPr/>
        <w:tc>
          <w:tcPr>
            <w:tcW w:w="9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10.7*</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Restricted Stock Award Agreement pursuant to the 2009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10.20(b)</w:t>
            </w:r>
          </w:p>
        </w:tc>
      </w:tr>
      <w:tr>
        <w:trPr/>
        <w:tc>
          <w:tcPr>
            <w:tcW w:w="9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10.8</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Securities Purchase Agreement, dated as of April 24, 2015, by and among Addus HealthCare, Inc., Margaret Coffey, Carol Kolar, South Shore Home Health Service, Inc. and Acaring Home Care,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5/8/2015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10.9</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Credit Agreement, dated as of May 8, 2017, by and among Addus Healthcare, Inc., as the Borrower, the other parties from time to time a party thereto, and Capital One, National Association, as a Lender and Swing Lender and as Agent for all Lenders, Suntrust Bank, as Documentation Agent, Bank of the West, Compass Bank, Fifth Third Bank and JPMorgan Chase Bank, N.A., as Co-Syndication Agents, the other financial institutions party thereto, as Lenders, Capital One, National Association, Bank of the West, Compass Bank, Fifth Third Bank and JPMorgan Chase Bank, N.A. and Suntrust Robinson Humphrey as Joint Lead Arrangers and Capital One, National Association, as Sole Bookrunner.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r>
      <w:tr>
        <w:trPr/>
        <w:tc>
          <w:tcPr>
            <w:tcW w:w="9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10.10*</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Addus HomeCare Corporation’s 2017 Omnibus Incentive Plan, effective as of April 27, 2017.</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9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2"/>
        <w:gridCol w:w="146"/>
        <w:gridCol w:w="6251"/>
        <w:gridCol w:w="146"/>
        <w:gridCol w:w="612"/>
        <w:gridCol w:w="146"/>
        <w:gridCol w:w="796"/>
        <w:gridCol w:w="146"/>
        <w:gridCol w:w="595"/>
        <w:gridCol w:w="146"/>
        <w:gridCol w:w="619"/>
      </w:tblGrid>
      <w:tr>
        <w:trPr/>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10.11*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Nonqualified Stock Option Award Agreement pursuant to the 2017 Omnibus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3/14/2018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r>
      <w:tr>
        <w:trPr/>
        <w:tc>
          <w:tcPr>
            <w:tcW w:w="74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10.12*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Restricted Stock Award Agreement pursuant to the 2017 Omnibus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3/14/2018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10.29</w:t>
            </w:r>
          </w:p>
        </w:tc>
      </w:tr>
      <w:tr>
        <w:trPr/>
        <w:tc>
          <w:tcPr>
            <w:tcW w:w="74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10.13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Stock Purchase Agreement, dated February 27, 2018, by and among Addus Healthcare, Inc., Michael J. Merrell and Mary E. Merrell, individually, Michael J. Merrell and Mary E. Merrell, as Trustees of the Merrell Revocable Trust UTA dated June 3, 2012, and Michael J. Merrell and Mary E. Merrell, as Trustees of the Ambercare Corporation Employee Stock Ownership Plan Trust.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10.14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Amended and Restated Credit Agreement by and among Addus HealthCare, Inc., as borrower, the Company, the other Credit Parties party thereto, the Lenders and L/C Issuers party thereto, and Capital One, National Association, as administrative agent.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10.15*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Second Amended and Restated Employment and Non-Competition Agreement, dated November 5, 2018, by and between Addus HealthCare, Inc. and R. Dirk Allison.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10.16*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Second Amended and Restated Employment and Non-Competition Agreement, dated November 5, 2018, by and between Addus HealthCare, Inc. and Brian Poff.</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10.17*</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Second Amended and Restated Employment and Non-Competition Agreement, dated November 5, 2018, by and between Addus HealthCare, Inc. and Darby Anderson.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10.18*</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Second Amended and Restated Employment and Non-Competition Agreement, dated November 5, 2018, by and between Addus HealthCare, Inc. and W. Bradley Bickham.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ind w:left="0" w:right="0" w:firstLine="12"/>
              <w:jc w:val="left"/>
              <w:rPr/>
            </w:pPr>
            <w:r>
              <w:rPr/>
              <w:t> </w:t>
            </w:r>
          </w:p>
        </w:tc>
      </w:tr>
      <w:tr>
        <w:trPr/>
        <w:tc>
          <w:tcPr>
            <w:tcW w:w="602" w:type="dxa"/>
            <w:tcBorders/>
            <w:tcMar>
              <w:top w:w="0" w:type="dxa"/>
              <w:left w:w="0" w:type="dxa"/>
              <w:bottom w:w="0" w:type="dxa"/>
              <w:right w:w="0" w:type="dxa"/>
            </w:tcMar>
            <w:vAlign w:val="center"/>
          </w:tcPr>
          <w:p>
            <w:pPr>
              <w:pStyle w:val="TableContents"/>
              <w:pBdr/>
              <w:bidi w:val="0"/>
              <w:spacing w:before="0" w:after="283"/>
              <w:ind w:left="0" w:right="0" w:hanging="12"/>
              <w:jc w:val="left"/>
              <w:rPr/>
            </w:pPr>
            <w:hyperlink r:id="rId47">
              <w:r>
                <w:rPr>
                  <w:rStyle w:val="InternetLink"/>
                  <w:rFonts w:ascii="Times New Roman" w:hAnsi="Times New Roman"/>
                  <w:color w:val="0000FF"/>
                  <w:sz w:val="20"/>
                  <w:u w:val="single"/>
                </w:rPr>
                <w:t>10.19</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Amended and Restated Credit Agreement, dated as of October 31, 2018, by and among Addus HealthCare, Inc., as borrower, the Company, the other Credit Parties party thereto, the Lenders and L/C Issuers party thereto, and Capital One, National Association, as administrative agent.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10.20*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Employment and Non-Competition Agreement, effective April 29, 2019, by and between Addus HealthCare, Inc. and Sean Gaffney.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4/8/2019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10.21*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Employment and Non-Competition Agreement, effective November 7, 2019, by and between Addus HealthCare, Inc. and David Tucker.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8/10/2020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10.40</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10.22*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Employment and Non-Competition Agreement, effective November 7, 2019, by and between Addus HealthCare, Inc. and Mike Wattenbarger.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8/10/2020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10.41</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10.23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Equity Purchase Agreement, dated August 25, 2019, by and among Addus Healthcare, Inc., Hospice Partners of America, LLC, New Capital Partners II – HS, Inc., Senior Care Services, LLC, Eastside Partners II, L.P., and New Capital Partners II,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S-3ASR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333-233600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9/3/2019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10.24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First Amendment to Amended and Restated Credit Agreement, dated as of September 12, 2019, by and among Addus HealthCare, Inc., as the Borrower, Addus HomeCare Corporation, other Credit Parties party thereto, Capital One, National Association, as administrative agent and as a Lender, and the other Lenders party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9/13/2019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10.25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Unit Purchase Agreement, dated November 10, 2020, by and among Addus Healthcare, Inc., Queen City Hospice, LLC, Miracle City Hospice, LLC, and QCH Holdings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10.45</w:t>
            </w:r>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3"/>
        <w:gridCol w:w="146"/>
        <w:gridCol w:w="6515"/>
        <w:gridCol w:w="146"/>
        <w:gridCol w:w="400"/>
        <w:gridCol w:w="146"/>
        <w:gridCol w:w="697"/>
        <w:gridCol w:w="146"/>
        <w:gridCol w:w="622"/>
        <w:gridCol w:w="146"/>
        <w:gridCol w:w="618"/>
      </w:tblGrid>
      <w:tr>
        <w:trPr/>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10.26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Amendment to Unit Purchase Agreement, dated December 3, 2020, by and among Addus Healthcare, Inc., Queen City Hospice, LLC, Miracle City Hospice, LLC, and QCH Holdings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10.46</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FF"/>
                  <w:sz w:val="20"/>
                  <w:u w:val="single"/>
                </w:rPr>
                <w:t>10.27*</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20"/>
                  <w:u w:val="single"/>
                </w:rPr>
                <w:t>Employment and Non-Competition Agreement, effective June 14, 2021, by and between Addus HealthCare, Inc. and Roberton James Stevenson.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r:id="rId65">
              <w:r>
                <w:rPr>
                  <w:rStyle w:val="InternetLink"/>
                  <w:rFonts w:ascii="Times New Roman" w:hAnsi="Times New Roman"/>
                  <w:color w:val="0000FF"/>
                  <w:sz w:val="20"/>
                  <w:u w:val="single"/>
                </w:rPr>
                <w:t>10.28**</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Second Amendment to Amended and Restated Credit Agreement, dated as of July 30, 2021, by and among Addus HealthCare, Inc., as the Borrower, Addus HomeCare Corporation, the other Credit Parties party thereto, Capital One, National Association, as administrative agent and as a Lender, and the other Lenders party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r:id="rId67">
              <w:r>
                <w:rPr>
                  <w:rStyle w:val="InternetLink"/>
                  <w:rFonts w:ascii="Times New Roman" w:hAnsi="Times New Roman"/>
                  <w:color w:val="0000FF"/>
                  <w:sz w:val="20"/>
                  <w:u w:val="single"/>
                </w:rPr>
                <w:t>10.29*</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5" w:type="dxa"/>
            <w:tcBorders/>
            <w:tcMar>
              <w:top w:w="0" w:type="dxa"/>
              <w:left w:w="0" w:type="dxa"/>
              <w:bottom w:w="0" w:type="dxa"/>
              <w:right w:w="0" w:type="dxa"/>
            </w:tcMar>
            <w:vAlign w:val="center"/>
          </w:tcPr>
          <w:p>
            <w:pPr>
              <w:pStyle w:val="TableContents"/>
              <w:bidi w:val="0"/>
              <w:spacing w:before="0" w:after="283"/>
              <w:jc w:val="left"/>
              <w:rPr/>
            </w:pPr>
            <w:hyperlink r:id="rId68">
              <w:r>
                <w:rPr>
                  <w:rStyle w:val="InternetLink"/>
                  <w:rFonts w:ascii="Times New Roman" w:hAnsi="Times New Roman"/>
                  <w:color w:val="0000FF"/>
                  <w:sz w:val="20"/>
                  <w:u w:val="single"/>
                </w:rPr>
                <w:t>2022 Form of Indemnification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10.50</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r:id="rId69">
              <w:r>
                <w:rPr>
                  <w:rStyle w:val="InternetLink"/>
                  <w:rFonts w:ascii="Times New Roman" w:hAnsi="Times New Roman"/>
                  <w:color w:val="0000FF"/>
                  <w:sz w:val="20"/>
                  <w:u w:val="single"/>
                </w:rPr>
                <w:t>10.30*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hyperlink r:id="rId70">
              <w:r>
                <w:rPr>
                  <w:rStyle w:val="InternetLink"/>
                  <w:rFonts w:ascii="Times New Roman" w:hAnsi="Times New Roman"/>
                  <w:color w:val="0000FF"/>
                  <w:sz w:val="20"/>
                  <w:u w:val="single"/>
                </w:rPr>
                <w:t>Amended and Restated Employment and Non-Competition Agreement, effective March 1, 2022, by and between Addus HealthCare, Inc. and Monica Raines</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5/23/2022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r:id="rId71">
              <w:r>
                <w:rPr>
                  <w:rStyle w:val="InternetLink"/>
                  <w:rFonts w:ascii="Times New Roman" w:hAnsi="Times New Roman"/>
                  <w:color w:val="0000FF"/>
                  <w:sz w:val="20"/>
                  <w:u w:val="single"/>
                </w:rPr>
                <w:t>10.31*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hyperlink r:id="rId72">
              <w:r>
                <w:rPr>
                  <w:rStyle w:val="InternetLink"/>
                  <w:rFonts w:ascii="Times New Roman" w:hAnsi="Times New Roman"/>
                  <w:color w:val="0000FF"/>
                  <w:sz w:val="20"/>
                  <w:u w:val="single"/>
                </w:rPr>
                <w:t>Employment and Non-Competition Agreement, effective April 20, 2022, by and between Addus HealthCare, Inc. and Cliff Blessing.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r:id="rId73">
              <w:r>
                <w:rPr>
                  <w:rStyle w:val="InternetLink"/>
                  <w:rFonts w:ascii="Times New Roman" w:hAnsi="Times New Roman"/>
                  <w:color w:val="0000FF"/>
                  <w:sz w:val="20"/>
                  <w:u w:val="single"/>
                </w:rPr>
                <w:t>10.32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hyperlink r:id="rId74">
              <w:r>
                <w:rPr>
                  <w:rStyle w:val="InternetLink"/>
                  <w:rFonts w:ascii="Times New Roman" w:hAnsi="Times New Roman"/>
                  <w:color w:val="0000FF"/>
                  <w:sz w:val="20"/>
                  <w:u w:val="single"/>
                </w:rPr>
                <w:t>Third Amendment to Amended and Restated Credit Agreement, dated as of April 26, 2023, by and among Addus HealthCare, Inc., as the Borrower, Addus HomeCare Corporation, the other Credit Parties party thereto, Capital One, National Association, as administrative agent and as a Lender, and the other Lenders party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r:id="rId75">
              <w:r>
                <w:rPr>
                  <w:rStyle w:val="InternetLink"/>
                  <w:rFonts w:ascii="Times New Roman" w:hAnsi="Times New Roman"/>
                  <w:color w:val="0000FF"/>
                  <w:sz w:val="20"/>
                  <w:u w:val="single"/>
                </w:rPr>
                <w:t>10.33*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hyperlink r:id="rId76">
              <w:r>
                <w:rPr>
                  <w:rStyle w:val="InternetLink"/>
                  <w:rFonts w:ascii="Times New Roman" w:hAnsi="Times New Roman"/>
                  <w:color w:val="0000FF"/>
                  <w:sz w:val="20"/>
                  <w:u w:val="single"/>
                </w:rPr>
                <w:t>Addus HomeCare Corporation Amended and Restated 2017 Omnibus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r:id="rId77">
              <w:r>
                <w:rPr>
                  <w:rStyle w:val="InternetLink"/>
                  <w:rFonts w:ascii="Times New Roman" w:hAnsi="Times New Roman"/>
                  <w:color w:val="0000FF"/>
                  <w:sz w:val="20"/>
                  <w:u w:val="single"/>
                </w:rPr>
                <w:t>10.34**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hyperlink r:id="rId78">
              <w:r>
                <w:rPr>
                  <w:rStyle w:val="InternetLink"/>
                  <w:rFonts w:ascii="Times New Roman" w:hAnsi="Times New Roman"/>
                  <w:color w:val="0000FF"/>
                  <w:sz w:val="20"/>
                  <w:u w:val="single"/>
                </w:rPr>
                <w:t>Membership Interests Purchase Agreement, dated June 28, 2023, by and among Addus HealthCare, Inc., HHH Newco Holdings, LLC, American Health Companies, LLC, American Home Care, LLC, Homecare, LLC, Tennessee Valley Home Care, LLC, and Tri-County Home Health and Hospice,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r:id="rId79">
              <w:r>
                <w:rPr>
                  <w:rStyle w:val="InternetLink"/>
                  <w:rFonts w:ascii="Times New Roman" w:hAnsi="Times New Roman"/>
                  <w:color w:val="0000FF"/>
                  <w:sz w:val="20"/>
                  <w:u w:val="single"/>
                </w:rPr>
                <w:t>10.35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hyperlink r:id="rId80">
              <w:r>
                <w:rPr>
                  <w:rStyle w:val="InternetLink"/>
                  <w:rFonts w:ascii="Times New Roman" w:hAnsi="Times New Roman"/>
                  <w:color w:val="0000FF"/>
                  <w:sz w:val="20"/>
                  <w:u w:val="single"/>
                </w:rPr>
                <w:t>Stock and Asset Purchase Agreement, dated June 8, 2024, by and between Addus HealthCare, Inc. and Curo Health Services,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r:id="rId81">
              <w:r>
                <w:rPr>
                  <w:rStyle w:val="InternetLink"/>
                  <w:rFonts w:ascii="Times New Roman" w:hAnsi="Times New Roman"/>
                  <w:color w:val="0000FF"/>
                  <w:sz w:val="20"/>
                  <w:u w:val="single"/>
                </w:rPr>
                <w:t>10.36**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hyperlink r:id="rId82">
              <w:r>
                <w:rPr>
                  <w:rStyle w:val="InternetLink"/>
                  <w:rFonts w:ascii="Times New Roman" w:hAnsi="Times New Roman"/>
                  <w:color w:val="0000FF"/>
                  <w:sz w:val="20"/>
                  <w:u w:val="single"/>
                </w:rPr>
                <w:t>Fourth Amendment to Amended and Restated Credit Agreement, dated as of October 22, 2024, by and among Addus HealthCare, Inc., as the Borrower, Addus HomeCare Corporation, the other Credit Parties party thereto, Capital One, National Association, as administrative agent and as a Lender, and the other Lenders party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w:anchor="adus-ex19_1.htm">
              <w:r>
                <w:rPr>
                  <w:rStyle w:val="InternetLink"/>
                  <w:rFonts w:ascii="Times New Roman" w:hAnsi="Times New Roman"/>
                  <w:color w:val="0000FF"/>
                  <w:sz w:val="20"/>
                  <w:u w:val="single"/>
                </w:rPr>
                <w:t>19.1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hyperlink w:anchor="adus-ex19_1.htm">
              <w:r>
                <w:rPr>
                  <w:rStyle w:val="InternetLink"/>
                  <w:rFonts w:ascii="Times New Roman" w:hAnsi="Times New Roman"/>
                  <w:color w:val="0000FF"/>
                  <w:sz w:val="20"/>
                  <w:u w:val="single"/>
                </w:rPr>
                <w:t>Addus Homecare Corporation 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w:anchor="adus-ex21_1.htm">
              <w:r>
                <w:rPr>
                  <w:rStyle w:val="InternetLink"/>
                  <w:rFonts w:ascii="Times New Roman" w:hAnsi="Times New Roman"/>
                  <w:color w:val="0000FF"/>
                  <w:sz w:val="20"/>
                  <w:u w:val="single"/>
                </w:rPr>
                <w:t>21.1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5" w:type="dxa"/>
            <w:tcBorders/>
            <w:tcMar>
              <w:top w:w="0" w:type="dxa"/>
              <w:left w:w="0" w:type="dxa"/>
              <w:bottom w:w="0" w:type="dxa"/>
              <w:right w:w="0" w:type="dxa"/>
            </w:tcMar>
            <w:vAlign w:val="center"/>
          </w:tcPr>
          <w:p>
            <w:pPr>
              <w:pStyle w:val="TableContents"/>
              <w:bidi w:val="0"/>
              <w:spacing w:before="0" w:after="283"/>
              <w:jc w:val="left"/>
              <w:rPr/>
            </w:pPr>
            <w:hyperlink w:anchor="adus-ex21_1.htm">
              <w:r>
                <w:rPr>
                  <w:rStyle w:val="InternetLink"/>
                  <w:rFonts w:ascii="Times New Roman" w:hAnsi="Times New Roman"/>
                  <w:color w:val="0000FF"/>
                  <w:sz w:val="20"/>
                  <w:u w:val="single"/>
                </w:rPr>
                <w:t>Subsidiaries of Addus HomeCare 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w:anchor="adus-ex23_1.htm">
              <w:r>
                <w:rPr>
                  <w:rStyle w:val="InternetLink"/>
                  <w:rFonts w:ascii="Times New Roman" w:hAnsi="Times New Roman"/>
                  <w:color w:val="0000FF"/>
                  <w:sz w:val="20"/>
                  <w:u w:val="single"/>
                </w:rPr>
                <w:t>23.1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5" w:type="dxa"/>
            <w:tcBorders/>
            <w:tcMar>
              <w:top w:w="0" w:type="dxa"/>
              <w:left w:w="0" w:type="dxa"/>
              <w:bottom w:w="0" w:type="dxa"/>
              <w:right w:w="0" w:type="dxa"/>
            </w:tcMar>
            <w:vAlign w:val="center"/>
          </w:tcPr>
          <w:p>
            <w:pPr>
              <w:pStyle w:val="TableContents"/>
              <w:bidi w:val="0"/>
              <w:spacing w:before="0" w:after="283"/>
              <w:jc w:val="left"/>
              <w:rPr/>
            </w:pPr>
            <w:hyperlink w:anchor="adus-ex23_1.htm">
              <w:r>
                <w:rPr>
                  <w:rStyle w:val="InternetLink"/>
                  <w:rFonts w:ascii="Times New Roman" w:hAnsi="Times New Roman"/>
                  <w:color w:val="0000FF"/>
                  <w:sz w:val="20"/>
                  <w:u w:val="single"/>
                </w:rPr>
                <w:t>Consent of PricewaterhouseCoopers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w:anchor="adus-ex31_1.htm">
              <w:r>
                <w:rPr>
                  <w:rStyle w:val="InternetLink"/>
                  <w:rFonts w:ascii="Times New Roman" w:hAnsi="Times New Roman"/>
                  <w:color w:val="0000FF"/>
                  <w:sz w:val="20"/>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5" w:type="dxa"/>
            <w:tcBorders/>
            <w:tcMar>
              <w:top w:w="0" w:type="dxa"/>
              <w:left w:w="0" w:type="dxa"/>
              <w:bottom w:w="0" w:type="dxa"/>
              <w:right w:w="0" w:type="dxa"/>
            </w:tcMar>
            <w:vAlign w:val="center"/>
          </w:tcPr>
          <w:p>
            <w:pPr>
              <w:pStyle w:val="TableContents"/>
              <w:bidi w:val="0"/>
              <w:spacing w:before="0" w:after="283"/>
              <w:jc w:val="left"/>
              <w:rPr/>
            </w:pPr>
            <w:hyperlink w:anchor="adus-ex31_1.htm">
              <w:r>
                <w:rPr>
                  <w:rStyle w:val="InternetLink"/>
                  <w:rFonts w:ascii="Times New Roman" w:hAnsi="Times New Roman"/>
                  <w:color w:val="0000FF"/>
                  <w:sz w:val="20"/>
                  <w:u w:val="single"/>
                </w:rPr>
                <w:t>Certification of Chief Executive Officer Pursuant to Rule 13-14(a) of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w:anchor="adus-ex31_2.htm">
              <w:r>
                <w:rPr>
                  <w:rStyle w:val="InternetLink"/>
                  <w:rFonts w:ascii="Times New Roman" w:hAnsi="Times New Roman"/>
                  <w:color w:val="0000FF"/>
                  <w:sz w:val="20"/>
                  <w:u w:val="single"/>
                </w:rPr>
                <w:t>31.2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5" w:type="dxa"/>
            <w:tcBorders/>
            <w:tcMar>
              <w:top w:w="0" w:type="dxa"/>
              <w:left w:w="0" w:type="dxa"/>
              <w:bottom w:w="0" w:type="dxa"/>
              <w:right w:w="0" w:type="dxa"/>
            </w:tcMar>
            <w:vAlign w:val="center"/>
          </w:tcPr>
          <w:p>
            <w:pPr>
              <w:pStyle w:val="TableContents"/>
              <w:bidi w:val="0"/>
              <w:spacing w:before="0" w:after="283"/>
              <w:jc w:val="left"/>
              <w:rPr/>
            </w:pPr>
            <w:hyperlink w:anchor="adus-ex31_2.htm">
              <w:r>
                <w:rPr>
                  <w:rStyle w:val="InternetLink"/>
                  <w:rFonts w:ascii="Times New Roman" w:hAnsi="Times New Roman"/>
                  <w:color w:val="0000FF"/>
                  <w:sz w:val="20"/>
                  <w:u w:val="single"/>
                </w:rPr>
                <w:t>Certification of Chief Financial Officer Pursuant to Rule 13-14(a) of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3" w:type="dxa"/>
            <w:tcBorders/>
            <w:tcMar>
              <w:top w:w="0" w:type="dxa"/>
              <w:left w:w="0" w:type="dxa"/>
              <w:bottom w:w="0" w:type="dxa"/>
              <w:right w:w="0" w:type="dxa"/>
            </w:tcMar>
            <w:vAlign w:val="center"/>
          </w:tcPr>
          <w:p>
            <w:pPr>
              <w:pStyle w:val="TableContents"/>
              <w:bidi w:val="0"/>
              <w:spacing w:before="0" w:after="283"/>
              <w:jc w:val="left"/>
              <w:rPr/>
            </w:pPr>
            <w:hyperlink w:anchor="adus-ex32_1.htm">
              <w:r>
                <w:rPr>
                  <w:rStyle w:val="InternetLink"/>
                  <w:rFonts w:ascii="Times New Roman" w:hAnsi="Times New Roman"/>
                  <w:color w:val="0000FF"/>
                  <w:sz w:val="20"/>
                  <w:u w:val="single"/>
                </w:rPr>
                <w:t>32.1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5" w:type="dxa"/>
            <w:tcBorders/>
            <w:tcMar>
              <w:top w:w="0" w:type="dxa"/>
              <w:left w:w="0" w:type="dxa"/>
              <w:bottom w:w="0" w:type="dxa"/>
              <w:right w:w="0" w:type="dxa"/>
            </w:tcMar>
            <w:vAlign w:val="center"/>
          </w:tcPr>
          <w:p>
            <w:pPr>
              <w:pStyle w:val="TableContents"/>
              <w:bidi w:val="0"/>
              <w:spacing w:before="0" w:after="283"/>
              <w:jc w:val="left"/>
              <w:rPr/>
            </w:pPr>
            <w:hyperlink w:anchor="adus-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
        <w:gridCol w:w="146"/>
        <w:gridCol w:w="8144"/>
        <w:gridCol w:w="146"/>
        <w:gridCol w:w="146"/>
        <w:gridCol w:w="146"/>
        <w:gridCol w:w="146"/>
        <w:gridCol w:w="146"/>
        <w:gridCol w:w="146"/>
        <w:gridCol w:w="146"/>
        <w:gridCol w:w="192"/>
      </w:tblGrid>
      <w:tr>
        <w:trPr/>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left"/>
              <w:rPr/>
            </w:pPr>
            <w:hyperlink w:anchor="adus-ex32_2.htm">
              <w:r>
                <w:rPr>
                  <w:rStyle w:val="InternetLink"/>
                  <w:rFonts w:ascii="Times New Roman" w:hAnsi="Times New Roman"/>
                  <w:color w:val="0000FF"/>
                  <w:sz w:val="20"/>
                  <w:u w:val="single"/>
                </w:rPr>
                <w:t>32.2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tcBorders/>
            <w:tcMar>
              <w:top w:w="0" w:type="dxa"/>
              <w:left w:w="0" w:type="dxa"/>
              <w:bottom w:w="0" w:type="dxa"/>
              <w:right w:w="0" w:type="dxa"/>
            </w:tcMar>
            <w:vAlign w:val="center"/>
          </w:tcPr>
          <w:p>
            <w:pPr>
              <w:pStyle w:val="TableContents"/>
              <w:bidi w:val="0"/>
              <w:spacing w:before="0" w:after="283"/>
              <w:jc w:val="left"/>
              <w:rPr/>
            </w:pPr>
            <w:hyperlink w:anchor="adus-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7" w:type="dxa"/>
            <w:gridSpan w:val="2"/>
            <w:tcBorders/>
            <w:tcMar>
              <w:top w:w="0" w:type="dxa"/>
              <w:left w:w="0" w:type="dxa"/>
              <w:bottom w:w="0" w:type="dxa"/>
              <w:right w:w="0" w:type="dxa"/>
            </w:tcMar>
            <w:vAlign w:val="center"/>
          </w:tcPr>
          <w:p>
            <w:pPr>
              <w:pStyle w:val="TableContents"/>
              <w:bidi w:val="0"/>
              <w:spacing w:before="0" w:after="283"/>
              <w:jc w:val="left"/>
              <w:rPr/>
            </w:pPr>
            <w:hyperlink r:id="rId83">
              <w:r>
                <w:rPr>
                  <w:rStyle w:val="InternetLink"/>
                  <w:rFonts w:ascii="Times New Roman" w:hAnsi="Times New Roman"/>
                  <w:color w:val="0000FF"/>
                  <w:sz w:val="20"/>
                  <w:u w:val="single"/>
                </w:rPr>
                <w:t>97.1</w:t>
              </w:r>
            </w:hyperlink>
          </w:p>
        </w:tc>
        <w:tc>
          <w:tcPr>
            <w:tcW w:w="8144" w:type="dxa"/>
            <w:tcBorders/>
            <w:tcMar>
              <w:top w:w="0" w:type="dxa"/>
              <w:left w:w="0" w:type="dxa"/>
              <w:bottom w:w="0" w:type="dxa"/>
              <w:right w:w="0" w:type="dxa"/>
            </w:tcMar>
            <w:vAlign w:val="center"/>
          </w:tcPr>
          <w:p>
            <w:pPr>
              <w:pStyle w:val="TableContents"/>
              <w:bidi w:val="0"/>
              <w:spacing w:before="0" w:after="283"/>
              <w:jc w:val="left"/>
              <w:rPr/>
            </w:pPr>
            <w:hyperlink r:id="rId84">
              <w:r>
                <w:rPr>
                  <w:rStyle w:val="InternetLink"/>
                  <w:rFonts w:ascii="Times New Roman" w:hAnsi="Times New Roman"/>
                  <w:color w:val="0000FF"/>
                  <w:sz w:val="20"/>
                  <w:u w:val="single"/>
                </w:rPr>
                <w:t>Addus Homecare Corporation Compensation Recoupment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compensatory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Schedules and exhibits have been omitted pursuant to Item 601 of Regulation S-K. The Company hereby undertakes to furnish supplementally a copy of any of the omitted schedules and exhibits upon request by the Securities and Exchange Commission.</w:t>
      </w:r>
    </w:p>
    <w:p>
      <w:pPr>
        <w:pStyle w:val="TextBody"/>
        <w:bidi w:val="0"/>
        <w:spacing w:before="360" w:after="283"/>
        <w:jc w:val="left"/>
        <w:rPr>
          <w:rFonts w:ascii="Times New Roman" w:hAnsi="Times New Roman"/>
          <w:b/>
          <w:color w:val="000000"/>
          <w:sz w:val="20"/>
        </w:rPr>
      </w:pPr>
      <w:bookmarkStart w:id="33" w:name="item_16_form_10k_summary"/>
      <w:bookmarkEnd w:id="33"/>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3103" w:type="dxa"/>
        <w:jc w:val="left"/>
        <w:tblInd w:w="0" w:type="dxa"/>
        <w:tblLayout w:type="fixed"/>
        <w:tblCellMar>
          <w:top w:w="28" w:type="dxa"/>
          <w:left w:w="28" w:type="dxa"/>
          <w:bottom w:w="28" w:type="dxa"/>
          <w:right w:w="28" w:type="dxa"/>
        </w:tblCellMar>
      </w:tblPr>
      <w:tblGrid>
        <w:gridCol w:w="421"/>
        <w:gridCol w:w="146"/>
        <w:gridCol w:w="253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Addus HomeCare Corporation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R. DIRK ALLISON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R. Dirk Allison,</w:t>
            </w:r>
          </w:p>
          <w:p>
            <w:pPr>
              <w:pStyle w:val="TableContents"/>
              <w:bidi w:val="0"/>
              <w:jc w:val="center"/>
              <w:rPr>
                <w:rFonts w:ascii="Times New Roman" w:hAnsi="Times New Roman"/>
                <w:sz w:val="20"/>
              </w:rPr>
            </w:pPr>
            <w:r>
              <w:rPr>
                <w:rFonts w:ascii="Times New Roman" w:hAnsi="Times New Roman"/>
                <w:b/>
                <w:color w:val="000000"/>
                <w:sz w:val="20"/>
              </w:rPr>
              <w:t>Chief Executive Officer and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Chairman of the Board</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25,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4"/>
        <w:gridCol w:w="146"/>
        <w:gridCol w:w="5524"/>
        <w:gridCol w:w="146"/>
        <w:gridCol w:w="1485"/>
      </w:tblGrid>
      <w:tr>
        <w:trPr/>
        <w:tc>
          <w:tcPr>
            <w:tcW w:w="2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r>
      <w:tr>
        <w:trPr/>
        <w:tc>
          <w:tcPr>
            <w:tcW w:w="29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4" w:type="dxa"/>
            <w:tcBorders/>
            <w:tcMar>
              <w:top w:w="0" w:type="dxa"/>
              <w:left w:w="0" w:type="dxa"/>
              <w:bottom w:w="0" w:type="dxa"/>
              <w:right w:w="0" w:type="dxa"/>
            </w:tcMar>
            <w:vAlign w:val="center"/>
          </w:tcPr>
          <w:p>
            <w:pPr>
              <w:pStyle w:val="TableContents"/>
              <w:pBdr>
                <w:bottom w:val="single" w:sz="5"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R. DIRK ALLISON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Dirk Allison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 (Principal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904" w:type="dxa"/>
            <w:tcBorders/>
            <w:tcMar>
              <w:top w:w="0" w:type="dxa"/>
              <w:left w:w="0" w:type="dxa"/>
              <w:bottom w:w="0" w:type="dxa"/>
              <w:right w:w="0" w:type="dxa"/>
            </w:tcMar>
            <w:vAlign w:val="center"/>
          </w:tcPr>
          <w:p>
            <w:pPr>
              <w:pStyle w:val="TableContents"/>
              <w:bidi w:val="0"/>
              <w:spacing w:before="0" w:after="283"/>
              <w:ind w:left="0" w:right="16"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4" w:type="dxa"/>
            <w:tcBorders/>
            <w:tcMar>
              <w:top w:w="0" w:type="dxa"/>
              <w:left w:w="0" w:type="dxa"/>
              <w:bottom w:w="0" w:type="dxa"/>
              <w:right w:w="0" w:type="dxa"/>
            </w:tcMar>
            <w:vAlign w:val="center"/>
          </w:tcPr>
          <w:p>
            <w:pPr>
              <w:pStyle w:val="TableContents"/>
              <w:pBdr>
                <w:bottom w:val="single" w:sz="5"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BRIAN POFF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Poff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904" w:type="dxa"/>
            <w:tcBorders/>
            <w:tcMar>
              <w:top w:w="0" w:type="dxa"/>
              <w:left w:w="0" w:type="dxa"/>
              <w:bottom w:w="0" w:type="dxa"/>
              <w:right w:w="0" w:type="dxa"/>
            </w:tcMar>
            <w:vAlign w:val="center"/>
          </w:tcPr>
          <w:p>
            <w:pPr>
              <w:pStyle w:val="TableContents"/>
              <w:bidi w:val="0"/>
              <w:spacing w:before="0" w:after="283"/>
              <w:ind w:left="0" w:right="16"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4" w:type="dxa"/>
            <w:tcBorders/>
            <w:tcMar>
              <w:top w:w="0" w:type="dxa"/>
              <w:left w:w="0" w:type="dxa"/>
              <w:bottom w:w="0" w:type="dxa"/>
              <w:right w:w="0" w:type="dxa"/>
            </w:tcMar>
            <w:vAlign w:val="center"/>
          </w:tcPr>
          <w:p>
            <w:pPr>
              <w:pStyle w:val="TableContents"/>
              <w:pBdr>
                <w:bottom w:val="single" w:sz="5"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HEATHER DIXON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Heather Dixon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904" w:type="dxa"/>
            <w:tcBorders/>
            <w:tcMar>
              <w:top w:w="0" w:type="dxa"/>
              <w:left w:w="0" w:type="dxa"/>
              <w:bottom w:w="0" w:type="dxa"/>
              <w:right w:w="0" w:type="dxa"/>
            </w:tcMar>
            <w:vAlign w:val="center"/>
          </w:tcPr>
          <w:p>
            <w:pPr>
              <w:pStyle w:val="TableContents"/>
              <w:bidi w:val="0"/>
              <w:spacing w:before="0" w:after="283"/>
              <w:ind w:left="0" w:right="16"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4" w:type="dxa"/>
            <w:tcBorders/>
            <w:tcMar>
              <w:top w:w="0" w:type="dxa"/>
              <w:left w:w="0" w:type="dxa"/>
              <w:bottom w:w="0" w:type="dxa"/>
              <w:right w:w="0" w:type="dxa"/>
            </w:tcMar>
            <w:vAlign w:val="center"/>
          </w:tcPr>
          <w:p>
            <w:pPr>
              <w:pStyle w:val="TableContents"/>
              <w:pBdr>
                <w:bottom w:val="single" w:sz="4"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MICHAEL EARLEY </w:t>
            </w:r>
          </w:p>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Michael Earley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904" w:type="dxa"/>
            <w:tcBorders/>
            <w:tcMar>
              <w:top w:w="0" w:type="dxa"/>
              <w:left w:w="0" w:type="dxa"/>
              <w:bottom w:w="0" w:type="dxa"/>
              <w:right w:w="0" w:type="dxa"/>
            </w:tcMar>
            <w:vAlign w:val="center"/>
          </w:tcPr>
          <w:p>
            <w:pPr>
              <w:pStyle w:val="TableContents"/>
              <w:bidi w:val="0"/>
              <w:spacing w:before="0" w:after="283"/>
              <w:ind w:left="0" w:right="16"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4" w:type="dxa"/>
            <w:tcBorders/>
            <w:tcMar>
              <w:top w:w="0" w:type="dxa"/>
              <w:left w:w="0" w:type="dxa"/>
              <w:bottom w:w="0" w:type="dxa"/>
              <w:right w:w="0" w:type="dxa"/>
            </w:tcMar>
            <w:vAlign w:val="center"/>
          </w:tcPr>
          <w:p>
            <w:pPr>
              <w:pStyle w:val="TableContents"/>
              <w:pBdr>
                <w:bottom w:val="single" w:sz="5"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MARK L. FIRST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 L. First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904" w:type="dxa"/>
            <w:tcBorders/>
            <w:tcMar>
              <w:top w:w="0" w:type="dxa"/>
              <w:left w:w="0" w:type="dxa"/>
              <w:bottom w:w="0" w:type="dxa"/>
              <w:right w:w="0" w:type="dxa"/>
            </w:tcMar>
            <w:vAlign w:val="center"/>
          </w:tcPr>
          <w:p>
            <w:pPr>
              <w:pStyle w:val="TableContents"/>
              <w:bidi w:val="0"/>
              <w:spacing w:before="0" w:after="283"/>
              <w:ind w:left="0" w:right="16"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4" w:type="dxa"/>
            <w:tcBorders/>
            <w:tcMar>
              <w:top w:w="0" w:type="dxa"/>
              <w:left w:w="0" w:type="dxa"/>
              <w:bottom w:w="0" w:type="dxa"/>
              <w:right w:w="0" w:type="dxa"/>
            </w:tcMar>
            <w:vAlign w:val="center"/>
          </w:tcPr>
          <w:p>
            <w:pPr>
              <w:pStyle w:val="TableContents"/>
              <w:pBdr>
                <w:bottom w:val="single" w:sz="5"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DARIN J. GORDON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Darin J. Gordon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904" w:type="dxa"/>
            <w:tcBorders/>
            <w:tcMar>
              <w:top w:w="0" w:type="dxa"/>
              <w:left w:w="0" w:type="dxa"/>
              <w:bottom w:w="0" w:type="dxa"/>
              <w:right w:w="0" w:type="dxa"/>
            </w:tcMar>
            <w:vAlign w:val="center"/>
          </w:tcPr>
          <w:p>
            <w:pPr>
              <w:pStyle w:val="TableContents"/>
              <w:bidi w:val="0"/>
              <w:spacing w:before="0" w:after="283"/>
              <w:ind w:left="0" w:right="16"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4" w:type="dxa"/>
            <w:tcBorders/>
            <w:tcMar>
              <w:top w:w="0" w:type="dxa"/>
              <w:left w:w="0" w:type="dxa"/>
              <w:bottom w:w="0" w:type="dxa"/>
              <w:right w:w="0" w:type="dxa"/>
            </w:tcMar>
            <w:vAlign w:val="center"/>
          </w:tcPr>
          <w:p>
            <w:pPr>
              <w:pStyle w:val="TableContents"/>
              <w:pBdr>
                <w:bottom w:val="single" w:sz="5"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ESTEBAN LÓPEZ, M.D.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Esteban López,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904" w:type="dxa"/>
            <w:tcBorders/>
            <w:tcMar>
              <w:top w:w="0" w:type="dxa"/>
              <w:left w:w="0" w:type="dxa"/>
              <w:bottom w:w="0" w:type="dxa"/>
              <w:right w:w="0" w:type="dxa"/>
            </w:tcMar>
            <w:vAlign w:val="center"/>
          </w:tcPr>
          <w:p>
            <w:pPr>
              <w:pStyle w:val="TableContents"/>
              <w:bidi w:val="0"/>
              <w:spacing w:before="0" w:after="283"/>
              <w:ind w:left="0" w:right="16"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4" w:type="dxa"/>
            <w:tcBorders>
              <w:bottom w:val="single" w:sz="4" w:space="0" w:color="000000"/>
            </w:tcBorders>
            <w:tcMar>
              <w:top w:w="0" w:type="dxa"/>
              <w:left w:w="0" w:type="dxa"/>
              <w:right w:w="0" w:type="dxa"/>
            </w:tcMar>
            <w:vAlign w:val="center"/>
          </w:tcPr>
          <w:p>
            <w:pPr>
              <w:pStyle w:val="TableContents"/>
              <w:bidi w:val="0"/>
              <w:spacing w:before="0" w:after="283"/>
              <w:ind w:left="0" w:right="16" w:hanging="0"/>
              <w:jc w:val="center"/>
              <w:rPr>
                <w:rFonts w:ascii="Times New Roman" w:hAnsi="Times New Roman"/>
                <w:color w:val="000000"/>
                <w:sz w:val="20"/>
              </w:rPr>
            </w:pPr>
            <w:r>
              <w:rPr>
                <w:rFonts w:ascii="Times New Roman" w:hAnsi="Times New Roman"/>
                <w:color w:val="000000"/>
                <w:sz w:val="20"/>
              </w:rPr>
              <w:t xml:space="preserve">/s/ VERONICA HILL-MILBOURNE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904" w:type="dxa"/>
            <w:tcBorders/>
            <w:tcMar>
              <w:top w:w="0" w:type="dxa"/>
              <w:left w:w="0" w:type="dxa"/>
              <w:bottom w:w="0" w:type="dxa"/>
              <w:right w:w="0" w:type="dxa"/>
            </w:tcMar>
            <w:vAlign w:val="center"/>
          </w:tcPr>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Veronica Hill-Milbourne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4" w:type="dxa"/>
            <w:tcBorders/>
            <w:tcMar>
              <w:top w:w="0" w:type="dxa"/>
              <w:left w:w="0" w:type="dxa"/>
              <w:bottom w:w="0" w:type="dxa"/>
              <w:right w:w="0" w:type="dxa"/>
            </w:tcMar>
            <w:vAlign w:val="center"/>
          </w:tcPr>
          <w:p>
            <w:pPr>
              <w:pStyle w:val="TableContents"/>
              <w:bidi w:val="0"/>
              <w:spacing w:before="0" w:after="283"/>
              <w:ind w:left="0" w:right="16"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4" w:type="dxa"/>
            <w:tcBorders>
              <w:bottom w:val="single" w:sz="4" w:space="0" w:color="000000"/>
            </w:tcBorders>
            <w:tcMar>
              <w:top w:w="0" w:type="dxa"/>
              <w:left w:w="0" w:type="dxa"/>
              <w:right w:w="0" w:type="dxa"/>
            </w:tcMar>
            <w:vAlign w:val="center"/>
          </w:tcPr>
          <w:p>
            <w:pPr>
              <w:pStyle w:val="TableContents"/>
              <w:bidi w:val="0"/>
              <w:spacing w:before="0" w:after="283"/>
              <w:ind w:left="0" w:right="16" w:hanging="0"/>
              <w:jc w:val="center"/>
              <w:rPr>
                <w:rFonts w:ascii="Times New Roman" w:hAnsi="Times New Roman"/>
                <w:color w:val="000000"/>
                <w:sz w:val="20"/>
              </w:rPr>
            </w:pPr>
            <w:r>
              <w:rPr>
                <w:rFonts w:ascii="Times New Roman" w:hAnsi="Times New Roman"/>
                <w:color w:val="000000"/>
                <w:sz w:val="20"/>
              </w:rPr>
              <w:t xml:space="preserve">/s/ JEAN RUSH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904" w:type="dxa"/>
            <w:tcBorders/>
            <w:tcMar>
              <w:top w:w="0" w:type="dxa"/>
              <w:left w:w="0" w:type="dxa"/>
              <w:bottom w:w="0" w:type="dxa"/>
              <w:right w:w="0" w:type="dxa"/>
            </w:tcMar>
            <w:vAlign w:val="center"/>
          </w:tcPr>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Jean Rush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4" w:type="dxa"/>
            <w:tcBorders/>
            <w:tcMar>
              <w:top w:w="0" w:type="dxa"/>
              <w:left w:w="0" w:type="dxa"/>
              <w:bottom w:w="0" w:type="dxa"/>
              <w:right w:w="0" w:type="dxa"/>
            </w:tcMar>
            <w:vAlign w:val="center"/>
          </w:tcPr>
          <w:p>
            <w:pPr>
              <w:pStyle w:val="TableContents"/>
              <w:bidi w:val="0"/>
              <w:spacing w:before="0" w:after="283"/>
              <w:ind w:left="0" w:right="16"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04" w:type="dxa"/>
            <w:tcBorders/>
            <w:tcMar>
              <w:top w:w="0" w:type="dxa"/>
              <w:left w:w="0" w:type="dxa"/>
              <w:bottom w:w="0" w:type="dxa"/>
              <w:right w:w="0" w:type="dxa"/>
            </w:tcMar>
            <w:vAlign w:val="center"/>
          </w:tcPr>
          <w:p>
            <w:pPr>
              <w:pStyle w:val="TableContents"/>
              <w:pBdr>
                <w:bottom w:val="single" w:sz="5"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SUSAN T. WEAVER, M.D., FACP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Susan T. Weaver, M.D., FACP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bl>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INFORMATION</w:t>
      </w:r>
    </w:p>
    <w:p>
      <w:pPr>
        <w:pStyle w:val="TextBody"/>
        <w:bidi w:val="0"/>
        <w:jc w:val="left"/>
        <w:rPr/>
      </w:pPr>
      <w:r>
        <w:rPr/>
        <w:t> </w:t>
      </w:r>
    </w:p>
    <w:tbl>
      <w:tblPr>
        <w:tblW w:w="5587" w:type="dxa"/>
        <w:jc w:val="left"/>
        <w:tblInd w:w="0" w:type="dxa"/>
        <w:tblLayout w:type="fixed"/>
        <w:tblCellMar>
          <w:top w:w="28" w:type="dxa"/>
          <w:left w:w="28" w:type="dxa"/>
          <w:bottom w:w="28" w:type="dxa"/>
          <w:right w:w="28" w:type="dxa"/>
        </w:tblCellMar>
      </w:tblPr>
      <w:tblGrid>
        <w:gridCol w:w="4877"/>
        <w:gridCol w:w="109"/>
        <w:gridCol w:w="601"/>
      </w:tblGrid>
      <w:tr>
        <w:trPr/>
        <w:tc>
          <w:tcPr>
            <w:tcW w:w="4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4877" w:type="dxa"/>
            <w:tcBorders/>
            <w:tcMar>
              <w:top w:w="0" w:type="dxa"/>
              <w:left w:w="0" w:type="dxa"/>
              <w:bottom w:w="0" w:type="dxa"/>
              <w:right w:w="0" w:type="dxa"/>
            </w:tcMar>
            <w:vAlign w:val="center"/>
          </w:tcPr>
          <w:p>
            <w:pPr>
              <w:pStyle w:val="TableContents"/>
              <w:bidi w:val="0"/>
              <w:spacing w:before="0" w:after="283"/>
              <w:ind w:left="0" w:right="16" w:hanging="0"/>
              <w:jc w:val="left"/>
              <w:rPr/>
            </w:pPr>
            <w:r>
              <w:rPr/>
              <w:t> </w:t>
            </w:r>
          </w:p>
        </w:tc>
        <w:tc>
          <w:tcPr>
            <w:tcW w:w="710" w:type="dxa"/>
            <w:gridSpan w:val="2"/>
            <w:tcBorders>
              <w:bottom w:val="single" w:sz="7" w:space="0" w:color="000000"/>
            </w:tcBorders>
            <w:tcMar>
              <w:top w:w="0" w:type="dxa"/>
              <w:left w:w="0" w:type="dxa"/>
              <w:right w:w="0" w:type="dxa"/>
            </w:tcMar>
            <w:vAlign w:val="center"/>
          </w:tcPr>
          <w:p>
            <w:pPr>
              <w:pStyle w:val="TableContents"/>
              <w:bidi w:val="0"/>
              <w:spacing w:before="0" w:after="283"/>
              <w:ind w:left="0" w:right="0" w:firstLine="180"/>
              <w:jc w:val="center"/>
              <w:rPr>
                <w:rFonts w:ascii="Times New Roman" w:hAnsi="Times New Roman"/>
                <w:b/>
                <w:color w:val="000000"/>
                <w:sz w:val="15"/>
              </w:rPr>
            </w:pPr>
            <w:r>
              <w:rPr>
                <w:rFonts w:ascii="Times New Roman" w:hAnsi="Times New Roman"/>
                <w:b/>
                <w:color w:val="000000"/>
                <w:sz w:val="15"/>
              </w:rPr>
              <w:t>Page</w:t>
            </w:r>
          </w:p>
        </w:tc>
      </w:tr>
      <w:tr>
        <w:trPr/>
        <w:tc>
          <w:tcPr>
            <w:tcW w:w="4877" w:type="dxa"/>
            <w:tcBorders/>
            <w:tcMar>
              <w:top w:w="0" w:type="dxa"/>
              <w:left w:w="0" w:type="dxa"/>
              <w:bottom w:w="0" w:type="dxa"/>
              <w:right w:w="0" w:type="dxa"/>
            </w:tcMar>
            <w:vAlign w:val="center"/>
          </w:tcPr>
          <w:p>
            <w:pPr>
              <w:pStyle w:val="TableContents"/>
              <w:pBdr/>
              <w:bidi w:val="0"/>
              <w:spacing w:before="0" w:after="283"/>
              <w:ind w:left="0" w:right="16" w:hanging="180"/>
              <w:jc w:val="left"/>
              <w:rPr/>
            </w:pPr>
            <w:hyperlink w:anchor="report_of_independent_registered">
              <w:r>
                <w:rPr>
                  <w:rStyle w:val="InternetLink"/>
                  <w:rFonts w:ascii="Times New Roman" w:hAnsi="Times New Roman"/>
                  <w:color w:val="0000FF"/>
                  <w:sz w:val="20"/>
                  <w:u w:val="single"/>
                </w:rPr>
                <w:t>Report of Independent Registered Public Accounting Firm</w:t>
              </w:r>
            </w:hyperlink>
          </w:p>
        </w:tc>
        <w:tc>
          <w:tcPr>
            <w:tcW w:w="109" w:type="dxa"/>
            <w:tcBorders/>
            <w:tcMar>
              <w:top w:w="0" w:type="dxa"/>
              <w:left w:w="0" w:type="dxa"/>
              <w:bottom w:w="0" w:type="dxa"/>
              <w:right w:w="0" w:type="dxa"/>
            </w:tcMar>
            <w:vAlign w:val="center"/>
          </w:tcPr>
          <w:p>
            <w:pPr>
              <w:pStyle w:val="TableContents"/>
              <w:bidi w:val="0"/>
              <w:spacing w:before="0" w:after="283"/>
              <w:ind w:left="0" w:right="16"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F-2</w:t>
            </w:r>
          </w:p>
        </w:tc>
      </w:tr>
      <w:tr>
        <w:trPr/>
        <w:tc>
          <w:tcPr>
            <w:tcW w:w="4877" w:type="dxa"/>
            <w:tcBorders/>
            <w:tcMar>
              <w:top w:w="0" w:type="dxa"/>
              <w:left w:w="0" w:type="dxa"/>
              <w:bottom w:w="0" w:type="dxa"/>
              <w:right w:w="0" w:type="dxa"/>
            </w:tcMar>
            <w:vAlign w:val="center"/>
          </w:tcPr>
          <w:p>
            <w:pPr>
              <w:pStyle w:val="TableContents"/>
              <w:pBdr/>
              <w:bidi w:val="0"/>
              <w:spacing w:before="0" w:after="283"/>
              <w:ind w:left="0" w:right="16" w:hanging="180"/>
              <w:jc w:val="left"/>
              <w:rPr/>
            </w:pPr>
            <w:hyperlink w:anchor="consolidated_balance_sheets">
              <w:r>
                <w:rPr>
                  <w:rStyle w:val="InternetLink"/>
                  <w:rFonts w:ascii="Times New Roman" w:hAnsi="Times New Roman"/>
                  <w:color w:val="0000FF"/>
                  <w:sz w:val="20"/>
                  <w:u w:val="single"/>
                </w:rPr>
                <w:t>Consolidated Balance Sheets</w:t>
              </w:r>
            </w:hyperlink>
          </w:p>
        </w:tc>
        <w:tc>
          <w:tcPr>
            <w:tcW w:w="109" w:type="dxa"/>
            <w:tcBorders/>
            <w:tcMar>
              <w:top w:w="0" w:type="dxa"/>
              <w:left w:w="0" w:type="dxa"/>
              <w:bottom w:w="0" w:type="dxa"/>
              <w:right w:w="0" w:type="dxa"/>
            </w:tcMar>
            <w:vAlign w:val="center"/>
          </w:tcPr>
          <w:p>
            <w:pPr>
              <w:pStyle w:val="TableContents"/>
              <w:bidi w:val="0"/>
              <w:spacing w:before="0" w:after="283"/>
              <w:ind w:left="0" w:right="16"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F-4</w:t>
            </w:r>
          </w:p>
        </w:tc>
      </w:tr>
      <w:tr>
        <w:trPr/>
        <w:tc>
          <w:tcPr>
            <w:tcW w:w="4877" w:type="dxa"/>
            <w:tcBorders/>
            <w:tcMar>
              <w:top w:w="0" w:type="dxa"/>
              <w:left w:w="0" w:type="dxa"/>
              <w:bottom w:w="0" w:type="dxa"/>
              <w:right w:w="0" w:type="dxa"/>
            </w:tcMar>
            <w:vAlign w:val="center"/>
          </w:tcPr>
          <w:p>
            <w:pPr>
              <w:pStyle w:val="TableContents"/>
              <w:pBdr/>
              <w:bidi w:val="0"/>
              <w:spacing w:before="0" w:after="283"/>
              <w:ind w:left="0" w:right="16" w:hanging="180"/>
              <w:jc w:val="left"/>
              <w:rPr/>
            </w:pPr>
            <w:hyperlink w:anchor="consolidated_statements_income">
              <w:r>
                <w:rPr>
                  <w:rStyle w:val="InternetLink"/>
                  <w:rFonts w:ascii="Times New Roman" w:hAnsi="Times New Roman"/>
                  <w:color w:val="0000FF"/>
                  <w:sz w:val="20"/>
                  <w:u w:val="single"/>
                </w:rPr>
                <w:t>Consolidated Statements of Income</w:t>
              </w:r>
            </w:hyperlink>
          </w:p>
        </w:tc>
        <w:tc>
          <w:tcPr>
            <w:tcW w:w="109" w:type="dxa"/>
            <w:tcBorders/>
            <w:tcMar>
              <w:top w:w="0" w:type="dxa"/>
              <w:left w:w="0" w:type="dxa"/>
              <w:bottom w:w="0" w:type="dxa"/>
              <w:right w:w="0" w:type="dxa"/>
            </w:tcMar>
            <w:vAlign w:val="center"/>
          </w:tcPr>
          <w:p>
            <w:pPr>
              <w:pStyle w:val="TableContents"/>
              <w:bidi w:val="0"/>
              <w:spacing w:before="0" w:after="283"/>
              <w:ind w:left="0" w:right="16"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F-5</w:t>
            </w:r>
          </w:p>
        </w:tc>
      </w:tr>
      <w:tr>
        <w:trPr/>
        <w:tc>
          <w:tcPr>
            <w:tcW w:w="4877" w:type="dxa"/>
            <w:tcBorders/>
            <w:tcMar>
              <w:top w:w="0" w:type="dxa"/>
              <w:left w:w="0" w:type="dxa"/>
              <w:bottom w:w="0" w:type="dxa"/>
              <w:right w:w="0" w:type="dxa"/>
            </w:tcMar>
            <w:vAlign w:val="center"/>
          </w:tcPr>
          <w:p>
            <w:pPr>
              <w:pStyle w:val="TableContents"/>
              <w:pBdr/>
              <w:bidi w:val="0"/>
              <w:spacing w:before="0" w:after="283"/>
              <w:ind w:left="0" w:right="16" w:hanging="180"/>
              <w:jc w:val="left"/>
              <w:rPr/>
            </w:pPr>
            <w:hyperlink w:anchor="consolidated_statements_stockholders_equ">
              <w:r>
                <w:rPr>
                  <w:rStyle w:val="InternetLink"/>
                  <w:rFonts w:ascii="Times New Roman" w:hAnsi="Times New Roman"/>
                  <w:color w:val="0000FF"/>
                  <w:sz w:val="20"/>
                  <w:u w:val="single"/>
                </w:rPr>
                <w:t>Consolidated Statements of Stockholders’ Equity</w:t>
              </w:r>
            </w:hyperlink>
          </w:p>
        </w:tc>
        <w:tc>
          <w:tcPr>
            <w:tcW w:w="109" w:type="dxa"/>
            <w:tcBorders/>
            <w:tcMar>
              <w:top w:w="0" w:type="dxa"/>
              <w:left w:w="0" w:type="dxa"/>
              <w:bottom w:w="0" w:type="dxa"/>
              <w:right w:w="0" w:type="dxa"/>
            </w:tcMar>
            <w:vAlign w:val="center"/>
          </w:tcPr>
          <w:p>
            <w:pPr>
              <w:pStyle w:val="TableContents"/>
              <w:bidi w:val="0"/>
              <w:spacing w:before="0" w:after="283"/>
              <w:ind w:left="0" w:right="16"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F-6</w:t>
            </w:r>
          </w:p>
        </w:tc>
      </w:tr>
      <w:tr>
        <w:trPr/>
        <w:tc>
          <w:tcPr>
            <w:tcW w:w="4877" w:type="dxa"/>
            <w:tcBorders/>
            <w:tcMar>
              <w:top w:w="0" w:type="dxa"/>
              <w:left w:w="0" w:type="dxa"/>
              <w:bottom w:w="0" w:type="dxa"/>
              <w:right w:w="0" w:type="dxa"/>
            </w:tcMar>
            <w:vAlign w:val="center"/>
          </w:tcPr>
          <w:p>
            <w:pPr>
              <w:pStyle w:val="TableContents"/>
              <w:pBdr/>
              <w:bidi w:val="0"/>
              <w:spacing w:before="0" w:after="283"/>
              <w:ind w:left="0" w:right="16" w:hanging="180"/>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109" w:type="dxa"/>
            <w:tcBorders/>
            <w:tcMar>
              <w:top w:w="0" w:type="dxa"/>
              <w:left w:w="0" w:type="dxa"/>
              <w:bottom w:w="0" w:type="dxa"/>
              <w:right w:w="0" w:type="dxa"/>
            </w:tcMar>
            <w:vAlign w:val="center"/>
          </w:tcPr>
          <w:p>
            <w:pPr>
              <w:pStyle w:val="TableContents"/>
              <w:bidi w:val="0"/>
              <w:spacing w:before="0" w:after="283"/>
              <w:ind w:left="0" w:right="16"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F-7</w:t>
            </w:r>
          </w:p>
        </w:tc>
      </w:tr>
      <w:tr>
        <w:trPr/>
        <w:tc>
          <w:tcPr>
            <w:tcW w:w="4877" w:type="dxa"/>
            <w:tcBorders/>
            <w:tcMar>
              <w:top w:w="0" w:type="dxa"/>
              <w:left w:w="0" w:type="dxa"/>
              <w:bottom w:w="0" w:type="dxa"/>
              <w:right w:w="0" w:type="dxa"/>
            </w:tcMar>
            <w:vAlign w:val="center"/>
          </w:tcPr>
          <w:p>
            <w:pPr>
              <w:pStyle w:val="TableContents"/>
              <w:pBdr/>
              <w:bidi w:val="0"/>
              <w:spacing w:before="0" w:after="283"/>
              <w:ind w:left="0" w:right="16" w:hanging="180"/>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09" w:type="dxa"/>
            <w:tcBorders/>
            <w:tcMar>
              <w:top w:w="0" w:type="dxa"/>
              <w:left w:w="0" w:type="dxa"/>
              <w:bottom w:w="0" w:type="dxa"/>
              <w:right w:w="0" w:type="dxa"/>
            </w:tcMar>
            <w:vAlign w:val="center"/>
          </w:tcPr>
          <w:p>
            <w:pPr>
              <w:pStyle w:val="TableContents"/>
              <w:bidi w:val="0"/>
              <w:spacing w:before="0" w:after="283"/>
              <w:ind w:left="0" w:right="16"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schedules for which provision is made in the applicable accounting regulation of the Securities and Exchange Commission are not required under the related instructions or are inapplicable and therefore have been omitted.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34" w:name="report_of_independent_registered"/>
      <w:bookmarkEnd w:id="34"/>
      <w:r>
        <w:rPr>
          <w:rFonts w:ascii="Times New Roman" w:hAnsi="Times New Roman"/>
          <w:b/>
          <w:color w:val="000000"/>
          <w:sz w:val="20"/>
        </w:rPr>
        <w:t>Report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To the Board of Directors and Stockholders of Addus HomeCare Corporation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Opinions on the Financial Statements and Internal Control over Financial Reporting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have audited the accompanying consolidated balance sheets of Addus HomeCare Corporation and its subsidiaries (the “Company”) as of December 31, 2024 and 2023, and the related consolidated statements of income,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Committee of Sponsoring Organizations of the Treadway Commission (COSO).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COSO.</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Basis for Opinions</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jc w:val="left"/>
        <w:rPr>
          <w:rFonts w:ascii="Times New Roman" w:hAnsi="Times New Roman"/>
          <w:color w:val="000000"/>
          <w:sz w:val="20"/>
        </w:rPr>
      </w:pPr>
      <w:r>
        <w:rPr>
          <w:rFonts w:ascii="Times New Roman" w:hAnsi="Times New Roman"/>
          <w:color w:val="000000"/>
          <w:sz w:val="20"/>
        </w:rPr>
        <w:t>As described in Management’s Annual Report on Internal Control Over Financial Reporting, management has excluded the business acquired from Gentiva (the Gentiva Acquisition), from its assessment of internal control over financial reporting as of December 31, 2024, because it was acquired by the Company in a purchase business combination during 2024. We have also excluded Gentiva from our audit of internal control over financial reporting. Gentiva is a wholly-owned business whose total revenues, total operating income, and total assets excluded from management’s assessment and our audit of internal control over financial reporting represent approximately 2.0%, 3.0%, and 2.4% respectively, of the related consolidated financial statement amounts as of and for the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Definition and Limitations of Internal Control over Financial Reporting</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Critical Audit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Valuation of Accounts Receivable, Net of Allowances for Implicit Price Concessions</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As described in Note 1 to the consolidated financial statements, net service revenue is recognized at the amount that reflects the consideration the Company expects to receive in exchange for providing services directly to consumers. Amounts collected may be less than amounts billed due to implicit price concessions, resulting from client eligibility issues, insufficient or incomplete documentation, services at levels other than authorized, pricing differences and other reasons unrelated to credit risk.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The evaluation of these historical and other factors involves complex, subjective judgments. Accounts receivable, net of allowances for implicit price concessions (before the allowance for credit losses) were $126.4 million as of December 31, 2024.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The principal considerations for our determination that performing procedures relating to the valuation of accounts receivable, net of allowances for implicit price concessions is a critical audit matter are (i) the significant judgment by management when developing the estimate of accounts receivable, net of allowances for implicit price concessions and (ii) a high degree of auditor judgment, subjectivity, and effort in performing procedures and evaluating audit evidence related to the estimate. </w:t>
      </w:r>
    </w:p>
    <w:p>
      <w:pPr>
        <w:pStyle w:val="TextBody"/>
        <w:bidi w:val="0"/>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estimate of accounts receivable, net of implicit price concessions, including controls over the allowance for implicit price concessions. These procedures also included, among others (i) testing management’s process for developing the estimate of accounts receivable, net of allowances for implicit price concessions; (ii) evaluating the relevance and use of historical experience data as an input into management’s estimate; (iii) testing the completeness and accuracy of underlying historical collection data used as an input into management’s estimate; (iv) testing, on a sample basis, the accuracy of revenue transactions and cash collections from the billing and collection data used as an input into the estimate; (v) evaluating the historical accuracy of management’s estimate of the amount expected to be collected by performing a retrospective comparison of actual cash collections to the related accounts receivable; and (vi) performing a comparison of the remaining uncollected accounts receivable balance as of a date subsequent to year end, to expected future cash collections based on the Company’s historical collection patterns.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Dallas, Texas</w:t>
      </w:r>
    </w:p>
    <w:p>
      <w:pPr>
        <w:pStyle w:val="TextBody"/>
        <w:bidi w:val="0"/>
        <w:jc w:val="left"/>
        <w:rPr>
          <w:rFonts w:ascii="Times New Roman" w:hAnsi="Times New Roman"/>
          <w:color w:val="000000"/>
          <w:sz w:val="20"/>
        </w:rPr>
      </w:pPr>
      <w:r>
        <w:rPr>
          <w:rFonts w:ascii="Times New Roman" w:hAnsi="Times New Roman"/>
          <w:color w:val="000000"/>
          <w:sz w:val="20"/>
        </w:rPr>
        <w:t>February 25,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2019.</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AND SUBSIDIARIES</w:t>
      </w:r>
    </w:p>
    <w:p>
      <w:pPr>
        <w:pStyle w:val="TextBody"/>
        <w:bidi w:val="0"/>
        <w:jc w:val="center"/>
        <w:rPr>
          <w:rFonts w:ascii="Times New Roman" w:hAnsi="Times New Roman"/>
          <w:b/>
          <w:color w:val="000000"/>
          <w:sz w:val="20"/>
        </w:rPr>
      </w:pPr>
      <w:bookmarkStart w:id="35" w:name="consolidated_balance_sheets"/>
      <w:bookmarkEnd w:id="35"/>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As of December 31, 2024 and 2023</w:t>
      </w:r>
    </w:p>
    <w:p>
      <w:pPr>
        <w:pStyle w:val="TextBody"/>
        <w:bidi w:val="0"/>
        <w:jc w:val="center"/>
        <w:rPr>
          <w:rFonts w:ascii="Times New Roman" w:hAnsi="Times New Roman"/>
          <w:b/>
          <w:color w:val="000000"/>
          <w:sz w:val="20"/>
        </w:rPr>
      </w:pPr>
      <w:r>
        <w:rPr>
          <w:rFonts w:ascii="Times New Roman" w:hAnsi="Times New Roman"/>
          <w:b/>
          <w:color w:val="000000"/>
          <w:sz w:val="20"/>
        </w:rPr>
        <w:t>(amounts and shares in thousands, except per share data)</w:t>
      </w:r>
    </w:p>
    <w:p>
      <w:pPr>
        <w:pStyle w:val="TextBody"/>
        <w:bidi w:val="0"/>
        <w:jc w:val="left"/>
        <w:rPr/>
      </w:pPr>
      <w:r>
        <w:rPr/>
        <w:t> </w:t>
      </w:r>
    </w:p>
    <w:tbl>
      <w:tblPr>
        <w:tblW w:w="10169" w:type="dxa"/>
        <w:jc w:val="left"/>
        <w:tblInd w:w="0" w:type="dxa"/>
        <w:tblLayout w:type="fixed"/>
        <w:tblCellMar>
          <w:top w:w="28" w:type="dxa"/>
          <w:left w:w="28" w:type="dxa"/>
          <w:bottom w:w="28" w:type="dxa"/>
          <w:right w:w="28" w:type="dxa"/>
        </w:tblCellMar>
      </w:tblPr>
      <w:tblGrid>
        <w:gridCol w:w="7056"/>
        <w:gridCol w:w="146"/>
        <w:gridCol w:w="211"/>
        <w:gridCol w:w="931"/>
        <w:gridCol w:w="146"/>
        <w:gridCol w:w="146"/>
        <w:gridCol w:w="211"/>
        <w:gridCol w:w="931"/>
        <w:gridCol w:w="391"/>
      </w:tblGrid>
      <w:tr>
        <w:trPr/>
        <w:tc>
          <w:tcPr>
            <w:tcW w:w="7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allowances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 of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Intangibles, net of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Government stimulus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workers’ compensation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net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stock—$.001 par value; 40,000 authorized and 18,148 and 16,227 shares</w:t>
              <w:br/>
              <w:t>   issued and outstanding as of December 31, 2024 and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970,492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AND SUBSIDIARIES</w:t>
      </w:r>
    </w:p>
    <w:p>
      <w:pPr>
        <w:pStyle w:val="TextBody"/>
        <w:bidi w:val="0"/>
        <w:jc w:val="center"/>
        <w:rPr>
          <w:rFonts w:ascii="Times New Roman" w:hAnsi="Times New Roman"/>
          <w:b/>
          <w:color w:val="000000"/>
          <w:sz w:val="20"/>
        </w:rPr>
      </w:pPr>
      <w:bookmarkStart w:id="36" w:name="consolidated_statements_income"/>
      <w:bookmarkEnd w:id="36"/>
      <w:r>
        <w:rPr>
          <w:rFonts w:ascii="Times New Roman" w:hAnsi="Times New Roman"/>
          <w:b/>
          <w:color w:val="000000"/>
          <w:sz w:val="20"/>
        </w:rPr>
        <w:t>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2024, 2023 and 2022</w:t>
      </w:r>
    </w:p>
    <w:p>
      <w:pPr>
        <w:pStyle w:val="TextBody"/>
        <w:bidi w:val="0"/>
        <w:jc w:val="center"/>
        <w:rPr>
          <w:rFonts w:ascii="Times New Roman" w:hAnsi="Times New Roman"/>
          <w:b/>
          <w:color w:val="000000"/>
          <w:sz w:val="20"/>
        </w:rPr>
      </w:pPr>
      <w:r>
        <w:rPr>
          <w:rFonts w:ascii="Times New Roman" w:hAnsi="Times New Roman"/>
          <w:b/>
          <w:color w:val="000000"/>
          <w:sz w:val="20"/>
        </w:rPr>
        <w:t>(amounts and shares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68"/>
        <w:gridCol w:w="146"/>
        <w:gridCol w:w="211"/>
        <w:gridCol w:w="931"/>
        <w:gridCol w:w="166"/>
        <w:gridCol w:w="146"/>
        <w:gridCol w:w="211"/>
        <w:gridCol w:w="931"/>
        <w:gridCol w:w="166"/>
        <w:gridCol w:w="146"/>
        <w:gridCol w:w="211"/>
        <w:gridCol w:w="781"/>
        <w:gridCol w:w="391"/>
      </w:tblGrid>
      <w:tr>
        <w:trPr/>
        <w:tc>
          <w:tcPr>
            <w:tcW w:w="5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231,002</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and potential common shares</w:t>
              <w:br/>
              <w:t>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7" w:name="fis_stockholders_equity"/>
      <w:bookmarkEnd w:id="37"/>
      <w:r>
        <w:rPr>
          <w:rFonts w:ascii="Times New Roman" w:hAnsi="Times New Roman"/>
          <w:b/>
          <w:color w:val="000000"/>
          <w:sz w:val="20"/>
        </w:rPr>
        <w:t>ADDUS HOMECARE CORPORATION</w:t>
      </w:r>
    </w:p>
    <w:p>
      <w:pPr>
        <w:pStyle w:val="TextBody"/>
        <w:bidi w:val="0"/>
        <w:jc w:val="center"/>
        <w:rPr>
          <w:rFonts w:ascii="Times New Roman" w:hAnsi="Times New Roman"/>
          <w:b/>
          <w:color w:val="000000"/>
          <w:sz w:val="20"/>
        </w:rPr>
      </w:pPr>
      <w:r>
        <w:rPr>
          <w:rFonts w:ascii="Times New Roman" w:hAnsi="Times New Roman"/>
          <w:b/>
          <w:color w:val="000000"/>
          <w:sz w:val="20"/>
        </w:rPr>
        <w:t>AND SUBSIDIARIES</w:t>
      </w:r>
    </w:p>
    <w:p>
      <w:pPr>
        <w:pStyle w:val="TextBody"/>
        <w:bidi w:val="0"/>
        <w:spacing w:before="240" w:after="283"/>
        <w:jc w:val="center"/>
        <w:rPr>
          <w:rFonts w:ascii="Times New Roman" w:hAnsi="Times New Roman"/>
          <w:sz w:val="20"/>
        </w:rPr>
      </w:pPr>
      <w:bookmarkStart w:id="38" w:name="consolidated_statements_stockholders_equ"/>
      <w:bookmarkEnd w:id="38"/>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2024, 2023 and 2022</w:t>
      </w:r>
    </w:p>
    <w:p>
      <w:pPr>
        <w:pStyle w:val="TextBody"/>
        <w:bidi w:val="0"/>
        <w:jc w:val="center"/>
        <w:rPr>
          <w:rFonts w:ascii="Times New Roman" w:hAnsi="Times New Roman"/>
          <w:b/>
          <w:color w:val="000000"/>
          <w:sz w:val="20"/>
        </w:rPr>
      </w:pPr>
      <w:r>
        <w:rPr>
          <w:rFonts w:ascii="Times New Roman" w:hAnsi="Times New Roman"/>
          <w:b/>
          <w:color w:val="000000"/>
          <w:sz w:val="20"/>
        </w:rPr>
        <w:t>(amounts and shares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87"/>
        <w:gridCol w:w="146"/>
        <w:gridCol w:w="146"/>
        <w:gridCol w:w="676"/>
        <w:gridCol w:w="166"/>
        <w:gridCol w:w="146"/>
        <w:gridCol w:w="261"/>
        <w:gridCol w:w="430"/>
        <w:gridCol w:w="146"/>
        <w:gridCol w:w="146"/>
        <w:gridCol w:w="211"/>
        <w:gridCol w:w="781"/>
        <w:gridCol w:w="146"/>
        <w:gridCol w:w="146"/>
        <w:gridCol w:w="211"/>
        <w:gridCol w:w="781"/>
        <w:gridCol w:w="146"/>
        <w:gridCol w:w="146"/>
        <w:gridCol w:w="233"/>
        <w:gridCol w:w="863"/>
        <w:gridCol w:w="191"/>
      </w:tblGrid>
      <w:tr>
        <w:trPr/>
        <w:tc>
          <w:tcPr>
            <w:tcW w:w="4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 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of common stock under</w:t>
              <w:br/>
              <w:t>   restricted stock award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 of shares of common stock under</w:t>
              <w:br/>
              <w:t>   restricted stock award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of common stock under</w:t>
              <w:br/>
              <w:t>   restricted stock award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of common stock under</w:t>
              <w:br/>
              <w:t>   restricted stock award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 of shares of common stock under</w:t>
              <w:br/>
              <w:t>   restricted stock award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in public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970,492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jc w:val="center"/>
        <w:rPr>
          <w:rFonts w:ascii="Times New Roman" w:hAnsi="Times New Roman"/>
          <w:b/>
          <w:color w:val="000000"/>
          <w:sz w:val="20"/>
        </w:rPr>
      </w:pPr>
      <w:r>
        <w:rPr>
          <w:rFonts w:ascii="Times New Roman" w:hAnsi="Times New Roman"/>
          <w:b/>
          <w:color w:val="000000"/>
          <w:sz w:val="20"/>
        </w:rPr>
        <w:t>AND SUBSIDIARIES</w:t>
      </w:r>
    </w:p>
    <w:p>
      <w:pPr>
        <w:pStyle w:val="TextBody"/>
        <w:bidi w:val="0"/>
        <w:spacing w:before="60" w:after="283"/>
        <w:jc w:val="center"/>
        <w:rPr>
          <w:rFonts w:ascii="Times New Roman" w:hAnsi="Times New Roman"/>
          <w:b/>
          <w:color w:val="000000"/>
          <w:sz w:val="20"/>
        </w:rPr>
      </w:pPr>
      <w:bookmarkStart w:id="39" w:name="consolidated_statements_cash_flows"/>
      <w:bookmarkEnd w:id="39"/>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2024, 2023 and 2022</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left"/>
        <w:rPr/>
      </w:pPr>
      <w:r>
        <w:rPr/>
        <w:t> </w:t>
      </w:r>
    </w:p>
    <w:tbl>
      <w:tblPr>
        <w:tblW w:w="9583" w:type="dxa"/>
        <w:jc w:val="left"/>
        <w:tblInd w:w="0" w:type="dxa"/>
        <w:tblLayout w:type="fixed"/>
        <w:tblCellMar>
          <w:top w:w="28" w:type="dxa"/>
          <w:left w:w="28" w:type="dxa"/>
          <w:bottom w:w="28" w:type="dxa"/>
          <w:right w:w="28" w:type="dxa"/>
        </w:tblCellMar>
      </w:tblPr>
      <w:tblGrid>
        <w:gridCol w:w="5161"/>
        <w:gridCol w:w="146"/>
        <w:gridCol w:w="196"/>
        <w:gridCol w:w="751"/>
        <w:gridCol w:w="166"/>
        <w:gridCol w:w="146"/>
        <w:gridCol w:w="196"/>
        <w:gridCol w:w="751"/>
        <w:gridCol w:w="166"/>
        <w:gridCol w:w="146"/>
        <w:gridCol w:w="196"/>
        <w:gridCol w:w="751"/>
        <w:gridCol w:w="81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Adjustments to reconcile net income to net cash provided by </w:t>
              <w:br/>
              <w:t>   operating activities, net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14,060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debt issuance costs under the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Gain on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Impairment of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(Gain) loss on termination of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Gain on divestiture of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Changes in operating assets and liabilities, net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Government stimulus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Accrued payroll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105,110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Acquisition of businesses,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received from disposal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received from divestiture of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borrowings on revolver —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on revolver loan —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for debt issuance costs under the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received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(87,454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(88,934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168,895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79,961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Leasehold improvements acquired through tenant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Licensing fees included in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jc w:val="center"/>
        <w:rPr>
          <w:rFonts w:ascii="Times New Roman" w:hAnsi="Times New Roman"/>
          <w:b/>
          <w:color w:val="000000"/>
          <w:sz w:val="20"/>
        </w:rPr>
      </w:pPr>
      <w:bookmarkStart w:id="40" w:name="fis_notes_to_financial_statement"/>
      <w:bookmarkEnd w:id="40"/>
      <w:r>
        <w:rPr>
          <w:rFonts w:ascii="Times New Roman" w:hAnsi="Times New Roman"/>
          <w:b/>
          <w:color w:val="000000"/>
          <w:sz w:val="20"/>
        </w:rPr>
        <w:t>AND SUBSIDIARIES</w:t>
      </w:r>
    </w:p>
    <w:p>
      <w:pPr>
        <w:pStyle w:val="TextBody"/>
        <w:bidi w:val="0"/>
        <w:spacing w:before="120" w:after="283"/>
        <w:jc w:val="center"/>
        <w:rPr>
          <w:rFonts w:ascii="Times New Roman" w:hAnsi="Times New Roman"/>
          <w:b/>
          <w:color w:val="000000"/>
          <w:sz w:val="20"/>
        </w:rPr>
      </w:pPr>
      <w:bookmarkStart w:id="41" w:name="notes_to_consolidated_financial_statemen"/>
      <w:bookmarkEnd w:id="41"/>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Addus HomeCare Corporation (“Holdings”) and its subsidiaries (together with Holdings, the “Company,” “we,” “us,” or “our”). The Company operates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 clients include federal, state and local governmental agencies, managed care organizations, commercial insurers and private individuals.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intercompany balances and transactions have been eliminated in consolidation.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Reclassification of Prior Period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reclassifications have been made to prior period amounts to conform to the current-year presentation including the reporting of deferred tax liabilities as a separate line item on the Consolidated Balance Sheets. These reclassifications have no effect on the reported net income for the years ended December 31, 2024, 2023 and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service revenue is recognized at the amount that reflects the consideration the Company expects to receive in exchange for providing services directly to consumers. Receipts are from federal, state and local governmental agencies, managed care organizations, commercial insurers and private consumers for services rendered. The Company assesses the consumers’ ability to pay at the time of their admission based on the Company’s verification of the customer’s insurance coverage under the Medicare, Medicaid, and other commercial or managed care insurance programs. Laws and regulations governing the governmental programs in which the Company participates are complex and subject to interpretation. Net service revenues related to uninsured accounts, or self-pay, is recorded net of implicit price concessions estimated based on historical collection experience to reduce revenue to the estimated amount the Company expects to collect. Amounts collected from all sources may be less than amounts billed due to implicit price concessions, resulting from client eligibility issues, insufficient or incomplete documentation, services at levels other than authorized, pricing differences and other reasons unrelated to credit risk. The Company monitors our net service revenues and collections from these sources and records any necessary adjustment to net service revenues based upon management’s assessment of historical write offs and expected net collections, business and economic conditions, trends in federal, state and private employer healthcare coverage and other collection indicators.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estimate of net service revenues is determined by reducing the standard charge by any contractual adjustments, discounts and implicit price concessions. Subsequent changes to the estimate of net service revenues are generally recorded in the period of the change. Subsequent changes that are determined to be the result of an adverse change in the patient’s ability to pay are recorded as bad debt expense.</w:t>
      </w:r>
    </w:p>
    <w:p>
      <w:pPr>
        <w:pStyle w:val="TextBody"/>
        <w:bidi w:val="0"/>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Personal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the Company’s net service revenues are generated from providing personal care services directly to consumers under contracts with state, local and other governmental agencies, managed care organizations, commercial insurers and private consumers. Generally, these contracts, which are negotiated based on current contracting practices as appropriate for the payor, establish the terms of a customer relationship and set the broad range of terms for services to be performed at a stated rate. However, the contracts do not give rise to rights and obligations until an order is placed with the Company. When an order is placed, it creates the performance obligation to provide a defined quantity of service hours, or authorized hours, per consumer. The Company satisfies its performance obligations over time, given that consumers simultaneously receive and consume the benefits provided by the Company as the services are performed. As the Company has a right to consideration from customers commensurate with the value provided to customers from the performance completed over a given invoice period, the Company has elected to use the practical expedient for measuring progress toward satisfaction of performance obligations and recognizes patient service revenue in the amount to which the Company has a right to invoice.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Hospice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generates net service revenues from providing hospice services to consumers who are terminally ill as well as related services for their families. Net service revenues are recognized as services are provided and costs for delivery of such services are incurred. The estimated payment rates are daily rates for each of the levels of care the Company delivers. Hospice companies are subject to two specific payment limit caps under the Medicare program each federal fiscal year, the inpatient cap and the aggregate cap. The inpatient cap limits the number of inpatient care days provided to no more than 20% of the total days of hospice care provided to Medicare patients for the year. If a hospice exceeds the number of allowable inpatient care days, the hospice must refund any amounts received for inpatient care that exceed the total of: (i) the product of the total reimbursement paid to the hospice for inpatient care multiplied by the ratio of the maximum number of allowable inpatient days to the actual number of inpatient care days furnished by the hospice to Medicare patients; and (ii) the product of the number of actual inpatient days in excess of the limitation multiplied by the routine home care rate. The aggregate cap, which is calculated each federal fiscal year, limits the amount of Medicare reimbursement a hospice may receive, based on the number of Medicare patients served. If a hospice’s Medicare payments exceed its aggregate cap, it must repay Medicare for the excess amount. In federal fiscal year 2025, the aggregate cap is $34,465.34. For the years ended December 31, 2024 and 2023, the Company recorded a liability of $1.7 million and $0.8 million, respectively, related to the Medicare aggregate cap limit.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Home Health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generates net service revenues from providing home healthcare services directly to consumers mainly under contracts with Medicare and managed care organizations. Generally, these contracts, which are negotiated based on current contracting practices as appropriate for the payor, establish the terms of a relationship and set the broad range of terms for services to be performed on an episodic basis at a stated rate. Home health Medicare services are paid under the Medicare Home Health Prospective Payment System (“HHPPS”), which is based on 30-day periods of care as a unit of service. The HHPPS permits multiple, continuous periods per patient. Medicare payment rates for periods under HHPPS are determined through use of a case-mix classification system, the Patient-Driven Groupings Model (“PDGM”), which assigns patients to resource groups based on a patient’s clinical characteristics.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elects to use the same 30-day periods that Medicare recognizes as standard but accelerates revenue upon discharge to align with a patient’s episode length if less than the expected 30 days, which depicts the transfer of services and related benefits received by the patient over the term of the contract necessary to satisfy the obligations. The Company recognizes revenue based on the number of days elapsed during a period of care within the reporting period. The Company satisfies its performance obligations as consumers receive and consume the benefits provided by the Company as the services are performed. As the Company has a right to consideration from Medicare commensurate with the services provided to customers from the performance completed over a given episodic period, the Company has elected to use the practical expedient for measuring progress toward satisfaction of performance obligations. Under this method recognizing revenue ratably over the episode based on beginning and ending dates is a reasonable proxy for the transfer of benefit of the service.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Accounts Receivable and Allowances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is reduced to the amount expected to be collected in future periods for services rendered to customers prior to the balance sheet date.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Collection of net service revenues the Company expects to receive is normally a function of providing complete and correct billing information to the payors within the various filing deadlines. The evaluation of these historical and other factors involves complex, subjective judgments impacting the determination of the implicit price concession assumption. In addition, the Company compares its cash collections to recorded net service revenues and evaluates its historical allowance, including implicit price concessions, based upon the ultimate resolution of the accounts receivable balance.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adjustments to accounts receivable determined to be the result of an adverse change in the payor’s ability to pay are recognized as provision for credit losses. The majority of what historically was classified as provision for credit losses under operating expenses is now treated as an implicit price concession factored into the determination of net service revenues discussed above. Our collection procedures include review of account aging and direct contact with our payors. We have historically not used collection agencies. An uncollectible amount is written off to the allowance account after reasonable collection efforts have been exhausted. As of December 31, 2024 and 2023, the allowance for credit losses balance was $3.5 million and $2.3 million, respectively, which is included in accounts receivable, net of allowances for credit losses on the Company’s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Activity in the allowance for credit losses is as follows (in thousands):</w:t>
      </w:r>
    </w:p>
    <w:p>
      <w:pPr>
        <w:pStyle w:val="TextBody"/>
        <w:bidi w:val="0"/>
        <w:jc w:val="left"/>
        <w:rPr/>
      </w:pPr>
      <w:r>
        <w:rPr/>
        <w:t> </w:t>
      </w:r>
    </w:p>
    <w:tbl>
      <w:tblPr>
        <w:tblW w:w="7865" w:type="dxa"/>
        <w:jc w:val="left"/>
        <w:tblInd w:w="0" w:type="dxa"/>
        <w:tblLayout w:type="fixed"/>
        <w:tblCellMar>
          <w:top w:w="28" w:type="dxa"/>
          <w:left w:w="28" w:type="dxa"/>
          <w:bottom w:w="28" w:type="dxa"/>
          <w:right w:w="28" w:type="dxa"/>
        </w:tblCellMar>
      </w:tblPr>
      <w:tblGrid>
        <w:gridCol w:w="2656"/>
        <w:gridCol w:w="146"/>
        <w:gridCol w:w="270"/>
        <w:gridCol w:w="735"/>
        <w:gridCol w:w="146"/>
        <w:gridCol w:w="146"/>
        <w:gridCol w:w="171"/>
        <w:gridCol w:w="670"/>
        <w:gridCol w:w="146"/>
        <w:gridCol w:w="146"/>
        <w:gridCol w:w="247"/>
        <w:gridCol w:w="818"/>
        <w:gridCol w:w="166"/>
        <w:gridCol w:w="146"/>
        <w:gridCol w:w="287"/>
        <w:gridCol w:w="778"/>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br/>
              <w:t>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Deductions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Write-offs, net of recoveries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recorded at cost and depreciated over the estimated useful lives of the related assets by use of the straight-line method. Maintenance and repairs are charged to expense as incurred. The estimated useful lives of the property and equipment are as follows:</w:t>
      </w:r>
    </w:p>
    <w:p>
      <w:pPr>
        <w:pStyle w:val="TextBody"/>
        <w:bidi w:val="0"/>
        <w:jc w:val="left"/>
        <w:rPr/>
      </w:pPr>
      <w:r>
        <w:rPr/>
        <w:t> </w:t>
      </w:r>
    </w:p>
    <w:tbl>
      <w:tblPr>
        <w:tblW w:w="5173" w:type="dxa"/>
        <w:jc w:val="left"/>
        <w:tblInd w:w="0" w:type="dxa"/>
        <w:tblLayout w:type="fixed"/>
        <w:tblCellMar>
          <w:top w:w="28" w:type="dxa"/>
          <w:left w:w="28" w:type="dxa"/>
          <w:bottom w:w="28" w:type="dxa"/>
          <w:right w:w="28" w:type="dxa"/>
        </w:tblCellMar>
      </w:tblPr>
      <w:tblGrid>
        <w:gridCol w:w="2236"/>
        <w:gridCol w:w="146"/>
        <w:gridCol w:w="27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years</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 years</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 years</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Lesser of useful life or lease term</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 lease liability and a right-of-use (“ROU”) asset for all leases, including operating leases, with a term greater than twelve months on the balance sheet. We have historically entered into operating leases for local branches, our corporate headquarters and certain equipment. The Company’s current leases have expiration dates through 2035. Certain of our arrangements have free rent periods and/or escalating rent payment provisions. We recognize rent expense on a straight-line basis over the lease term. Certain of the Company’s leases include termination options and renewal options for periods ranging from one to five years. Renewal options generally are not considered in determining the lease term, and payments associated with the option years are excluded from lease payments unless we are reasonably certain to exercise the renewal 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operating lease liabilities are calculated using the present value of lease payments. If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lease assets are valued based on the initial operating lease liabilities plus any prepaid rent, reduced by tenant improvement allowances. Operating lease assets are tested for impairment in the same manner as our long-lived assets. For the years ended December 31, 2024, 2023 and 2022 the Company recorded $5.0 million, $13,000 and $1.2 million, respectively, in impairment charges on operating lease assets, included within general administrative expenses. Of the $5.0 million in impairment charges on operating lease assets recorded, $2.2 million in exit charges was included.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Goodwill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business combination accounting, assets and liabilities are generally recognized at their fair values and the difference between the consideration transferred, excluding transaction costs, and the fair values of the assets and liabilities is recognized as goodwill. The Company’s significant identifiable intangible assets consist of customer and referral relationships, trade names and trademarks and state licenses. The Company uses various valuation techniques to determine initial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 The Company estimates the fair values of the trade names using the relief-from-royalty method, which requires assumptions such as the long-term growth rates of future revenues, the relief from royalty rate for such revenue, the tax rate and the discount rate. The Company estimates the fair value of existing indefinite-lived state licenses based on a blended approach of the replacement cost method and cost savings method, which involves estimating the total process costs and opportunity costs to obtain a license, by estimating future earnings before interest and taxes and applying an estimated discount rate, tax rate and time to obtain the license. The Company estimates the fair value of existing finite-lived state licenses based on a method of analyzing the definite revenue streams with the license and without the license, which involves estimating revenues and expenses, estimated time to build up to a current revenue base, which is market specific, and the non-licensed revenue allocation, revenue growth rates, discount rate and tax amortization benefits. The Company estimates the fair value of customer and referral relationships based on a multi-period excess earnings method, which involves identifying revenue streams associated with the assets, estimating the attrition rates based upon historical financial data, expenses and cash flows associated with the assets, contributory asset charges, rates of return for specific assets, growth rates, discount rate and tax amortization benefits. The Company estimates the fair value of non-competition agreements based on a method of analyzing the factors to compete and factors not to compete, which involves estimating historical financial data, forecasted financial statements, growth rates, tax amortization benefit, discount rate, review of factors to compete and factors not to compete as well as an assessment of the probability of successful competition for each non-competition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2024 and 2023, goodwill was $970.6 million and $663.0 million, respectively, included on the Company’s Consolidated Balance Sheets. The Company’s carrying value of goodwill is the excess of the purchase price over the fair value of the net assets acquired from various acquisitions. In accordance with Accounting Standards Codification (“ASC”) Topic 350, </w:t>
      </w:r>
      <w:r>
        <w:rPr>
          <w:rFonts w:ascii="Times New Roman" w:hAnsi="Times New Roman"/>
          <w:i/>
          <w:color w:val="000000"/>
          <w:sz w:val="20"/>
        </w:rPr>
        <w:t>Goodwill and Other Intangible Assets</w:t>
      </w:r>
      <w:r>
        <w:rPr>
          <w:rFonts w:ascii="Times New Roman" w:hAnsi="Times New Roman"/>
          <w:color w:val="000000"/>
          <w:sz w:val="20"/>
        </w:rPr>
        <w:t xml:space="preserve">, goodwill and intangible assets with indefinite useful lives are not amortized. The Company tests goodwill for impairment at the reporting unit level on an annual basis, as of October 1, or whenever potential impairment triggers occur, such as a significant change in business climate or regulatory changes that would indicate that an impairment may have occurred. The Company may elect to use a qualitative test to determine whether impairment has occurred, focused on various factors including macroeconomic conditions, market trends, specific reporting unit financial performance and other entity specific events, to determine if it is more likely than not that the fair value of a reporting unit exceeds its carrying value, including goodwill. The Company may also bypass the qualitative assessment and perform a quantitative test. Additionally, it is the Company’s policy to update the fair value calculation of our reporting units and perform the quantitative goodwill impairment test on a periodic basis. The quantitative goodwill impairment test involves comparing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years ended December 31, 2024, 2023 and 2022, the Company performed the quantitative analysis to evaluate whether an impairment occurred. Since quoted market prices for our reporting units are not available, the Company relies on widely accepted valuation techniques to determine fair value, including discounted cash flow and market multiple approaches, which capture both the future income potential of the reporting unit and the market behaviors and actions of market participants in the industry that includes the reporting unit. These types of models require us to make assumptions and estimates regarding future cash flows, industry-specific economic factors and the profitability of future business strategies. The discounted cash flow model uses a projection of estimated operating results and cash flows that are discounted using a weighted average cost of capital. The market multiple model estimates fair value based on market multiples of earnings before interest, taxes and depreciation and amortization. Under the discounted cash flow model, the projection uses management’s best estimates of economic and market conditions over the projected period for each reporting unit using significant assumptions such as revenue growth rates, operating margins and the weighted-average cost of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totality of the information available, the Company concluded that it was more likely than not that the estimated fair values of our reporting units were greater than their carrying values. Consequently, the Company concluded that there were no impairments for the years ended December 31, 2024, 2023 or 2022. The Company bases its fair value estimates on assumptions management believes to be reasonable but which are unpredictable and inherently uncertain. Actual future results may differ from those estimates.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2024 and 2023, intangibles, net of accumulated amortization, was $109.6 million and $92.0 million, respectively, included on the Company’s Consolidated Balance Sheets. The Company’s identifiable intangible assets consist of customer and referral relationships, trade names, trademarks, state licenses and non-competition agreements. Definite-lived intangible assets are amortized using straight-line and accelerated methods based upon the estimated useful lives of the respective assets, which range from one to twenty-five years, and assessed for impairment whenever events or changes in circumstances indicate that the carrying amount may not be recoverable. Customer and referral relationships are amortized systematically over the periods of expected economic benefit, which range from five to ten years. The Company would recognize an impairment loss when the estimated future non-discounted cash flows associated with the intangible asset are less than the carrying value. An impairment charge would then be recorded for the excess of the carrying value over the fair value. The Company estimates the fair value of these intangible assets using the income approach. In accordance with ASC Topic 350, </w:t>
      </w:r>
      <w:r>
        <w:rPr>
          <w:rFonts w:ascii="Times New Roman" w:hAnsi="Times New Roman"/>
          <w:i/>
          <w:color w:val="000000"/>
          <w:sz w:val="20"/>
        </w:rPr>
        <w:t>Goodwill and Other Intangible Assets</w:t>
      </w:r>
      <w:r>
        <w:rPr>
          <w:rFonts w:ascii="Times New Roman" w:hAnsi="Times New Roman"/>
          <w:color w:val="000000"/>
          <w:sz w:val="20"/>
        </w:rPr>
        <w:t xml:space="preserve">, intangible assets with indefinite useful lives are not amortized.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No impairment charge was recorded for the years ended December 31, 2024, 2023 or 2022. Amortization of intangible assets is reported in the statement of income caption, “Depreciation and amortization” and not included in the income statement caption cost of service revenues.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Debt Issuance Costs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amortizes debt issuance costs on a straight-line method over the term of the related debt. This method approximates the effective interest method. In accordance with ASU 2015-03, </w:t>
      </w:r>
      <w:r>
        <w:rPr>
          <w:rFonts w:ascii="Times New Roman" w:hAnsi="Times New Roman"/>
          <w:i/>
          <w:color w:val="000000"/>
          <w:sz w:val="20"/>
        </w:rPr>
        <w:t>Simplifying the Presentation of Debt Issuance Costs</w:t>
      </w:r>
      <w:r>
        <w:rPr>
          <w:rFonts w:ascii="Times New Roman" w:hAnsi="Times New Roman"/>
          <w:color w:val="000000"/>
          <w:sz w:val="20"/>
        </w:rPr>
        <w:t>, the Company has classified the debt issuance costs as a direct deduction from the carrying amount of the related liability.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Workers’ Compensation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workers’ compensation insurance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The future claims payments related to the workers’ compensation program are secured by letters of credit. These letters of credit totaled $8.0 million at each of December 31, 2024 and 2023. The Company monitors its claims quarterly and adjusts its reserves as necessary in the current period. These costs are recorded primarily as cost of services on the Consolidated Statements of Income. As of December 31, 2024 and 2023, the Company recorded $13.6 million and $12.0 million, respectively, in accrued workers’ compensation insurance on the Company’s Consolidated Balance Sheets. As of December 31, 2024 and 2023, the Company recorded $0.8 million and $0.6 million, respectively, in workers’ compensation insurance receivables. The workers’ compensation insurance receivable is included in prepaid expenses and other current assets on the Company’s Consolidated Balance Sheets.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is reported in the Consolidated Statements of Income when incurred and consists of interest and unused credit line fees on the credit facility.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income taxes under the provisions of ASC Topic 740, </w:t>
      </w:r>
      <w:r>
        <w:rPr>
          <w:rFonts w:ascii="Times New Roman" w:hAnsi="Times New Roman"/>
          <w:i/>
          <w:color w:val="000000"/>
          <w:sz w:val="20"/>
        </w:rPr>
        <w:t>Income Taxes.</w:t>
      </w:r>
      <w:r>
        <w:rPr>
          <w:rFonts w:ascii="Times New Roman" w:hAnsi="Times New Roman"/>
          <w:color w:val="000000"/>
          <w:sz w:val="20"/>
        </w:rPr>
        <w:t xml:space="preserve"> The objective of accounting for income taxes is to recognize the amount of taxes payable or refundable for the current year and deferred tax assets and liabilities for the future tax consequences of events that have been recognized in its financial statements or tax returns. Deferred taxes, resulting from differences between the financial and tax basis of the Company’s assets and liabilities, are also adjusted for changes in tax rates and tax laws when changes are enacted. ASC Topic 740 also requires that deferred tax assets be reduced by a valuation allowance if it is more likely than not that some portion or all of the deferred tax assets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 The Company recognizes interest and penalties accrued related to uncertain tax positions in interest expense and penalties within operating expenses on the Consolidated Statements of Income. Uncertain tax positions are immaterial for all periods presented.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currently has one stock incentive plan, the Amended and Restated 2017 Omnibus Incentive Plan (the “A&amp;R 2017 Plan”), under which new grants of stock-based employee compensation are made. The Company accounts for stock-based compensation in accordance with ASC Topic 718, </w:t>
      </w:r>
      <w:r>
        <w:rPr>
          <w:rFonts w:ascii="Times New Roman" w:hAnsi="Times New Roman"/>
          <w:i/>
          <w:color w:val="000000"/>
          <w:sz w:val="20"/>
        </w:rPr>
        <w:t>Stock Compensation</w:t>
      </w:r>
      <w:r>
        <w:rPr>
          <w:rFonts w:ascii="Times New Roman" w:hAnsi="Times New Roman"/>
          <w:color w:val="000000"/>
          <w:sz w:val="20"/>
        </w:rPr>
        <w:t xml:space="preserve">. Compensation expense is recognized on a straight-line basis under the A&amp;R 2017 Plan over the vesting period of the equity awards based on the grant date fair value of the options and restricted stock awards. The Company utilizes the Black-Scholes Option Pricing Model to value the Company’s options. Forfeitures are recognized when they occur. Stock-based compensation expense was $11.2 million, $10.3 million and $10.6 million for the years ended December 31, 2024, 2023 and 2022, respectively, included within general and administrative expenses on the Consolidated Statements of Income.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Diluted Net Income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Included in the Company’s calculation of diluted earnings per share for the year ended December 31, 2024 were approximately 406,000 stock options outstanding, of which approximately 259,000 were dilutive. In addition, there were approximately 244,000 restricted stock awards outstanding, of which approximately 115,000 were dilutive for the year ended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Included in the Company’s calculation of diluted earnings per share for the year ended December 31, 2023 were approximately 455,000 stock options outstanding, of which approximately 234,000 were dilutive. In addition, there were approximately 201,000 restricted stock awards outstanding, of which approximately 82,000 were dilutive for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Included in the Company’s calculation of diluted earnings per share for the year ended December 31, 2022 were approximately 468,000 stock options outstanding, of which approximately 248,000 were dilutive. In addition, there were approximately 210,000 restricted stock awards outstanding, of which approximately 72,000 were dilutive for the year ended December 31,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statements are prepared by management in conformity with U.S. Generally Accepted Accounting Principles (“GAAP”) and include estimated amounts and certain disclosures based on assumptions about future events. The Company’s critical accounting estimates include the following areas: revenue recognition, goodwill and intangibles and business combinations and when required, the quantitative assessment of goodwill. Actual results could differ from those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Company’s financial instruments consist of cash, accounts receivable, payables and debt. The carrying amounts reported on the Company’s Consolidated Balance Sheets for cash, accounts receivable, accounts payable and accrued expenses approximate fair value because of the short-term nature of these instruments. The carrying value of the Company’s long-term debt with variable interest rates approximates fair value based on instruments with similar terms using level 2 inputs as defined under ASC Topic 820, </w:t>
      </w:r>
      <w:r>
        <w:rPr>
          <w:rFonts w:ascii="Times New Roman" w:hAnsi="Times New Roman"/>
          <w:i/>
          <w:color w:val="000000"/>
          <w:sz w:val="20"/>
        </w:rPr>
        <w:t>Fair Value Measurement</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applies fair value techniques on a non-recurring basis associated with valuing potential impairment losses related to goodwill, if required, and indefinite-lived intangible assets and also when determining the fair value of contingent consideration, if applicable. To determine the fair value in these situations, the Company uses Level 3 inputs, under ASC Topic 820 and defined as unobservable inputs in which little or no market data exists; therefore requiring an entity to develop its own assumptions, such as discounted cash flows, or if available, what a market participant would pay on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various valuation techniques to determine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preparation of the financial statements for the years ended December 31, 2024 and 2023, the Company conducted an evaluation as to whether there were conditions and events, considered in the aggregate, which raised substantial doubt as to the entity’s ability to continue as a going concern within one year after the date of the issuance, of the financial statements. Based on the evaluation, we believe that cash flows from operations will be sufficient to meet our ongoing liquidity requirements for at least twelve months from the date of issuance.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the FASB issued ASU 2023-07, Improvements to Reportable Segment Disclosures, which expands reportable segment disclosure requirements, primarily through enhanced disclosures about significant segment expenses. The amendments in the ASU require, among other things, disclosure of significant segment expenses that are regularly provided to an entity’s chief operating decision maker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The ASU was adopted in this annual report by including significant segment expenses reviewed by the Company’s CODM, but did not have a material impact on the Company’s results of operations, financial position or cash flows. Refer to Note 14, Segment Information, for the updated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2021, the FASB issued ASU No. 2021-08, Accounting for Contract Assets and Contract Liabilities from Contracts with Customers (Topic 805). This ASU requires an acquirer in a business combination to recognize and measure contract assets and contract liabilities (deferred revenue) from acquired contracts using the revenue recognition guidance in Topic 606. At the acquisition date, the acquirer applies the revenue model as if it had originated the acquired contracts. The ASU was adopted prospectively on January 1, 2023. The additional disclosures required did not have a material impact on our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2020, the FASB issued ASU 2020-04, Reference Rate Reform (Topic 848): Facilitation of the Effects of Reference Rate Reform on Financial Reporting. ASU 2020-04 provides optional expedients and exceptions for applying GAAP to contract modifications and hedging relationships, and other transactions subject to meeting certain criteria, that reference the London Inter-Bank Offered Rate (“LIBOR”) or another reference rate expected to be discontinued. The ASU provides companies with optional guidance to ease the potential accounting burden associated with transitioning away from reference rates that are expected to be discontinued. Therefore, it was in effect for a limited time through December 31, 2022. The ASU was adopted as of January 1, 2023 and did not have a material impact on the Company’s results of operations or liquidity. As discussed further in Note 9 and pursuant to the Third Amendment to Amended and Restated Credit Agreement dated as of April 26, 2023, the Company amended its credit facility to replace LIBOR with the secured overnight financing rate as administered by the Federal Reserve Bank of New York (“SOFR”) as the benchmark reference rate for loans under its credit facility. The transition to SOFR did not and is not expected to have a material impact on the Company’s results of operations or liquidity.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FASB issued ASU 2023-09, Improvement to Income Tax Disclosures, which requires disclosure of disaggregated income taxes paid, prescribes standard categories for the components of the effective tax rate reconciliation, and modifies other income tax-related disclosures. ASU 2023-09 is effective for fiscal years beginning after December 15, 2024, may be applied prospectively or retrospectively, and allows for early adoption. These requirements are not expected to have a material impact on the Company’s financial statements and will expand income tax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The new guidance is intended to provide investors more detailed disclosures around specific types of expenses. The new disclosures require certain details for expenses presented on the face of the Consolidated Statements of Operations as well as selling expenses to be presented in the notes to the financial statements. ASU 2024-03 is effective for fiscal years beginning after December 15, 2026, and interim periods within fiscal years beginning after December 15, 2027, with early adoption permitted. The disclosure updates are required to be applied prospectively with the option for retrospective application. The Company is currently assessing the impact and timing of adopting the updated provisions.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reported on the Company’s Consolidated Balance Sheets for operating leases were as follows:</w:t>
      </w:r>
    </w:p>
    <w:p>
      <w:pPr>
        <w:pStyle w:val="TextBody"/>
        <w:bidi w:val="0"/>
        <w:jc w:val="left"/>
        <w:rPr/>
      </w:pPr>
      <w:r>
        <w:rPr/>
        <w:t> </w:t>
      </w:r>
    </w:p>
    <w:tbl>
      <w:tblPr>
        <w:tblW w:w="5479" w:type="dxa"/>
        <w:jc w:val="left"/>
        <w:tblInd w:w="0" w:type="dxa"/>
        <w:tblLayout w:type="fixed"/>
        <w:tblCellMar>
          <w:top w:w="28" w:type="dxa"/>
          <w:left w:w="28" w:type="dxa"/>
          <w:bottom w:w="28" w:type="dxa"/>
          <w:right w:w="28" w:type="dxa"/>
        </w:tblCellMar>
      </w:tblPr>
      <w:tblGrid>
        <w:gridCol w:w="3076"/>
        <w:gridCol w:w="146"/>
        <w:gridCol w:w="211"/>
        <w:gridCol w:w="676"/>
        <w:gridCol w:w="146"/>
        <w:gridCol w:w="146"/>
        <w:gridCol w:w="211"/>
        <w:gridCol w:w="676"/>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Lease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Components of lease costs were reported in general and administrative expenses in the Company’s Consolidated Statements of Income as follows:</w:t>
      </w:r>
    </w:p>
    <w:p>
      <w:pPr>
        <w:pStyle w:val="TextBody"/>
        <w:bidi w:val="0"/>
        <w:jc w:val="left"/>
        <w:rPr/>
      </w:pPr>
      <w:r>
        <w:rPr/>
        <w:t> </w:t>
      </w:r>
    </w:p>
    <w:tbl>
      <w:tblPr>
        <w:tblW w:w="5743" w:type="dxa"/>
        <w:jc w:val="left"/>
        <w:tblInd w:w="0" w:type="dxa"/>
        <w:tblLayout w:type="fixed"/>
        <w:tblCellMar>
          <w:top w:w="28" w:type="dxa"/>
          <w:left w:w="28" w:type="dxa"/>
          <w:bottom w:w="28" w:type="dxa"/>
          <w:right w:w="28" w:type="dxa"/>
        </w:tblCellMar>
      </w:tblPr>
      <w:tblGrid>
        <w:gridCol w:w="2021"/>
        <w:gridCol w:w="146"/>
        <w:gridCol w:w="211"/>
        <w:gridCol w:w="676"/>
        <w:gridCol w:w="166"/>
        <w:gridCol w:w="146"/>
        <w:gridCol w:w="211"/>
        <w:gridCol w:w="676"/>
        <w:gridCol w:w="166"/>
        <w:gridCol w:w="146"/>
        <w:gridCol w:w="211"/>
        <w:gridCol w:w="676"/>
        <w:gridCol w:w="291"/>
      </w:tblGrid>
      <w:tr>
        <w:trPr/>
        <w:tc>
          <w:tcPr>
            <w:tcW w:w="2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Lease Term and Discount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Weighted average remaining lease terms and discount rates were as follows:</w:t>
      </w:r>
    </w:p>
    <w:p>
      <w:pPr>
        <w:pStyle w:val="TextBody"/>
        <w:bidi w:val="0"/>
        <w:jc w:val="left"/>
        <w:rPr/>
      </w:pPr>
      <w:r>
        <w:rPr/>
        <w:t> </w:t>
      </w:r>
    </w:p>
    <w:tbl>
      <w:tblPr>
        <w:tblW w:w="6448" w:type="dxa"/>
        <w:jc w:val="left"/>
        <w:tblInd w:w="0" w:type="dxa"/>
        <w:tblLayout w:type="fixed"/>
        <w:tblCellMar>
          <w:top w:w="28" w:type="dxa"/>
          <w:left w:w="28" w:type="dxa"/>
          <w:bottom w:w="28" w:type="dxa"/>
          <w:right w:w="28" w:type="dxa"/>
        </w:tblCellMar>
      </w:tblPr>
      <w:tblGrid>
        <w:gridCol w:w="3316"/>
        <w:gridCol w:w="146"/>
        <w:gridCol w:w="146"/>
        <w:gridCol w:w="466"/>
        <w:gridCol w:w="271"/>
        <w:gridCol w:w="146"/>
        <w:gridCol w:w="146"/>
        <w:gridCol w:w="466"/>
        <w:gridCol w:w="271"/>
        <w:gridCol w:w="146"/>
        <w:gridCol w:w="146"/>
        <w:gridCol w:w="466"/>
        <w:gridCol w:w="31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Maturity of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Remaining operating lease payments as of December 31, 2024 were as follows:</w:t>
      </w:r>
    </w:p>
    <w:p>
      <w:pPr>
        <w:pStyle w:val="TextBody"/>
        <w:bidi w:val="0"/>
        <w:jc w:val="left"/>
        <w:rPr/>
      </w:pPr>
      <w:r>
        <w:rPr/>
        <w:t> </w:t>
      </w:r>
    </w:p>
    <w:tbl>
      <w:tblPr>
        <w:tblW w:w="6063" w:type="dxa"/>
        <w:jc w:val="left"/>
        <w:tblInd w:w="0" w:type="dxa"/>
        <w:tblLayout w:type="fixed"/>
        <w:tblCellMar>
          <w:top w:w="28" w:type="dxa"/>
          <w:left w:w="28" w:type="dxa"/>
          <w:bottom w:w="28" w:type="dxa"/>
          <w:right w:w="28" w:type="dxa"/>
        </w:tblCellMar>
      </w:tblPr>
      <w:tblGrid>
        <w:gridCol w:w="3766"/>
        <w:gridCol w:w="146"/>
        <w:gridCol w:w="414"/>
        <w:gridCol w:w="1446"/>
        <w:gridCol w:w="2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12-month period ended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rental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64,958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Supplemental Cash Flow Information</w:t>
      </w:r>
    </w:p>
    <w:p>
      <w:pPr>
        <w:pStyle w:val="TextBody"/>
        <w:bidi w:val="0"/>
        <w:jc w:val="left"/>
        <w:rPr/>
      </w:pPr>
      <w:r>
        <w:rPr/>
        <w:t> </w:t>
      </w:r>
    </w:p>
    <w:tbl>
      <w:tblPr>
        <w:tblW w:w="9648" w:type="dxa"/>
        <w:jc w:val="left"/>
        <w:tblInd w:w="0" w:type="dxa"/>
        <w:tblLayout w:type="fixed"/>
        <w:tblCellMar>
          <w:top w:w="28" w:type="dxa"/>
          <w:left w:w="28" w:type="dxa"/>
          <w:bottom w:w="28" w:type="dxa"/>
          <w:right w:w="28" w:type="dxa"/>
        </w:tblCellMar>
      </w:tblPr>
      <w:tblGrid>
        <w:gridCol w:w="5866"/>
        <w:gridCol w:w="146"/>
        <w:gridCol w:w="211"/>
        <w:gridCol w:w="676"/>
        <w:gridCol w:w="146"/>
        <w:gridCol w:w="146"/>
        <w:gridCol w:w="211"/>
        <w:gridCol w:w="676"/>
        <w:gridCol w:w="146"/>
        <w:gridCol w:w="146"/>
        <w:gridCol w:w="211"/>
        <w:gridCol w:w="676"/>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sublet a portion of its corporate headquarters space in Frisco, Texas in November 2022 to a third party under a two-year sublease term for a monthly base rent of $0.1 million. The sublease expired in January 2025. As the result, the Company recorded $5.0 million in impairment charges on operating lease assets, included within general administrative expenses. Of the $5.0 million in impairment charges on operating lease assets recorded, $2.2 million in exit charges was included.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Public Offering</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28, 2024, the Company completed a public offering of an aggregate 1,725,000 shares of common stock, par value $0.001 per share, including 225,000 shares of common stock sold pursuant to the exercise in full by the underwriters of their option to purchase additional shares, at a public offering price of $108.00 per share (the “Public Offering”). The Company received net proceeds of approximately $175.6 million, after deducting underwriting discounts and estimated offering expenses of approximately $10.7 million. The Company used approximately $81.4 million from the net proceeds of the Public Offering for the repayment of indebtedness outstanding under its credit facility and may use any remaining net proceeds of the Public Offering for general corporate purposes, including the Gentiva Acquisition and any future acquisitions or investments. The Public Offering resulted in an increase to additional paid in capital of approximately $175.6 million on the Company’s Consolidated Balance Sheets at December 31, 2024.</w:t>
      </w:r>
    </w:p>
    <w:p>
      <w:pPr>
        <w:pStyle w:val="TextBody"/>
        <w:bidi w:val="0"/>
        <w:spacing w:before="360" w:after="283"/>
        <w:jc w:val="left"/>
        <w:rPr>
          <w:rFonts w:ascii="Times New Roman" w:hAnsi="Times New Roman"/>
          <w:sz w:val="20"/>
        </w:rPr>
      </w:pPr>
      <w:bookmarkStart w:id="42" w:name="n5_acquisitions"/>
      <w:bookmarkEnd w:id="42"/>
      <w:r>
        <w:rPr>
          <w:rFonts w:ascii="Times New Roman" w:hAnsi="Times New Roman"/>
          <w:b/>
          <w:color w:val="000000"/>
          <w:sz w:val="20"/>
        </w:rPr>
        <w:t>4. Acquisition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Company’s acquisitions have been accounted for in accordance with ASC Topic 805, </w:t>
      </w:r>
      <w:r>
        <w:rPr>
          <w:rFonts w:ascii="Times New Roman" w:hAnsi="Times New Roman"/>
          <w:i/>
          <w:color w:val="000000"/>
          <w:sz w:val="20"/>
        </w:rPr>
        <w:t>Business Combinations</w:t>
      </w:r>
      <w:r>
        <w:rPr>
          <w:rFonts w:ascii="Times New Roman" w:hAnsi="Times New Roman"/>
          <w:color w:val="000000"/>
          <w:sz w:val="20"/>
        </w:rPr>
        <w:t xml:space="preserve">, and the resulting goodwill and other intangible assets were accounted for under ASC Topic 350, </w:t>
      </w:r>
      <w:r>
        <w:rPr>
          <w:rFonts w:ascii="Times New Roman" w:hAnsi="Times New Roman"/>
          <w:i/>
          <w:color w:val="000000"/>
          <w:sz w:val="20"/>
        </w:rPr>
        <w:t>Goodwill and Other Intangible Assets</w:t>
      </w:r>
      <w:r>
        <w:rPr>
          <w:rFonts w:ascii="Times New Roman" w:hAnsi="Times New Roman"/>
          <w:color w:val="000000"/>
          <w:sz w:val="20"/>
        </w:rPr>
        <w:t>. Under business combination accounting, the assets and liabilities are generally recognized at their fair values and the difference between the consideration transferred, excluding transaction costs, and the fair values of the assets and liabilities is recognized as goodwill. The results of each business acquisition are included on the Consolidated Statements of Income from the date of the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Management’s assessment of qualitative factors affecting goodwill for each acquisition includes estimates of market share at the date of purchase, ability to grow in the market, synergy with existing Company operations and the payor profile in the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2E2E2E"/>
          <w:sz w:val="20"/>
        </w:rPr>
      </w:pPr>
      <w:r>
        <w:rPr>
          <w:rFonts w:ascii="Times New Roman" w:hAnsi="Times New Roman"/>
          <w:b/>
          <w:i/>
          <w:color w:val="2E2E2E"/>
          <w:sz w:val="20"/>
        </w:rPr>
        <w:t>Gentiva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 2024, the Company completed the Gentiva Acquisition. The purchase price was approximately $353.6 million, and is subject to the completion of working capital and related adjustments. The purchase was funded with the combination of a $233.0 million draw on the Company’s revolving credit facility and a portion of the net proceeds of the Public Offering. With the Gentiva Acquisition, the Company expanded its services within its personal care services segment in Arizona, Arkansas, California and North Carolina, and entered the market in Missouri and Texas. The home health segment also was expanded in Tennessee. The related acquisition and integration costs were $10.8 million and $1.0 million, respectively, for the year ended December 31, 2024. These costs are included in general and administrative expenses on the Consolidated Statements of Income and were expensed as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management’s valuations, which are preliminary and subject to completion of working capital adjustments, the fair values of the assets and liabilities acquired are as follows:</w:t>
      </w:r>
    </w:p>
    <w:p>
      <w:pPr>
        <w:pStyle w:val="TextBody"/>
        <w:bidi w:val="0"/>
        <w:jc w:val="left"/>
        <w:rPr/>
      </w:pPr>
      <w:r>
        <w:rPr/>
        <w:t> </w:t>
      </w:r>
    </w:p>
    <w:tbl>
      <w:tblPr>
        <w:tblW w:w="4888" w:type="dxa"/>
        <w:jc w:val="left"/>
        <w:tblInd w:w="0" w:type="dxa"/>
        <w:tblLayout w:type="fixed"/>
        <w:tblCellMar>
          <w:top w:w="28" w:type="dxa"/>
          <w:left w:w="28" w:type="dxa"/>
          <w:bottom w:w="28" w:type="dxa"/>
          <w:right w:w="28" w:type="dxa"/>
        </w:tblCellMar>
      </w:tblPr>
      <w:tblGrid>
        <w:gridCol w:w="2671"/>
        <w:gridCol w:w="146"/>
        <w:gridCol w:w="395"/>
        <w:gridCol w:w="1465"/>
        <w:gridCol w:w="2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Identifiable intangible assets acquired included $4.9 million in a trade name, $23.0 million of definite-lived state licenses and $0.7 million of indefinite-lived state licenses.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Gentiva Acquisition accounted for $22.6 million of net service revenues and $3.1 million of operating income for the year ended December 31, 2024.</w:t>
      </w:r>
    </w:p>
    <w:p>
      <w:pPr>
        <w:pStyle w:val="TextBody"/>
        <w:bidi w:val="0"/>
        <w:spacing w:before="360" w:after="283"/>
        <w:jc w:val="left"/>
        <w:rPr>
          <w:rFonts w:ascii="Times New Roman" w:hAnsi="Times New Roman"/>
          <w:sz w:val="20"/>
        </w:rPr>
      </w:pPr>
      <w:r>
        <w:rPr>
          <w:rFonts w:ascii="Times New Roman" w:hAnsi="Times New Roman"/>
          <w:b/>
          <w:i/>
          <w:color w:val="2E2E2E"/>
          <w:sz w:val="20"/>
        </w:rPr>
        <w:t>Tennessee Quality Care</w:t>
      </w:r>
      <w:r>
        <w:rPr>
          <w:rFonts w:ascii="Times New Roman" w:hAnsi="Times New Roman"/>
          <w:color w:val="2E2E2E"/>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 2023, the Company completed the acquisition of Tennessee Quality Care. The purchase price was approximately $111.2 million, including the amount of acquired excess cash held by Tennessee Quality Care at the closing of the acquisition (approximately $2.4 million), and is subject to the completion of working capital and related adjustments. The Tennessee Quality Care acquisition was funded with a combination of a $110.0 million draw on the Company’s revolving credit facility and available cash. With the purchase of Tennessee Quality Care, the Company expanded its services within its hospice and home health segments to Tennessee. The related acquisition and integration costs were $2.1 million and $1.0 million, respectively, for the year ended December 31, 2023. These costs are included in general and administrative expenses on the Consolidated Statements of Income and were expensed as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management’s valuations, the fair values of the assets and liabilities acquired are as follows:</w:t>
      </w:r>
    </w:p>
    <w:p>
      <w:pPr>
        <w:pStyle w:val="TextBody"/>
        <w:bidi w:val="0"/>
        <w:jc w:val="left"/>
        <w:rPr/>
      </w:pPr>
      <w:r>
        <w:rPr/>
        <w:t> </w:t>
      </w:r>
    </w:p>
    <w:tbl>
      <w:tblPr>
        <w:tblW w:w="5293" w:type="dxa"/>
        <w:jc w:val="left"/>
        <w:tblInd w:w="0" w:type="dxa"/>
        <w:tblLayout w:type="fixed"/>
        <w:tblCellMar>
          <w:top w:w="28" w:type="dxa"/>
          <w:left w:w="28" w:type="dxa"/>
          <w:bottom w:w="28" w:type="dxa"/>
          <w:right w:w="28" w:type="dxa"/>
        </w:tblCellMar>
      </w:tblPr>
      <w:tblGrid>
        <w:gridCol w:w="3076"/>
        <w:gridCol w:w="146"/>
        <w:gridCol w:w="395"/>
        <w:gridCol w:w="1465"/>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Identifiable intangible assets acquired included $7.5 million in a trade name and $19.2 million of indefinite-lived state licenses.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Tennessee Quality Care acquisition accounted for $16.3 million of net service revenues and $3.0 million of operating income for the year ended December 31, 2023.</w:t>
      </w:r>
    </w:p>
    <w:p>
      <w:pPr>
        <w:pStyle w:val="TextBody"/>
        <w:bidi w:val="0"/>
        <w:spacing w:before="360" w:after="283"/>
        <w:jc w:val="left"/>
        <w:rPr>
          <w:rFonts w:ascii="Times New Roman" w:hAnsi="Times New Roman"/>
          <w:sz w:val="20"/>
        </w:rPr>
      </w:pPr>
      <w:r>
        <w:rPr>
          <w:rFonts w:ascii="Times New Roman" w:hAnsi="Times New Roman"/>
          <w:b/>
          <w:i/>
          <w:color w:val="2E2E2E"/>
          <w:sz w:val="20"/>
        </w:rPr>
        <w:t>JourneyCare</w:t>
      </w:r>
      <w:r>
        <w:rPr>
          <w:rFonts w:ascii="Times New Roman" w:hAnsi="Times New Roman"/>
          <w:color w:val="2E2E2E"/>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1, 2022, the Company completed the acquisition of the hospice and palliative operations of JourneyCare. The purchase price was approximately $86.6 million, including the amount of acquired excess cash held by JourneyCare at the closing of the acquisition (approximately $0.4 million) plus the finalization of net working capital payable to seller of $1.6 million. The JourneyCare acquisition was funded with a combination of a $35.0 million draw on the Company’s revolving credit facility and available cash. With the JourneyCare acquisition, the Company expanded its hospice services to patients in the state of Illinois. The related acquisition and integration costs were $0.5 million and $4.3 million, respectively, for the year ended December 31, 2022. These costs are included in general and administrative expenses on the Consolidated Statements of Income and were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management’s valuations, the fair values of the assets and liabilities acquired are as follows:</w:t>
      </w:r>
    </w:p>
    <w:p>
      <w:pPr>
        <w:pStyle w:val="TextBody"/>
        <w:bidi w:val="0"/>
        <w:jc w:val="left"/>
        <w:rPr/>
      </w:pPr>
      <w:r>
        <w:rPr/>
        <w:t> </w:t>
      </w:r>
    </w:p>
    <w:tbl>
      <w:tblPr>
        <w:tblW w:w="5293" w:type="dxa"/>
        <w:jc w:val="left"/>
        <w:tblInd w:w="0" w:type="dxa"/>
        <w:tblLayout w:type="fixed"/>
        <w:tblCellMar>
          <w:top w:w="28" w:type="dxa"/>
          <w:left w:w="28" w:type="dxa"/>
          <w:bottom w:w="28" w:type="dxa"/>
          <w:right w:w="28" w:type="dxa"/>
        </w:tblCellMar>
      </w:tblPr>
      <w:tblGrid>
        <w:gridCol w:w="3076"/>
        <w:gridCol w:w="146"/>
        <w:gridCol w:w="442"/>
        <w:gridCol w:w="1418"/>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Identifiable intangible assets acquired included $9.0 million in a trade name and $4.8 million of indefinite-lived state licenses.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JourneyCare accounted for $47.2 million of net service revenues and $9.1 million of operating income for the year ended December 31,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2024, we completed our acquisition of the operations of Upstate for $0.4 million, with funding provided by available cash. With the purchase of Upstate, the Company expanded its personal care services segment in South Carolina.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2023, we completed the acquisition of CareStaff for approximately $1.0 million, with funding provided by available cash. With the purchase of CareStaff, the Company expanded its personal care services segment in Florida and recorded goodwill of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 2022, we completed the acquisition of Apple Home for approximately $12.7 million, with funding provided by drawing on the Company’s revolving credit facility. The additional contingent consideration of up to approximately $2.0 million was settled without further payment. With the purchase of Apple Home, the Company expanded clinical services for its home health segment in Illinois and recorded goodwill of $8.9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2024, the following table contains unaudited pro forma Consolidated Income Statement information of the Company as if the Gentiva Acquisition closed on January 1, 2023. For the year ended December 31, 2023, the following table contains unaudited pro forma Consolidated Income Statement information of the Company as if the acquisition of Tennessee Quality Care closed on January 1, 2022. For the year ended December 31, 2022, the following table contains unaudited pro forma Consolidated Income Statement information of the Company as if the acquisition of JourneyCare closed on January 1, 2021. </w:t>
      </w:r>
    </w:p>
    <w:p>
      <w:pPr>
        <w:pStyle w:val="TextBody"/>
        <w:bidi w:val="0"/>
        <w:jc w:val="left"/>
        <w:rPr/>
      </w:pPr>
      <w:r>
        <w:rPr/>
        <w:t> </w:t>
      </w:r>
    </w:p>
    <w:tbl>
      <w:tblPr>
        <w:tblW w:w="8238" w:type="dxa"/>
        <w:jc w:val="left"/>
        <w:tblInd w:w="0" w:type="dxa"/>
        <w:tblLayout w:type="fixed"/>
        <w:tblCellMar>
          <w:top w:w="28" w:type="dxa"/>
          <w:left w:w="28" w:type="dxa"/>
          <w:bottom w:w="28" w:type="dxa"/>
          <w:right w:w="28" w:type="dxa"/>
        </w:tblCellMar>
      </w:tblPr>
      <w:tblGrid>
        <w:gridCol w:w="3841"/>
        <w:gridCol w:w="146"/>
        <w:gridCol w:w="211"/>
        <w:gridCol w:w="931"/>
        <w:gridCol w:w="146"/>
        <w:gridCol w:w="146"/>
        <w:gridCol w:w="211"/>
        <w:gridCol w:w="931"/>
        <w:gridCol w:w="146"/>
        <w:gridCol w:w="146"/>
        <w:gridCol w:w="211"/>
        <w:gridCol w:w="781"/>
        <w:gridCol w:w="3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br/>
              <w:t>(Amounts in Thousands, Unaudited)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pro forma disclosures in the table above include adjustments for amortization of intangible assets, tax expense and acquisition costs to reflect results that are more representative of the combined results of the transactions.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Divestiture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May 20, 2024, the Company entered into a definitive asset purchase agreement to sell all of the Company’s New York operations for a purchase price of up to $23.0 million in cash, subject to certain adjustments, including adjustments for future operating requirements (the “New York Asset Sale”). The purchase price of up to $23.0 million includes 50% cash consideration, paid out as an initial payment of $4.6 million, $6.9 million paid pro rata as a deferred payment as caregivers are transferred and 50% in the form of contingent consideration for the Company’s CDPAP business. The Company entered into a consulting agreement with the purchaser effective May 20, 2024, as the transfer of clients and caregivers and payment for assets pursuant to the New York Asset Sale is occurring over time as regulatory approvals are received, coordination of the transfer of clients and caregivers occurs, and the change of control takes place. The Company determined that the consulting agreement gave it the ability to control the business.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October 2024, the Company determined that it no longer controlled the business as it transferred more than 50% of the clients and caregivers and therefore qualified for sale consideration of the New York Asset Sale. As a result, the Company deconsolidated the results of its New York operations and recorded a gain on divestiture of $3.7 million during the year ended December 31, 2024. The gain is reflected within general and administrative expenses on the consolidated statement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this transaction, the Company will cease operations in New York. During the year ended December 31, 2024, the Company recorded $1.7 million in consulting fees and received a $4.6 million initial payment on the acquisition and deferred payments of $0.8 million, totaling $5.4 million related to the pro rata portion of caregivers transferred to purchaser. The remaining $6.1 million due from the seller as of December 31, 2024 is reflected within prepaid expenses and other current assets on the consolidated balance sheets. No amount was recorded related to the CDPAP business contingent consideration.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New York Asset Sale did not qualify as a discontinued operation because it did not represent a strategic shift that has or will have a major effect on the Company’s operation or financial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and intangible assets of $2.9 million and $4.2 million, respectively were derecognized in connection with the divestiture. The carrying amounts of the assets and liabilities associated with our New York personal care operations included in our Consolidated Balance Sheets as of December 31, 2024 were as follows (amounts in thousands):</w:t>
      </w:r>
    </w:p>
    <w:p>
      <w:pPr>
        <w:pStyle w:val="TextBody"/>
        <w:bidi w:val="0"/>
        <w:spacing w:before="120" w:after="283"/>
        <w:jc w:val="left"/>
        <w:rPr/>
      </w:pPr>
      <w:r>
        <w:rPr/>
        <w:t> </w:t>
      </w:r>
    </w:p>
    <w:tbl>
      <w:tblPr>
        <w:tblW w:w="8233" w:type="dxa"/>
        <w:jc w:val="left"/>
        <w:tblInd w:w="0" w:type="dxa"/>
        <w:tblLayout w:type="fixed"/>
        <w:tblCellMar>
          <w:top w:w="28" w:type="dxa"/>
          <w:left w:w="28" w:type="dxa"/>
          <w:bottom w:w="28" w:type="dxa"/>
          <w:right w:w="28" w:type="dxa"/>
        </w:tblCellMar>
      </w:tblPr>
      <w:tblGrid>
        <w:gridCol w:w="6196"/>
        <w:gridCol w:w="146"/>
        <w:gridCol w:w="357"/>
        <w:gridCol w:w="1143"/>
        <w:gridCol w:w="3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 of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Intangibles, net of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consisted of the following:</w:t>
      </w:r>
    </w:p>
    <w:p>
      <w:pPr>
        <w:pStyle w:val="TextBody"/>
        <w:bidi w:val="0"/>
        <w:jc w:val="left"/>
        <w:rPr/>
      </w:pPr>
      <w:r>
        <w:rPr/>
        <w:t> </w:t>
      </w:r>
    </w:p>
    <w:tbl>
      <w:tblPr>
        <w:tblW w:w="6674"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211"/>
        <w:gridCol w:w="73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Computer software includes $1.3 million and $1.6 million of internally developed software for the years ended December 31, 2024 and 2023, respectively. Depreciation and amortization expense totaled $6.6 million, $6.9 million and $6.8 million for the years ended December 31, 2024, 2023 and 2022, respectively.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Goodwill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goodwill by segment and related adjustments is provided below:</w:t>
      </w:r>
    </w:p>
    <w:p>
      <w:pPr>
        <w:pStyle w:val="TextBody"/>
        <w:bidi w:val="0"/>
        <w:jc w:val="left"/>
        <w:rPr/>
      </w:pPr>
      <w:r>
        <w:rPr/>
        <w:t> </w:t>
      </w:r>
    </w:p>
    <w:tbl>
      <w:tblPr>
        <w:tblW w:w="9253" w:type="dxa"/>
        <w:jc w:val="left"/>
        <w:tblInd w:w="0" w:type="dxa"/>
        <w:tblLayout w:type="fixed"/>
        <w:tblCellMar>
          <w:top w:w="28" w:type="dxa"/>
          <w:left w:w="28" w:type="dxa"/>
          <w:bottom w:w="28" w:type="dxa"/>
          <w:right w:w="28" w:type="dxa"/>
        </w:tblCellMar>
      </w:tblPr>
      <w:tblGrid>
        <w:gridCol w:w="3796"/>
        <w:gridCol w:w="146"/>
        <w:gridCol w:w="211"/>
        <w:gridCol w:w="781"/>
        <w:gridCol w:w="146"/>
        <w:gridCol w:w="146"/>
        <w:gridCol w:w="242"/>
        <w:gridCol w:w="898"/>
        <w:gridCol w:w="166"/>
        <w:gridCol w:w="146"/>
        <w:gridCol w:w="257"/>
        <w:gridCol w:w="823"/>
        <w:gridCol w:w="146"/>
        <w:gridCol w:w="146"/>
        <w:gridCol w:w="211"/>
        <w:gridCol w:w="781"/>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previously recorded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for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previously recorded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2024, the Company recognized goodwill in the personal care services segment of $292.2 million related to the acquisition of Upstate and the Gentiva Acquisition and recognized goodwill in the home health segment of $18.1 million related to the Gentiva Acquisition. In connection with the acquisition of Tennessee Quality Care in 2023, the Company recognized goodwill in its hospice and home health segments of $35.0 million and $44.3 million, respectively. The Company also recognized goodwill of $0.6 million related to the CareStaff acquisition in the personal care services segment in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Goodwill adjustments to previously recorded goodwill are generally related to accounts receivable and accrued expenses based on the final valuations. See Note 4 to the Notes to Consolidated Financial Statements for additional information regarding the acquisitions made by the Company in 2023 and 2024, and Note 5 for additional information regarding the divestiture for New York Asset Sale.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twenty-five years. Customer and referral relationships are amortized systematically over the periods of expected economic benefit, which range from five to ten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and certain state licenses are not amortized pursuant to ASC Topic 350.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The Company estimates the fair value of the reporting unit using both a discounted cash flow model as well as a market multiple model. The cash flow forecasts are adjusted by an appropriate discount rate based on the Company’s estimate of a market participant’s weighted-average cost of capital. These models are both based on the Company’s best estimate of future revenues and operating costs and are reconciled to the Company’s consolidated market capitalization, with consideration of the amount a potential acquirer would be required to pay, in the form of a control premium. The determination of fair value in the Company’s goodwill impairment analysis is based on an estimate of fair value for each reporting unit utilizing known and estimated inputs at the evaluation date. Some of those inputs include, but are not limited to, the most recent price of the Company’s common stock and fair value of long term debt, estimates of future revenue and expense growth, estimated market multiples, expected capital expenditures, income tax rates and cost of invested capital. Significant assumptions used in the analysis included a 9.0% discount rate and a 3.5% long-term revenue growth rate. The Company did not record any impairment charges for the years ended December 31, 2024, 2023 or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 and accumulated amortization of each identifiable intangible asset category consisted of the following at December 31, 2024 and 2023:</w:t>
      </w:r>
    </w:p>
    <w:p>
      <w:pPr>
        <w:pStyle w:val="TextBody"/>
        <w:bidi w:val="0"/>
        <w:jc w:val="left"/>
        <w:rPr/>
      </w:pPr>
      <w:r>
        <w:rPr/>
        <w:t> </w:t>
      </w:r>
    </w:p>
    <w:tbl>
      <w:tblPr>
        <w:tblW w:w="10365" w:type="dxa"/>
        <w:jc w:val="left"/>
        <w:tblInd w:w="0" w:type="dxa"/>
        <w:tblLayout w:type="fixed"/>
        <w:tblCellMar>
          <w:top w:w="28" w:type="dxa"/>
          <w:left w:w="28" w:type="dxa"/>
          <w:bottom w:w="28" w:type="dxa"/>
          <w:right w:w="28" w:type="dxa"/>
        </w:tblCellMar>
      </w:tblPr>
      <w:tblGrid>
        <w:gridCol w:w="1516"/>
        <w:gridCol w:w="146"/>
        <w:gridCol w:w="901"/>
        <w:gridCol w:w="146"/>
        <w:gridCol w:w="211"/>
        <w:gridCol w:w="781"/>
        <w:gridCol w:w="146"/>
        <w:gridCol w:w="146"/>
        <w:gridCol w:w="234"/>
        <w:gridCol w:w="817"/>
        <w:gridCol w:w="166"/>
        <w:gridCol w:w="146"/>
        <w:gridCol w:w="211"/>
        <w:gridCol w:w="781"/>
        <w:gridCol w:w="146"/>
        <w:gridCol w:w="146"/>
        <w:gridCol w:w="211"/>
        <w:gridCol w:w="781"/>
        <w:gridCol w:w="146"/>
        <w:gridCol w:w="146"/>
        <w:gridCol w:w="234"/>
        <w:gridCol w:w="817"/>
        <w:gridCol w:w="166"/>
        <w:gridCol w:w="146"/>
        <w:gridCol w:w="211"/>
        <w:gridCol w:w="676"/>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and referral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 and 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Non-competition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 ended December 31, 2024, the Company acquired state licenses and a trade name of $23.0 million and $4.9 million, respectively, in its personal care services segment related to the Gentiva Acquisition. The Company also acquired indefinite-lived state licenses of $0.7 million in its home health segment in connection with the Gentiva Acquisition.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 ended December 31, 2023, the Company acquired indefinite-lived state licenses and a trade name of $7.6 million and $2.1 million, respectively, in its hospice segment related to the acquisition of Tennessee Quality Care. The Company also acquired indefinite-lived state licenses and trade name of $11.6 million and $5.4 million, respectively, in its home health segment in connection with the Tennessee Quality Care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expense related to the identifiable intangible assets amounted to $6.7 million, $7.1 million and $7.2 million for the years ended December 31, 2024,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remaining useful life of identifiable intangible assets as of December 31, 2024 is 9.82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future intangible amortization expense is as follows:</w:t>
      </w:r>
    </w:p>
    <w:p>
      <w:pPr>
        <w:pStyle w:val="TextBody"/>
        <w:bidi w:val="0"/>
        <w:jc w:val="left"/>
        <w:rPr/>
      </w:pPr>
      <w:r>
        <w:rPr/>
        <w:t> </w:t>
      </w:r>
    </w:p>
    <w:tbl>
      <w:tblPr>
        <w:tblW w:w="5183" w:type="dxa"/>
        <w:jc w:val="left"/>
        <w:tblInd w:w="0" w:type="dxa"/>
        <w:tblLayout w:type="fixed"/>
        <w:tblCellMar>
          <w:top w:w="28" w:type="dxa"/>
          <w:left w:w="28" w:type="dxa"/>
          <w:bottom w:w="28" w:type="dxa"/>
          <w:right w:w="28" w:type="dxa"/>
        </w:tblCellMar>
      </w:tblPr>
      <w:tblGrid>
        <w:gridCol w:w="3916"/>
        <w:gridCol w:w="146"/>
        <w:gridCol w:w="221"/>
        <w:gridCol w:w="709"/>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(Amount 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 subject to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Details of Certain Balance Sheet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w:t>
      </w:r>
    </w:p>
    <w:p>
      <w:pPr>
        <w:pStyle w:val="TextBody"/>
        <w:bidi w:val="0"/>
        <w:jc w:val="left"/>
        <w:rPr/>
      </w:pPr>
      <w:r>
        <w:rPr/>
        <w:t> </w:t>
      </w:r>
    </w:p>
    <w:tbl>
      <w:tblPr>
        <w:tblW w:w="6934" w:type="dxa"/>
        <w:jc w:val="left"/>
        <w:tblInd w:w="0" w:type="dxa"/>
        <w:tblLayout w:type="fixed"/>
        <w:tblCellMar>
          <w:top w:w="28" w:type="dxa"/>
          <w:left w:w="28" w:type="dxa"/>
          <w:bottom w:w="28" w:type="dxa"/>
          <w:right w:w="28" w:type="dxa"/>
        </w:tblCellMar>
      </w:tblPr>
      <w:tblGrid>
        <w:gridCol w:w="4531"/>
        <w:gridCol w:w="146"/>
        <w:gridCol w:w="211"/>
        <w:gridCol w:w="676"/>
        <w:gridCol w:w="146"/>
        <w:gridCol w:w="146"/>
        <w:gridCol w:w="211"/>
        <w:gridCol w:w="676"/>
        <w:gridCol w:w="1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payroll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workers’ compensation and liability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licensing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Workers’ compensation insurance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sz w:val="20"/>
        </w:rPr>
      </w:pPr>
      <w:r>
        <w:rPr>
          <w:rFonts w:ascii="Times New Roman" w:hAnsi="Times New Roman"/>
          <w:color w:val="000000"/>
          <w:sz w:val="18"/>
        </w:rPr>
        <w:t>Included $6.1</w:t>
      </w:r>
      <w:r>
        <w:rPr>
          <w:rFonts w:ascii="Times New Roman" w:hAnsi="Times New Roman"/>
          <w:color w:val="000000"/>
          <w:sz w:val="20"/>
        </w:rPr>
        <w:t xml:space="preserve"> </w:t>
      </w:r>
      <w:r>
        <w:rPr>
          <w:rFonts w:ascii="Times New Roman" w:hAnsi="Times New Roman"/>
          <w:color w:val="000000"/>
          <w:sz w:val="18"/>
        </w:rPr>
        <w:t>million related to NY divestiture deferred payments as of December 31,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Accrued expenses consisted of the following:</w:t>
      </w:r>
    </w:p>
    <w:p>
      <w:pPr>
        <w:pStyle w:val="TextBody"/>
        <w:bidi w:val="0"/>
        <w:jc w:val="left"/>
        <w:rPr/>
      </w:pPr>
      <w:r>
        <w:rPr/>
        <w:t> </w:t>
      </w:r>
    </w:p>
    <w:tbl>
      <w:tblPr>
        <w:tblW w:w="5104" w:type="dxa"/>
        <w:jc w:val="left"/>
        <w:tblInd w:w="0" w:type="dxa"/>
        <w:tblLayout w:type="fixed"/>
        <w:tblCellMar>
          <w:top w:w="28" w:type="dxa"/>
          <w:left w:w="28" w:type="dxa"/>
          <w:bottom w:w="28" w:type="dxa"/>
          <w:right w:w="28" w:type="dxa"/>
        </w:tblCellMar>
      </w:tblPr>
      <w:tblGrid>
        <w:gridCol w:w="2701"/>
        <w:gridCol w:w="146"/>
        <w:gridCol w:w="211"/>
        <w:gridCol w:w="676"/>
        <w:gridCol w:w="146"/>
        <w:gridCol w:w="146"/>
        <w:gridCol w:w="211"/>
        <w:gridCol w:w="676"/>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health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Payor advances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other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Represents the deferred portion of payments received from payors for COVID-19 reimbursements which was recognized as we incurred specific COVID-19 related expenses (including expenses related to securing and maintaining adequate personnel).</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debt consisted of the following:</w:t>
      </w:r>
    </w:p>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3346"/>
        <w:gridCol w:w="146"/>
        <w:gridCol w:w="211"/>
        <w:gridCol w:w="781"/>
        <w:gridCol w:w="166"/>
        <w:gridCol w:w="146"/>
        <w:gridCol w:w="211"/>
        <w:gridCol w:w="781"/>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loan under the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Amended and Restated Senior Secured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31, 2018, the Company entered into the Amended and Restated Credit Agreement, with certain lenders and Capital One, National Association, as a lender and as agent for all lenders, as amended by the First Amendment to Amended and Restated Credit Agreement, dated as of September 12, 2019, as further amended by the Second Amendment to Amended and Restated Credit Agreement, dated as of July 30, 2021, as further amended by the Third Amendment to Amended and Restated Credit Agreement, dated as of April 26, 2023 (as described below, the “Third Amendment”), and as further amended by the Fourth Amendment to Amended and Restated Credit Agreement, dated as of October 22, 2024 (as described below, the “Fourth Amendment”) (as amended, the “Credit Agreement”, as used throughout this Annual Report on Form 10-K, “credit facility” shall mean the credit facility evidenced by the Credit Agreement). The credit facility consists of a $650.0 million revolving credit facility and a $150.0 million incremental loan facility, which incremental loan facility may be for term loans or an increase to the revolving loan commitments. The maturity of this credit facility is July 30,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26, 2023, the Company entered into the Third Amendment to replace LIBOR with the Secured Overnight Financing Rate (“SOFR”) as the benchmark reference rate for loans under its credit facility. The Third Amendment did not amend any other terms of the Credit Agreement. The transition to SOFR did not and is not expected to have a material impact on the Company’s results of operations or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22, 2024, the Company entered into the Fourth Amendment to, among other things, (a) increase the Company’s revolving credit facility to an aggregate amount of $650.0 million, (b) increase the Company’s incremental loan facility to an aggregate amount of $150.0 million, and (c) extend the maturity date of the credit facility from July 30, 2026 to July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on the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Term SOFR (as published by the CME Group Benchmark Administrative Limited) for an interest period of one month for such applicable day (not to be less than 0.00%), plus a margin of 1.00% or (y) the sum of (i) an applicable margin ranging from 1.75% to 2.50% based on the applicable senior net leverage ratio plus (ii) the rate per annum equal to the sum of Term SOFR (as published by the CME Group Benchmark Administrative Limited) for the applicable interest period (not to be less than 0.00%). Swing loans may not be SOFR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pays a fee ranging from 0.20% to 0.35% based on the applicable senior net leverage ratio times the unused portion of the revolving loan portion of the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and a requirement to stay below a maximum Total Net Leverage Ratio (as defined in the Credit Agreement). The Credit Agreement also contains restrictions on guarantees, indebtedness, liens, investments and loans, subject to customary carve outs, a restriction on dividends (provided that Addus HealthCare may make distributions to the Company in an amount that does not exceed $10.0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 As of December 31, 2024, the Company was in compliance with all financial covenants under the 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twelve months ended December 31, 2024, the Company (i) drew approximately $233.0 million under its credit facility to fund, in part, the Gentiva Acquisition and (ii) repaid $136.4 million under the revolving credit facility. At December 31, 2024, the Company had a total of $223.0 million of revolving loans, with an interest rate of 6.34%, outstanding on its credit facility. After giving effect to the amount drawn on its credit facility, approximately $8.0 million of outstanding letters of credit and borrowing limits based on an advance multiple of Adjusted EBITDA (as defined in the Credit Agreement), the Company had $577.7 million of capacity and $346.6 million available for borrowing under its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twelve months ended December 31, 2023, the Company drew approximately $110.0 million under its credit facility to fund, in part, the Tennessee Quality Care acquisition. At December 31, 2023, the Company had a total of $126.4 million of revolving loans, with an interest rate of 7.21%, outstanding on its credit facility. After giving effect to the amount drawn on its credit facility, approximately $8.0 million of outstanding letters of credit and borrowing limits based on an advance multiple of Adjusted EBITDA (as defined in the Credit Agreement), the Company had $470.0 million of capacity and $335.6 million available for borrowing under its credit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and deferred federal and state income tax provision from continuing operations, are comprised of the following:</w:t>
      </w:r>
    </w:p>
    <w:p>
      <w:pPr>
        <w:pStyle w:val="TextBody"/>
        <w:bidi w:val="0"/>
        <w:jc w:val="left"/>
        <w:rPr/>
      </w:pPr>
      <w:r>
        <w:rPr/>
        <w:t> </w:t>
      </w:r>
    </w:p>
    <w:tbl>
      <w:tblPr>
        <w:tblW w:w="6063" w:type="dxa"/>
        <w:jc w:val="left"/>
        <w:tblInd w:w="0" w:type="dxa"/>
        <w:tblLayout w:type="fixed"/>
        <w:tblCellMar>
          <w:top w:w="28" w:type="dxa"/>
          <w:left w:w="28" w:type="dxa"/>
          <w:bottom w:w="28" w:type="dxa"/>
          <w:right w:w="28" w:type="dxa"/>
        </w:tblCellMar>
      </w:tblPr>
      <w:tblGrid>
        <w:gridCol w:w="2281"/>
        <w:gridCol w:w="146"/>
        <w:gridCol w:w="211"/>
        <w:gridCol w:w="676"/>
        <w:gridCol w:w="146"/>
        <w:gridCol w:w="146"/>
        <w:gridCol w:w="211"/>
        <w:gridCol w:w="676"/>
        <w:gridCol w:w="146"/>
        <w:gridCol w:w="146"/>
        <w:gridCol w:w="211"/>
        <w:gridCol w:w="676"/>
        <w:gridCol w:w="3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14,146</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tax effects of certain temporary differences between the Company’s book and tax bases of assets and liabilities give rise to significant portions of the deferred income tax assets (liabilities) at December 31, 2024 and 2023. The deferred tax assets (liabilities) consisted of the following:</w:t>
      </w:r>
    </w:p>
    <w:p>
      <w:pPr>
        <w:pStyle w:val="TextBody"/>
        <w:bidi w:val="0"/>
        <w:jc w:val="left"/>
        <w:rPr/>
      </w:pPr>
      <w:r>
        <w:rPr/>
        <w:t> </w:t>
      </w:r>
    </w:p>
    <w:tbl>
      <w:tblPr>
        <w:tblW w:w="6911" w:type="dxa"/>
        <w:jc w:val="left"/>
        <w:tblInd w:w="0" w:type="dxa"/>
        <w:tblLayout w:type="fixed"/>
        <w:tblCellMar>
          <w:top w:w="28" w:type="dxa"/>
          <w:left w:w="28" w:type="dxa"/>
          <w:bottom w:w="28" w:type="dxa"/>
          <w:right w:w="28" w:type="dxa"/>
        </w:tblCellMar>
      </w:tblPr>
      <w:tblGrid>
        <w:gridCol w:w="3516"/>
        <w:gridCol w:w="146"/>
        <w:gridCol w:w="252"/>
        <w:gridCol w:w="881"/>
        <w:gridCol w:w="198"/>
        <w:gridCol w:w="174"/>
        <w:gridCol w:w="252"/>
        <w:gridCol w:w="881"/>
        <w:gridCol w:w="61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workers’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long-term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Goodwill and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long-term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(77,608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deferred tax (liabilities)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(25,820</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all available evidence in making this assessment.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for continuing operations of the statutory federal tax rate of 21.0% to the effective income tax rate is summarized as follows:</w:t>
      </w:r>
    </w:p>
    <w:p>
      <w:pPr>
        <w:pStyle w:val="TextBody"/>
        <w:bidi w:val="0"/>
        <w:jc w:val="left"/>
        <w:rPr/>
      </w:pPr>
      <w:r>
        <w:rPr/>
        <w:t> </w:t>
      </w:r>
    </w:p>
    <w:tbl>
      <w:tblPr>
        <w:tblW w:w="7741" w:type="dxa"/>
        <w:jc w:val="left"/>
        <w:tblInd w:w="0" w:type="dxa"/>
        <w:tblLayout w:type="fixed"/>
        <w:tblCellMar>
          <w:top w:w="28" w:type="dxa"/>
          <w:left w:w="28" w:type="dxa"/>
          <w:bottom w:w="28" w:type="dxa"/>
          <w:right w:w="28" w:type="dxa"/>
        </w:tblCellMar>
      </w:tblPr>
      <w:tblGrid>
        <w:gridCol w:w="4111"/>
        <w:gridCol w:w="146"/>
        <w:gridCol w:w="146"/>
        <w:gridCol w:w="466"/>
        <w:gridCol w:w="166"/>
        <w:gridCol w:w="271"/>
        <w:gridCol w:w="146"/>
        <w:gridCol w:w="146"/>
        <w:gridCol w:w="466"/>
        <w:gridCol w:w="166"/>
        <w:gridCol w:w="271"/>
        <w:gridCol w:w="146"/>
        <w:gridCol w:w="146"/>
        <w:gridCol w:w="466"/>
        <w:gridCol w:w="166"/>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2"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income tax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162(m) disallowance for executive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penalties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Excess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Jobs tax credits,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permanent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acquisition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Federal/state return to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effective income tax rate was 25.9%, 23.1% and 23.5% for the years ended December 31, 2024, 2023 and 2022, respectively. The difference between our federal statutory and effective income tax rates was principally due to the inclusion of state taxes, non-deductible compensation, and non-deductible permanent items, partially offset by the use of federal employment tax credits.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taxation in the jurisdictions in which it operates. The Company continues to remain subject to examination by U.S. federal authorities for the years 2021 through 2023 and for various state authorities for the years 2019 through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Stock Options and Restricted Stock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approved the A&amp;R 2017 Plan as of April 13, 2023 and our shareholders approved it as of June 14, 2023. The A&amp;R 2017 Plan amended and restated our 2017 Omnibus Incentive Plan (the “2017 Plan”), which in turn was intended to replace our 2009 Stock Incentive Plan (the “2009 Plan”). All awards are now granted from the A&amp;R 2017 Plan. Outstanding awards under the 2009 Plan will continue to be governed by the 2009 Plan and the agreements under which they were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A&amp;R 2017 Plan allows us to grant performance-based incentive awards and equity-based awards (each, an “Award”) to eligible employees, directors and consultants in the form of Stock Options, Stock Appreciation Rights (“SARs”), Restricted Stock Restricted Stock Units, Performance Awards and Other Stock Unit Awards. The Board believes that the A&amp;R 2017 Plan is necessary to continue the Company’s effectiveness in attracting, motivating and retaining employees, directors and consultants with appropriate experience and to increase the grantees’ alignment of interest with the Company’s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A&amp;R 2017 Plan, Awards may be made in shares of our common stock. Subject to adjustment as provided by the terms of the A&amp;R 2017 Plan, the maximum aggregate number of shares of common stock with respect to which awards may be granted under the A&amp;R 2017 Plan is 864,215, comprised of 274,215 shares (the number of shares that were available for issuance under the 2017 Plan as of April 13, 2023) and 590,000 shares (the number of shares newly authorized by the Company’s shareholders upon their approval of the A&amp;R 2017 Plan).. The aggregate awards granted during any calendar year to any single Participant cannot exceed 500,000 shares subject to stock options or SARs. These individual annual limitations are cumulative in that any shares of common stock or cash for which Awards are permitted to be granted to a Participant during a fiscal year are not covered by an Award in that fiscal year (such shortfall, the “Shortfall Amount”), the number of shares of common stock (or amount of cash, as the case may be) will automatically increase in the subsequent fiscal years during the term of the A&amp;R 2017 Plan until the earlier of the time when the Shortfall Amount has been granted to the Participant, or the end of the third fiscal year following the year to which such Shortfall Amount relates. At December 31, 2024, there were 707,772 shares of common stock available for future grant under the A&amp;R 2017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Awards made under the 2017 Plan (and the 2009 Plan) that are forfeited, canceled, settled in cash or otherwise terminated without a distribution of shares to a Participant will be deemed available for Awards under the A&amp;R 2017 Plan; provided, that the A&amp;R 2017 Plan explicitly prohibits shares withheld for payment of taxes for awards, the exercise price for appreciation awards, shares acquired with the proceeds of appreciation awards, and shares from stock settled SARs from being added back to the share reserve. Stock options are awarded with an exercise price equal to the fair market value based on the closing price of our common stock on the date of grant. Options granted typically vest over a service period ranging from three to four years and expire ten years from the date of grant. Restricted shares typically vest over a service period ranging from one to four years and expire ten years from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options are awarded with an exercise price equal to the fair market value based on the closing price of our common stock on the date of grant. Options granted typically vest over a service period ranging from three to four years and expire ten years from the date of grant. Restricted shares typically vest over a service period ranging from one to four years and expire ten years from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exercise prices of stock options outstanding on December 31, 2024 range from $19.71 to $92.00. Restricted stock awards are full-value awards.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stock option activity for the year ended December 31, 2024 follows:</w:t>
      </w:r>
    </w:p>
    <w:p>
      <w:pPr>
        <w:pStyle w:val="TextBody"/>
        <w:bidi w:val="0"/>
        <w:jc w:val="left"/>
        <w:rPr/>
      </w:pPr>
      <w:r>
        <w:rPr/>
        <w:t> </w:t>
      </w:r>
    </w:p>
    <w:tbl>
      <w:tblPr>
        <w:tblW w:w="10182" w:type="dxa"/>
        <w:jc w:val="left"/>
        <w:tblInd w:w="0" w:type="dxa"/>
        <w:tblLayout w:type="fixed"/>
        <w:tblCellMar>
          <w:top w:w="28" w:type="dxa"/>
          <w:left w:w="28" w:type="dxa"/>
          <w:bottom w:w="28" w:type="dxa"/>
          <w:right w:w="28" w:type="dxa"/>
        </w:tblCellMar>
      </w:tblPr>
      <w:tblGrid>
        <w:gridCol w:w="2836"/>
        <w:gridCol w:w="146"/>
        <w:gridCol w:w="254"/>
        <w:gridCol w:w="736"/>
        <w:gridCol w:w="166"/>
        <w:gridCol w:w="146"/>
        <w:gridCol w:w="302"/>
        <w:gridCol w:w="823"/>
        <w:gridCol w:w="146"/>
        <w:gridCol w:w="146"/>
        <w:gridCol w:w="1234"/>
        <w:gridCol w:w="305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br/>
              <w:t>(Amounts in</w:t>
              <w:br/>
              <w:t>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Terms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weighted-average estimated fair value of employee stock options granted was calculated using the Black-Scholes Option Pricing Model in 2022. The Company did not grant any stock options in 2024 and 2023. The related assumptions follow:</w:t>
      </w:r>
    </w:p>
    <w:p>
      <w:pPr>
        <w:pStyle w:val="TextBody"/>
        <w:bidi w:val="0"/>
        <w:jc w:val="left"/>
        <w:rPr/>
      </w:pPr>
      <w:r>
        <w:rPr/>
        <w:t> </w:t>
      </w:r>
    </w:p>
    <w:tbl>
      <w:tblPr>
        <w:tblW w:w="5859" w:type="dxa"/>
        <w:jc w:val="left"/>
        <w:tblInd w:w="0" w:type="dxa"/>
        <w:tblLayout w:type="fixed"/>
        <w:tblCellMar>
          <w:top w:w="28" w:type="dxa"/>
          <w:left w:w="28" w:type="dxa"/>
          <w:bottom w:w="28" w:type="dxa"/>
          <w:right w:w="28" w:type="dxa"/>
        </w:tblCellMar>
      </w:tblPr>
      <w:tblGrid>
        <w:gridCol w:w="2401"/>
        <w:gridCol w:w="146"/>
        <w:gridCol w:w="233"/>
        <w:gridCol w:w="383"/>
        <w:gridCol w:w="146"/>
        <w:gridCol w:w="146"/>
        <w:gridCol w:w="233"/>
        <w:gridCol w:w="383"/>
        <w:gridCol w:w="146"/>
        <w:gridCol w:w="146"/>
        <w:gridCol w:w="352"/>
        <w:gridCol w:w="953"/>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1.76% - 2.86%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 years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 option compensation expense totaled $0.5 million, $0.9 million and $1.2 million for the years ended December 31, 2024, 2023 and 2022, respectively. As of December 31, 2024, there was $0.5 million of total unrecognized compensation cost that is expected to be recognized over a weighted average period of 1.1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intrinsic value of exercisable and outstanding stock options was $32.3 million and $33.2 million, respectively, as of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there were 381,000 and 25,000 shares of stock options vested and unvested,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intrinsic value of stock options exercised during the years ended December 31, 2024, 2023 and 2022 was $3.0 million, $0.8 million and $3.5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unvested restricted stock awards activity and weighted average grant date fair value for the year ended December 31, 2024 follows:</w:t>
      </w:r>
    </w:p>
    <w:p>
      <w:pPr>
        <w:pStyle w:val="TextBody"/>
        <w:bidi w:val="0"/>
        <w:jc w:val="left"/>
        <w:rPr/>
      </w:pPr>
      <w:r>
        <w:rPr/>
        <w:t> </w:t>
      </w:r>
    </w:p>
    <w:tbl>
      <w:tblPr>
        <w:tblW w:w="7055" w:type="dxa"/>
        <w:jc w:val="left"/>
        <w:tblInd w:w="0" w:type="dxa"/>
        <w:tblLayout w:type="fixed"/>
        <w:tblCellMar>
          <w:top w:w="28" w:type="dxa"/>
          <w:left w:w="28" w:type="dxa"/>
          <w:bottom w:w="28" w:type="dxa"/>
          <w:right w:w="28" w:type="dxa"/>
        </w:tblCellMar>
      </w:tblPr>
      <w:tblGrid>
        <w:gridCol w:w="4471"/>
        <w:gridCol w:w="146"/>
        <w:gridCol w:w="229"/>
        <w:gridCol w:w="761"/>
        <w:gridCol w:w="166"/>
        <w:gridCol w:w="146"/>
        <w:gridCol w:w="254"/>
        <w:gridCol w:w="691"/>
        <w:gridCol w:w="19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br/>
              <w:t>Stock</w:t>
              <w:br/>
              <w:t>Awards</w:t>
              <w:br/>
              <w:t>(Amounts in</w:t>
              <w:br/>
              <w:t>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awards,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awards,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restricted stock awards that vested during the year ended December 31, 2024 was $9.4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stock award compensation expense totaled $10.7 million, $9.4 million and $9.4 million for the years ended December 31, 2024, 2023 and 2022, respectively. As of December 31, 2024, there was $13.0 million of total unrecognized compensation cost that is expected to be recognized over a weighted average period of 1.6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Employee Benefit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401(k) retirement plan is a defined contribution plan that provides for matching contributions by the Company to all non-union employees. Matching contributions are discretionary and subject to change by management. Under the provisions of the 401(k) plan, employees can contribute up to the maximum percentage and limits allowable under the U.S. Revenue Code. The Company provided contributions totaling $0.8 million, $0.6 million and $0.4 million for the years ended December 31, 2024, 2023 and 2022,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13.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is subject to legal and/or administrative proceedings incidental to its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the opinion of management that the outcome of pending legal and/or administrative proceedings will not have a material effect on the Company’s Consolidated Balance Sheets and Consolidated Statements of Income.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owns financial instruments that potentially subject the Company to significant concentrations of credit risk, including cash. The Company maintains cash with financial institutions which, at times, may exceed federally insured limits. The Company believes it is not exposed to any significant credit risk on cash.</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(“CODM”). The Company identifies its Chief Executive Officer and Chief Operating Officer together as CODM to assess the performance of the individual segments and make decisions about resources to be allocated to the segments. The Company operates as a multi-state provider of three business segments providing in-home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method for measuring profitability on each reportable segment basis is the same as those described in the summary of significant accounting policies and its CODM frequently reviews the actual result to budget variance to allocate resources to the segment and assess its performance. 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does not review disaggregated assets by segment. The measure of segment assets is reported on the balance sheet as total consolidated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tables below set forth information about the Company’s reportable segments, including significant expenses, for the years ended December 31, 2024, 2023 and 2022 along with the items necessary to reconcile the segment information to the totals reported in the accompanying consolidated financial statements.</w:t>
      </w:r>
    </w:p>
    <w:p>
      <w:pPr>
        <w:pStyle w:val="TextBody"/>
        <w:bidi w:val="0"/>
        <w:spacing w:before="240" w:after="283"/>
        <w:jc w:val="left"/>
        <w:rPr/>
      </w:pPr>
      <w:r>
        <w:rPr/>
        <w:t> </w:t>
      </w:r>
    </w:p>
    <w:tbl>
      <w:tblPr>
        <w:tblW w:w="10163" w:type="dxa"/>
        <w:jc w:val="left"/>
        <w:tblInd w:w="0" w:type="dxa"/>
        <w:tblLayout w:type="fixed"/>
        <w:tblCellMar>
          <w:top w:w="28" w:type="dxa"/>
          <w:left w:w="28" w:type="dxa"/>
          <w:bottom w:w="28" w:type="dxa"/>
          <w:right w:w="28" w:type="dxa"/>
        </w:tblCellMar>
      </w:tblPr>
      <w:tblGrid>
        <w:gridCol w:w="4576"/>
        <w:gridCol w:w="146"/>
        <w:gridCol w:w="242"/>
        <w:gridCol w:w="898"/>
        <w:gridCol w:w="146"/>
        <w:gridCol w:w="146"/>
        <w:gridCol w:w="211"/>
        <w:gridCol w:w="781"/>
        <w:gridCol w:w="146"/>
        <w:gridCol w:w="146"/>
        <w:gridCol w:w="257"/>
        <w:gridCol w:w="823"/>
        <w:gridCol w:w="146"/>
        <w:gridCol w:w="146"/>
        <w:gridCol w:w="211"/>
        <w:gridCol w:w="931"/>
        <w:gridCol w:w="21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service 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reconciliation: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not allocated at segment level: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6"/>
        </w:rPr>
      </w:pPr>
      <w:r>
        <w:rPr>
          <w:rFonts w:ascii="Times New Roman" w:hAnsi="Times New Roman"/>
          <w:color w:val="000000"/>
          <w:sz w:val="16"/>
        </w:rPr>
        <w:t>Other segment items include other costs for direct service personnel, office expense, licenses &amp; taxes, communication, medical director fees, travel and bad debt expense.</w:t>
      </w:r>
    </w:p>
    <w:p>
      <w:pPr>
        <w:pStyle w:val="TextBody"/>
        <w:bidi w:val="0"/>
        <w:jc w:val="left"/>
        <w:rPr/>
      </w:pPr>
      <w:r>
        <w:rPr/>
        <w:t> </w:t>
      </w:r>
    </w:p>
    <w:tbl>
      <w:tblPr>
        <w:tblW w:w="10163" w:type="dxa"/>
        <w:jc w:val="left"/>
        <w:tblInd w:w="0" w:type="dxa"/>
        <w:tblLayout w:type="fixed"/>
        <w:tblCellMar>
          <w:top w:w="28" w:type="dxa"/>
          <w:left w:w="28" w:type="dxa"/>
          <w:bottom w:w="28" w:type="dxa"/>
          <w:right w:w="28" w:type="dxa"/>
        </w:tblCellMar>
      </w:tblPr>
      <w:tblGrid>
        <w:gridCol w:w="4576"/>
        <w:gridCol w:w="146"/>
        <w:gridCol w:w="242"/>
        <w:gridCol w:w="898"/>
        <w:gridCol w:w="146"/>
        <w:gridCol w:w="146"/>
        <w:gridCol w:w="211"/>
        <w:gridCol w:w="781"/>
        <w:gridCol w:w="146"/>
        <w:gridCol w:w="146"/>
        <w:gridCol w:w="257"/>
        <w:gridCol w:w="823"/>
        <w:gridCol w:w="146"/>
        <w:gridCol w:w="146"/>
        <w:gridCol w:w="211"/>
        <w:gridCol w:w="931"/>
        <w:gridCol w:w="21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service 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reconciliation: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not allocated at segment level: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6"/>
        </w:rPr>
      </w:pPr>
      <w:r>
        <w:rPr>
          <w:rFonts w:ascii="Times New Roman" w:hAnsi="Times New Roman"/>
          <w:color w:val="000000"/>
          <w:sz w:val="16"/>
        </w:rPr>
        <w:t>Other segment items include other costs for direct service personnel, office expense, licenses &amp; taxes, communication, medical director fees, travel and bad debt expense.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013" w:type="dxa"/>
        <w:jc w:val="left"/>
        <w:tblInd w:w="0" w:type="dxa"/>
        <w:tblLayout w:type="fixed"/>
        <w:tblCellMar>
          <w:top w:w="28" w:type="dxa"/>
          <w:left w:w="28" w:type="dxa"/>
          <w:bottom w:w="28" w:type="dxa"/>
          <w:right w:w="28" w:type="dxa"/>
        </w:tblCellMar>
      </w:tblPr>
      <w:tblGrid>
        <w:gridCol w:w="4576"/>
        <w:gridCol w:w="146"/>
        <w:gridCol w:w="242"/>
        <w:gridCol w:w="898"/>
        <w:gridCol w:w="146"/>
        <w:gridCol w:w="146"/>
        <w:gridCol w:w="211"/>
        <w:gridCol w:w="781"/>
        <w:gridCol w:w="146"/>
        <w:gridCol w:w="146"/>
        <w:gridCol w:w="257"/>
        <w:gridCol w:w="823"/>
        <w:gridCol w:w="146"/>
        <w:gridCol w:w="146"/>
        <w:gridCol w:w="211"/>
        <w:gridCol w:w="781"/>
        <w:gridCol w:w="21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service 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reconciliation: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not allocated at segment level: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6"/>
        </w:rPr>
      </w:pPr>
      <w:r>
        <w:rPr>
          <w:rFonts w:ascii="Times New Roman" w:hAnsi="Times New Roman"/>
          <w:color w:val="000000"/>
          <w:sz w:val="16"/>
        </w:rPr>
        <w:t>Other segment items include other costs for direct service personnel, office expense, licenses &amp; taxes, communication, medical director fees, travel and bad debt expense.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Significant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2024, 2023 and 2022, the Company’s revenue by payor type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12"/>
        <w:gridCol w:w="146"/>
        <w:gridCol w:w="222"/>
        <w:gridCol w:w="823"/>
        <w:gridCol w:w="146"/>
        <w:gridCol w:w="146"/>
        <w:gridCol w:w="159"/>
        <w:gridCol w:w="622"/>
        <w:gridCol w:w="146"/>
        <w:gridCol w:w="271"/>
        <w:gridCol w:w="146"/>
        <w:gridCol w:w="222"/>
        <w:gridCol w:w="823"/>
        <w:gridCol w:w="146"/>
        <w:gridCol w:w="146"/>
        <w:gridCol w:w="159"/>
        <w:gridCol w:w="622"/>
        <w:gridCol w:w="146"/>
        <w:gridCol w:w="271"/>
        <w:gridCol w:w="146"/>
        <w:gridCol w:w="222"/>
        <w:gridCol w:w="823"/>
        <w:gridCol w:w="146"/>
        <w:gridCol w:w="146"/>
        <w:gridCol w:w="159"/>
        <w:gridCol w:w="622"/>
        <w:gridCol w:w="146"/>
        <w:gridCol w:w="321"/>
      </w:tblGrid>
      <w:tr>
        <w:trPr/>
        <w:tc>
          <w:tcPr>
            <w:tcW w:w="2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0"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0"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local and other governmental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organizations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personal care segment net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3"/>
        <w:gridCol w:w="146"/>
        <w:gridCol w:w="221"/>
        <w:gridCol w:w="817"/>
        <w:gridCol w:w="146"/>
        <w:gridCol w:w="146"/>
        <w:gridCol w:w="177"/>
        <w:gridCol w:w="694"/>
        <w:gridCol w:w="146"/>
        <w:gridCol w:w="271"/>
        <w:gridCol w:w="146"/>
        <w:gridCol w:w="221"/>
        <w:gridCol w:w="817"/>
        <w:gridCol w:w="146"/>
        <w:gridCol w:w="146"/>
        <w:gridCol w:w="177"/>
        <w:gridCol w:w="694"/>
        <w:gridCol w:w="146"/>
        <w:gridCol w:w="271"/>
        <w:gridCol w:w="146"/>
        <w:gridCol w:w="221"/>
        <w:gridCol w:w="817"/>
        <w:gridCol w:w="146"/>
        <w:gridCol w:w="146"/>
        <w:gridCol w:w="177"/>
        <w:gridCol w:w="694"/>
        <w:gridCol w:w="146"/>
        <w:gridCol w:w="321"/>
      </w:tblGrid>
      <w:tr>
        <w:trPr/>
        <w:tc>
          <w:tcPr>
            <w:tcW w:w="1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8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9"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9"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organizations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hospice segment net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1"/>
        <w:gridCol w:w="146"/>
        <w:gridCol w:w="230"/>
        <w:gridCol w:w="739"/>
        <w:gridCol w:w="146"/>
        <w:gridCol w:w="146"/>
        <w:gridCol w:w="179"/>
        <w:gridCol w:w="702"/>
        <w:gridCol w:w="146"/>
        <w:gridCol w:w="271"/>
        <w:gridCol w:w="146"/>
        <w:gridCol w:w="230"/>
        <w:gridCol w:w="739"/>
        <w:gridCol w:w="146"/>
        <w:gridCol w:w="146"/>
        <w:gridCol w:w="179"/>
        <w:gridCol w:w="702"/>
        <w:gridCol w:w="146"/>
        <w:gridCol w:w="271"/>
        <w:gridCol w:w="146"/>
        <w:gridCol w:w="230"/>
        <w:gridCol w:w="739"/>
        <w:gridCol w:w="146"/>
        <w:gridCol w:w="146"/>
        <w:gridCol w:w="179"/>
        <w:gridCol w:w="702"/>
        <w:gridCol w:w="146"/>
        <w:gridCol w:w="320"/>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organizations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home health segment net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derived a significant amount of its revenue from its operations in Illinois, New Mexico and New York. The percentages of segment revenue for each of these significant states for 2024, 2023 and 2022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2"/>
        <w:gridCol w:w="146"/>
        <w:gridCol w:w="225"/>
        <w:gridCol w:w="834"/>
        <w:gridCol w:w="146"/>
        <w:gridCol w:w="146"/>
        <w:gridCol w:w="159"/>
        <w:gridCol w:w="622"/>
        <w:gridCol w:w="146"/>
        <w:gridCol w:w="271"/>
        <w:gridCol w:w="146"/>
        <w:gridCol w:w="225"/>
        <w:gridCol w:w="834"/>
        <w:gridCol w:w="146"/>
        <w:gridCol w:w="146"/>
        <w:gridCol w:w="159"/>
        <w:gridCol w:w="622"/>
        <w:gridCol w:w="146"/>
        <w:gridCol w:w="271"/>
        <w:gridCol w:w="146"/>
        <w:gridCol w:w="225"/>
        <w:gridCol w:w="834"/>
        <w:gridCol w:w="146"/>
        <w:gridCol w:w="146"/>
        <w:gridCol w:w="159"/>
        <w:gridCol w:w="622"/>
        <w:gridCol w:w="146"/>
        <w:gridCol w:w="319"/>
      </w:tblGrid>
      <w:tr>
        <w:trPr/>
        <w:tc>
          <w:tcPr>
            <w:tcW w:w="2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New York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Mexico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personal care segment net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 xml:space="preserve">The selection process for the New York Consumer Directed Personal Assistance Program (“CDPAP”) fiscal intermediaries has changed significantly in recent years and the program continues to be an area of focus for New York governmental authorities. As a result of the changes and uncertainty in the state, the Company determined that its New York personal care operations no longer fit its growth strategy and is divesting these operations. See Note 5 to the Notes to Consolidated Financial Statements, </w:t>
      </w:r>
      <w:r>
        <w:rPr>
          <w:rFonts w:ascii="Times New Roman" w:hAnsi="Times New Roman"/>
          <w:i/>
          <w:color w:val="000000"/>
          <w:sz w:val="20"/>
        </w:rPr>
        <w:t>Divestiture</w:t>
      </w:r>
      <w:r>
        <w:rPr>
          <w:rFonts w:ascii="Times New Roman" w:hAnsi="Times New Roman"/>
          <w:color w:val="000000"/>
          <w:sz w:val="20"/>
        </w:rPr>
        <w:t>,</w:t>
      </w:r>
      <w:r>
        <w:rPr>
          <w:color w:val="000000"/>
        </w:rPr>
        <w:t xml:space="preserve"> </w:t>
      </w:r>
      <w:r>
        <w:rPr>
          <w:rFonts w:ascii="Times New Roman" w:hAnsi="Times New Roman"/>
          <w:color w:val="000000"/>
          <w:sz w:val="20"/>
        </w:rPr>
        <w:t>for additional details regarding our divestiture.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0"/>
        <w:gridCol w:w="146"/>
        <w:gridCol w:w="223"/>
        <w:gridCol w:w="827"/>
        <w:gridCol w:w="146"/>
        <w:gridCol w:w="146"/>
        <w:gridCol w:w="182"/>
        <w:gridCol w:w="712"/>
        <w:gridCol w:w="146"/>
        <w:gridCol w:w="271"/>
        <w:gridCol w:w="146"/>
        <w:gridCol w:w="223"/>
        <w:gridCol w:w="827"/>
        <w:gridCol w:w="146"/>
        <w:gridCol w:w="146"/>
        <w:gridCol w:w="182"/>
        <w:gridCol w:w="712"/>
        <w:gridCol w:w="146"/>
        <w:gridCol w:w="271"/>
        <w:gridCol w:w="146"/>
        <w:gridCol w:w="223"/>
        <w:gridCol w:w="827"/>
        <w:gridCol w:w="146"/>
        <w:gridCol w:w="146"/>
        <w:gridCol w:w="182"/>
        <w:gridCol w:w="712"/>
        <w:gridCol w:w="146"/>
        <w:gridCol w:w="319"/>
      </w:tblGrid>
      <w:tr>
        <w:trPr/>
        <w:tc>
          <w:tcPr>
            <w:tcW w:w="1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4"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4"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hospice segment net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the acquisition of JourneyCare in 2022, the Company expanded its hospice services to patients in the state of Illinois.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8"/>
        <w:gridCol w:w="146"/>
        <w:gridCol w:w="233"/>
        <w:gridCol w:w="747"/>
        <w:gridCol w:w="146"/>
        <w:gridCol w:w="146"/>
        <w:gridCol w:w="182"/>
        <w:gridCol w:w="712"/>
        <w:gridCol w:w="146"/>
        <w:gridCol w:w="271"/>
        <w:gridCol w:w="146"/>
        <w:gridCol w:w="233"/>
        <w:gridCol w:w="747"/>
        <w:gridCol w:w="146"/>
        <w:gridCol w:w="146"/>
        <w:gridCol w:w="182"/>
        <w:gridCol w:w="712"/>
        <w:gridCol w:w="146"/>
        <w:gridCol w:w="271"/>
        <w:gridCol w:w="146"/>
        <w:gridCol w:w="233"/>
        <w:gridCol w:w="747"/>
        <w:gridCol w:w="146"/>
        <w:gridCol w:w="146"/>
        <w:gridCol w:w="182"/>
        <w:gridCol w:w="712"/>
        <w:gridCol w:w="146"/>
        <w:gridCol w:w="321"/>
      </w:tblGrid>
      <w:tr>
        <w:trPr/>
        <w:tc>
          <w:tcPr>
            <w:tcW w:w="1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4"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4"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Mexico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Tennessee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home health segment net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the acquisition of Tennessee Quality Care in 2023, the Company expanded its home health services to patients in the state of Tennessee.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substantial portion of the Company’s revenue and accounts receivable is derived from services performed for state and local governmental agencies. We derive a significant amount of our net service revenues in Illinois, which represented 43.7%, 44.5% and 43.8% of our net service revenues for the years ended December 31, 2024, 2023 and 2022, respectively. The Illinois Department on Aging, the largest payor program for the Company’s Illinois personal care operations, accounted for 21.0%, 20.9% and 20.7% of the Company’s net service revenues for 2024,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related receivables due from the Illinois Department on Aging represented 21.7% and 25.8% of the Company’s net accounts receivable at December 31, 2024 and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2019, New York initiated a new RFO process to competitively procure CDPAP fiscal intermediaries. The Company was not selected in the initial RFO process. We submitted a formal protest in response to the selection process, which was filed and accepted in March 2021. The New York fiscal year 2023 state budget, passed in April 2022, amended the Fiscal Intermediary RFO process to authorize all fiscal intermediaries that submitted an RFO application and served at least 200 clients in New York City or 50 clients in other counties between January 1, 2020 and March 31, 2020 to contract with the New York State Department of Health and continue to operate in all counties contained in their application, if the fiscal intermediary submitted an attestation and supporting information to the New York State Department of Health no later than November 29, 2022. The Company submitted an attestation on November 22, 2022, which allowed the Company to continue its CDPAP fiscal intermediary operations. However, the Company decided at that time to suspend materially all of its new fee-for-service patient admissions in the CDPAP through County Social Service Departments. On June 6, 2023, the New York State Department of Health notified the Company that it had received a contract award, under which the Company provided services during 2023 and 2024. The CDPAP continues to be targeted for changes by New York governmental authorities, however. For example, the governor’s most recent update on the state budget contained proposals that could adversely affect the Company’s ability to participate in the CDPAP. See Note 5 to the Notes to Consolidated Financial Statements, Divestiture, for additional details regarding our divestiture of our operations in New York, including CDPAP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 ARPA Spending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recognition of the significant threat to the liquidity of financial markets and challenges to healthcare providers posed by the COVID-19 pandemic, the Federal Reserve and Congress took dramatic actions to provide liquidity to businesses and the banking system in the United States and to assist healthcare providers, including through relief legislation such as the American Rescue Plan Act of 2021 (“ARPA”). The ARPA provides for $350 billion in relief funding for eligible state, local, territorial, and Tribal governments to mitigate the fiscal effects of the COVID-19 public health emergency. Additionally, the law provides for a 10-percentage point increase in federal matching funds for Medicaid home and community-based services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received state funding provided by the ARPA in an aggregate amount of $15.7 million and $3.7 million for the years ended December 31, 2024 and 2023, respectively. The Company utilized $10.2 million and $10.5 million of these funds during the years ended December 31, 2024 and 2023, respectively, primarily for caregivers and adding support to recruiting and retention efforts. The deferred portion of ARPA funding was $11.2 million and $5.8 million as of December 31, 2024 and 2023, respectively, which is included within Government stimulus advances on the Company’s Consolidated Balance Sheets.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3" w:name="adus-ex19_1.htm"/>
      <w:bookmarkStart w:id="44" w:name="ksadusex19_1"/>
      <w:bookmarkEnd w:id="43"/>
      <w:bookmarkEnd w:id="44"/>
      <w:r>
        <w:rPr>
          <w:rFonts w:ascii="Times New Roman" w:hAnsi="Times New Roman"/>
          <w:b/>
          <w:color w:val="000000"/>
          <w:sz w:val="22"/>
        </w:rPr>
        <w:t>Exhibit 19.1</w:t>
      </w:r>
      <w:r>
        <w:br w:type="page"/>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8"/>
        </w:rPr>
        <w:t>Addus HomeCare Corporation</w:t>
      </w:r>
      <w:r>
        <w:rPr>
          <w:rFonts w:ascii="Times New Roman" w:hAnsi="Times New Roman"/>
          <w:color w:val="000000"/>
          <w:sz w:val="20"/>
        </w:rPr>
        <w:t xml:space="preserve"> </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Insider Trading Policy</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Insider Trading Policy (the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provides guidelines to directors, officers and employees of Addus HomeCare Corporation (which, together with its subsidiaries, is referred to in this Policy as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certain other persons set forth below, with respect to transactions in the Company’s securities and the confidentiality of corporate information.</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I.</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Purpose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Federal and state securities laws prohibit the purchase or sale of a company’s securities by persons who are aware of material information about that company that is not generally known or available to the public. In order to comply with such federal and state securities laws, and to prevent even the appearance of improper insider trading or tipping, the Company has adopted this Policy for all of its directors, officers and employees, their family members, and specially designated outsiders who have access to the Company’s material nonpublic information, as defined in Section VI below.</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II.</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Potential Civil, Criminal and Disciplinary Sanctions For Failure to Comply with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u w:val="single"/>
        </w:rPr>
        <w:t>Civil and Criminal Penalties</w:t>
      </w:r>
      <w:r>
        <w:rPr>
          <w:rFonts w:ascii="Times New Roman" w:hAnsi="Times New Roman"/>
          <w:color w:val="000000"/>
          <w:sz w:val="24"/>
        </w:rPr>
        <w:t>. The consequences of prohibited insider trading or tipping can be severe. Persons violating insider trading or tipping rules may be required to disgorge the profit made or the loss avoided by the trading, pay the loss suffered by the person who purchased securities from or sold securities to the insider tippee, and/or be subject to significant civil and/or criminal penalties. The Company and/or the supervisors of the person violating the rules may also be required to pay significant civil or criminal penalties.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u w:val="single"/>
        </w:rPr>
        <w:t>Company Discipline</w:t>
      </w:r>
      <w:r>
        <w:rPr>
          <w:rFonts w:ascii="Times New Roman" w:hAnsi="Times New Roman"/>
          <w:color w:val="000000"/>
          <w:sz w:val="24"/>
        </w:rPr>
        <w:t>. Violation of this Policy or federal or state insider trading or tipping laws by any director, officer or employee of the Company, or their family members, may subject the director to dismissal proceedings and the officer or employee to disciplinary action by the Company up to and including termination for cause.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u w:val="single"/>
        </w:rPr>
        <w:t>Reporting of Violations</w:t>
      </w:r>
      <w:r>
        <w:rPr>
          <w:rFonts w:ascii="Times New Roman" w:hAnsi="Times New Roman"/>
          <w:color w:val="000000"/>
          <w:sz w:val="24"/>
        </w:rPr>
        <w:t>. Any director, officer or employee of the Company who violates this Policy or any federal or state laws governing insider trading or tipping, or knows of any such violation by any other director, officer or employee of the Company, must report the violation immediately to the Securities Trading Officer (defined in Section V below). Upon learning of any such violation, the Securities Trading Officer, in consultation with the Company’s legal counsel, will determine whether the Company should release any material nonpublic information, or whether the Company should report the violation to the Securities and Exchange Commission or other appropriate governmental authority.</w:t>
      </w:r>
    </w:p>
    <w:p>
      <w:pPr>
        <w:pStyle w:val="TextBody"/>
        <w:bidi w:val="0"/>
        <w:jc w:val="center"/>
        <w:rPr>
          <w:rFonts w:ascii="Times New Roman" w:hAnsi="Times New Roman"/>
          <w:sz w:val="20"/>
        </w:rPr>
      </w:pPr>
      <w:r>
        <w:rPr>
          <w:rFonts w:ascii="Times New Roman" w:hAnsi="Times New Roman"/>
          <w:color w:val="000000"/>
          <w:sz w:val="24"/>
        </w:rPr>
        <w:t>- 1</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III.</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Applicability of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u w:val="single"/>
        </w:rPr>
        <w:t>Persons Covered</w:t>
      </w:r>
      <w:r>
        <w:rPr>
          <w:rFonts w:ascii="Times New Roman" w:hAnsi="Times New Roman"/>
          <w:color w:val="000000"/>
          <w:sz w:val="24"/>
        </w:rPr>
        <w:t>. This Policy applies to all members of the Company’s Board of Directors, the Company’s officers and the Company’s employees. This Policy also applies to entities controlled by Covered Persons (as defined below) and to family trusts (or similar entities controlled by or benefiting individuals subject to the Policy) of Covered Persons. In addition, the Securities Trading Officer may also determine that this Policy should be applicable to other persons who may have had access to material nonpublic information of the Company, such as independent contractors and those persons in a special relationship with the Company (e.g., its auditors, consultants or attorneys). Collectively, any persons to whom this Policy applies (as listed in the prior sentences of this Section III.A) are herein referred to as “</w:t>
      </w:r>
      <w:r>
        <w:rPr>
          <w:rFonts w:ascii="Times New Roman" w:hAnsi="Times New Roman"/>
          <w:color w:val="000000"/>
          <w:sz w:val="24"/>
          <w:u w:val="single"/>
        </w:rPr>
        <w:t>Covered Persons</w:t>
      </w:r>
      <w:r>
        <w:rPr>
          <w:color w:val="000000"/>
        </w:rPr>
        <w:t>”</w:t>
      </w:r>
      <w:r>
        <w:rPr>
          <w:rFonts w:ascii="Times New Roman" w:hAnsi="Times New Roman"/>
          <w:color w:val="000000"/>
          <w:sz w:val="24"/>
        </w:rPr>
        <w:t>. Family members of a Covered Person who reside with such Covered Person, anyone else who lives in a Covered Person’s household and any family members who do not live in a Covered Person’s household but whose transactions in the Company’s securities are directed by a Covered Person or are subject to a Covered Person’s influence or control, are also subject to this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u w:val="single"/>
        </w:rPr>
        <w:t>Companies Covered</w:t>
      </w:r>
      <w:r>
        <w:rPr>
          <w:rFonts w:ascii="Times New Roman" w:hAnsi="Times New Roman"/>
          <w:color w:val="000000"/>
          <w:sz w:val="24"/>
        </w:rPr>
        <w:t>. The prohibition on insider trading in this Policy is not limited to trading in the Company’s securities. It includes trading in the securities of other firms, such as payors of the Company about which you have material nonpublic information as defined in Section VI, and those with which the Company is negotiating major transactions, such as an acquisition, investment or sale. Information that is not material to the Company may nevertheless be material to one of those other entities.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u w:val="single"/>
        </w:rPr>
        <w:t>Transactions Covered</w:t>
      </w:r>
      <w:r>
        <w:rPr>
          <w:rFonts w:ascii="Times New Roman" w:hAnsi="Times New Roman"/>
          <w:color w:val="000000"/>
          <w:sz w:val="24"/>
        </w:rPr>
        <w:t>. Except for certain transactions excluded under Section VII.D, the Policy applies to any and all transactions in the Company’s securities, including its common stock and options to purchase common stock, and any other type of securities (or securities convertible or exchangeable into securities) that the Company may issue, including (but not limited to) as debt securities, preferred stock, convertible debentures, warrants and exchange-traded options and other derivative securities (together, “</w:t>
      </w:r>
      <w:r>
        <w:rPr>
          <w:rFonts w:ascii="Times New Roman" w:hAnsi="Times New Roman"/>
          <w:color w:val="000000"/>
          <w:sz w:val="24"/>
          <w:u w:val="single"/>
        </w:rPr>
        <w:t>Company Securities</w:t>
      </w:r>
      <w:r>
        <w:rPr>
          <w:color w:val="000000"/>
        </w:rPr>
        <w:t>”</w:t>
      </w:r>
      <w:r>
        <w:rPr>
          <w:rFonts w:ascii="Times New Roman" w:hAnsi="Times New Roman"/>
          <w:color w:val="000000"/>
          <w:sz w:val="24"/>
        </w:rPr>
        <w:t xml:space="preserve">). In addition, this Policy applies to transactions involving a put, call, straddle, option, privilege or security futures product involving Company Securities or any group or index of securities that includes Company Securities; provided, however, that this Policy does not apply to any broad-based mutual, index or similar funds that have an investment in Company Securities.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Policy will be delivered to all directors, officers and employees upon its adoption or any material amendment by the Company, and to all new directors, officers and employees of the Company at the start of their employment or relationship with the Company. Upon first receiving a copy of the Policy, each director, officer and employee must sign an acknowledgment that he or she has received a copy and agrees to comply with the Policy’s terms. Section 16 Individuals and Key Employees, as defined below, may be required to certify compliance with the Policy on an annual basis.</w:t>
      </w:r>
    </w:p>
    <w:p>
      <w:pPr>
        <w:pStyle w:val="TextBody"/>
        <w:bidi w:val="0"/>
        <w:jc w:val="center"/>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IV.</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16 Individuals and Key Employees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i/>
          <w:color w:val="000000"/>
          <w:sz w:val="24"/>
        </w:rPr>
        <w:t>Section 16 Individuals</w:t>
      </w:r>
      <w:r>
        <w:rPr>
          <w:rFonts w:ascii="Times New Roman" w:hAnsi="Times New Roman"/>
          <w:color w:val="000000"/>
          <w:sz w:val="24"/>
        </w:rPr>
        <w:t>. The members of the Board of Directors of the Company, and the officers of the Company, who are subject to the reporting provisions and trading restrictions of Section 16 of the Securities Exchange Act of 1934, as amended (the “</w:t>
      </w:r>
      <w:r>
        <w:rPr>
          <w:rFonts w:ascii="Times New Roman" w:hAnsi="Times New Roman"/>
          <w:color w:val="000000"/>
          <w:sz w:val="24"/>
          <w:u w:val="single"/>
        </w:rPr>
        <w:t>Exchange Act</w:t>
      </w:r>
      <w:r>
        <w:rPr>
          <w:color w:val="000000"/>
        </w:rPr>
        <w:t>”</w:t>
      </w:r>
      <w:r>
        <w:rPr>
          <w:rFonts w:ascii="Times New Roman" w:hAnsi="Times New Roman"/>
          <w:color w:val="000000"/>
          <w:sz w:val="24"/>
        </w:rPr>
        <w:t>), and the underlying rules and regulations promulgated by the Securities and Exchange Commission, are designated as “</w:t>
      </w:r>
      <w:r>
        <w:rPr>
          <w:rFonts w:ascii="Times New Roman" w:hAnsi="Times New Roman"/>
          <w:color w:val="000000"/>
          <w:sz w:val="24"/>
          <w:u w:val="single"/>
        </w:rPr>
        <w:t>Section 16 Individuals</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i/>
          <w:color w:val="000000"/>
          <w:sz w:val="24"/>
        </w:rPr>
        <w:t>Key Employees</w:t>
      </w:r>
      <w:r>
        <w:rPr>
          <w:rFonts w:ascii="Times New Roman" w:hAnsi="Times New Roman"/>
          <w:color w:val="000000"/>
          <w:sz w:val="24"/>
        </w:rPr>
        <w:t>. The Securities Trading Officer will maintain a list of employees at the Company who are not Section 16 Individuals but who may have access to material nonpublic information from time to time and will be designated as “Key Employees.” The Securities Trading Officer will immediately notify any employee who is designated as a Key Employee.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i/>
          <w:color w:val="000000"/>
          <w:sz w:val="24"/>
        </w:rPr>
        <w:t>Insiders</w:t>
      </w:r>
      <w:r>
        <w:rPr>
          <w:rFonts w:ascii="Times New Roman" w:hAnsi="Times New Roman"/>
          <w:color w:val="000000"/>
          <w:sz w:val="24"/>
        </w:rPr>
        <w:t>. Section 16 Individuals and Key Employees are collectively referred to in this Policy as “</w:t>
      </w:r>
      <w:r>
        <w:rPr>
          <w:rFonts w:ascii="Times New Roman" w:hAnsi="Times New Roman"/>
          <w:color w:val="000000"/>
          <w:sz w:val="24"/>
          <w:u w:val="single"/>
        </w:rPr>
        <w:t>Insiders</w:t>
      </w:r>
      <w:r>
        <w:rPr>
          <w:rFonts w:ascii="Times New Roman" w:hAnsi="Times New Roman"/>
          <w:color w:val="000000"/>
          <w:sz w:val="24"/>
        </w:rPr>
        <w:t>.”</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V.</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Securities TRADING Officer</w:t>
      </w:r>
    </w:p>
    <w:p>
      <w:pPr>
        <w:pStyle w:val="TextBody"/>
        <w:bidi w:val="0"/>
        <w:spacing w:before="0" w:after="240"/>
        <w:jc w:val="both"/>
        <w:rPr>
          <w:rFonts w:ascii="Times New Roman" w:hAnsi="Times New Roman"/>
          <w:sz w:val="20"/>
        </w:rPr>
      </w:pPr>
      <w:r>
        <w:rPr>
          <w:rFonts w:ascii="Times New Roman" w:hAnsi="Times New Roman"/>
          <w:color w:val="000000"/>
          <w:sz w:val="24"/>
        </w:rPr>
        <w:t>The Company has designated the Company’s Chief Financial Officer as its “</w:t>
      </w:r>
      <w:r>
        <w:rPr>
          <w:rFonts w:ascii="Times New Roman" w:hAnsi="Times New Roman"/>
          <w:color w:val="000000"/>
          <w:sz w:val="24"/>
          <w:u w:val="single"/>
        </w:rPr>
        <w:t>Securities Trading Officer</w:t>
      </w:r>
      <w:r>
        <w:rPr>
          <w:rFonts w:ascii="Times New Roman" w:hAnsi="Times New Roman"/>
          <w:color w:val="000000"/>
          <w:sz w:val="24"/>
        </w:rPr>
        <w:t>.” The Company’s Board of Directors may from time to time designate another individual within the Company as the Securities Trading Officer, and the Securities Trading Officer, with the concurrence of the Board of Directors, the compensation committee thereof or outside or internal counsel, may designate other individuals with sufficient knowledge of Section 16 of the Exchange Act as assistants to the Securities Trading Officer, and may delegate any duties described herein to any such assistant. Furthermore, the Securities Trading Officer may, with the concurrence of the outside or internal counsel, temporarily designate one or more individuals who may perform the Securities Trading Officer’s duties in the event that the Securities Trading Officer is temporarily unable or unavailable to perform such duties. Furthermore, in the event that the Securities Trading Officer is temporarily unable or unavailable to perform such duties, the Company’s Chief Executive Officer may perform the functions of the Securities Trading Officer. The Securities Trading Officer may rely on the advice or opinion of outside or internal counsel.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Securities Trading Officer will review and either pre-approve or prohibit all proposed transactions by Insiders subject to the pre-approval procedures set forth in Section VII.C.4 below.</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to the trading approval duties described in Section VII.C below, the duties of the Securities Trading Officer will include the following: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Administering this Policy and monitoring and enforcing compliance with all Policy provisions and procedures.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Responding to all inquiries relating to this Policy and its procedures.</w:t>
      </w:r>
    </w:p>
    <w:p>
      <w:pPr>
        <w:pStyle w:val="TextBody"/>
        <w:bidi w:val="0"/>
        <w:jc w:val="center"/>
        <w:rPr>
          <w:rFonts w:ascii="Times New Roman" w:hAnsi="Times New Roman"/>
          <w:sz w:val="20"/>
        </w:rPr>
      </w:pPr>
      <w:r>
        <w:rPr>
          <w:rFonts w:ascii="Times New Roman" w:hAnsi="Times New Roman"/>
          <w:color w:val="000000"/>
          <w:sz w:val="24"/>
        </w:rPr>
        <w:t>- 3</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Designating and announcing special trading blackout periods during which Covered Persons (or any subset thereof) may not trade in Company Securities.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Providing copies of this Policy and other appropriate materials to all current and new directors, officers and employees and such other persons who the Securities Trading Officer determines have access to material nonpublic information concerning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color w:val="000000"/>
          <w:sz w:val="24"/>
        </w:rPr>
        <w:t>Administering, monitoring and enforcing compliance with all federal and state insider trading laws and regulations including, without limitation, Sections 10(b), 16, 20A and 21A of the Exchange Act and the rules and regulations promulgated thereunder, and Rule 144 under the Securities Act of 1933 (the “</w:t>
      </w:r>
      <w:r>
        <w:rPr>
          <w:rFonts w:ascii="Times New Roman" w:hAnsi="Times New Roman"/>
          <w:color w:val="000000"/>
          <w:sz w:val="24"/>
          <w:u w:val="single"/>
        </w:rPr>
        <w:t>Securities Act</w:t>
      </w:r>
      <w:r>
        <w:rPr>
          <w:color w:val="000000"/>
        </w:rPr>
        <w:t>”</w:t>
      </w:r>
      <w:r>
        <w:rPr>
          <w:rFonts w:ascii="Times New Roman" w:hAnsi="Times New Roman"/>
          <w:color w:val="000000"/>
          <w:sz w:val="24"/>
        </w:rPr>
        <w:t>); and assisting in the preparation and filing of all required Securities and Exchange Commission reports relating to insider trading in Company Securities, including without limitation Forms 3, 4 and 5 and Schedules 13D and 13G.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Revising the Policy as necessary to reflect changes in federal or state insider trading laws and regulations.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Maintaining as Company records originals or copies of all documents required by the provisions of this Policy or the procedures set forth herein, and copies of all required Securities and Exchange Commission reports relating to insider trading including, without limitation, Forms 3, 4 and 5 and Schedules 13D and 13G.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Maintaining the accuracy of the list of Section 16 Individuals and Key Employees, and updating them periodically as necessary to reflect additions to or deletions from each category of individuals.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VI.</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Definition of “Material” Nonpublic Information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color w:val="000000"/>
        </w:rPr>
      </w:pPr>
      <w:r>
        <w:rPr>
          <w:color w:val="000000"/>
        </w:rPr>
        <w:t>“</w:t>
      </w:r>
      <w:r>
        <w:rPr>
          <w:rFonts w:ascii="Times New Roman" w:hAnsi="Times New Roman"/>
          <w:b/>
          <w:color w:val="000000"/>
          <w:sz w:val="24"/>
        </w:rPr>
        <w:t>Material” Information</w:t>
      </w:r>
    </w:p>
    <w:p>
      <w:pPr>
        <w:pStyle w:val="TextBody"/>
        <w:bidi w:val="0"/>
        <w:spacing w:before="0" w:after="240"/>
        <w:jc w:val="both"/>
        <w:rPr>
          <w:rFonts w:ascii="Times New Roman" w:hAnsi="Times New Roman"/>
          <w:sz w:val="20"/>
        </w:rPr>
      </w:pPr>
      <w:r>
        <w:rPr>
          <w:rFonts w:ascii="Times New Roman" w:hAnsi="Times New Roman"/>
          <w:color w:val="000000"/>
          <w:sz w:val="24"/>
        </w:rPr>
        <w:t>Information about the Company is “</w:t>
      </w:r>
      <w:r>
        <w:rPr>
          <w:rFonts w:ascii="Times New Roman" w:hAnsi="Times New Roman"/>
          <w:color w:val="000000"/>
          <w:sz w:val="24"/>
          <w:u w:val="single"/>
        </w:rPr>
        <w:t>material</w:t>
      </w:r>
      <w:r>
        <w:rPr>
          <w:rFonts w:ascii="Times New Roman" w:hAnsi="Times New Roman"/>
          <w:color w:val="000000"/>
          <w:sz w:val="20"/>
        </w:rPr>
        <w:t xml:space="preserve">” </w:t>
      </w:r>
      <w:r>
        <w:rPr>
          <w:rFonts w:ascii="Times New Roman" w:hAnsi="Times New Roman"/>
          <w:color w:val="000000"/>
          <w:sz w:val="24"/>
        </w:rPr>
        <w:t>if it could reasonably be expected to affect the investment or voting decisions of the reasonable shareholder or investor, or if the disclosure of the information could reasonably be expected to significantly alter the total mix of the information in the marketplace about the Company. In simple terms, material information is any type of information which could reasonably be expected to affect the market price of Company Securities — positively or negatively — or a person’s decision to buy, sell, or hold the Company Securities. While it is not possible to identify all information that would be deemed “material,” the following types of information ordinarily would be considered material:</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Financial performance, especially quarterly and year-end earnings, and significant changes in financial performance or liquidity.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projections and strategic plans.</w:t>
      </w:r>
    </w:p>
    <w:p>
      <w:pPr>
        <w:pStyle w:val="TextBody"/>
        <w:bidi w:val="0"/>
        <w:jc w:val="center"/>
        <w:rPr>
          <w:rFonts w:ascii="Times New Roman" w:hAnsi="Times New Roman"/>
          <w:sz w:val="20"/>
        </w:rPr>
      </w:pPr>
      <w:r>
        <w:rPr>
          <w:rFonts w:ascii="Times New Roman" w:hAnsi="Times New Roman"/>
          <w:color w:val="000000"/>
          <w:sz w:val="24"/>
        </w:rPr>
        <w:t>- 4</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Potential large mergers and acquisitions or the sale of significant Company assets or subsidiaries.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New major contracts, payors or finance sources, or the loss thereof.</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changes or developments in lines of service.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Stock splits, public or private securities/debt offerings or changes in Company dividend policies or amounts.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changes in senior management.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labor disputes or negotiations.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Actual or threatened major litigation, or the resolution of such litigation.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color w:val="000000"/>
        </w:rPr>
      </w:pPr>
      <w:r>
        <w:rPr>
          <w:color w:val="000000"/>
        </w:rPr>
        <w:t>“</w:t>
      </w:r>
      <w:r>
        <w:rPr>
          <w:rFonts w:ascii="Times New Roman" w:hAnsi="Times New Roman"/>
          <w:b/>
          <w:color w:val="000000"/>
          <w:sz w:val="24"/>
        </w:rPr>
        <w:t>Nonpublic” Information</w:t>
      </w:r>
    </w:p>
    <w:p>
      <w:pPr>
        <w:pStyle w:val="TextBody"/>
        <w:bidi w:val="0"/>
        <w:spacing w:before="0" w:after="240"/>
        <w:jc w:val="both"/>
        <w:rPr>
          <w:rFonts w:ascii="Times New Roman" w:hAnsi="Times New Roman"/>
          <w:sz w:val="20"/>
        </w:rPr>
      </w:pPr>
      <w:r>
        <w:rPr>
          <w:rFonts w:ascii="Times New Roman" w:hAnsi="Times New Roman"/>
          <w:color w:val="000000"/>
          <w:sz w:val="24"/>
        </w:rPr>
        <w:t>Material information is “</w:t>
      </w:r>
      <w:r>
        <w:rPr>
          <w:rFonts w:ascii="Times New Roman" w:hAnsi="Times New Roman"/>
          <w:color w:val="000000"/>
          <w:sz w:val="24"/>
          <w:u w:val="single"/>
        </w:rPr>
        <w:t>nonpublic</w:t>
      </w:r>
      <w:r>
        <w:rPr>
          <w:rFonts w:ascii="Times New Roman" w:hAnsi="Times New Roman"/>
          <w:color w:val="000000"/>
          <w:sz w:val="20"/>
        </w:rPr>
        <w:t xml:space="preserve">” </w:t>
      </w:r>
      <w:r>
        <w:rPr>
          <w:rFonts w:ascii="Times New Roman" w:hAnsi="Times New Roman"/>
          <w:color w:val="000000"/>
          <w:sz w:val="24"/>
        </w:rPr>
        <w:t>if it is not generally known or available to the public. Such information will not become “public” until it has been widely disseminated to the public through filings with the Securities and Exchange Commission, and/or releases to major newswire services, national news services and financial news services. For the purposes of this Policy, information will be considered public, i.e., no longer “nonpublic”, after the close of trading on the second full trading day following the Company’s widespread public release of the information. For example, if the Company announces material information before trading begins on a Tuesday, the first time you can buy or sell Company Securities is the opening of the market on Thursday. However, if the Company announces material information after trading begins on that Tuesday, you could not buy or sell Company Securities until the opening of the market on Friday.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Consult the Securities Trading Officer for Guidance</w:t>
      </w:r>
    </w:p>
    <w:p>
      <w:pPr>
        <w:pStyle w:val="TextBody"/>
        <w:bidi w:val="0"/>
        <w:spacing w:before="0" w:after="240"/>
        <w:jc w:val="both"/>
        <w:rPr>
          <w:rFonts w:ascii="Times New Roman" w:hAnsi="Times New Roman"/>
          <w:sz w:val="20"/>
        </w:rPr>
      </w:pPr>
      <w:r>
        <w:rPr>
          <w:rFonts w:ascii="Times New Roman" w:hAnsi="Times New Roman"/>
          <w:color w:val="000000"/>
          <w:sz w:val="24"/>
        </w:rPr>
        <w:t>Any Covered Person who is unsure whether the information that they possess is material or nonpublic must consult the Securities Trading Officer for guidance before trading in any Company Securities.</w:t>
      </w:r>
      <w:r>
        <w:rPr>
          <w:rFonts w:ascii="Times New Roman" w:hAnsi="Times New Roman"/>
          <w:color w:val="000000"/>
          <w:sz w:val="20"/>
        </w:rPr>
        <w:t xml:space="preserve">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VII.</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Statement of Company Policy and Procedures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GENERAL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the policy of the Company to oppose the unauthorized disclosure of any nonpublic information acquired in the workplace and the misuse of material nonpublic information in securities trading.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PROHIBITED ACTIVITIES APPLICABLE TO ALL COVERED PERSONS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Covered Persons may engage in a transaction with respect to Company Securities while possessing material nonpublic information concerning the </w:t>
      </w:r>
    </w:p>
    <w:p>
      <w:pPr>
        <w:pStyle w:val="TextBody"/>
        <w:bidi w:val="0"/>
        <w:jc w:val="center"/>
        <w:rPr>
          <w:rFonts w:ascii="Times New Roman" w:hAnsi="Times New Roman"/>
          <w:sz w:val="20"/>
        </w:rPr>
      </w:pPr>
      <w:r>
        <w:rPr>
          <w:rFonts w:ascii="Times New Roman" w:hAnsi="Times New Roman"/>
          <w:color w:val="000000"/>
          <w:sz w:val="24"/>
        </w:rPr>
        <w:t>- 5</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except for trades pursuant to a 10b5-1 Plan approved in accordance with Section VII.C.3 below or transactions excluded under Section VII.D.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Covered Persons made aware of a special trading blackout period designated by a Company Officer may engage in a transaction with respect to the Company Securities during such period, nor may any Covered Person inform anyone of the existence of the special trading blackout, except for trades pursuant to a 10b5-1 Plan approved in accordance with Section VII.C.3 below or transactions excluded under Section VII.D.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Securities Trading Officer may not trade in Company Securities unless the trade(s) have been approved by the Chief Executive Officer in accordance with the procedures set forth in Section VII.C.4 below, except for trades pursuant to a 10b5-1 Plan approved in accordance with Section VII.C.3 below or transactions excluded under Section VII.D.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Covered Persons may “tip” or disclose material nonpublic information concerning the Company to any outside person (including family members, analysts, individual investors and members of the investment community and news media), unless required as part of that person’s regular duties for the Company and authorized by the Securities Trading Officer. In any instance in which such information is disclosed to outsiders, the Company will take such steps as are necessary to preserve the confidentiality of the information, including requiring the outsider to agree in writing to comply with the terms of this Policy and/or to sign a confidentiality agreement. All inquiries from outsiders regarding material nonpublic information about the Company must be forwarded to the Securities Trading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Covered Persons may give trading advice of any kind about the Company to anyone while possessing material nonpublic information about the Company, except that they should advise others not to trade if doing so might violate the law or this Policy. The Company strongly discourages all Covered Persons from giving trading advice concerning the Company to third parties even when they do not possess material nonpublic information about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rPr>
        <w:t>Whether or not in possession of material nonpublic information, no Covered Persons may directly or indirectly engage in transactions that are designed to or have the effect of hedging or offsetting any decrease in the market value of Company Securities (</w:t>
      </w:r>
      <w:r>
        <w:rPr>
          <w:rFonts w:ascii="Times New Roman" w:hAnsi="Times New Roman"/>
          <w:color w:val="000000"/>
          <w:sz w:val="22"/>
        </w:rPr>
        <w:t>such as prepaid variable forwards, equity swaps, collars and exchange funds)</w:t>
      </w:r>
      <w:r>
        <w:rPr>
          <w:rFonts w:ascii="Times New Roman" w:hAnsi="Times New Roman"/>
          <w:color w:val="000000"/>
          <w:sz w:val="24"/>
        </w:rPr>
        <w:t>; may buy or sell put options, call options or other derivatives of Company Securities; may execute short sales of Company Securities (i.e., the sale of a security that the seller does not own); may hold Company Securities in margin accounts; may pledge any Company Securities as collateral for a loan; or may establish standing and limit orders (except standing and limit orders under approved Rule 10b5-1 plans) without obtaining the consent of the Securities Trading Officer and the Board of Directors (or a duly appointed committee thereof).</w:t>
      </w:r>
    </w:p>
    <w:p>
      <w:pPr>
        <w:pStyle w:val="TextBody"/>
        <w:bidi w:val="0"/>
        <w:jc w:val="center"/>
        <w:rPr>
          <w:rFonts w:ascii="Times New Roman" w:hAnsi="Times New Roman"/>
          <w:sz w:val="20"/>
        </w:rPr>
      </w:pPr>
      <w:r>
        <w:rPr>
          <w:rFonts w:ascii="Times New Roman" w:hAnsi="Times New Roman"/>
          <w:color w:val="000000"/>
          <w:sz w:val="24"/>
        </w:rPr>
        <w:t>- 6</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Covered Persons may (a) trade in the securities of any other public company while possessing material nonpublic information concerning that company, (b) “tip” or disclose material nonpublic information concerning any other public company to anyone, or (c) give trading advice of any kind to anyone concerning any other public company while possessing material nonpublic information about that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RULES APPLICABLE TO INSIDERS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i/>
          <w:color w:val="000000"/>
          <w:sz w:val="24"/>
        </w:rPr>
        <w:t>Blackout Periods and Trading Window for Insiders</w:t>
      </w:r>
      <w:r>
        <w:rPr>
          <w:rFonts w:ascii="Times New Roman" w:hAnsi="Times New Roman"/>
          <w:color w:val="000000"/>
          <w:sz w:val="24"/>
        </w:rPr>
        <w:t>. After obtaining trading approval from the Securities Trading Officer in accordance with the procedures set forth in Section VII.C.4 below, Section 16 Individuals and Key Employees may trade in Company Securities only during the period beginning at the close of trading on the second full trading day following the Company’s widespread public release of quarterly or year-end earnings, and ending on the fifteenth day of the third month of the quarter, except (for the avoidance of doubt) trades pursuant to a 10b5-1 Plan approved in accordance with Section VII.C.3 below or transactions excluded under Section VII.D. Notwithstanding anything to the contrary, at no time shall a trading window be established during the last week of any quarter.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i/>
          <w:color w:val="000000"/>
          <w:sz w:val="24"/>
        </w:rPr>
        <w:t>No Trading During Trading Windows While in the Possession of Material Nonpublic Information</w:t>
      </w:r>
      <w:r>
        <w:rPr>
          <w:rFonts w:ascii="Times New Roman" w:hAnsi="Times New Roman"/>
          <w:color w:val="000000"/>
          <w:sz w:val="24"/>
        </w:rPr>
        <w:t>. No Insider possessing material nonpublic information concerning the Company may trade in Company Securities even during applicable trading windows, except (for the avoidance of doubt) trades pursuant to a 10b5-1 Plan approved in accordance with Section VII.C.3 below or transactions excluded under Section VII.D. Persons possessing such information may trade during a trading window only after the close of trading on the second full trading day following the Company’s widespread public release of the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i/>
          <w:color w:val="000000"/>
          <w:sz w:val="24"/>
        </w:rPr>
        <w:t>Exceptions for Blind Trusts and Pre-Arranged Trading Programs</w:t>
      </w:r>
      <w:r>
        <w:rPr>
          <w:rFonts w:ascii="Times New Roman" w:hAnsi="Times New Roman"/>
          <w:color w:val="000000"/>
          <w:sz w:val="24"/>
        </w:rPr>
        <w:t>. Rule 10b5-1(c) of the Exchange Act provides an affirmative defense against insider trading liability under federal securities laws for a transaction done pursuant to “blind trusts” (generally, trusts or other arrangements in which investment control has been completely delegated to a third party, such as an institutional or professional trustee) or pursuant to a written plan, or a binding contract or instruction, entered into in good faith at a time when the insider was not aware of material nonpublic information, and meeting the other requirements of Rule 10b5-1 of the Exchange Act (in each case, a “</w:t>
      </w:r>
      <w:r>
        <w:rPr>
          <w:rFonts w:ascii="Times New Roman" w:hAnsi="Times New Roman"/>
          <w:color w:val="000000"/>
          <w:sz w:val="24"/>
          <w:u w:val="single"/>
        </w:rPr>
        <w:t>10b5-1 Plan</w:t>
      </w:r>
      <w:r>
        <w:rPr>
          <w:color w:val="000000"/>
        </w:rPr>
        <w:t>”</w:t>
      </w:r>
      <w:r>
        <w:rPr>
          <w:rFonts w:ascii="Times New Roman" w:hAnsi="Times New Roman"/>
          <w:color w:val="000000"/>
          <w:sz w:val="24"/>
        </w:rPr>
        <w:t xml:space="preserve">), even though the transaction in question may occur at a time when the person is aware of material nonpublic information. The Company may, in appropriate circumstances, approve the use of a 10b5-1 Plan by an Insider for which transactions involving Company Securities may take place while the Insider may be in possession of material nonpublic information. If you wish to enter into a 10b5-1 Plan, you must notify the Securities Trading Officer, and the Securities Trading Officer must pre-approve any such 10b5-1 Plan prior to your entry into such a plan. </w:t>
      </w:r>
    </w:p>
    <w:p>
      <w:pPr>
        <w:pStyle w:val="TextBody"/>
        <w:bidi w:val="0"/>
        <w:jc w:val="center"/>
        <w:rPr>
          <w:rFonts w:ascii="Times New Roman" w:hAnsi="Times New Roman"/>
          <w:sz w:val="20"/>
        </w:rPr>
      </w:pPr>
      <w:r>
        <w:rPr>
          <w:rFonts w:ascii="Times New Roman" w:hAnsi="Times New Roman"/>
          <w:color w:val="000000"/>
          <w:sz w:val="24"/>
        </w:rPr>
        <w:t>- 7</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i/>
          <w:color w:val="000000"/>
          <w:sz w:val="24"/>
        </w:rPr>
        <w:t>Pre-Approval of Trades</w:t>
      </w:r>
      <w:r>
        <w:rPr>
          <w:rFonts w:ascii="Times New Roman" w:hAnsi="Times New Roman"/>
          <w:color w:val="000000"/>
          <w:sz w:val="24"/>
        </w:rPr>
        <w:t>. No Insider may trade (including a gift) in Company Securities until: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person trading has notified the Securities Trading Officer in writing of the amount and nature of the proposed trade(s);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person trading (but not including the administrator of any 10b5-1 Plan) has certified to the Securities Trading Officer in writing that (i) he or she is not in possession of material nonpublic information concerning the Company and (ii) the proposed trade(s) do not violate the trading restrictions of Section 16 of the Exchange Act or Rule 144 of the Securities Act;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Securities Trading Officer has approved the trade(s) in writing.</w:t>
      </w:r>
    </w:p>
    <w:p>
      <w:pPr>
        <w:pStyle w:val="TextBody"/>
        <w:bidi w:val="0"/>
        <w:spacing w:before="0" w:after="240"/>
        <w:jc w:val="both"/>
        <w:rPr>
          <w:rFonts w:ascii="Times New Roman" w:hAnsi="Times New Roman"/>
          <w:sz w:val="20"/>
        </w:rPr>
      </w:pPr>
      <w:r>
        <w:rPr>
          <w:rFonts w:ascii="Times New Roman" w:hAnsi="Times New Roman"/>
          <w:color w:val="000000"/>
          <w:sz w:val="24"/>
        </w:rPr>
        <w:t>The foregoing clauses b. and c. do not apply to administrators of 10b5-1 Plans. Instead, if any trade is anticipated to be made pursuant to a 10b5-1 Plan, the administrator of the plan shall notify the Securities Trading Officer of such trade in accordance with clause a. above.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Insider is advised that the Company Securities may be traded, he or she may trade the Company Securities within five business days thereafter. If for any reason the trade is not completed within the five business days after the date of approval, clearance must be obtained again before the Company Securities may be traded. If the person trading is the Securities Trading Officer, then the foregoing approvals must be given by the Chief Executive Officer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i/>
          <w:color w:val="000000"/>
          <w:sz w:val="24"/>
        </w:rPr>
        <w:t>No Obligation to Approve Trades</w:t>
      </w:r>
      <w:r>
        <w:rPr>
          <w:rFonts w:ascii="Times New Roman" w:hAnsi="Times New Roman"/>
          <w:color w:val="000000"/>
          <w:sz w:val="24"/>
        </w:rPr>
        <w:t xml:space="preserve">. The existence of the foregoing approval procedures does not in any way obligate the Securities Trading Officer to approve any trades requested by Section 16 Individuals, Key Employees or other applicants. The Securities Trading Officer may reject any trading requests at his or her sole reasonable discretion.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i/>
          <w:color w:val="000000"/>
          <w:sz w:val="24"/>
        </w:rPr>
        <w:t xml:space="preserve">No Legal Advice, Etc. </w:t>
      </w:r>
      <w:r>
        <w:rPr>
          <w:rFonts w:ascii="Times New Roman" w:hAnsi="Times New Roman"/>
          <w:color w:val="000000"/>
          <w:sz w:val="24"/>
        </w:rPr>
        <w:t>The Securities Trading Officer’s approval of a transaction submitted for pre-approval does not constitute legal advice, does not constitute confirmation that any individual does not possess material nonpublic information and does not relieve any individual of any of his or her legal obligations.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EXCLUDED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i/>
          <w:color w:val="000000"/>
          <w:sz w:val="24"/>
        </w:rPr>
        <w:t>Employee Stock Purchase Plans</w:t>
      </w:r>
      <w:r>
        <w:rPr>
          <w:rFonts w:ascii="Times New Roman" w:hAnsi="Times New Roman"/>
          <w:color w:val="000000"/>
          <w:sz w:val="24"/>
        </w:rPr>
        <w:t>. The trading prohibitions and restrictions set forth in this Policy do not apply to periodic contributions by the Company or employees to employee benefit plans (e.g., pension or 401(k) plans), pursuant to an election made at the time of enrollment in the plan, where the contributions are used to purchase Company Securities pursuant to the employees’ advance instructions. However, no Covered Persons may alter their instructions regarding the purchase or sale of Company Securities in such plans, may make elections under any such plan</w:t>
      </w:r>
      <w:r>
        <w:rPr>
          <w:rFonts w:ascii="Times New Roman" w:hAnsi="Times New Roman"/>
          <w:i/>
          <w:color w:val="000000"/>
          <w:sz w:val="24"/>
        </w:rPr>
        <w:t xml:space="preserve">, </w:t>
      </w:r>
      <w:r>
        <w:rPr>
          <w:rFonts w:ascii="Times New Roman" w:hAnsi="Times New Roman"/>
          <w:color w:val="000000"/>
          <w:sz w:val="24"/>
        </w:rPr>
        <w:t xml:space="preserve">nor may elect to participate in an employee stock purchase plan, while in the </w:t>
      </w:r>
    </w:p>
    <w:p>
      <w:pPr>
        <w:pStyle w:val="TextBody"/>
        <w:bidi w:val="0"/>
        <w:jc w:val="center"/>
        <w:rPr>
          <w:rFonts w:ascii="Times New Roman" w:hAnsi="Times New Roman"/>
          <w:sz w:val="20"/>
        </w:rPr>
      </w:pPr>
      <w:r>
        <w:rPr>
          <w:rFonts w:ascii="Times New Roman" w:hAnsi="Times New Roman"/>
          <w:color w:val="000000"/>
          <w:sz w:val="24"/>
        </w:rPr>
        <w:t>- 8</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possession of material nonpublic information or during a period in which he or she is otherwise prohibited from trading in the Company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i/>
          <w:color w:val="000000"/>
          <w:sz w:val="24"/>
        </w:rPr>
        <w:t>Stock Options</w:t>
      </w:r>
      <w:r>
        <w:rPr>
          <w:rFonts w:ascii="Times New Roman" w:hAnsi="Times New Roman"/>
          <w:color w:val="000000"/>
          <w:sz w:val="24"/>
        </w:rPr>
        <w:t>. This Policy does not apply to the exercise of an employee stock option or stock appreciation right acquired pursuant to the Company’s plans or to the exercise of a tax withholding right pursuant to which a person has elected to have the Company withhold shares subject to an option or stock appreciation right in an amount sufficient to satisfy any applicable taxes. Such exercises may be conducted without prior approval, but the Insider must provide notice to the Securities Trading Officer prior to any such exercise, and, as a practical matter, the Covered Person should not exercise an option at any time the Covered Person possesses material nonpublic information or (if applicable) during any applicable blackout period. The trading prohibitions and restrictions set forth in this Policy do apply, however, to any sale of the underlying stock or to a cashless exercise of the option or stock appreciation right through a broker, as this entails selling a portion of the underlying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i/>
          <w:color w:val="000000"/>
          <w:sz w:val="24"/>
        </w:rPr>
        <w:t>Restricted Stock Awards.</w:t>
      </w:r>
      <w:r>
        <w:rPr>
          <w:color w:val="000000"/>
        </w:rPr>
        <w:t xml:space="preserve"> </w:t>
      </w:r>
      <w:r>
        <w:rPr>
          <w:rFonts w:ascii="Times New Roman" w:hAnsi="Times New Roman"/>
          <w:color w:val="000000"/>
          <w:sz w:val="24"/>
        </w:rPr>
        <w:t>This Policy does not apply to the vesting of restricted stock, or the exercise of a tax withholding right pursuant to which a Covered Person elects to have the Company withhold shares of stock to satisfy tax withholding requirements upon the vesting of any restricted stock. The Policy does apply, however, to any market sale of restricted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i/>
          <w:color w:val="000000"/>
          <w:sz w:val="24"/>
        </w:rPr>
        <w:t>Gifts</w:t>
      </w:r>
      <w:r>
        <w:rPr>
          <w:rFonts w:ascii="Times New Roman" w:hAnsi="Times New Roman"/>
          <w:color w:val="000000"/>
          <w:sz w:val="24"/>
        </w:rPr>
        <w:t xml:space="preserve">. </w:t>
      </w:r>
      <w:r>
        <w:rPr>
          <w:rFonts w:ascii="Times New Roman" w:hAnsi="Times New Roman"/>
          <w:i/>
          <w:color w:val="000000"/>
          <w:sz w:val="24"/>
        </w:rPr>
        <w:t xml:space="preserve">Bona fide </w:t>
      </w:r>
      <w:r>
        <w:rPr>
          <w:rFonts w:ascii="Times New Roman" w:hAnsi="Times New Roman"/>
          <w:color w:val="000000"/>
          <w:sz w:val="24"/>
        </w:rPr>
        <w:t xml:space="preserve">gifts are not transactions subject to this Policy, provided that gifts by Insiders are subject to the pre-approval procedures set forth in Section VII.C hereof.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POST-TERMINATION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pre-approval procedures specified under Section VII.C hereof, however, will cease to apply to transactions in Company Securities upon the expiration of any blackout period or other Company-imposed trading restrictions applicable at the time of the termination of service.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PRIORITY OF STATUTORY OR REGULATORY TRADING RESTRICTIONS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trading prohibitions and restrictions set forth in this Policy will be superseded by any greater prohibitions or restrictions prescribed by federal or state securities laws and regulations, e.g., short-swing trading by Section 16 Individuals or restrictions on the sale of securities subject to Rule 144 under the Securities Act of 1933. Any Covered Person who is uncertain whether other prohibitions or restrictions apply should ask the Securities Trading Officer.</w:t>
      </w:r>
    </w:p>
    <w:p>
      <w:pPr>
        <w:pStyle w:val="TextBody"/>
        <w:bidi w:val="0"/>
        <w:jc w:val="center"/>
        <w:rPr>
          <w:rFonts w:ascii="Times New Roman" w:hAnsi="Times New Roman"/>
          <w:sz w:val="20"/>
        </w:rPr>
      </w:pPr>
      <w:r>
        <w:rPr>
          <w:rFonts w:ascii="Times New Roman" w:hAnsi="Times New Roman"/>
          <w:color w:val="000000"/>
          <w:sz w:val="24"/>
        </w:rPr>
        <w:t>- 9</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VIII.</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Inquiries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Please direct all inquiries regarding any of the provisions or procedures of this Policy to the Securities Trading Officer. Any decision to trade is the responsibility of the individual, regardless of whether the trade is pre-approved by any responsible party of the Company.</w:t>
      </w:r>
    </w:p>
    <w:p>
      <w:pPr>
        <w:pStyle w:val="TextBody"/>
        <w:bidi w:val="0"/>
        <w:spacing w:before="0" w:after="240"/>
        <w:jc w:val="both"/>
        <w:rPr/>
      </w:pPr>
      <w:r>
        <w:rPr/>
        <w:t> </w:t>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Receipt and Acknowledgment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 __________________, hereby acknowledge that I have received and read a copy of the “Insider Trading Policy” and agree to adhere strictly to its terms. I understand that violation of insider trading or tipping laws or regulations may subject me to severe civil and/or criminal penalties, and that violation of the terms of the above-titled policy may subject me to discipline by the Company up to and including termination for cause.</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Signature Date</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center"/>
        <w:rPr>
          <w:rFonts w:ascii="Times New Roman" w:hAnsi="Times New Roman"/>
          <w:sz w:val="20"/>
        </w:rPr>
      </w:pPr>
      <w:r>
        <w:rPr>
          <w:rFonts w:ascii="Times New Roman" w:hAnsi="Times New Roman"/>
          <w:color w:val="000000"/>
          <w:sz w:val="24"/>
        </w:rPr>
        <w:t>- 10</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APPLICATION AND APPROVAL FOR TRADING BY SECTION 16</w:t>
        <w:br/>
        <w:t>INDIVIDUALS AND KEY EMPLOYEES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Proposed Trade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Type of Security to be Traded: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Type of Trade (Purchase/Sale/Exercise/Exchange):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Number of Shares to be Traded: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Do you (or will you) own the securities directly (Y/N):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not, who does or will own the securities: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EXAMPLES OF MATERIAL NONPUBLIC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While it is not possible to identify all information that would be deemed “material nonpublic information,” the following types of information ordinarily would be included in the definition if not yet publicly released by the Company: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Financial performance, especially quarterly and year-end earnings, and significant changes in financial performance or liquidity.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projections and strategic plans.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Potential mergers and acquisitions or the sale of Company assets or subsidiaries.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New major contracts, payors or finance sources, or the loss thereof.</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changes or developments in lines of service.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Stock splits, public or private securities/debt offerings or changes in Company dividend policies or amounts.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changes in senior management.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labor disputes or negotiations.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Actual or threatened major litigation, or the resolution of such litigation.</w:t>
      </w:r>
    </w:p>
    <w:p>
      <w:pPr>
        <w:pStyle w:val="TextBody"/>
        <w:bidi w:val="0"/>
        <w:spacing w:before="0" w:after="240"/>
        <w:jc w:val="both"/>
        <w:rPr/>
      </w:pPr>
      <w:r>
        <w:rPr/>
        <w:t> </w:t>
      </w:r>
    </w:p>
    <w:p>
      <w:pPr>
        <w:pStyle w:val="TextBody"/>
        <w:bidi w:val="0"/>
        <w:jc w:val="center"/>
        <w:rPr>
          <w:rFonts w:ascii="Times New Roman" w:hAnsi="Times New Roman"/>
          <w:sz w:val="20"/>
        </w:rPr>
      </w:pPr>
      <w:r>
        <w:rPr>
          <w:rFonts w:ascii="Times New Roman" w:hAnsi="Times New Roman"/>
          <w:color w:val="000000"/>
          <w:sz w:val="24"/>
        </w:rPr>
        <w:t>- 11</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CERTIFICATION</w:t>
      </w:r>
    </w:p>
    <w:p>
      <w:pPr>
        <w:pStyle w:val="TextBody"/>
        <w:bidi w:val="0"/>
        <w:spacing w:before="0" w:after="240"/>
        <w:jc w:val="both"/>
        <w:rPr>
          <w:rFonts w:ascii="Times New Roman" w:hAnsi="Times New Roman"/>
          <w:sz w:val="20"/>
        </w:rPr>
      </w:pPr>
      <w:r>
        <w:rPr>
          <w:rFonts w:ascii="Times New Roman" w:hAnsi="Times New Roman"/>
          <w:color w:val="000000"/>
          <w:sz w:val="24"/>
        </w:rPr>
        <w:t>I, _____________________, hereby certify that I am not in possession of any “material nonpublic information” concerning the Company (as defined in the Company’s “Insider Trading Policy”) and (ii) to the best of my knowledge, the proposed trade(s) listed above do not violate the trading restrictions of Section 16 of the Securities Exchange Act of 1934 or Rule 144 under the Securities Act of 1933. I understand that if I trade while possessing such information or in violation of such trading restrictions, I may be subject to severe civil and/or criminal penalties, and may be subject to discipline by the Company up to and including termination for cause.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Signed: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Date: </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REVIEW AND DECISION: ADDUS USE ONLY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hereby certifies that the Securities Trading Officer has reviewed the foregoing application and ____ APPROVES ____ PROHIBITS the proposed trade(s). If approved, any trade must be completed within the five business days after the date listed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Signed: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Date: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- 12</w:t>
      </w:r>
      <w:r>
        <w:rPr>
          <w:rFonts w:ascii="Times New Roman" w:hAnsi="Times New Roman"/>
          <w:color w:val="000000"/>
          <w:sz w:val="20"/>
        </w:rPr>
        <w:t xml:space="preserve"> </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45" w:name="adus-ex21_1.htm"/>
      <w:bookmarkStart w:id="46" w:name="ksadusex21_1"/>
      <w:bookmarkEnd w:id="45"/>
      <w:bookmarkEnd w:id="46"/>
      <w:r>
        <w:rPr>
          <w:rFonts w:ascii="Times New Roman" w:hAnsi="Times New Roman"/>
          <w:b/>
          <w:color w:val="000000"/>
          <w:sz w:val="18"/>
        </w:rPr>
        <w:t>Exhibit 21.1</w:t>
      </w:r>
      <w:r>
        <w:br w:type="page"/>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SUBSIDIARIES OF THE REGISTRANT</w:t>
      </w:r>
    </w:p>
    <w:tbl>
      <w:tblPr>
        <w:tblW w:w="10205" w:type="dxa"/>
        <w:jc w:val="left"/>
        <w:tblInd w:w="0" w:type="dxa"/>
        <w:tblLayout w:type="fixed"/>
        <w:tblCellMar>
          <w:top w:w="28" w:type="dxa"/>
          <w:left w:w="28" w:type="dxa"/>
          <w:bottom w:w="28" w:type="dxa"/>
          <w:right w:w="28" w:type="dxa"/>
        </w:tblCellMar>
      </w:tblPr>
      <w:tblGrid>
        <w:gridCol w:w="2784"/>
        <w:gridCol w:w="146"/>
        <w:gridCol w:w="1186"/>
        <w:gridCol w:w="146"/>
        <w:gridCol w:w="5943"/>
      </w:tblGrid>
      <w:tr>
        <w:trPr/>
        <w:tc>
          <w:tcPr>
            <w:tcW w:w="2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3" w:type="dxa"/>
            <w:tcBorders/>
            <w:vAlign w:val="center"/>
          </w:tcPr>
          <w:p>
            <w:pPr>
              <w:pStyle w:val="TableContents"/>
              <w:bidi w:val="0"/>
              <w:spacing w:before="0" w:after="283"/>
              <w:jc w:val="left"/>
              <w:rPr>
                <w:sz w:val="4"/>
                <w:szCs w:val="4"/>
              </w:rPr>
            </w:pPr>
            <w:r>
              <w:rPr>
                <w:sz w:val="4"/>
                <w:szCs w:val="4"/>
              </w:rPr>
            </w:r>
          </w:p>
        </w:tc>
      </w:tr>
      <w:tr>
        <w:trPr/>
        <w:tc>
          <w:tcPr>
            <w:tcW w:w="278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of Subsidiary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Doing Business As Name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 Plus Health Care,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Montana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A-Plus HealthCare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Addus HealthCare,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Illinois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 Arcadia Home Care &amp; Staffing</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Addus HealthCare (Delaware),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 Delaware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Addus HealthCare (Idaho),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Addus HealthCare (South Carolina),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 Arcadia Home Care &amp; Staffing</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Addus Home Office,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Addus Hospice of Illinois,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JourneyCare - Barrington; JourneyCare - Deerfield; JourneyCare - Crystal Lake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Addus Nurse Care,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Lifestyle Options</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Alamo Area Home Hospice, 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Texas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Alamo Hospice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Alliance Home Health Care,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Mexico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Ambercare Home Health; Ambercare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Ambercare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Mexico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Ambercare Home Health Care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Mexico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Ambercare Home Health; Ambercare Personal Care Services</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Ambercare Hospice,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Mexico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Ambercare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Apple Home Healthcare,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Illinois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JourneyCare Home Health - Chicago</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Armada Hospice of New Mexico,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Armada Hospice of New Mexico, LLC</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Armada Hospice of Santa Fe,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Armada Hospice of Santa Fe, LLC</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Armada Skilled Home Care of New Mexico,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Ambercare Home Health</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Coastal Nursecare of Florida,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Florida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County Homemakers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Pennsylvania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Arcadia Home Care &amp; Staffing</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Cura Partners, LLC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Tennessee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Girling Health Care Services,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Texas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Girling Personal Care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Girling Health Care Services of Knoxville,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Tennessee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Home Option</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Hospice Partners of America,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Hospice Partners of America</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Hospice Partners of America Holding,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Alamo Hospice of Conroe; Alamo Hospice of Waco; Hospice of Virginia</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Hospice Partners of Texas,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Hospice Partners of Texas</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House Calls of New Mexico,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Mexico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House Calls of New Mexico</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HPA Idaho,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Idaho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Harrison’s Hope Hospice; Harrison’s Hope Hospice Twin Falls</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HPA Medical Management,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Alamo Supportive Care; Serenity Supportive Care; JourneyCare Palliative Care, Hospice of Virginia Supportive Care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H&amp;PC of America,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H&amp;PC of America</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IntegraCare of Abilene,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Texas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Arcadia Home Care &amp; Staffing</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Miracle City Hospice,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Miracle City Hospice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New Capital Partners II-HS,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Capital Partners II-HS</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NP Plus,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Arcadia Home Care &amp; Staffing</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Service,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Colorado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Ambercare Personal Care Services</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PHC Acquisition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California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PRAC Holdings,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Arcadia Home Care &amp; Staffing</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Priority Home Health Care,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Ohio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Reliable Nursing Service,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California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Arcadia Home Care &amp; Staffing</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Queen City Hospice,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Queen City Hospice; Day City Hospice; Capital City Hospice, Queen City Hospice East</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Serenity Palliative Care and Hospice,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Serenity Hospice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SLHC,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Arizona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Sunlife Home Care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South Shore Home Health Service,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Summit Home Health,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Illinois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JourneyCare Home Health</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Tennessee Valley Home Care,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Tennessee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Tennessee Quality Care-Home Health</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TR&amp;B,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Texas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TR&amp;B</w:t>
            </w:r>
          </w:p>
        </w:tc>
      </w:tr>
      <w:tr>
        <w:trPr/>
        <w:tc>
          <w:tcPr>
            <w:tcW w:w="2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Tri County Home Health and Hospice,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Tennessee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Tennessee Quality Care-Hospice</w:t>
            </w:r>
          </w:p>
        </w:tc>
      </w:tr>
      <w:tr>
        <w:trPr/>
        <w:tc>
          <w:tcPr>
            <w:tcW w:w="2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rFonts w:ascii="Times New Roman" w:hAnsi="Times New Roman"/>
          <w:color w:val="000000"/>
          <w:sz w:val="18"/>
        </w:rPr>
      </w:pPr>
      <w:r>
        <w:rPr>
          <w:rFonts w:ascii="Times New Roman" w:hAnsi="Times New Roman"/>
          <w:color w:val="000000"/>
          <w:sz w:val="18"/>
        </w:rPr>
        <w:t>Pursuant to Item 601(b)(21)(ii) of Regulation S-K, certain subsidiaries have been omitted because, when considered in the aggregate, they do not constitute a significant subsidiary.</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adus-ex23_1.htm"/>
      <w:bookmarkStart w:id="48" w:name="ksadusex23_1"/>
      <w:bookmarkEnd w:id="47"/>
      <w:bookmarkEnd w:id="48"/>
      <w:r>
        <w:rPr>
          <w:rFonts w:ascii="Times New Roman" w:hAnsi="Times New Roman"/>
          <w:b/>
          <w:color w:val="000000"/>
          <w:sz w:val="20"/>
        </w:rPr>
        <w:t>Exhibit 23.1</w:t>
      </w:r>
      <w:r>
        <w:br w:type="page"/>
      </w:r>
    </w:p>
    <w:p>
      <w:pPr>
        <w:pStyle w:val="TextBody"/>
        <w:bidi w:val="0"/>
        <w:jc w:val="right"/>
        <w:rPr/>
      </w:pPr>
      <w:r>
        <w:rPr/>
        <w:t> </w:t>
      </w:r>
    </w:p>
    <w:p>
      <w:pPr>
        <w:pStyle w:val="TextBody"/>
        <w:bidi w:val="0"/>
        <w:spacing w:before="480" w:after="48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spacing w:before="0" w:after="120"/>
        <w:jc w:val="left"/>
        <w:rPr>
          <w:rFonts w:ascii="Times New Roman" w:hAnsi="Times New Roman"/>
          <w:sz w:val="20"/>
        </w:rPr>
      </w:pPr>
      <w:r>
        <w:rPr>
          <w:rFonts w:ascii="Georgia;serif" w:hAnsi="Georgia;serif"/>
          <w:color w:val="000000"/>
          <w:sz w:val="20"/>
        </w:rPr>
        <w:t>We hereby consent to the incorporation by reference in the Registration Statements on Form S-3 (No. 333-267253) and on Form S-8 (Nos. 333-272871, 333-219946, 333-190433, and 333-164413) of Addus HomeCare Corporation of our report dated February 25, 2025 relating to the financial statements</w:t>
      </w:r>
      <w:r>
        <w:rPr>
          <w:rFonts w:ascii="Times New Roman" w:hAnsi="Times New Roman"/>
          <w:color w:val="FF0000"/>
          <w:sz w:val="20"/>
        </w:rPr>
        <w:t xml:space="preserve"> </w:t>
      </w:r>
      <w:r>
        <w:rPr>
          <w:rFonts w:ascii="Georgia;serif" w:hAnsi="Georgia;serif"/>
          <w:color w:val="000000"/>
          <w:sz w:val="20"/>
        </w:rPr>
        <w:t>and the effectiveness of internal control over financial reporting, which appears in this Form 10-K.</w:t>
      </w:r>
    </w:p>
    <w:p>
      <w:pPr>
        <w:pStyle w:val="TextBody"/>
        <w:bidi w:val="0"/>
        <w:spacing w:before="240" w:after="283"/>
        <w:jc w:val="left"/>
        <w:rPr>
          <w:rFonts w:ascii="Georgia;serif" w:hAnsi="Georgia;serif"/>
          <w:color w:val="000000"/>
          <w:sz w:val="20"/>
        </w:rPr>
      </w:pPr>
      <w:r>
        <w:rPr>
          <w:rFonts w:ascii="Georgia;serif" w:hAnsi="Georgia;serif"/>
          <w:color w:val="000000"/>
          <w:sz w:val="20"/>
        </w:rPr>
        <w:t>/s/ PricewaterhouseCoopers LLP</w:t>
        <w:br/>
        <w:t>Dallas, Texas</w:t>
        <w:br/>
        <w:t>February 25, 2025</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adus-ex31_1.htm"/>
      <w:bookmarkStart w:id="50" w:name="ksadusex31_1"/>
      <w:bookmarkEnd w:id="49"/>
      <w:bookmarkEnd w:id="5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 Dirk Allison, Chief Executive Officer and Chairman of the Board of Addus HomeCare Corporation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Addus HomeCare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25, 2025</w:t>
      </w:r>
    </w:p>
    <w:p>
      <w:pPr>
        <w:pStyle w:val="TextBody"/>
        <w:bidi w:val="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283"/>
              <w:jc w:val="left"/>
              <w:rPr>
                <w:sz w:val="4"/>
                <w:szCs w:val="4"/>
              </w:rPr>
            </w:pPr>
            <w:r>
              <w:rPr>
                <w:sz w:val="4"/>
                <w:szCs w:val="4"/>
              </w:rPr>
            </w:r>
          </w:p>
        </w:tc>
      </w:tr>
      <w:tr>
        <w:trPr/>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pPr>
            <w:r>
              <w:rPr>
                <w:color w:val="000000"/>
              </w:rPr>
              <w:t>       </w:t>
            </w:r>
            <w:r>
              <w:rPr>
                <w:rFonts w:ascii="Times New Roman" w:hAnsi="Times New Roman"/>
                <w:color w:val="000000"/>
                <w:sz w:val="20"/>
              </w:rPr>
              <w:t xml:space="preserve">/s/ R. Dirk Allison </w:t>
            </w:r>
          </w:p>
        </w:tc>
      </w:tr>
      <w:tr>
        <w:trPr/>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Dirk Allison</w:t>
            </w:r>
          </w:p>
        </w:tc>
      </w:tr>
      <w:tr>
        <w:trPr/>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Chairman of the Board</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adus-ex31_2.htm"/>
      <w:bookmarkStart w:id="52" w:name="ksadusex31_2"/>
      <w:bookmarkEnd w:id="51"/>
      <w:bookmarkEnd w:id="5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Poff, Chief Financial Officer of Addus HomeCare Corporation,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Addus HomeCare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25, 2025</w:t>
      </w:r>
    </w:p>
    <w:p>
      <w:pPr>
        <w:pStyle w:val="TextBody"/>
        <w:bidi w:val="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color w:val="000000"/>
              </w:rPr>
            </w:pPr>
            <w:r>
              <w:rPr>
                <w:color w:val="000000"/>
              </w:rPr>
              <w:t>                             </w:t>
            </w:r>
            <w:r>
              <w:rPr>
                <w:rFonts w:ascii="Times New Roman" w:hAnsi="Times New Roman"/>
                <w:color w:val="000000"/>
                <w:sz w:val="20"/>
              </w:rPr>
              <w:t>/s/ Brian Poff</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Poff</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3" w:name="adus-ex32_1.htm"/>
      <w:bookmarkStart w:id="54" w:name="ksadusex32_1"/>
      <w:bookmarkEnd w:id="53"/>
      <w:bookmarkEnd w:id="54"/>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for the fiscal year ended December 31, 2024 of Addus HomeCare Corporation (the “Company”) as filed with the Securities and Exchange Commission on the date hereof (the “Report”), I, R. Dirk Allison, Chief Executive Officer and Chairman of the Board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7169" w:type="dxa"/>
        <w:jc w:val="left"/>
        <w:tblInd w:w="0" w:type="dxa"/>
        <w:tblLayout w:type="fixed"/>
        <w:tblCellMar>
          <w:top w:w="28" w:type="dxa"/>
          <w:left w:w="28" w:type="dxa"/>
          <w:bottom w:w="28" w:type="dxa"/>
          <w:right w:w="28" w:type="dxa"/>
        </w:tblCellMar>
      </w:tblPr>
      <w:tblGrid>
        <w:gridCol w:w="2086"/>
        <w:gridCol w:w="436"/>
        <w:gridCol w:w="146"/>
        <w:gridCol w:w="4501"/>
      </w:tblGrid>
      <w:tr>
        <w:trPr/>
        <w:tc>
          <w:tcPr>
            <w:tcW w:w="208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25, 2025</w:t>
            </w:r>
          </w:p>
        </w:tc>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 xml:space="preserve">/s/ R. Dirk Allison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Dirk Allison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Chairman of the Board</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5" w:name="adus-ex32_2.htm"/>
      <w:bookmarkStart w:id="56" w:name="ksadusex32_2"/>
      <w:bookmarkEnd w:id="55"/>
      <w:bookmarkEnd w:id="56"/>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for the fiscal year ended December 31, 2024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549" w:type="dxa"/>
        <w:jc w:val="left"/>
        <w:tblInd w:w="0" w:type="dxa"/>
        <w:tblLayout w:type="fixed"/>
        <w:tblCellMar>
          <w:top w:w="28" w:type="dxa"/>
          <w:left w:w="28" w:type="dxa"/>
          <w:bottom w:w="28" w:type="dxa"/>
          <w:right w:w="28" w:type="dxa"/>
        </w:tblCellMar>
      </w:tblPr>
      <w:tblGrid>
        <w:gridCol w:w="2086"/>
        <w:gridCol w:w="436"/>
        <w:gridCol w:w="146"/>
        <w:gridCol w:w="2881"/>
      </w:tblGrid>
      <w:tr>
        <w:trPr/>
        <w:tc>
          <w:tcPr>
            <w:tcW w:w="208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25, 2025</w:t>
            </w:r>
          </w:p>
        </w:tc>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/s/ Brian Poff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Poff</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328/000119312509238641/dex31.htm" TargetMode="External"/><Relationship Id="rId3" Type="http://schemas.openxmlformats.org/officeDocument/2006/relationships/hyperlink" Target="https://www.sec.gov/Archives/edgar/data/1468328/000119312509238641/dex31.htm" TargetMode="External"/><Relationship Id="rId4" Type="http://schemas.openxmlformats.org/officeDocument/2006/relationships/hyperlink" Target="https://www.sec.gov/Archives/edgar/data/1468328/000119312513211165/d535575dex32.htm" TargetMode="External"/><Relationship Id="rId5" Type="http://schemas.openxmlformats.org/officeDocument/2006/relationships/hyperlink" Target="https://www.sec.gov/Archives/edgar/data/1468328/000119312513211165/d535575dex32.htm" TargetMode="External"/><Relationship Id="rId6" Type="http://schemas.openxmlformats.org/officeDocument/2006/relationships/hyperlink" Target="https://www.sec.gov/Archives/edgar/data/1468328/000119312513211165/d535575dex32.htm" TargetMode="External"/><Relationship Id="rId7" Type="http://schemas.openxmlformats.org/officeDocument/2006/relationships/hyperlink" Target="https://www.sec.gov/Archives/edgar/data/1468328/000119312509202215/dex41.htm" TargetMode="External"/><Relationship Id="rId8" Type="http://schemas.openxmlformats.org/officeDocument/2006/relationships/hyperlink" Target="https://www.sec.gov/Archives/edgar/data/1468328/000119312509202215/dex41.htm" TargetMode="External"/><Relationship Id="rId9" Type="http://schemas.openxmlformats.org/officeDocument/2006/relationships/hyperlink" Target="https://www.sec.gov/Archives/edgar/data/1468328/000156459020038909/adus-ex42_1098.htm" TargetMode="External"/><Relationship Id="rId10" Type="http://schemas.openxmlformats.org/officeDocument/2006/relationships/hyperlink" Target="https://www.sec.gov/Archives/edgar/data/1468328/000156459020038909/adus-ex42_1098.htm" TargetMode="External"/><Relationship Id="rId11" Type="http://schemas.openxmlformats.org/officeDocument/2006/relationships/hyperlink" Target="https://www.sec.gov/Archives/edgar/data/1468328/000119312509150710/dex1012.htm" TargetMode="External"/><Relationship Id="rId12" Type="http://schemas.openxmlformats.org/officeDocument/2006/relationships/hyperlink" Target="https://www.sec.gov/Archives/edgar/data/1468328/000119312509150710/dex1012.htm" TargetMode="External"/><Relationship Id="rId13" Type="http://schemas.openxmlformats.org/officeDocument/2006/relationships/hyperlink" Target="https://www.sec.gov/Archives/edgar/data/1468328/000119312509150710/dex1013.htm" TargetMode="External"/><Relationship Id="rId14" Type="http://schemas.openxmlformats.org/officeDocument/2006/relationships/hyperlink" Target="https://www.sec.gov/Archives/edgar/data/1468328/000119312509150710/dex1013.htm" TargetMode="External"/><Relationship Id="rId15" Type="http://schemas.openxmlformats.org/officeDocument/2006/relationships/hyperlink" Target="https://www.sec.gov/Archives/edgar/data/1468328/000119312509150710/dex1014.htm" TargetMode="External"/><Relationship Id="rId16" Type="http://schemas.openxmlformats.org/officeDocument/2006/relationships/hyperlink" Target="https://www.sec.gov/Archives/edgar/data/1468328/000119312509150710/dex1014.htm" TargetMode="External"/><Relationship Id="rId17" Type="http://schemas.openxmlformats.org/officeDocument/2006/relationships/hyperlink" Target="https://www.sec.gov/Archives/edgar/data/1468328/000119312509150710/dex1016.htm" TargetMode="External"/><Relationship Id="rId18" Type="http://schemas.openxmlformats.org/officeDocument/2006/relationships/hyperlink" Target="https://www.sec.gov/Archives/edgar/data/1468328/000119312509150710/dex1016.htm" TargetMode="External"/><Relationship Id="rId19" Type="http://schemas.openxmlformats.org/officeDocument/2006/relationships/hyperlink" Target="https://www.sec.gov/Archives/edgar/data/1468328/000119312509194976/dex1020.htm" TargetMode="External"/><Relationship Id="rId20" Type="http://schemas.openxmlformats.org/officeDocument/2006/relationships/hyperlink" Target="https://www.sec.gov/Archives/edgar/data/1468328/000119312509194976/dex1020.htm" TargetMode="External"/><Relationship Id="rId21" Type="http://schemas.openxmlformats.org/officeDocument/2006/relationships/hyperlink" Target="https://www.sec.gov/Archives/edgar/data/1468328/000119312509194976/dex1020a.htm" TargetMode="External"/><Relationship Id="rId22" Type="http://schemas.openxmlformats.org/officeDocument/2006/relationships/hyperlink" Target="https://www.sec.gov/Archives/edgar/data/1468328/000119312509194976/dex1020a.htm" TargetMode="External"/><Relationship Id="rId23" Type="http://schemas.openxmlformats.org/officeDocument/2006/relationships/hyperlink" Target="https://www.sec.gov/Archives/edgar/data/1468328/000119312509194976/dex1020b.htm" TargetMode="External"/><Relationship Id="rId24" Type="http://schemas.openxmlformats.org/officeDocument/2006/relationships/hyperlink" Target="https://www.sec.gov/Archives/edgar/data/1468328/000119312509194976/dex1020b.htm" TargetMode="External"/><Relationship Id="rId25" Type="http://schemas.openxmlformats.org/officeDocument/2006/relationships/hyperlink" Target="https://www.sec.gov/Archives/edgar/data/1468328/000119312515179407/d915192dex101.htm" TargetMode="External"/><Relationship Id="rId26" Type="http://schemas.openxmlformats.org/officeDocument/2006/relationships/hyperlink" Target="https://www.sec.gov/Archives/edgar/data/1468328/000119312515179407/d915192dex101.htm" TargetMode="External"/><Relationship Id="rId27" Type="http://schemas.openxmlformats.org/officeDocument/2006/relationships/hyperlink" Target="https://www.sec.gov/Archives/edgar/data/1468328/000119312517164021/d382362dex103.htm" TargetMode="External"/><Relationship Id="rId28" Type="http://schemas.openxmlformats.org/officeDocument/2006/relationships/hyperlink" Target="https://www.sec.gov/Archives/edgar/data/1468328/000119312517164021/d382362dex103.htm" TargetMode="External"/><Relationship Id="rId29" Type="http://schemas.openxmlformats.org/officeDocument/2006/relationships/hyperlink" Target="https://www.sec.gov/Archives/edgar/data/1468328/000119312517205993/d397204dex101.htm" TargetMode="External"/><Relationship Id="rId30" Type="http://schemas.openxmlformats.org/officeDocument/2006/relationships/hyperlink" Target="https://www.sec.gov/Archives/edgar/data/1468328/000119312517205993/d397204dex101.htm" TargetMode="External"/><Relationship Id="rId31" Type="http://schemas.openxmlformats.org/officeDocument/2006/relationships/hyperlink" Target="https://www.sec.gov/Archives/edgar/data/1468328/000119312518082191/d453307dex1028.htm" TargetMode="External"/><Relationship Id="rId32" Type="http://schemas.openxmlformats.org/officeDocument/2006/relationships/hyperlink" Target="https://www.sec.gov/Archives/edgar/data/1468328/000119312518082191/d453307dex1028.htm" TargetMode="External"/><Relationship Id="rId33" Type="http://schemas.openxmlformats.org/officeDocument/2006/relationships/hyperlink" Target="https://www.sec.gov/Archives/edgar/data/1468328/000119312518082191/d453307dex1029.htm" TargetMode="External"/><Relationship Id="rId34" Type="http://schemas.openxmlformats.org/officeDocument/2006/relationships/hyperlink" Target="https://www.sec.gov/Archives/edgar/data/1468328/000119312518082191/d453307dex1029.htm" TargetMode="External"/><Relationship Id="rId35" Type="http://schemas.openxmlformats.org/officeDocument/2006/relationships/hyperlink" Target="https://www.sec.gov/Archives/edgar/data/1468328/000119312518070710/d536417dex101.htm" TargetMode="External"/><Relationship Id="rId36" Type="http://schemas.openxmlformats.org/officeDocument/2006/relationships/hyperlink" Target="https://www.sec.gov/Archives/edgar/data/1468328/000119312518070710/d536417dex101.htm" TargetMode="External"/><Relationship Id="rId37" Type="http://schemas.openxmlformats.org/officeDocument/2006/relationships/hyperlink" Target="https://www.sec.gov/Archives/edgar/data/1468328/000119312518322326/d581512dex102.htm" TargetMode="External"/><Relationship Id="rId38" Type="http://schemas.openxmlformats.org/officeDocument/2006/relationships/hyperlink" Target="https://www.sec.gov/Archives/edgar/data/1468328/000119312518322326/d581512dex102.htm" TargetMode="External"/><Relationship Id="rId39" Type="http://schemas.openxmlformats.org/officeDocument/2006/relationships/hyperlink" Target="https://www.sec.gov/Archives/edgar/data/1468328/000119312518322326/d581512dex103.htm" TargetMode="External"/><Relationship Id="rId40" Type="http://schemas.openxmlformats.org/officeDocument/2006/relationships/hyperlink" Target="https://www.sec.gov/Archives/edgar/data/1468328/000119312518322326/d581512dex103.htm" TargetMode="External"/><Relationship Id="rId41" Type="http://schemas.openxmlformats.org/officeDocument/2006/relationships/hyperlink" Target="https://www.sec.gov/Archives/edgar/data/1468328/000119312518322326/d581512dex104.htm" TargetMode="External"/><Relationship Id="rId42" Type="http://schemas.openxmlformats.org/officeDocument/2006/relationships/hyperlink" Target="https://www.sec.gov/Archives/edgar/data/1468328/000119312518322326/d581512dex104.htm" TargetMode="External"/><Relationship Id="rId43" Type="http://schemas.openxmlformats.org/officeDocument/2006/relationships/hyperlink" Target="https://www.sec.gov/Archives/edgar/data/1468328/000119312518322326/d581512dex106.htm" TargetMode="External"/><Relationship Id="rId44" Type="http://schemas.openxmlformats.org/officeDocument/2006/relationships/hyperlink" Target="https://www.sec.gov/Archives/edgar/data/1468328/000119312518322326/d581512dex106.htm" TargetMode="External"/><Relationship Id="rId45" Type="http://schemas.openxmlformats.org/officeDocument/2006/relationships/hyperlink" Target="https://www.sec.gov/Archives/edgar/data/1468328/000119312518322326/d581512dex107.htm" TargetMode="External"/><Relationship Id="rId46" Type="http://schemas.openxmlformats.org/officeDocument/2006/relationships/hyperlink" Target="https://www.sec.gov/Archives/edgar/data/1468328/000119312518322326/d581512dex107.htm" TargetMode="External"/><Relationship Id="rId47" Type="http://schemas.openxmlformats.org/officeDocument/2006/relationships/hyperlink" Target="https://www.sec.gov/Archives/edgar/data/1468328/000119312518322326/d581512dex102.htm" TargetMode="External"/><Relationship Id="rId48" Type="http://schemas.openxmlformats.org/officeDocument/2006/relationships/hyperlink" Target="https://www.sec.gov/Archives/edgar/data/1468328/000119312518322326/d581512dex102.htm" TargetMode="External"/><Relationship Id="rId49" Type="http://schemas.openxmlformats.org/officeDocument/2006/relationships/hyperlink" Target="https://www.sec.gov/Archives/edgar/data/1468328/000119312519100844/d732350dex992.htm" TargetMode="External"/><Relationship Id="rId50" Type="http://schemas.openxmlformats.org/officeDocument/2006/relationships/hyperlink" Target="https://www.sec.gov/Archives/edgar/data/1468328/000119312519100844/d732350dex992.htm" TargetMode="External"/><Relationship Id="rId51" Type="http://schemas.openxmlformats.org/officeDocument/2006/relationships/hyperlink" Target="https://www.sec.gov/Archives/edgar/data/1468328/000156459020038909/adus-ex1040_765.htm" TargetMode="External"/><Relationship Id="rId52" Type="http://schemas.openxmlformats.org/officeDocument/2006/relationships/hyperlink" Target="https://www.sec.gov/Archives/edgar/data/1468328/000156459020038909/adus-ex1040_765.htm" TargetMode="External"/><Relationship Id="rId53" Type="http://schemas.openxmlformats.org/officeDocument/2006/relationships/hyperlink" Target="https://www.sec.gov/Archives/edgar/data/1468328/000156459020038909/adus-ex1041_766.htm" TargetMode="External"/><Relationship Id="rId54" Type="http://schemas.openxmlformats.org/officeDocument/2006/relationships/hyperlink" Target="https://www.sec.gov/Archives/edgar/data/1468328/000156459020038909/adus-ex1041_766.htm" TargetMode="External"/><Relationship Id="rId55" Type="http://schemas.openxmlformats.org/officeDocument/2006/relationships/hyperlink" Target="https://www.sec.gov/Archives/edgar/data/1468328/000119312519236513/d24972dex21.htm" TargetMode="External"/><Relationship Id="rId56" Type="http://schemas.openxmlformats.org/officeDocument/2006/relationships/hyperlink" Target="https://www.sec.gov/Archives/edgar/data/1468328/000119312519236513/d24972dex21.htm" TargetMode="External"/><Relationship Id="rId57" Type="http://schemas.openxmlformats.org/officeDocument/2006/relationships/hyperlink" Target="https://www.sec.gov/Archives/edgar/data/1468328/000119312519244941/d801620dex101.htm" TargetMode="External"/><Relationship Id="rId58" Type="http://schemas.openxmlformats.org/officeDocument/2006/relationships/hyperlink" Target="https://www.sec.gov/Archives/edgar/data/1468328/000119312519244941/d801620dex101.htm" TargetMode="External"/><Relationship Id="rId59" Type="http://schemas.openxmlformats.org/officeDocument/2006/relationships/hyperlink" Target="https://www.sec.gov/Archives/edgar/data/1468328/000156459021009604/adus-ex1045_245.htm" TargetMode="External"/><Relationship Id="rId60" Type="http://schemas.openxmlformats.org/officeDocument/2006/relationships/hyperlink" Target="https://www.sec.gov/Archives/edgar/data/1468328/000156459021009604/adus-ex1045_245.htm" TargetMode="External"/><Relationship Id="rId61" Type="http://schemas.openxmlformats.org/officeDocument/2006/relationships/hyperlink" Target="https://www.sec.gov/Archives/edgar/data/1468328/000156459021009604/adus-ex1046_341.htm" TargetMode="External"/><Relationship Id="rId62" Type="http://schemas.openxmlformats.org/officeDocument/2006/relationships/hyperlink" Target="https://www.sec.gov/Archives/edgar/data/1468328/000156459021009604/adus-ex1046_341.htm" TargetMode="External"/><Relationship Id="rId63" Type="http://schemas.openxmlformats.org/officeDocument/2006/relationships/hyperlink" Target="https://www.sec.gov/Archives/edgar/data/1468328/000156459021040783/adus-ex102_269.htm" TargetMode="External"/><Relationship Id="rId64" Type="http://schemas.openxmlformats.org/officeDocument/2006/relationships/hyperlink" Target="https://www.sec.gov/Archives/edgar/data/1468328/000156459021040783/adus-ex102_269.htm" TargetMode="External"/><Relationship Id="rId65" Type="http://schemas.openxmlformats.org/officeDocument/2006/relationships/hyperlink" Target="https://www.sec.gov/Archives/edgar/data/1468328/000119312521236284/d213498dex101.htm" TargetMode="External"/><Relationship Id="rId66" Type="http://schemas.openxmlformats.org/officeDocument/2006/relationships/hyperlink" Target="https://www.sec.gov/Archives/edgar/data/1468328/000119312521236284/d213498dex101.htm" TargetMode="External"/><Relationship Id="rId67" Type="http://schemas.openxmlformats.org/officeDocument/2006/relationships/hyperlink" Target="https://www.sec.gov/Archives/edgar/data/1468328/000156459022007171/adus-ex1050_550.htm" TargetMode="External"/><Relationship Id="rId68" Type="http://schemas.openxmlformats.org/officeDocument/2006/relationships/hyperlink" Target="https://www.sec.gov/Archives/edgar/data/1468328/000156459022007171/adus-ex1050_550.htm" TargetMode="External"/><Relationship Id="rId69" Type="http://schemas.openxmlformats.org/officeDocument/2006/relationships/hyperlink" Target="https://www.sec.gov/Archives/edgar/data/1468328/000156459022017417/adus-ex101_138.htm" TargetMode="External"/><Relationship Id="rId70" Type="http://schemas.openxmlformats.org/officeDocument/2006/relationships/hyperlink" Target="https://www.sec.gov/Archives/edgar/data/1468328/000156459022017417/adus-ex101_138.htm" TargetMode="External"/><Relationship Id="rId71" Type="http://schemas.openxmlformats.org/officeDocument/2006/relationships/hyperlink" Target="https://www.sec.gov/Archives/edgar/data/1468328/000156459022027470/adus-ex101_6.htm" TargetMode="External"/><Relationship Id="rId72" Type="http://schemas.openxmlformats.org/officeDocument/2006/relationships/hyperlink" Target="https://www.sec.gov/Archives/edgar/data/1468328/000156459022027470/adus-ex101_6.htm" TargetMode="External"/><Relationship Id="rId73" Type="http://schemas.openxmlformats.org/officeDocument/2006/relationships/hyperlink" Target="https://www.sec.gov/Archives/edgar/data/1468328/000095017023016717/adus-ex10_1.htm" TargetMode="External"/><Relationship Id="rId74" Type="http://schemas.openxmlformats.org/officeDocument/2006/relationships/hyperlink" Target="https://www.sec.gov/Archives/edgar/data/1468328/000095017023016717/adus-ex10_1.htm" TargetMode="External"/><Relationship Id="rId75" Type="http://schemas.openxmlformats.org/officeDocument/2006/relationships/hyperlink" Target="https://www.sec.gov/Archives/edgar/data/1468328/000119312523167873/d523424dex101.htm" TargetMode="External"/><Relationship Id="rId76" Type="http://schemas.openxmlformats.org/officeDocument/2006/relationships/hyperlink" Target="https://www.sec.gov/Archives/edgar/data/1468328/000119312523167873/d523424dex101.htm" TargetMode="External"/><Relationship Id="rId77" Type="http://schemas.openxmlformats.org/officeDocument/2006/relationships/hyperlink" Target="https://www.sec.gov/Archives/edgar/data/1468328/000095017023036509/adus-ex10_2.htm" TargetMode="External"/><Relationship Id="rId78" Type="http://schemas.openxmlformats.org/officeDocument/2006/relationships/hyperlink" Target="https://www.sec.gov/Archives/edgar/data/1468328/000095017023036509/adus-ex10_2.htm" TargetMode="External"/><Relationship Id="rId79" Type="http://schemas.openxmlformats.org/officeDocument/2006/relationships/hyperlink" Target="https://www.sec.gov/ix?doc=/Archives/edgar/data/1468328/000095017024091763/adus-20240630.htm" TargetMode="External"/><Relationship Id="rId80" Type="http://schemas.openxmlformats.org/officeDocument/2006/relationships/hyperlink" Target="https://www.sec.gov/ix?doc=/Archives/edgar/data/1468328/000095017024091763/adus-20240630.htm" TargetMode="External"/><Relationship Id="rId81" Type="http://schemas.openxmlformats.org/officeDocument/2006/relationships/hyperlink" Target="https://www.sec.gov/ix?doc=/Archives/edgar/data/1468328/000119312524241868/d883487d8k.htm" TargetMode="External"/><Relationship Id="rId82" Type="http://schemas.openxmlformats.org/officeDocument/2006/relationships/hyperlink" Target="https://www.sec.gov/ix?doc=/Archives/edgar/data/1468328/000119312524241868/d883487d8k.htm" TargetMode="External"/><Relationship Id="rId83" Type="http://schemas.openxmlformats.org/officeDocument/2006/relationships/hyperlink" Target="https://www.sec.gov/ix?doc=/Archives/edgar/data/0001468328/000095017024021284/adus-20231231.htm" TargetMode="External"/><Relationship Id="rId84" Type="http://schemas.openxmlformats.org/officeDocument/2006/relationships/hyperlink" Target="https://www.sec.gov/ix?doc=/Archives/edgar/data/0001468328/000095017024021284/adus-20231231.htm" TargetMode="External"/><Relationship Id="rId85" Type="http://schemas.openxmlformats.org/officeDocument/2006/relationships/fontTable" Target="fontTable.xml"/><Relationship Id="rId8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64681</Words>
  <Characters>366248</Characters>
  <CharactersWithSpaces>433726</CharactersWithSpaces>
  <Paragraphs>11999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