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us20251231_10ka.htm"/>
      <w:bookmarkStart w:id="1" w:name="ksadus20251231_10ka"/>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FORM 10-K/A</w:t>
      </w:r>
      <w:r>
        <w:rPr>
          <w:rFonts w:ascii="Times New Roman" w:hAnsi="Times New Roman"/>
          <w:caps w:val="false"/>
          <w:smallCaps w:val="false"/>
          <w:sz w:val="20"/>
        </w:rPr>
        <w:br/>
      </w:r>
      <w:r>
        <w:rPr>
          <w:rFonts w:ascii="Times New Roman" w:hAnsi="Times New Roman"/>
          <w:b/>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transition period from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001-34504</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ADDUS HOMECARE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515"/>
        <w:gridCol w:w="1520"/>
      </w:tblGrid>
      <w:tr>
        <w:trPr/>
        <w:tc>
          <w:tcPr>
            <w:tcW w:w="35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20-5340172</w:t>
            </w:r>
          </w:p>
        </w:tc>
      </w:tr>
      <w:tr>
        <w:trPr/>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351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6303 Cowboys Way, Suite 600</w:t>
            </w:r>
            <w:r>
              <w:rPr>
                <w:rFonts w:ascii="Times New Roman" w:hAnsi="Times New Roman"/>
                <w:caps w:val="false"/>
                <w:smallCaps w:val="false"/>
                <w:sz w:val="20"/>
              </w:rPr>
              <w:t> </w:t>
            </w:r>
            <w:r>
              <w:rPr>
                <w:rFonts w:ascii="Times New Roman" w:hAnsi="Times New Roman"/>
                <w:b/>
                <w:caps w:val="false"/>
                <w:smallCaps w:val="false"/>
                <w:sz w:val="20"/>
              </w:rPr>
              <w:t>Frisco, TX</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75034</w:t>
            </w:r>
          </w:p>
        </w:tc>
      </w:tr>
      <w:tr>
        <w:trPr/>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469-535-8200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28" w:type="dxa"/>
          <w:left w:w="28" w:type="dxa"/>
          <w:bottom w:w="28" w:type="dxa"/>
          <w:right w:w="0" w:type="dxa"/>
        </w:tblCellMar>
      </w:tblPr>
      <w:tblGrid>
        <w:gridCol w:w="2735"/>
        <w:gridCol w:w="1610"/>
        <w:gridCol w:w="3695"/>
      </w:tblGrid>
      <w:tr>
        <w:trPr/>
        <w:tc>
          <w:tcPr>
            <w:tcW w:w="27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16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ADUS</w:t>
            </w:r>
          </w:p>
        </w:tc>
        <w:tc>
          <w:tcPr>
            <w:tcW w:w="369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12(g) of the Act:</w:t>
      </w:r>
      <w:r>
        <w:rPr>
          <w:rFonts w:ascii="Times New Roman" w:hAnsi="Times New Roman"/>
          <w:caps w:val="false"/>
          <w:smallCaps w:val="false"/>
          <w:sz w:val="20"/>
        </w:rPr>
        <w:t xml:space="preserve">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910"/>
        <w:gridCol w:w="230"/>
        <w:gridCol w:w="2345"/>
        <w:gridCol w:w="23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market value of the voting and non-voting common stock held by non-affiliates of the registrant, based on the last sale price on The Nasdaq Stock Market LLC on June 30, 2025 (the last business day of the registrant’s most recently completed second fiscal quarter) was approximately $2,065,724,000.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of March 11, 2026, there were 18,643,615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portions of the registrant’s Definitive Proxy Statement for its 2026 Annual Meeting of Stockholders (which is expected to be filed with the Commission within 120 days after the end of the registrant’s 2025 fiscal year) are incorporated by reference into Part III of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2030"/>
        <w:gridCol w:w="335"/>
        <w:gridCol w:w="1220"/>
        <w:gridCol w:w="2405"/>
        <w:gridCol w:w="1490"/>
        <w:gridCol w:w="1100"/>
      </w:tblGrid>
      <w:tr>
        <w:trPr/>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Auditor Firm PCAOB Id:</w:t>
            </w:r>
          </w:p>
        </w:tc>
        <w:tc>
          <w:tcPr>
            <w:tcW w:w="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238</w:t>
            </w:r>
          </w:p>
        </w:tc>
        <w:tc>
          <w:tcPr>
            <w:tcW w:w="1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Auditor Name:</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PricewaterhouseCoopers LLP</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Auditor Location: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Dallas, Texas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800"/>
        <w:gridCol w:w="3695"/>
        <w:gridCol w:w="125"/>
      </w:tblGrid>
      <w:tr>
        <w:trPr/>
        <w:tc>
          <w:tcPr>
            <w:tcW w:w="8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ind w:left="0" w:right="0" w:hanging="0"/>
              <w:jc w:val="left"/>
              <w:rPr/>
            </w:pPr>
            <w:hyperlink w:anchor="p4">
              <w:r>
                <w:rPr>
                  <w:rStyle w:val="InternetLink"/>
                  <w:rFonts w:ascii="Times New Roman" w:hAnsi="Times New Roman"/>
                  <w:b/>
                  <w:caps w:val="false"/>
                  <w:smallCaps w:val="false"/>
                  <w:sz w:val="20"/>
                  <w:u w:val="single"/>
                </w:rPr>
                <w:t>PART IV</w:t>
              </w:r>
            </w:hyperlink>
          </w:p>
        </w:tc>
        <w:tc>
          <w:tcPr>
            <w:tcW w:w="36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right"/>
              <w:rPr/>
            </w:pPr>
            <w:hyperlink w:anchor="p4">
              <w:r>
                <w:rPr>
                  <w:rStyle w:val="InternetLink"/>
                  <w:rFonts w:ascii="Times New Roman" w:hAnsi="Times New Roman"/>
                  <w:caps w:val="false"/>
                  <w:smallCaps w:val="false"/>
                  <w:sz w:val="20"/>
                </w:rPr>
                <w:t>1</w:t>
              </w:r>
            </w:hyperlink>
          </w:p>
        </w:tc>
      </w:tr>
      <w:tr>
        <w:trPr/>
        <w:tc>
          <w:tcPr>
            <w:tcW w:w="800" w:type="dxa"/>
            <w:tcBorders/>
            <w:vAlign w:val="center"/>
          </w:tcPr>
          <w:p>
            <w:pPr>
              <w:pStyle w:val="TableContents"/>
              <w:bidi w:val="0"/>
              <w:spacing w:before="0" w:after="0"/>
              <w:ind w:left="240" w:right="0" w:hanging="0"/>
              <w:jc w:val="left"/>
              <w:rPr>
                <w:rFonts w:ascii="Times New Roman" w:hAnsi="Times New Roman"/>
                <w:b/>
                <w:caps w:val="false"/>
                <w:smallCaps w:val="false"/>
                <w:sz w:val="20"/>
              </w:rPr>
            </w:pPr>
            <w:r>
              <w:rPr>
                <w:rFonts w:ascii="Times New Roman" w:hAnsi="Times New Roman"/>
                <w:b/>
                <w:caps w:val="false"/>
                <w:smallCaps w:val="false"/>
                <w:sz w:val="20"/>
              </w:rPr>
              <w:t>Item 15.</w:t>
            </w:r>
          </w:p>
        </w:tc>
        <w:tc>
          <w:tcPr>
            <w:tcW w:w="3695" w:type="dxa"/>
            <w:tcBorders/>
            <w:vAlign w:val="center"/>
          </w:tcPr>
          <w:p>
            <w:pPr>
              <w:pStyle w:val="TableContents"/>
              <w:bidi w:val="0"/>
              <w:spacing w:before="0" w:after="0"/>
              <w:ind w:left="0" w:right="0" w:hanging="0"/>
              <w:jc w:val="left"/>
              <w:rPr/>
            </w:pPr>
            <w:hyperlink w:anchor="i15">
              <w:r>
                <w:rPr>
                  <w:rStyle w:val="InternetLink"/>
                  <w:rFonts w:ascii="Times New Roman" w:hAnsi="Times New Roman"/>
                  <w:b/>
                  <w:caps w:val="false"/>
                  <w:smallCaps w:val="false"/>
                  <w:sz w:val="20"/>
                  <w:u w:val="single"/>
                </w:rPr>
                <w:t>Exhibits and Financial Statement Schedules</w:t>
              </w:r>
            </w:hyperlink>
          </w:p>
        </w:tc>
        <w:tc>
          <w:tcPr>
            <w:tcW w:w="125" w:type="dxa"/>
            <w:tcBorders/>
            <w:vAlign w:val="center"/>
          </w:tcPr>
          <w:p>
            <w:pPr>
              <w:pStyle w:val="TableContents"/>
              <w:bidi w:val="0"/>
              <w:spacing w:before="0" w:after="0"/>
              <w:ind w:left="0" w:right="0" w:hanging="0"/>
              <w:jc w:val="right"/>
              <w:rPr/>
            </w:pPr>
            <w:hyperlink w:anchor="i15">
              <w:r>
                <w:rPr>
                  <w:rStyle w:val="InternetLink"/>
                  <w:rFonts w:ascii="Times New Roman" w:hAnsi="Times New Roman"/>
                  <w:caps w:val="false"/>
                  <w:smallCaps w:val="false"/>
                  <w:sz w:val="20"/>
                </w:rPr>
                <w:t>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Amendment No. 1 (“Amendment”) on Form 10-K/A amends the Annual Report on Form 10-K of Addus HomeCare Corporation (the “Company”) for the fiscal year ended December 31, 2025, as filed with the Securities and Exchange Commission (the “Commission”) on February 24, 2026 (the “Original Filing”). We are filing this Amendment to the Original Filing solely for the purpose of updating the cover page of the Original Filing and incorporating by reference Exhibit 19.1, the Company’s Insider Trading Policy, and Exhibit 97.1, the Company’s Compensation Recoupment Policy, that were inadvertently omitted from the Original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Amendment hereby amends and restates the cover page to the Original Filing. Additionally, this Amendment hereby amends and restates Item 15 of Part IV of the Original Filing to incorporate by reference Exhibit 19.1 and Exhibit 97.1 and to reference the consolidated financial statements previously filed with the Original Filing. Pursuant to Rule 12b-15 of the Securities Exchange Act of 1934, as amended, this Amendment contains new certifications pursuant to Section 302 of the Sarbanes-Oxley Act of 2002, as amended. Because no consolidated financial statements have been included in this Amended Filing and this Amended Filing does not contain or amend any disclosure with respect to Items 307 and 308 of Regulation S</w:t>
        <w:noBreakHyphen/>
        <w:t>K, paragraphs 3, 4 and 5 of the certifications have been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Except for the foregoing amended information or where otherwise noted, this Amendment does not reflect events that occurred after the filing of the Original Filing, or modify or update those disclosures that may be affected by subsequent events, and no other changes are being made to any other disclosure contained in the Original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p4"/>
      <w:bookmarkEnd w:id="3"/>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i15"/>
      <w:bookmarkEnd w:id="4"/>
      <w:r>
        <w:rPr>
          <w:rFonts w:ascii="Times New Roman" w:hAnsi="Times New Roman"/>
          <w:b/>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(2) The Financial Statements filed as part of this report are indexed on page F-1 of the Original Filing and incorporated by reference to the Original Filing and are not included as part of this Amendment. All schedules are omitted, either because they are not applicable or because the required information is shown in the financial statements or the notes thereto.</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6514"/>
        <w:gridCol w:w="60"/>
        <w:gridCol w:w="500"/>
        <w:gridCol w:w="60"/>
        <w:gridCol w:w="782"/>
        <w:gridCol w:w="60"/>
        <w:gridCol w:w="688"/>
        <w:gridCol w:w="60"/>
        <w:gridCol w:w="711"/>
      </w:tblGrid>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5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Filing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3.1</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Certificate of Incorporation of Addus HomeCare Corporation dated as of October 27, 2009.</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11/20/2009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3.2</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Amended and Restated Bylaws of Addus HomeCare Corporation, as amended by the First Amendment to Amended and Restated Bylaws.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05/9/2013</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4.1</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4.2</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Description of Securities of Addus HomeCare Corporation Registered under Section 12 of the Exchange Act.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8/10/2020</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10.1*</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Addus Holding Corporation 2006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7/17/2009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10.12</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10.2*</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Director Form of Non-Qualified Stock Option Certificate under the 2006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7/17/2009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10.13</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10.3*</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Executive Form of Non-Qualified Stock Option Certificate under the 2006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7/17/2009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10.14</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10.4</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2009 Form of Indemnification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7/17/2009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10.16</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10.5*</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Form of Addus HomeCare Corporation 2009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9/21/2009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10.20</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10.6*</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Form of Nonqualified Stock Option Award Agreement pursuant to the 2009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9/21/2009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10.20(a)</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10.7*</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Form of Restricted Stock Award Agreement pursuant to the 2009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333-160634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9/21/2009</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10.20(b)</w:t>
            </w:r>
          </w:p>
        </w:tc>
      </w:tr>
      <w:tr>
        <w:trPr/>
        <w:tc>
          <w:tcPr>
            <w:tcW w:w="770" w:type="dxa"/>
            <w:gridSpan w:val="2"/>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u w:val="single"/>
                </w:rPr>
                <w:t>10.8</w:t>
              </w:r>
            </w:hyperlink>
          </w:p>
        </w:tc>
        <w:tc>
          <w:tcPr>
            <w:tcW w:w="60" w:type="dxa"/>
            <w:tcBorders/>
            <w:vAlign w:val="center"/>
          </w:tcPr>
          <w:p>
            <w:pPr>
              <w:pStyle w:val="TableContents"/>
              <w:bidi w:val="0"/>
              <w:spacing w:before="0" w:after="283"/>
              <w:jc w:val="left"/>
              <w:rPr/>
            </w:pPr>
            <w:r>
              <w:rPr/>
              <w:t> </w:t>
            </w:r>
          </w:p>
        </w:tc>
        <w:tc>
          <w:tcPr>
            <w:tcW w:w="6514" w:type="dxa"/>
            <w:tcBorders/>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u w:val="single"/>
                </w:rPr>
                <w:t>Securities Purchase Agreement, dated as of April 24, 2015, by and among Addus HealthCare, Inc., Margaret Coffey, Carol Kolar, South Shore Home Health Service, Inc. and Acaring Home Care, LLC.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5/8/2015</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
        <w:gridCol w:w="60"/>
        <w:gridCol w:w="7644"/>
        <w:gridCol w:w="60"/>
        <w:gridCol w:w="305"/>
        <w:gridCol w:w="60"/>
        <w:gridCol w:w="588"/>
        <w:gridCol w:w="60"/>
        <w:gridCol w:w="489"/>
        <w:gridCol w:w="60"/>
        <w:gridCol w:w="382"/>
      </w:tblGrid>
      <w:tr>
        <w:trPr/>
        <w:tc>
          <w:tcPr>
            <w:tcW w:w="497"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u w:val="single"/>
                </w:rPr>
                <w:t>10.9</w:t>
              </w:r>
            </w:hyperlink>
          </w:p>
        </w:tc>
        <w:tc>
          <w:tcPr>
            <w:tcW w:w="60" w:type="dxa"/>
            <w:tcBorders/>
            <w:vAlign w:val="center"/>
          </w:tcPr>
          <w:p>
            <w:pPr>
              <w:pStyle w:val="TableContents"/>
              <w:bidi w:val="0"/>
              <w:spacing w:before="0" w:after="283"/>
              <w:jc w:val="left"/>
              <w:rPr/>
            </w:pPr>
            <w:r>
              <w:rPr/>
              <w:t> </w:t>
            </w:r>
          </w:p>
        </w:tc>
        <w:tc>
          <w:tcPr>
            <w:tcW w:w="7644"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u w:val="single"/>
                </w:rPr>
                <w:t>Credit Agreement, dated as of May 8, 2017, by and among Addus Healthcare, Inc., as the Borrower, the other parties from time to time a party thereto, and Capital One, National Association, as a Lender and Swing Lender and as Agent for all Lenders, Suntrust Bank, as Documentation Agent, Bank of the West, Compass Bank, Fifth Third Bank and JPMorgan Chase Bank, N.A., as Co-Syndication Agents, the other financial institutions party thereto, as Lenders, Capital One, National Association, Bank of the West, Compass Bank, Fifth Third Bank and JPMorgan Chase Bank, N.A. and Suntrust Robinson Humphrey as Joint Lead Arrangers and Capital One, National Association, as Sole Bookrunner.</w:t>
              </w:r>
            </w:hyperlink>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5/9/2017</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r>
      <w:tr>
        <w:trPr/>
        <w:tc>
          <w:tcPr>
            <w:tcW w:w="557" w:type="dxa"/>
            <w:gridSpan w:val="2"/>
            <w:tcBorders/>
            <w:vAlign w:val="center"/>
          </w:tcPr>
          <w:p>
            <w:pPr>
              <w:pStyle w:val="TableContents"/>
              <w:bidi w:val="0"/>
              <w:spacing w:before="0" w:after="283"/>
              <w:jc w:val="left"/>
              <w:rPr/>
            </w:pPr>
            <w:r>
              <w:rPr/>
              <w:t> </w:t>
            </w:r>
          </w:p>
        </w:tc>
        <w:tc>
          <w:tcPr>
            <w:tcW w:w="76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497" w:type="dxa"/>
            <w:tcBorders/>
            <w:vAlign w:val="center"/>
          </w:tcPr>
          <w:p>
            <w:pPr>
              <w:pStyle w:val="TableContents"/>
              <w:bidi w:val="0"/>
              <w:spacing w:before="0" w:after="0"/>
              <w:ind w:left="0" w:right="0" w:hanging="0"/>
              <w:jc w:val="left"/>
              <w:rPr/>
            </w:pPr>
            <w:hyperlink r:id="rId28">
              <w:r>
                <w:rPr>
                  <w:rStyle w:val="InternetLink"/>
                  <w:rFonts w:ascii="Times New Roman" w:hAnsi="Times New Roman"/>
                  <w:caps w:val="false"/>
                  <w:smallCaps w:val="false"/>
                  <w:sz w:val="20"/>
                  <w:u w:val="single"/>
                </w:rPr>
                <w:t>10.10*</w:t>
              </w:r>
            </w:hyperlink>
          </w:p>
        </w:tc>
        <w:tc>
          <w:tcPr>
            <w:tcW w:w="60" w:type="dxa"/>
            <w:tcBorders/>
            <w:vAlign w:val="center"/>
          </w:tcPr>
          <w:p>
            <w:pPr>
              <w:pStyle w:val="TableContents"/>
              <w:bidi w:val="0"/>
              <w:spacing w:before="0" w:after="283"/>
              <w:jc w:val="left"/>
              <w:rPr/>
            </w:pPr>
            <w:r>
              <w:rPr/>
              <w:t> </w:t>
            </w:r>
          </w:p>
        </w:tc>
        <w:tc>
          <w:tcPr>
            <w:tcW w:w="7644" w:type="dxa"/>
            <w:tcBorders/>
            <w:vAlign w:val="center"/>
          </w:tcPr>
          <w:p>
            <w:pPr>
              <w:pStyle w:val="TableContents"/>
              <w:bidi w:val="0"/>
              <w:spacing w:before="0" w:after="0"/>
              <w:ind w:left="0" w:right="0" w:hanging="0"/>
              <w:jc w:val="left"/>
              <w:rPr/>
            </w:pPr>
            <w:hyperlink r:id="rId29">
              <w:r>
                <w:rPr>
                  <w:rStyle w:val="InternetLink"/>
                  <w:rFonts w:ascii="Times New Roman" w:hAnsi="Times New Roman"/>
                  <w:caps w:val="false"/>
                  <w:smallCaps w:val="false"/>
                  <w:sz w:val="20"/>
                  <w:u w:val="single"/>
                </w:rPr>
                <w:t>Addus HomeCare Corporation’s 2017 Omnibus Incentive Plan, effective as of April 27, 2017.</w:t>
              </w:r>
            </w:hyperlink>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6/16/2017</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
        <w:gridCol w:w="60"/>
        <w:gridCol w:w="7445"/>
        <w:gridCol w:w="60"/>
        <w:gridCol w:w="317"/>
        <w:gridCol w:w="60"/>
        <w:gridCol w:w="621"/>
        <w:gridCol w:w="60"/>
        <w:gridCol w:w="528"/>
        <w:gridCol w:w="60"/>
        <w:gridCol w:w="488"/>
      </w:tblGrid>
      <w:tr>
        <w:trPr/>
        <w:tc>
          <w:tcPr>
            <w:tcW w:w="506" w:type="dxa"/>
            <w:tcBorders/>
            <w:vAlign w:val="center"/>
          </w:tcPr>
          <w:p>
            <w:pPr>
              <w:pStyle w:val="TableContents"/>
              <w:bidi w:val="0"/>
              <w:spacing w:before="0" w:after="0"/>
              <w:ind w:left="0" w:right="0" w:hanging="0"/>
              <w:jc w:val="left"/>
              <w:rPr/>
            </w:pPr>
            <w:hyperlink r:id="rId30">
              <w:r>
                <w:rPr>
                  <w:rStyle w:val="InternetLink"/>
                  <w:rFonts w:ascii="Times New Roman" w:hAnsi="Times New Roman"/>
                  <w:caps w:val="false"/>
                  <w:smallCaps w:val="false"/>
                  <w:sz w:val="20"/>
                  <w:u w:val="single"/>
                </w:rPr>
                <w:t>10.11*</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31">
              <w:r>
                <w:rPr>
                  <w:rStyle w:val="InternetLink"/>
                  <w:rFonts w:ascii="Times New Roman" w:hAnsi="Times New Roman"/>
                  <w:caps w:val="false"/>
                  <w:smallCaps w:val="false"/>
                  <w:sz w:val="20"/>
                  <w:u w:val="single"/>
                </w:rPr>
                <w:t>Form of Nonqualified Stock Option Award Agreement pursuant to the 2017 Omnibus Incentive Plan.</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3/14/2018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10.28</w:t>
            </w:r>
          </w:p>
        </w:tc>
      </w:tr>
      <w:tr>
        <w:trPr/>
        <w:tc>
          <w:tcPr>
            <w:tcW w:w="566" w:type="dxa"/>
            <w:gridSpan w:val="2"/>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32">
              <w:r>
                <w:rPr>
                  <w:rStyle w:val="InternetLink"/>
                  <w:rFonts w:ascii="Times New Roman" w:hAnsi="Times New Roman"/>
                  <w:caps w:val="false"/>
                  <w:smallCaps w:val="false"/>
                  <w:sz w:val="20"/>
                  <w:u w:val="single"/>
                </w:rPr>
                <w:t>10.12*</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33">
              <w:r>
                <w:rPr>
                  <w:rStyle w:val="InternetLink"/>
                  <w:rFonts w:ascii="Times New Roman" w:hAnsi="Times New Roman"/>
                  <w:caps w:val="false"/>
                  <w:smallCaps w:val="false"/>
                  <w:sz w:val="20"/>
                  <w:u w:val="single"/>
                </w:rPr>
                <w:t>Form of Restricted Stock Award Agreement pursuant to the 2017 Omnibus Incentive Plan.</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3/14/2018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10.29</w:t>
            </w:r>
          </w:p>
        </w:tc>
      </w:tr>
      <w:tr>
        <w:trPr/>
        <w:tc>
          <w:tcPr>
            <w:tcW w:w="566" w:type="dxa"/>
            <w:gridSpan w:val="2"/>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34">
              <w:r>
                <w:rPr>
                  <w:rStyle w:val="InternetLink"/>
                  <w:rFonts w:ascii="Times New Roman" w:hAnsi="Times New Roman"/>
                  <w:caps w:val="false"/>
                  <w:smallCaps w:val="false"/>
                  <w:sz w:val="20"/>
                  <w:u w:val="single"/>
                </w:rPr>
                <w:t>10.13</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35">
              <w:r>
                <w:rPr>
                  <w:rStyle w:val="InternetLink"/>
                  <w:rFonts w:ascii="Times New Roman" w:hAnsi="Times New Roman"/>
                  <w:caps w:val="false"/>
                  <w:smallCaps w:val="false"/>
                  <w:sz w:val="20"/>
                  <w:u w:val="single"/>
                </w:rPr>
                <w:t>Stock Purchase Agreement, dated February 27, 2018, by and among Addus Healthcare, Inc., Michael J. Merrell and Mary E. Merrell, individually, Michael J. Merrell and Mary E. Merrell, as Trustees of the Merrell Revocable Trust UTA dated June 3, 2012, and Michael J. Merrell and Mary E. Merrell, as Trustees of the Ambercare Corporation Employee Stock Ownership Plan Trust.</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36">
              <w:r>
                <w:rPr>
                  <w:rStyle w:val="InternetLink"/>
                  <w:rFonts w:ascii="Times New Roman" w:hAnsi="Times New Roman"/>
                  <w:caps w:val="false"/>
                  <w:smallCaps w:val="false"/>
                  <w:sz w:val="20"/>
                  <w:u w:val="single"/>
                </w:rPr>
                <w:t>10.14</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37">
              <w:r>
                <w:rPr>
                  <w:rStyle w:val="InternetLink"/>
                  <w:rFonts w:ascii="Times New Roman" w:hAnsi="Times New Roman"/>
                  <w:caps w:val="false"/>
                  <w:smallCaps w:val="false"/>
                  <w:sz w:val="20"/>
                  <w:u w:val="single"/>
                </w:rPr>
                <w:t>Amended and Restated Credit Agreement by and among Addus HealthCare, Inc., as borrower, the Company, the other Credit Parties party thereto, the Lenders and L/C Issuers party thereto, and Capital One, National Association, as administrative agent.</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8/11/2018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r>
      <w:tr>
        <w:trPr/>
        <w:tc>
          <w:tcPr>
            <w:tcW w:w="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38">
              <w:r>
                <w:rPr>
                  <w:rStyle w:val="InternetLink"/>
                  <w:rFonts w:ascii="Times New Roman" w:hAnsi="Times New Roman"/>
                  <w:caps w:val="false"/>
                  <w:smallCaps w:val="false"/>
                  <w:sz w:val="20"/>
                  <w:u w:val="single"/>
                </w:rPr>
                <w:t>10.15*</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39">
              <w:r>
                <w:rPr>
                  <w:rStyle w:val="InternetLink"/>
                  <w:rFonts w:ascii="Times New Roman" w:hAnsi="Times New Roman"/>
                  <w:caps w:val="false"/>
                  <w:smallCaps w:val="false"/>
                  <w:sz w:val="20"/>
                  <w:u w:val="single"/>
                </w:rPr>
                <w:t>Second Amended and Restated Employment and Non-Competition Agreement, dated November 5, 2018, by and between Addus HealthCare, Inc. and R. Dirk Allison.</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8/11/2018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r>
      <w:tr>
        <w:trPr/>
        <w:tc>
          <w:tcPr>
            <w:tcW w:w="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40">
              <w:r>
                <w:rPr>
                  <w:rStyle w:val="InternetLink"/>
                  <w:rFonts w:ascii="Times New Roman" w:hAnsi="Times New Roman"/>
                  <w:caps w:val="false"/>
                  <w:smallCaps w:val="false"/>
                  <w:sz w:val="20"/>
                  <w:u w:val="single"/>
                </w:rPr>
                <w:t>10.16*</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41">
              <w:r>
                <w:rPr>
                  <w:rStyle w:val="InternetLink"/>
                  <w:rFonts w:ascii="Times New Roman" w:hAnsi="Times New Roman"/>
                  <w:caps w:val="false"/>
                  <w:smallCaps w:val="false"/>
                  <w:sz w:val="20"/>
                  <w:u w:val="single"/>
                </w:rPr>
                <w:t>Second Amended and Restated Employment and Non-Competition Agreement, dated November 5, 2018, by and between Addus HealthCare, Inc. and Brian Poff.</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8/11/2018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r>
      <w:tr>
        <w:trPr/>
        <w:tc>
          <w:tcPr>
            <w:tcW w:w="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42">
              <w:r>
                <w:rPr>
                  <w:rStyle w:val="InternetLink"/>
                  <w:rFonts w:ascii="Times New Roman" w:hAnsi="Times New Roman"/>
                  <w:caps w:val="false"/>
                  <w:smallCaps w:val="false"/>
                  <w:sz w:val="20"/>
                  <w:u w:val="single"/>
                </w:rPr>
                <w:t>10.17*</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43">
              <w:r>
                <w:rPr>
                  <w:rStyle w:val="InternetLink"/>
                  <w:rFonts w:ascii="Times New Roman" w:hAnsi="Times New Roman"/>
                  <w:caps w:val="false"/>
                  <w:smallCaps w:val="false"/>
                  <w:sz w:val="20"/>
                  <w:u w:val="single"/>
                </w:rPr>
                <w:t>Second Amended and Restated Employment and Non-Competition Agreement, dated November 5, 2018, by and between Addus HealthCare, Inc. and Darby Anderson.</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8/11/2018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10.6</w:t>
            </w:r>
          </w:p>
        </w:tc>
      </w:tr>
      <w:tr>
        <w:trPr/>
        <w:tc>
          <w:tcPr>
            <w:tcW w:w="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44">
              <w:r>
                <w:rPr>
                  <w:rStyle w:val="InternetLink"/>
                  <w:rFonts w:ascii="Times New Roman" w:hAnsi="Times New Roman"/>
                  <w:caps w:val="false"/>
                  <w:smallCaps w:val="false"/>
                  <w:sz w:val="20"/>
                  <w:u w:val="single"/>
                </w:rPr>
                <w:t>10.18*</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45">
              <w:r>
                <w:rPr>
                  <w:rStyle w:val="InternetLink"/>
                  <w:rFonts w:ascii="Times New Roman" w:hAnsi="Times New Roman"/>
                  <w:caps w:val="false"/>
                  <w:smallCaps w:val="false"/>
                  <w:sz w:val="20"/>
                  <w:u w:val="single"/>
                </w:rPr>
                <w:t>Second Amended and Restated Employment and Non-Competition Agreement, dated November 5, 2018, by and between Addus HealthCare, Inc. and W. Bradley Bickham.</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8/11/2018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tc>
      </w:tr>
      <w:tr>
        <w:trPr/>
        <w:tc>
          <w:tcPr>
            <w:tcW w:w="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46">
              <w:r>
                <w:rPr>
                  <w:rStyle w:val="InternetLink"/>
                  <w:rFonts w:ascii="Times New Roman" w:hAnsi="Times New Roman"/>
                  <w:caps w:val="false"/>
                  <w:smallCaps w:val="false"/>
                  <w:sz w:val="20"/>
                  <w:u w:val="single"/>
                </w:rPr>
                <w:t>10.19</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47">
              <w:r>
                <w:rPr>
                  <w:rStyle w:val="InternetLink"/>
                  <w:rFonts w:ascii="Times New Roman" w:hAnsi="Times New Roman"/>
                  <w:caps w:val="false"/>
                  <w:smallCaps w:val="false"/>
                  <w:sz w:val="20"/>
                  <w:u w:val="single"/>
                </w:rPr>
                <w:t>Amended and Restated Credit Agreement, dated as of October 31, 2018, by and among Addus HealthCare, Inc., as borrower, the Company, the other Credit Parties party thereto, the Lenders and L/C Issuers party thereto, and Capital One, National Association, as administrative agent.</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11/8/2018</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r>
      <w:tr>
        <w:trPr/>
        <w:tc>
          <w:tcPr>
            <w:tcW w:w="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06" w:type="dxa"/>
            <w:tcBorders/>
            <w:vAlign w:val="center"/>
          </w:tcPr>
          <w:p>
            <w:pPr>
              <w:pStyle w:val="TableContents"/>
              <w:bidi w:val="0"/>
              <w:spacing w:before="0" w:after="0"/>
              <w:ind w:left="0" w:right="0" w:hanging="0"/>
              <w:jc w:val="left"/>
              <w:rPr/>
            </w:pPr>
            <w:hyperlink r:id="rId48">
              <w:r>
                <w:rPr>
                  <w:rStyle w:val="InternetLink"/>
                  <w:rFonts w:ascii="Times New Roman" w:hAnsi="Times New Roman"/>
                  <w:caps w:val="false"/>
                  <w:smallCaps w:val="false"/>
                  <w:sz w:val="20"/>
                  <w:u w:val="single"/>
                </w:rPr>
                <w:t>10.20*</w:t>
              </w:r>
            </w:hyperlink>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ind w:left="0" w:right="0" w:hanging="0"/>
              <w:jc w:val="left"/>
              <w:rPr/>
            </w:pPr>
            <w:hyperlink r:id="rId49">
              <w:r>
                <w:rPr>
                  <w:rStyle w:val="InternetLink"/>
                  <w:rFonts w:ascii="Times New Roman" w:hAnsi="Times New Roman"/>
                  <w:caps w:val="false"/>
                  <w:smallCaps w:val="false"/>
                  <w:sz w:val="20"/>
                  <w:u w:val="single"/>
                </w:rPr>
                <w:t>Employment and Non-Competition Agreement, effective April 29, 2019, by and between Addus HealthCare, Inc. and Sean Gaffney.</w:t>
              </w:r>
            </w:hyperlink>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4/8/2019</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
        <w:gridCol w:w="60"/>
        <w:gridCol w:w="7071"/>
        <w:gridCol w:w="60"/>
        <w:gridCol w:w="365"/>
        <w:gridCol w:w="60"/>
        <w:gridCol w:w="755"/>
        <w:gridCol w:w="60"/>
        <w:gridCol w:w="683"/>
        <w:gridCol w:w="60"/>
        <w:gridCol w:w="488"/>
      </w:tblGrid>
      <w:tr>
        <w:trPr/>
        <w:tc>
          <w:tcPr>
            <w:tcW w:w="543" w:type="dxa"/>
            <w:tcBorders/>
            <w:vAlign w:val="center"/>
          </w:tcPr>
          <w:p>
            <w:pPr>
              <w:pStyle w:val="TableContents"/>
              <w:bidi w:val="0"/>
              <w:spacing w:before="0" w:after="0"/>
              <w:ind w:left="0" w:right="0" w:hanging="0"/>
              <w:jc w:val="left"/>
              <w:rPr/>
            </w:pPr>
            <w:hyperlink r:id="rId50">
              <w:r>
                <w:rPr>
                  <w:rStyle w:val="InternetLink"/>
                  <w:rFonts w:ascii="Times New Roman" w:hAnsi="Times New Roman"/>
                  <w:caps w:val="false"/>
                  <w:smallCaps w:val="false"/>
                  <w:sz w:val="20"/>
                  <w:u w:val="single"/>
                </w:rPr>
                <w:t>10.21*</w:t>
              </w:r>
            </w:hyperlink>
          </w:p>
        </w:tc>
        <w:tc>
          <w:tcPr>
            <w:tcW w:w="60" w:type="dxa"/>
            <w:tcBorders/>
            <w:vAlign w:val="center"/>
          </w:tcPr>
          <w:p>
            <w:pPr>
              <w:pStyle w:val="TableContents"/>
              <w:bidi w:val="0"/>
              <w:spacing w:before="0" w:after="283"/>
              <w:jc w:val="left"/>
              <w:rPr/>
            </w:pPr>
            <w:r>
              <w:rPr/>
              <w:t> </w:t>
            </w:r>
          </w:p>
        </w:tc>
        <w:tc>
          <w:tcPr>
            <w:tcW w:w="7071" w:type="dxa"/>
            <w:tcBorders/>
            <w:vAlign w:val="center"/>
          </w:tcPr>
          <w:p>
            <w:pPr>
              <w:pStyle w:val="TableContents"/>
              <w:bidi w:val="0"/>
              <w:spacing w:before="0" w:after="0"/>
              <w:ind w:left="0" w:right="0" w:hanging="0"/>
              <w:jc w:val="left"/>
              <w:rPr/>
            </w:pPr>
            <w:hyperlink r:id="rId51">
              <w:r>
                <w:rPr>
                  <w:rStyle w:val="InternetLink"/>
                  <w:rFonts w:ascii="Times New Roman" w:hAnsi="Times New Roman"/>
                  <w:caps w:val="false"/>
                  <w:smallCaps w:val="false"/>
                  <w:sz w:val="20"/>
                  <w:u w:val="single"/>
                </w:rPr>
                <w:t>Employment and Non-Competition Agreement, effective November 7, 2019, by and between Addus HealthCare, Inc. and David Tucker.</w:t>
              </w:r>
            </w:hyperlink>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8/10/2020</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10.40</w:t>
            </w:r>
          </w:p>
        </w:tc>
      </w:tr>
      <w:tr>
        <w:trPr/>
        <w:tc>
          <w:tcPr>
            <w:tcW w:w="5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0"/>
              <w:ind w:left="0" w:right="0" w:hanging="0"/>
              <w:jc w:val="left"/>
              <w:rPr/>
            </w:pPr>
            <w:hyperlink r:id="rId52">
              <w:r>
                <w:rPr>
                  <w:rStyle w:val="InternetLink"/>
                  <w:rFonts w:ascii="Times New Roman" w:hAnsi="Times New Roman"/>
                  <w:caps w:val="false"/>
                  <w:smallCaps w:val="false"/>
                  <w:sz w:val="20"/>
                  <w:u w:val="single"/>
                </w:rPr>
                <w:t>10.22*</w:t>
              </w:r>
            </w:hyperlink>
          </w:p>
        </w:tc>
        <w:tc>
          <w:tcPr>
            <w:tcW w:w="60" w:type="dxa"/>
            <w:tcBorders/>
            <w:vAlign w:val="center"/>
          </w:tcPr>
          <w:p>
            <w:pPr>
              <w:pStyle w:val="TableContents"/>
              <w:bidi w:val="0"/>
              <w:spacing w:before="0" w:after="283"/>
              <w:jc w:val="left"/>
              <w:rPr/>
            </w:pPr>
            <w:r>
              <w:rPr/>
              <w:t> </w:t>
            </w:r>
          </w:p>
        </w:tc>
        <w:tc>
          <w:tcPr>
            <w:tcW w:w="7071" w:type="dxa"/>
            <w:tcBorders/>
            <w:vAlign w:val="center"/>
          </w:tcPr>
          <w:p>
            <w:pPr>
              <w:pStyle w:val="TableContents"/>
              <w:bidi w:val="0"/>
              <w:spacing w:before="0" w:after="0"/>
              <w:ind w:left="0" w:right="0" w:hanging="0"/>
              <w:jc w:val="left"/>
              <w:rPr/>
            </w:pPr>
            <w:hyperlink r:id="rId53">
              <w:r>
                <w:rPr>
                  <w:rStyle w:val="InternetLink"/>
                  <w:rFonts w:ascii="Times New Roman" w:hAnsi="Times New Roman"/>
                  <w:caps w:val="false"/>
                  <w:smallCaps w:val="false"/>
                  <w:sz w:val="20"/>
                  <w:u w:val="single"/>
                </w:rPr>
                <w:t>Employment and Non-Competition Agreement, effective November 7, 2019, by and between Addus HealthCare, Inc. and Mike Wattenbarger.</w:t>
              </w:r>
            </w:hyperlink>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8/10/2020</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60"/>
        <w:gridCol w:w="7117"/>
        <w:gridCol w:w="60"/>
        <w:gridCol w:w="538"/>
        <w:gridCol w:w="60"/>
        <w:gridCol w:w="737"/>
        <w:gridCol w:w="60"/>
        <w:gridCol w:w="541"/>
        <w:gridCol w:w="60"/>
        <w:gridCol w:w="487"/>
      </w:tblGrid>
      <w:tr>
        <w:trPr/>
        <w:tc>
          <w:tcPr>
            <w:tcW w:w="485" w:type="dxa"/>
            <w:tcBorders/>
            <w:vAlign w:val="center"/>
          </w:tcPr>
          <w:p>
            <w:pPr>
              <w:pStyle w:val="TableContents"/>
              <w:bidi w:val="0"/>
              <w:spacing w:before="0" w:after="0"/>
              <w:ind w:left="0" w:right="0" w:hanging="0"/>
              <w:jc w:val="left"/>
              <w:rPr/>
            </w:pPr>
            <w:hyperlink r:id="rId54">
              <w:r>
                <w:rPr>
                  <w:rStyle w:val="InternetLink"/>
                  <w:rFonts w:ascii="Times New Roman" w:hAnsi="Times New Roman"/>
                  <w:caps w:val="false"/>
                  <w:smallCaps w:val="false"/>
                  <w:sz w:val="20"/>
                  <w:u w:val="single"/>
                </w:rPr>
                <w:t>10.23</w:t>
              </w:r>
            </w:hyperlink>
          </w:p>
        </w:tc>
        <w:tc>
          <w:tcPr>
            <w:tcW w:w="60" w:type="dxa"/>
            <w:tcBorders/>
            <w:vAlign w:val="center"/>
          </w:tcPr>
          <w:p>
            <w:pPr>
              <w:pStyle w:val="TableContents"/>
              <w:bidi w:val="0"/>
              <w:spacing w:before="0" w:after="283"/>
              <w:jc w:val="left"/>
              <w:rPr/>
            </w:pPr>
            <w:r>
              <w:rPr/>
              <w:t> </w:t>
            </w:r>
          </w:p>
        </w:tc>
        <w:tc>
          <w:tcPr>
            <w:tcW w:w="7117" w:type="dxa"/>
            <w:tcBorders/>
            <w:vAlign w:val="center"/>
          </w:tcPr>
          <w:p>
            <w:pPr>
              <w:pStyle w:val="TableContents"/>
              <w:bidi w:val="0"/>
              <w:spacing w:before="0" w:after="0"/>
              <w:ind w:left="0" w:right="0" w:hanging="0"/>
              <w:jc w:val="left"/>
              <w:rPr/>
            </w:pPr>
            <w:hyperlink r:id="rId55">
              <w:r>
                <w:rPr>
                  <w:rStyle w:val="InternetLink"/>
                  <w:rFonts w:ascii="Times New Roman" w:hAnsi="Times New Roman"/>
                  <w:caps w:val="false"/>
                  <w:smallCaps w:val="false"/>
                  <w:sz w:val="20"/>
                  <w:u w:val="single"/>
                </w:rPr>
                <w:t>Equity Purchase Agreement, dated August 25, 2019, by and among Addus Healthcare, Inc., Hospice Partners of America, LLC, New Capital Partners II – HS, Inc., Senior Care Services, LLC, Eastside Partners II, L.P., and New Capital Partners II, LLC.</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S-3ASR</w:t>
            </w:r>
          </w:p>
        </w:tc>
        <w:tc>
          <w:tcPr>
            <w:tcW w:w="6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333-233600</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9/3/2019</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r>
      <w:tr>
        <w:trPr/>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0" w:right="0" w:hanging="0"/>
              <w:jc w:val="left"/>
              <w:rPr/>
            </w:pPr>
            <w:hyperlink r:id="rId56">
              <w:r>
                <w:rPr>
                  <w:rStyle w:val="InternetLink"/>
                  <w:rFonts w:ascii="Times New Roman" w:hAnsi="Times New Roman"/>
                  <w:caps w:val="false"/>
                  <w:smallCaps w:val="false"/>
                  <w:sz w:val="20"/>
                  <w:u w:val="single"/>
                </w:rPr>
                <w:t>10.24</w:t>
              </w:r>
            </w:hyperlink>
          </w:p>
        </w:tc>
        <w:tc>
          <w:tcPr>
            <w:tcW w:w="60" w:type="dxa"/>
            <w:tcBorders/>
            <w:vAlign w:val="center"/>
          </w:tcPr>
          <w:p>
            <w:pPr>
              <w:pStyle w:val="TableContents"/>
              <w:bidi w:val="0"/>
              <w:spacing w:before="0" w:after="283"/>
              <w:jc w:val="left"/>
              <w:rPr/>
            </w:pPr>
            <w:r>
              <w:rPr/>
              <w:t> </w:t>
            </w:r>
          </w:p>
        </w:tc>
        <w:tc>
          <w:tcPr>
            <w:tcW w:w="7117" w:type="dxa"/>
            <w:tcBorders/>
            <w:vAlign w:val="center"/>
          </w:tcPr>
          <w:p>
            <w:pPr>
              <w:pStyle w:val="TableContents"/>
              <w:bidi w:val="0"/>
              <w:spacing w:before="0" w:after="0"/>
              <w:ind w:left="0" w:right="0" w:hanging="0"/>
              <w:jc w:val="left"/>
              <w:rPr/>
            </w:pPr>
            <w:hyperlink r:id="rId57">
              <w:r>
                <w:rPr>
                  <w:rStyle w:val="InternetLink"/>
                  <w:rFonts w:ascii="Times New Roman" w:hAnsi="Times New Roman"/>
                  <w:caps w:val="false"/>
                  <w:smallCaps w:val="false"/>
                  <w:sz w:val="20"/>
                  <w:u w:val="single"/>
                </w:rPr>
                <w:t>First Amendment to Amended and Restated Credit Agreement, dated as of September 12, 2019, by and among Addus HealthCare, Inc., as the Borrower, Addus HomeCare Corporation, other Credit Parties party thereto, Capital One, National Association, as administrative agent and as a Lender, and the other Lenders party thereto.</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9/13/2019</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0"/>
              <w:ind w:left="0" w:right="0" w:hanging="0"/>
              <w:jc w:val="left"/>
              <w:rPr/>
            </w:pPr>
            <w:hyperlink r:id="rId58">
              <w:r>
                <w:rPr>
                  <w:rStyle w:val="InternetLink"/>
                  <w:rFonts w:ascii="Times New Roman" w:hAnsi="Times New Roman"/>
                  <w:caps w:val="false"/>
                  <w:smallCaps w:val="false"/>
                  <w:sz w:val="20"/>
                  <w:u w:val="single"/>
                </w:rPr>
                <w:t>10.25</w:t>
              </w:r>
            </w:hyperlink>
          </w:p>
        </w:tc>
        <w:tc>
          <w:tcPr>
            <w:tcW w:w="60" w:type="dxa"/>
            <w:tcBorders/>
            <w:vAlign w:val="center"/>
          </w:tcPr>
          <w:p>
            <w:pPr>
              <w:pStyle w:val="TableContents"/>
              <w:bidi w:val="0"/>
              <w:spacing w:before="0" w:after="283"/>
              <w:jc w:val="left"/>
              <w:rPr/>
            </w:pPr>
            <w:r>
              <w:rPr/>
              <w:t> </w:t>
            </w:r>
          </w:p>
        </w:tc>
        <w:tc>
          <w:tcPr>
            <w:tcW w:w="7117" w:type="dxa"/>
            <w:tcBorders/>
            <w:vAlign w:val="center"/>
          </w:tcPr>
          <w:p>
            <w:pPr>
              <w:pStyle w:val="TableContents"/>
              <w:bidi w:val="0"/>
              <w:spacing w:before="0" w:after="0"/>
              <w:ind w:left="0" w:right="0" w:hanging="0"/>
              <w:jc w:val="left"/>
              <w:rPr/>
            </w:pPr>
            <w:hyperlink r:id="rId59">
              <w:r>
                <w:rPr>
                  <w:rStyle w:val="InternetLink"/>
                  <w:rFonts w:ascii="Times New Roman" w:hAnsi="Times New Roman"/>
                  <w:caps w:val="false"/>
                  <w:smallCaps w:val="false"/>
                  <w:sz w:val="20"/>
                  <w:u w:val="single"/>
                </w:rPr>
                <w:t>Unit Purchase Agreement, dated November 10, 2020, by and among Addus Healthcare, Inc., Queen City Hospice, LLC, Miracle City Hospice, LLC, and QCH Holdings LLC.</w:t>
              </w:r>
            </w:hyperlink>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3/1/2021</w:t>
            </w:r>
          </w:p>
        </w:tc>
        <w:tc>
          <w:tcPr>
            <w:tcW w:w="60"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
        <w:gridCol w:w="60"/>
        <w:gridCol w:w="7387"/>
        <w:gridCol w:w="60"/>
        <w:gridCol w:w="321"/>
        <w:gridCol w:w="60"/>
        <w:gridCol w:w="633"/>
        <w:gridCol w:w="60"/>
        <w:gridCol w:w="542"/>
        <w:gridCol w:w="60"/>
        <w:gridCol w:w="488"/>
      </w:tblGrid>
      <w:tr>
        <w:trPr/>
        <w:tc>
          <w:tcPr>
            <w:tcW w:w="534" w:type="dxa"/>
            <w:tcBorders/>
            <w:vAlign w:val="center"/>
          </w:tcPr>
          <w:p>
            <w:pPr>
              <w:pStyle w:val="TableContents"/>
              <w:bidi w:val="0"/>
              <w:spacing w:before="0" w:after="0"/>
              <w:ind w:left="0" w:right="0" w:hanging="0"/>
              <w:jc w:val="left"/>
              <w:rPr/>
            </w:pPr>
            <w:hyperlink r:id="rId60">
              <w:r>
                <w:rPr>
                  <w:rStyle w:val="InternetLink"/>
                  <w:rFonts w:ascii="Times New Roman" w:hAnsi="Times New Roman"/>
                  <w:caps w:val="false"/>
                  <w:smallCaps w:val="false"/>
                  <w:sz w:val="20"/>
                  <w:u w:val="single"/>
                </w:rPr>
                <w:t>10.26</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61">
              <w:r>
                <w:rPr>
                  <w:rStyle w:val="InternetLink"/>
                  <w:rFonts w:ascii="Times New Roman" w:hAnsi="Times New Roman"/>
                  <w:caps w:val="false"/>
                  <w:smallCaps w:val="false"/>
                  <w:sz w:val="20"/>
                  <w:u w:val="single"/>
                </w:rPr>
                <w:t>Amendment to Unit Purchase Agreement, dated December 3, 2020, by and among Addus Healthcare, Inc., Queen City Hospice, LLC, Miracle City Hospice, LLC, and QCH Holdings LLC.</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3/1/2021</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10.46</w:t>
            </w:r>
          </w:p>
        </w:tc>
      </w:tr>
      <w:tr>
        <w:trPr/>
        <w:tc>
          <w:tcPr>
            <w:tcW w:w="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34" w:type="dxa"/>
            <w:tcBorders/>
            <w:vAlign w:val="center"/>
          </w:tcPr>
          <w:p>
            <w:pPr>
              <w:pStyle w:val="TableContents"/>
              <w:bidi w:val="0"/>
              <w:spacing w:before="0" w:after="0"/>
              <w:ind w:left="0" w:right="0" w:hanging="0"/>
              <w:jc w:val="left"/>
              <w:rPr/>
            </w:pPr>
            <w:hyperlink r:id="rId62">
              <w:r>
                <w:rPr>
                  <w:rStyle w:val="InternetLink"/>
                  <w:rFonts w:ascii="Times New Roman" w:hAnsi="Times New Roman"/>
                  <w:caps w:val="false"/>
                  <w:smallCaps w:val="false"/>
                  <w:sz w:val="20"/>
                  <w:u w:val="single"/>
                </w:rPr>
                <w:t>10.27*</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63">
              <w:r>
                <w:rPr>
                  <w:rStyle w:val="InternetLink"/>
                  <w:rFonts w:ascii="Times New Roman" w:hAnsi="Times New Roman"/>
                  <w:caps w:val="false"/>
                  <w:smallCaps w:val="false"/>
                  <w:sz w:val="20"/>
                  <w:u w:val="single"/>
                </w:rPr>
                <w:t>Employment and Non-Competition Agreement, effective June 14, 2021, by and between Addus HealthCare, Inc. and Roberton James Stevenson.</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8/4/2021</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r>
      <w:tr>
        <w:trPr/>
        <w:tc>
          <w:tcPr>
            <w:tcW w:w="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34" w:type="dxa"/>
            <w:tcBorders/>
            <w:vAlign w:val="center"/>
          </w:tcPr>
          <w:p>
            <w:pPr>
              <w:pStyle w:val="TableContents"/>
              <w:bidi w:val="0"/>
              <w:spacing w:before="0" w:after="0"/>
              <w:ind w:left="0" w:right="0" w:hanging="0"/>
              <w:jc w:val="left"/>
              <w:rPr/>
            </w:pPr>
            <w:hyperlink r:id="rId64">
              <w:r>
                <w:rPr>
                  <w:rStyle w:val="InternetLink"/>
                  <w:rFonts w:ascii="Times New Roman" w:hAnsi="Times New Roman"/>
                  <w:caps w:val="false"/>
                  <w:smallCaps w:val="false"/>
                  <w:sz w:val="20"/>
                  <w:u w:val="single"/>
                </w:rPr>
                <w:t>10.28**</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65">
              <w:r>
                <w:rPr>
                  <w:rStyle w:val="InternetLink"/>
                  <w:rFonts w:ascii="Times New Roman" w:hAnsi="Times New Roman"/>
                  <w:caps w:val="false"/>
                  <w:smallCaps w:val="false"/>
                  <w:sz w:val="20"/>
                  <w:u w:val="single"/>
                </w:rPr>
                <w:t>Second Amendment to Amended and Restated Credit Agreement, dated as of July 30, 2021, by and among Addus HealthCare, Inc., as the Borrower, Addus HomeCare Corporation, the other Credit Parties party thereto, Capital One, National Association, as administrative agent and as a Lender, and the other Lenders party thereto.</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8/4/2021</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34" w:type="dxa"/>
            <w:tcBorders/>
            <w:vAlign w:val="center"/>
          </w:tcPr>
          <w:p>
            <w:pPr>
              <w:pStyle w:val="TableContents"/>
              <w:bidi w:val="0"/>
              <w:spacing w:before="0" w:after="0"/>
              <w:ind w:left="0" w:right="0" w:hanging="0"/>
              <w:jc w:val="left"/>
              <w:rPr/>
            </w:pPr>
            <w:hyperlink r:id="rId66">
              <w:r>
                <w:rPr>
                  <w:rStyle w:val="InternetLink"/>
                  <w:rFonts w:ascii="Times New Roman" w:hAnsi="Times New Roman"/>
                  <w:caps w:val="false"/>
                  <w:smallCaps w:val="false"/>
                  <w:sz w:val="20"/>
                  <w:u w:val="single"/>
                </w:rPr>
                <w:t>10.29*</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67">
              <w:r>
                <w:rPr>
                  <w:rStyle w:val="InternetLink"/>
                  <w:rFonts w:ascii="Times New Roman" w:hAnsi="Times New Roman"/>
                  <w:caps w:val="false"/>
                  <w:smallCaps w:val="false"/>
                  <w:sz w:val="20"/>
                  <w:u w:val="single"/>
                </w:rPr>
                <w:t>2022 Form of Indemnification Agreement.</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2/25/2022</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10.50</w:t>
            </w:r>
          </w:p>
        </w:tc>
      </w:tr>
      <w:tr>
        <w:trPr/>
        <w:tc>
          <w:tcPr>
            <w:tcW w:w="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34" w:type="dxa"/>
            <w:tcBorders/>
            <w:vAlign w:val="center"/>
          </w:tcPr>
          <w:p>
            <w:pPr>
              <w:pStyle w:val="TableContents"/>
              <w:bidi w:val="0"/>
              <w:spacing w:before="0" w:after="0"/>
              <w:ind w:left="0" w:right="0" w:hanging="0"/>
              <w:jc w:val="left"/>
              <w:rPr/>
            </w:pPr>
            <w:hyperlink r:id="rId68">
              <w:r>
                <w:rPr>
                  <w:rStyle w:val="InternetLink"/>
                  <w:rFonts w:ascii="Times New Roman" w:hAnsi="Times New Roman"/>
                  <w:caps w:val="false"/>
                  <w:smallCaps w:val="false"/>
                  <w:sz w:val="20"/>
                  <w:u w:val="single"/>
                </w:rPr>
                <w:t>10.30*</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69">
              <w:r>
                <w:rPr>
                  <w:rStyle w:val="InternetLink"/>
                  <w:rFonts w:ascii="Times New Roman" w:hAnsi="Times New Roman"/>
                  <w:caps w:val="false"/>
                  <w:smallCaps w:val="false"/>
                  <w:sz w:val="20"/>
                  <w:u w:val="single"/>
                </w:rPr>
                <w:t>Amended and Restated Employment and Non-Competition Agreement, effective March 1, 2022, by and between Addus HealthCare, Inc. and Monica Raines.</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5/23/2022</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34" w:type="dxa"/>
            <w:tcBorders/>
            <w:vAlign w:val="center"/>
          </w:tcPr>
          <w:p>
            <w:pPr>
              <w:pStyle w:val="TableContents"/>
              <w:bidi w:val="0"/>
              <w:spacing w:before="0" w:after="0"/>
              <w:ind w:left="0" w:right="0" w:hanging="0"/>
              <w:jc w:val="left"/>
              <w:rPr/>
            </w:pPr>
            <w:hyperlink r:id="rId70">
              <w:r>
                <w:rPr>
                  <w:rStyle w:val="InternetLink"/>
                  <w:rFonts w:ascii="Times New Roman" w:hAnsi="Times New Roman"/>
                  <w:caps w:val="false"/>
                  <w:smallCaps w:val="false"/>
                  <w:sz w:val="20"/>
                  <w:u w:val="single"/>
                </w:rPr>
                <w:t>10.31*</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71">
              <w:r>
                <w:rPr>
                  <w:rStyle w:val="InternetLink"/>
                  <w:rFonts w:ascii="Times New Roman" w:hAnsi="Times New Roman"/>
                  <w:caps w:val="false"/>
                  <w:smallCaps w:val="false"/>
                  <w:sz w:val="20"/>
                  <w:u w:val="single"/>
                </w:rPr>
                <w:t>Employment and Non-Competition Agreement, effective April 20, 2022, by and between Addus HealthCare, Inc. and Cliff Blessing.</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8/2/2022</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34" w:type="dxa"/>
            <w:tcBorders/>
            <w:vAlign w:val="center"/>
          </w:tcPr>
          <w:p>
            <w:pPr>
              <w:pStyle w:val="TableContents"/>
              <w:bidi w:val="0"/>
              <w:spacing w:before="0" w:after="0"/>
              <w:ind w:left="0" w:right="0" w:hanging="0"/>
              <w:jc w:val="left"/>
              <w:rPr/>
            </w:pPr>
            <w:hyperlink r:id="rId72">
              <w:r>
                <w:rPr>
                  <w:rStyle w:val="InternetLink"/>
                  <w:rFonts w:ascii="Times New Roman" w:hAnsi="Times New Roman"/>
                  <w:caps w:val="false"/>
                  <w:smallCaps w:val="false"/>
                  <w:sz w:val="20"/>
                  <w:u w:val="single"/>
                </w:rPr>
                <w:t>10.32</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73">
              <w:r>
                <w:rPr>
                  <w:rStyle w:val="InternetLink"/>
                  <w:rFonts w:ascii="Times New Roman" w:hAnsi="Times New Roman"/>
                  <w:caps w:val="false"/>
                  <w:smallCaps w:val="false"/>
                  <w:sz w:val="20"/>
                  <w:u w:val="single"/>
                </w:rPr>
                <w:t>Third Amendment to Amended and Restated Credit Agreement, dated as of April 26, 2023, by and among Addus HealthCare, Inc., as the Borrower, Addus HomeCare Corporation, the other Credit Parties party thereto, Capital One, National Association, as administrative agent and as a Lender, and the other Lenders party thereto.</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5/2/2023</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r>
      <w:tr>
        <w:trPr/>
        <w:tc>
          <w:tcPr>
            <w:tcW w:w="534" w:type="dxa"/>
            <w:tcBorders/>
            <w:vAlign w:val="center"/>
          </w:tcPr>
          <w:p>
            <w:pPr>
              <w:pStyle w:val="TableContents"/>
              <w:bidi w:val="0"/>
              <w:spacing w:before="0" w:after="0"/>
              <w:ind w:left="0" w:right="0" w:hanging="0"/>
              <w:jc w:val="left"/>
              <w:rPr/>
            </w:pPr>
            <w:hyperlink r:id="rId74">
              <w:r>
                <w:rPr>
                  <w:rStyle w:val="InternetLink"/>
                  <w:rFonts w:ascii="Times New Roman" w:hAnsi="Times New Roman"/>
                  <w:caps w:val="false"/>
                  <w:smallCaps w:val="false"/>
                  <w:sz w:val="20"/>
                  <w:u w:val="single"/>
                </w:rPr>
                <w:t>10.33*</w:t>
              </w:r>
            </w:hyperlink>
          </w:p>
        </w:tc>
        <w:tc>
          <w:tcPr>
            <w:tcW w:w="60" w:type="dxa"/>
            <w:tcBorders/>
            <w:vAlign w:val="center"/>
          </w:tcPr>
          <w:p>
            <w:pPr>
              <w:pStyle w:val="TableContents"/>
              <w:bidi w:val="0"/>
              <w:spacing w:before="0" w:after="283"/>
              <w:jc w:val="left"/>
              <w:rPr/>
            </w:pPr>
            <w:r>
              <w:rPr/>
              <w:t> </w:t>
            </w:r>
          </w:p>
        </w:tc>
        <w:tc>
          <w:tcPr>
            <w:tcW w:w="7387" w:type="dxa"/>
            <w:tcBorders/>
            <w:vAlign w:val="center"/>
          </w:tcPr>
          <w:p>
            <w:pPr>
              <w:pStyle w:val="TableContents"/>
              <w:bidi w:val="0"/>
              <w:spacing w:before="0" w:after="0"/>
              <w:ind w:left="0" w:right="0" w:hanging="0"/>
              <w:jc w:val="left"/>
              <w:rPr/>
            </w:pPr>
            <w:hyperlink r:id="rId75">
              <w:r>
                <w:rPr>
                  <w:rStyle w:val="InternetLink"/>
                  <w:rFonts w:ascii="Times New Roman" w:hAnsi="Times New Roman"/>
                  <w:caps w:val="false"/>
                  <w:smallCaps w:val="false"/>
                  <w:sz w:val="20"/>
                  <w:u w:val="single"/>
                </w:rPr>
                <w:t>Addus HomeCare Corporation Amended and Restated 2017 Omnibus Incentive Plan.</w:t>
              </w:r>
            </w:hyperlink>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8/1/2023</w:t>
            </w:r>
          </w:p>
        </w:tc>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2"/>
        <w:gridCol w:w="60"/>
        <w:gridCol w:w="7421"/>
        <w:gridCol w:w="60"/>
        <w:gridCol w:w="352"/>
        <w:gridCol w:w="60"/>
        <w:gridCol w:w="648"/>
        <w:gridCol w:w="60"/>
        <w:gridCol w:w="560"/>
        <w:gridCol w:w="60"/>
        <w:gridCol w:w="382"/>
      </w:tblGrid>
      <w:tr>
        <w:trPr/>
        <w:tc>
          <w:tcPr>
            <w:tcW w:w="542" w:type="dxa"/>
            <w:tcBorders/>
            <w:vAlign w:val="center"/>
          </w:tcPr>
          <w:p>
            <w:pPr>
              <w:pStyle w:val="TableContents"/>
              <w:bidi w:val="0"/>
              <w:spacing w:before="0" w:after="0"/>
              <w:ind w:left="0" w:right="0" w:hanging="0"/>
              <w:jc w:val="left"/>
              <w:rPr/>
            </w:pPr>
            <w:hyperlink r:id="rId76">
              <w:r>
                <w:rPr>
                  <w:rStyle w:val="InternetLink"/>
                  <w:rFonts w:ascii="Times New Roman" w:hAnsi="Times New Roman"/>
                  <w:caps w:val="false"/>
                  <w:smallCaps w:val="false"/>
                  <w:sz w:val="20"/>
                  <w:u w:val="single"/>
                </w:rPr>
                <w:t>10.34**</w:t>
              </w:r>
            </w:hyperlink>
          </w:p>
        </w:tc>
        <w:tc>
          <w:tcPr>
            <w:tcW w:w="60" w:type="dxa"/>
            <w:tcBorders/>
            <w:vAlign w:val="center"/>
          </w:tcPr>
          <w:p>
            <w:pPr>
              <w:pStyle w:val="TableContents"/>
              <w:bidi w:val="0"/>
              <w:spacing w:before="0" w:after="283"/>
              <w:jc w:val="left"/>
              <w:rPr/>
            </w:pPr>
            <w:r>
              <w:rPr/>
              <w:t> </w:t>
            </w:r>
          </w:p>
        </w:tc>
        <w:tc>
          <w:tcPr>
            <w:tcW w:w="7421" w:type="dxa"/>
            <w:tcBorders/>
            <w:vAlign w:val="center"/>
          </w:tcPr>
          <w:p>
            <w:pPr>
              <w:pStyle w:val="TableContents"/>
              <w:bidi w:val="0"/>
              <w:spacing w:before="0" w:after="0"/>
              <w:ind w:left="0" w:right="0" w:hanging="0"/>
              <w:jc w:val="left"/>
              <w:rPr/>
            </w:pPr>
            <w:hyperlink r:id="rId77">
              <w:r>
                <w:rPr>
                  <w:rStyle w:val="InternetLink"/>
                  <w:rFonts w:ascii="Times New Roman" w:hAnsi="Times New Roman"/>
                  <w:caps w:val="false"/>
                  <w:smallCaps w:val="false"/>
                  <w:sz w:val="20"/>
                  <w:u w:val="single"/>
                </w:rPr>
                <w:t>Membership Interests Purchase Agreement, dated June 28, 2023, by and among Addus HealthCare, Inc., HHH Newco Holdings, LLC, American Health Companies, LLC, American Home Care, LLC, Homecare, LLC, Tennessee Valley Home Care, LLC, and Tri-County Home Health and Hospice, LLC.</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8/1/2023</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42" w:type="dxa"/>
            <w:tcBorders/>
            <w:vAlign w:val="center"/>
          </w:tcPr>
          <w:p>
            <w:pPr>
              <w:pStyle w:val="TableContents"/>
              <w:bidi w:val="0"/>
              <w:spacing w:before="0" w:after="0"/>
              <w:ind w:left="0" w:right="0" w:hanging="0"/>
              <w:jc w:val="left"/>
              <w:rPr/>
            </w:pPr>
            <w:hyperlink r:id="rId78">
              <w:r>
                <w:rPr>
                  <w:rStyle w:val="InternetLink"/>
                  <w:rFonts w:ascii="Times New Roman" w:hAnsi="Times New Roman"/>
                  <w:caps w:val="false"/>
                  <w:smallCaps w:val="false"/>
                  <w:sz w:val="20"/>
                  <w:u w:val="single"/>
                </w:rPr>
                <w:t>10.35</w:t>
              </w:r>
            </w:hyperlink>
          </w:p>
        </w:tc>
        <w:tc>
          <w:tcPr>
            <w:tcW w:w="60" w:type="dxa"/>
            <w:tcBorders/>
            <w:vAlign w:val="center"/>
          </w:tcPr>
          <w:p>
            <w:pPr>
              <w:pStyle w:val="TableContents"/>
              <w:bidi w:val="0"/>
              <w:spacing w:before="0" w:after="283"/>
              <w:jc w:val="left"/>
              <w:rPr/>
            </w:pPr>
            <w:r>
              <w:rPr/>
              <w:t> </w:t>
            </w:r>
          </w:p>
        </w:tc>
        <w:tc>
          <w:tcPr>
            <w:tcW w:w="7421" w:type="dxa"/>
            <w:tcBorders/>
            <w:vAlign w:val="center"/>
          </w:tcPr>
          <w:p>
            <w:pPr>
              <w:pStyle w:val="TableContents"/>
              <w:bidi w:val="0"/>
              <w:spacing w:before="0" w:after="0"/>
              <w:ind w:left="0" w:right="0" w:hanging="0"/>
              <w:jc w:val="left"/>
              <w:rPr/>
            </w:pPr>
            <w:hyperlink r:id="rId79">
              <w:r>
                <w:rPr>
                  <w:rStyle w:val="InternetLink"/>
                  <w:rFonts w:ascii="Times New Roman" w:hAnsi="Times New Roman"/>
                  <w:caps w:val="false"/>
                  <w:smallCaps w:val="false"/>
                  <w:sz w:val="20"/>
                  <w:u w:val="single"/>
                </w:rPr>
                <w:t>Stock and Asset Purchase Agreement, dated June 8, 2024, by and between Addus HealthCare, Inc. and Curo Health Services, LLC.</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8-K/A</w:t>
            </w:r>
          </w:p>
        </w:tc>
        <w:tc>
          <w:tcPr>
            <w:tcW w:w="60"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6/26/2024</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
        <w:gridCol w:w="60"/>
        <w:gridCol w:w="7487"/>
        <w:gridCol w:w="60"/>
        <w:gridCol w:w="319"/>
        <w:gridCol w:w="60"/>
        <w:gridCol w:w="627"/>
        <w:gridCol w:w="60"/>
        <w:gridCol w:w="559"/>
        <w:gridCol w:w="60"/>
        <w:gridCol w:w="382"/>
      </w:tblGrid>
      <w:tr>
        <w:trPr/>
        <w:tc>
          <w:tcPr>
            <w:tcW w:w="531" w:type="dxa"/>
            <w:tcBorders/>
            <w:vAlign w:val="center"/>
          </w:tcPr>
          <w:p>
            <w:pPr>
              <w:pStyle w:val="TableContents"/>
              <w:bidi w:val="0"/>
              <w:spacing w:before="0" w:after="0"/>
              <w:ind w:left="0" w:right="0" w:hanging="0"/>
              <w:jc w:val="left"/>
              <w:rPr/>
            </w:pPr>
            <w:hyperlink r:id="rId80">
              <w:r>
                <w:rPr>
                  <w:rStyle w:val="InternetLink"/>
                  <w:rFonts w:ascii="Times New Roman" w:hAnsi="Times New Roman"/>
                  <w:caps w:val="false"/>
                  <w:smallCaps w:val="false"/>
                  <w:sz w:val="20"/>
                  <w:u w:val="single"/>
                </w:rPr>
                <w:t>10.36**</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81">
              <w:r>
                <w:rPr>
                  <w:rStyle w:val="InternetLink"/>
                  <w:rFonts w:ascii="Times New Roman" w:hAnsi="Times New Roman"/>
                  <w:caps w:val="false"/>
                  <w:smallCaps w:val="false"/>
                  <w:sz w:val="20"/>
                  <w:u w:val="single"/>
                </w:rPr>
                <w:t>Fourth Amendment to Amended and Restated Credit Agreement, dated as of October 22, 2024, by and among Addus HealthCare, Inc., as the Borrower, Addus HomeCare Corporation, the other Credit Parties party thereto, Capital One, National Association, as administrative agent and as a Lender, and the other Lenders party thereto.</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10/22/2024</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82">
              <w:r>
                <w:rPr>
                  <w:rStyle w:val="InternetLink"/>
                  <w:rFonts w:ascii="Times New Roman" w:hAnsi="Times New Roman"/>
                  <w:caps w:val="false"/>
                  <w:smallCaps w:val="false"/>
                  <w:sz w:val="20"/>
                  <w:u w:val="single"/>
                </w:rPr>
                <w:t>10.37*</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83">
              <w:r>
                <w:rPr>
                  <w:rStyle w:val="InternetLink"/>
                  <w:rFonts w:ascii="Times New Roman" w:hAnsi="Times New Roman"/>
                  <w:caps w:val="false"/>
                  <w:smallCaps w:val="false"/>
                  <w:sz w:val="20"/>
                  <w:u w:val="single"/>
                </w:rPr>
                <w:t>Retention and Transition Agreement, dated March 10, 2025, by and between Addus Healthcare, Inc. and Heather Dixon.</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3/11/2025</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84">
              <w:r>
                <w:rPr>
                  <w:rStyle w:val="InternetLink"/>
                  <w:rFonts w:ascii="Times New Roman" w:hAnsi="Times New Roman"/>
                  <w:caps w:val="false"/>
                  <w:smallCaps w:val="false"/>
                  <w:sz w:val="20"/>
                  <w:u w:val="single"/>
                </w:rPr>
                <w:t>10.38*</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85">
              <w:r>
                <w:rPr>
                  <w:rStyle w:val="InternetLink"/>
                  <w:rFonts w:ascii="Times New Roman" w:hAnsi="Times New Roman"/>
                  <w:caps w:val="false"/>
                  <w:smallCaps w:val="false"/>
                  <w:sz w:val="20"/>
                  <w:u w:val="single"/>
                </w:rPr>
                <w:t>Third Amended and Restated Employment and Non-Competition Agreement, dated March 10, 2025, by and between Addus Healthcare, Inc. and Heather Dixon.</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3/11/2025</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86">
              <w:r>
                <w:rPr>
                  <w:rStyle w:val="InternetLink"/>
                  <w:rFonts w:ascii="Times New Roman" w:hAnsi="Times New Roman"/>
                  <w:caps w:val="false"/>
                  <w:smallCaps w:val="false"/>
                  <w:sz w:val="20"/>
                  <w:u w:val="single"/>
                </w:rPr>
                <w:t>10.39*</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87">
              <w:r>
                <w:rPr>
                  <w:rStyle w:val="InternetLink"/>
                  <w:rFonts w:ascii="Times New Roman" w:hAnsi="Times New Roman"/>
                  <w:caps w:val="false"/>
                  <w:smallCaps w:val="false"/>
                  <w:sz w:val="20"/>
                  <w:u w:val="single"/>
                </w:rPr>
                <w:t>Employment and Non-Competition Agreement, dated August 4, 2025, by and between Addus Healthcare, Inc. and Heather Dixon.</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8/7/2025</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88">
              <w:r>
                <w:rPr>
                  <w:rStyle w:val="InternetLink"/>
                  <w:rFonts w:ascii="Times New Roman" w:hAnsi="Times New Roman"/>
                  <w:caps w:val="false"/>
                  <w:smallCaps w:val="false"/>
                  <w:sz w:val="20"/>
                  <w:u w:val="single"/>
                </w:rPr>
                <w:t>10.40*</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89">
              <w:r>
                <w:rPr>
                  <w:rStyle w:val="InternetLink"/>
                  <w:rFonts w:ascii="Times New Roman" w:hAnsi="Times New Roman"/>
                  <w:caps w:val="false"/>
                  <w:smallCaps w:val="false"/>
                  <w:sz w:val="20"/>
                  <w:u w:val="single"/>
                </w:rPr>
                <w:t>Amended and Restated Retention and Transition Agreement, dated August 4, 2025, by and between Addus Healthcare, Inc. and W. Bradley Bickham.</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8/7/2025</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90">
              <w:r>
                <w:rPr>
                  <w:rStyle w:val="InternetLink"/>
                  <w:rFonts w:ascii="Times New Roman" w:hAnsi="Times New Roman"/>
                  <w:caps w:val="false"/>
                  <w:smallCaps w:val="false"/>
                  <w:sz w:val="20"/>
                  <w:u w:val="single"/>
                </w:rPr>
                <w:t>19.1</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91">
              <w:r>
                <w:rPr>
                  <w:rStyle w:val="InternetLink"/>
                  <w:rFonts w:ascii="Times New Roman" w:hAnsi="Times New Roman"/>
                  <w:caps w:val="false"/>
                  <w:smallCaps w:val="false"/>
                  <w:sz w:val="20"/>
                  <w:u w:val="single"/>
                </w:rPr>
                <w:t>Addus Homecare Corporation Insider Trading Policy</w:t>
              </w:r>
            </w:hyperlink>
            <w:r>
              <w:rPr>
                <w:rFonts w:ascii="Times New Roman" w:hAnsi="Times New Roman"/>
                <w:caps w:val="false"/>
                <w:smallCaps w:val="false"/>
                <w:sz w:val="20"/>
                <w:u w:val="single"/>
              </w:rPr>
              <w:t>.</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2/25/2025</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19.1</w:t>
            </w:r>
          </w:p>
        </w:tc>
      </w:tr>
      <w:tr>
        <w:trPr/>
        <w:tc>
          <w:tcPr>
            <w:tcW w:w="5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92">
              <w:r>
                <w:rPr>
                  <w:rStyle w:val="InternetLink"/>
                  <w:rFonts w:ascii="Times New Roman" w:hAnsi="Times New Roman"/>
                  <w:caps w:val="false"/>
                  <w:smallCaps w:val="false"/>
                  <w:sz w:val="20"/>
                  <w:u w:val="single"/>
                </w:rPr>
                <w:t>21.1</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93">
              <w:r>
                <w:rPr>
                  <w:rStyle w:val="InternetLink"/>
                  <w:rFonts w:ascii="Times New Roman" w:hAnsi="Times New Roman"/>
                  <w:caps w:val="false"/>
                  <w:smallCaps w:val="false"/>
                  <w:sz w:val="20"/>
                  <w:u w:val="single"/>
                </w:rPr>
                <w:t>Subsidiaries of Addus HomeCare Corporation.</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2/24/2026</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21.1</w:t>
            </w:r>
          </w:p>
        </w:tc>
      </w:tr>
      <w:tr>
        <w:trPr/>
        <w:tc>
          <w:tcPr>
            <w:tcW w:w="591" w:type="dxa"/>
            <w:gridSpan w:val="2"/>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94">
              <w:r>
                <w:rPr>
                  <w:rStyle w:val="InternetLink"/>
                  <w:rFonts w:ascii="Times New Roman" w:hAnsi="Times New Roman"/>
                  <w:caps w:val="false"/>
                  <w:smallCaps w:val="false"/>
                  <w:sz w:val="20"/>
                  <w:u w:val="single"/>
                </w:rPr>
                <w:t>23.1</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95">
              <w:r>
                <w:rPr>
                  <w:rStyle w:val="InternetLink"/>
                  <w:rFonts w:ascii="Times New Roman" w:hAnsi="Times New Roman"/>
                  <w:caps w:val="false"/>
                  <w:smallCaps w:val="false"/>
                  <w:sz w:val="20"/>
                  <w:u w:val="single"/>
                </w:rPr>
                <w:t>Consent of PricewaterhouseCoopers LLP, Independent Registered Public Accounting Firm.</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2/24/2026</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r>
      <w:tr>
        <w:trPr/>
        <w:tc>
          <w:tcPr>
            <w:tcW w:w="591" w:type="dxa"/>
            <w:gridSpan w:val="2"/>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96">
              <w:r>
                <w:rPr>
                  <w:rStyle w:val="InternetLink"/>
                  <w:rFonts w:ascii="Times New Roman" w:hAnsi="Times New Roman"/>
                  <w:caps w:val="false"/>
                  <w:smallCaps w:val="false"/>
                  <w:sz w:val="20"/>
                  <w:u w:val="single"/>
                </w:rPr>
                <w:t>31.1</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97">
              <w:r>
                <w:rPr>
                  <w:rStyle w:val="InternetLink"/>
                  <w:rFonts w:ascii="Times New Roman" w:hAnsi="Times New Roman"/>
                  <w:caps w:val="false"/>
                  <w:smallCaps w:val="false"/>
                  <w:sz w:val="20"/>
                  <w:u w:val="single"/>
                </w:rPr>
                <w:t>Certification of Chief Executive Officer Pursuant to Rule 13-14(a) of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2/24/2026</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r>
      <w:tr>
        <w:trPr/>
        <w:tc>
          <w:tcPr>
            <w:tcW w:w="591" w:type="dxa"/>
            <w:gridSpan w:val="2"/>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r:id="rId98">
              <w:r>
                <w:rPr>
                  <w:rStyle w:val="InternetLink"/>
                  <w:rFonts w:ascii="Times New Roman" w:hAnsi="Times New Roman"/>
                  <w:caps w:val="false"/>
                  <w:smallCaps w:val="false"/>
                  <w:sz w:val="20"/>
                  <w:u w:val="single"/>
                </w:rPr>
                <w:t>31.2</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r:id="rId99">
              <w:r>
                <w:rPr>
                  <w:rStyle w:val="InternetLink"/>
                  <w:rFonts w:ascii="Times New Roman" w:hAnsi="Times New Roman"/>
                  <w:caps w:val="false"/>
                  <w:smallCaps w:val="false"/>
                  <w:sz w:val="20"/>
                  <w:u w:val="single"/>
                </w:rPr>
                <w:t>Certification of Chief Financial Officer Pursuant to Rule 13-14(a) of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2/24/2026</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r>
      <w:tr>
        <w:trPr/>
        <w:tc>
          <w:tcPr>
            <w:tcW w:w="591" w:type="dxa"/>
            <w:gridSpan w:val="2"/>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r>
        <w:trPr/>
        <w:tc>
          <w:tcPr>
            <w:tcW w:w="531" w:type="dxa"/>
            <w:tcBorders/>
            <w:vAlign w:val="center"/>
          </w:tcPr>
          <w:p>
            <w:pPr>
              <w:pStyle w:val="TableContents"/>
              <w:bidi w:val="0"/>
              <w:spacing w:before="0" w:after="0"/>
              <w:ind w:left="0" w:right="0" w:hanging="0"/>
              <w:jc w:val="left"/>
              <w:rPr/>
            </w:pPr>
            <w:hyperlink w:anchor="ex_931707.htm">
              <w:r>
                <w:rPr>
                  <w:rStyle w:val="InternetLink"/>
                  <w:rFonts w:ascii="Times New Roman" w:hAnsi="Times New Roman"/>
                  <w:caps w:val="false"/>
                  <w:smallCaps w:val="false"/>
                  <w:sz w:val="20"/>
                  <w:u w:val="single"/>
                </w:rPr>
                <w:t>31.3</w:t>
              </w:r>
            </w:hyperlink>
          </w:p>
        </w:tc>
        <w:tc>
          <w:tcPr>
            <w:tcW w:w="60" w:type="dxa"/>
            <w:tcBorders/>
            <w:vAlign w:val="center"/>
          </w:tcPr>
          <w:p>
            <w:pPr>
              <w:pStyle w:val="TableContents"/>
              <w:bidi w:val="0"/>
              <w:spacing w:before="0" w:after="283"/>
              <w:jc w:val="left"/>
              <w:rPr/>
            </w:pPr>
            <w:r>
              <w:rPr/>
              <w:t> </w:t>
            </w:r>
          </w:p>
        </w:tc>
        <w:tc>
          <w:tcPr>
            <w:tcW w:w="7487" w:type="dxa"/>
            <w:tcBorders/>
            <w:vAlign w:val="center"/>
          </w:tcPr>
          <w:p>
            <w:pPr>
              <w:pStyle w:val="TableContents"/>
              <w:bidi w:val="0"/>
              <w:spacing w:before="0" w:after="0"/>
              <w:ind w:left="0" w:right="0" w:hanging="0"/>
              <w:jc w:val="left"/>
              <w:rPr/>
            </w:pPr>
            <w:hyperlink w:anchor="ex_931707.htm">
              <w:r>
                <w:rPr>
                  <w:rStyle w:val="InternetLink"/>
                  <w:rFonts w:ascii="Times New Roman" w:hAnsi="Times New Roman"/>
                  <w:caps w:val="false"/>
                  <w:smallCaps w:val="false"/>
                  <w:sz w:val="20"/>
                </w:rPr>
                <w:t>Certification of Chief Executive Officer Pursuant to Rule 13-14(a) of the Securities Exchange Act of 1934 as Adopted Pursuant to Section 302 of the Sarbanes-Oxley Act of 2002, as amended.</w:t>
              </w:r>
            </w:hyperlink>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60"/>
        <w:gridCol w:w="7456"/>
        <w:gridCol w:w="60"/>
        <w:gridCol w:w="349"/>
        <w:gridCol w:w="60"/>
        <w:gridCol w:w="709"/>
        <w:gridCol w:w="60"/>
        <w:gridCol w:w="630"/>
        <w:gridCol w:w="60"/>
        <w:gridCol w:w="381"/>
      </w:tblGrid>
      <w:tr>
        <w:trPr/>
        <w:tc>
          <w:tcPr>
            <w:tcW w:w="380" w:type="dxa"/>
            <w:tcBorders/>
            <w:vAlign w:val="center"/>
          </w:tcPr>
          <w:p>
            <w:pPr>
              <w:pStyle w:val="TableContents"/>
              <w:bidi w:val="0"/>
              <w:spacing w:before="0" w:after="0"/>
              <w:ind w:left="0" w:right="0" w:hanging="0"/>
              <w:jc w:val="left"/>
              <w:rPr/>
            </w:pPr>
            <w:hyperlink w:anchor="ex_931712.htm">
              <w:r>
                <w:rPr>
                  <w:rStyle w:val="InternetLink"/>
                  <w:rFonts w:ascii="Times New Roman" w:hAnsi="Times New Roman"/>
                  <w:caps w:val="false"/>
                  <w:smallCaps w:val="false"/>
                  <w:sz w:val="20"/>
                  <w:u w:val="single"/>
                </w:rPr>
                <w:t>31.4</w:t>
              </w:r>
            </w:hyperlink>
          </w:p>
        </w:tc>
        <w:tc>
          <w:tcPr>
            <w:tcW w:w="60"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0"/>
              <w:ind w:left="0" w:right="0" w:hanging="0"/>
              <w:jc w:val="left"/>
              <w:rPr/>
            </w:pPr>
            <w:hyperlink w:anchor="ex_931712.htm">
              <w:r>
                <w:rPr>
                  <w:rStyle w:val="InternetLink"/>
                  <w:rFonts w:ascii="Times New Roman" w:hAnsi="Times New Roman"/>
                  <w:caps w:val="false"/>
                  <w:smallCaps w:val="false"/>
                  <w:sz w:val="20"/>
                </w:rPr>
                <w:t>Certification of Chief Financial Officer Pursuant to Rule 13-14(a) of the Securities Exchange Act of 1934 as Adopted Pursuant to Section 302 of the Sarbanes-Oxley Act of 2002, as amended.</w:t>
              </w:r>
            </w:hyperlink>
          </w:p>
        </w:tc>
        <w:tc>
          <w:tcPr>
            <w:tcW w:w="6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pPr>
            <w:hyperlink r:id="rId100">
              <w:r>
                <w:rPr>
                  <w:rStyle w:val="InternetLink"/>
                  <w:rFonts w:ascii="Times New Roman" w:hAnsi="Times New Roman"/>
                  <w:caps w:val="false"/>
                  <w:smallCaps w:val="false"/>
                  <w:sz w:val="20"/>
                  <w:u w:val="single"/>
                </w:rPr>
                <w:t>97.1</w:t>
              </w:r>
            </w:hyperlink>
          </w:p>
        </w:tc>
        <w:tc>
          <w:tcPr>
            <w:tcW w:w="60"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0"/>
              <w:ind w:left="0" w:right="0" w:hanging="0"/>
              <w:jc w:val="left"/>
              <w:rPr/>
            </w:pPr>
            <w:hyperlink r:id="rId101">
              <w:r>
                <w:rPr>
                  <w:rStyle w:val="InternetLink"/>
                  <w:rFonts w:ascii="Times New Roman" w:hAnsi="Times New Roman"/>
                  <w:caps w:val="false"/>
                  <w:smallCaps w:val="false"/>
                  <w:sz w:val="20"/>
                  <w:u w:val="single"/>
                </w:rPr>
                <w:t>Addus Homecare Corporation Compensation Recoupment Policy</w:t>
              </w:r>
            </w:hyperlink>
            <w:r>
              <w:rPr>
                <w:rFonts w:ascii="Times New Roman" w:hAnsi="Times New Roman"/>
                <w:caps w:val="false"/>
                <w:smallCaps w:val="false"/>
                <w:sz w:val="20"/>
                <w:u w:val="single"/>
              </w:rPr>
              <w:t>.</w:t>
            </w:r>
          </w:p>
        </w:tc>
        <w:tc>
          <w:tcPr>
            <w:tcW w:w="6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001-34504</w:t>
            </w:r>
          </w:p>
        </w:tc>
        <w:tc>
          <w:tcPr>
            <w:tcW w:w="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2/27/2024</w:t>
            </w:r>
          </w:p>
        </w:tc>
        <w:tc>
          <w:tcPr>
            <w:tcW w:w="6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0"/>
        <w:gridCol w:w="60"/>
        <w:gridCol w:w="9034"/>
        <w:gridCol w:w="60"/>
        <w:gridCol w:w="60"/>
        <w:gridCol w:w="60"/>
        <w:gridCol w:w="60"/>
        <w:gridCol w:w="60"/>
        <w:gridCol w:w="60"/>
        <w:gridCol w:w="60"/>
        <w:gridCol w:w="61"/>
      </w:tblGrid>
      <w:tr>
        <w:trPr/>
        <w:tc>
          <w:tcPr>
            <w:tcW w:w="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Calculation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Label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 and contained in Exhibit 101).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Schedules and exhibits have been omitted pursuant to Item 601 of Regulation S-K. The Company hereby undertakes to furnish supplementally a copy of any of the omitted schedules and exhibits upon request by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320"/>
        <w:gridCol w:w="2405"/>
      </w:tblGrid>
      <w:tr>
        <w:trPr/>
        <w:tc>
          <w:tcPr>
            <w:tcW w:w="272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Addus HomeCare Corporation</w:t>
            </w:r>
          </w:p>
        </w:tc>
      </w:tr>
      <w:tr>
        <w:trPr/>
        <w:tc>
          <w:tcPr>
            <w:tcW w:w="3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3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 Dirk Allison,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Chief Executive Officer and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6</w:t>
      </w:r>
    </w:p>
    <w:p>
      <w:pPr>
        <w:pStyle w:val="TextBody"/>
        <w:bidi w:val="0"/>
        <w:spacing w:before="0" w:after="0"/>
        <w:ind w:left="0" w:right="0" w:hanging="0"/>
        <w:jc w:val="right"/>
        <w:rPr>
          <w:rFonts w:ascii="Times New Roman" w:hAnsi="Times New Roman"/>
          <w:b/>
          <w:caps w:val="false"/>
          <w:smallCaps w:val="false"/>
          <w:sz w:val="20"/>
        </w:rPr>
      </w:pPr>
      <w:bookmarkStart w:id="5" w:name="ex_931707.htm"/>
      <w:bookmarkStart w:id="6" w:name="ksex_931707"/>
      <w:bookmarkEnd w:id="5"/>
      <w:bookmarkEnd w:id="6"/>
      <w:r>
        <w:rPr>
          <w:rFonts w:ascii="Times New Roman" w:hAnsi="Times New Roman"/>
          <w:b/>
          <w:caps w:val="false"/>
          <w:smallCaps w:val="false"/>
          <w:sz w:val="20"/>
        </w:rPr>
        <w:t>Exhibit 31.3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 Dirk Allison, Chief Executive Officer and Chairman of the Board of Addus HomeCare Corporation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Amendment No. 1 to the annual report on Form 10-K of Addus HomeCare Corporation (the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12, 2026</w:t>
      </w:r>
    </w:p>
    <w:p>
      <w:pPr>
        <w:pStyle w:val="TextBody"/>
        <w:bidi w:val="0"/>
        <w:spacing w:before="0" w:after="0"/>
        <w:ind w:left="0" w:right="0" w:hanging="0"/>
        <w:jc w:val="left"/>
        <w:rPr>
          <w:caps w:val="false"/>
          <w:smallCaps w:val="false"/>
        </w:rPr>
      </w:pPr>
      <w:r>
        <w:rPr>
          <w:caps w:val="false"/>
          <w:smallCaps w:val="false"/>
        </w:rPr>
        <w:t> </w:t>
      </w:r>
    </w:p>
    <w:tbl>
      <w:tblPr>
        <w:tblW w:w="4370" w:type="dxa"/>
        <w:jc w:val="left"/>
        <w:tblInd w:w="0" w:type="dxa"/>
        <w:tblLayout w:type="fixed"/>
        <w:tblCellMar>
          <w:top w:w="0" w:type="dxa"/>
          <w:left w:w="0" w:type="dxa"/>
          <w:bottom w:w="28" w:type="dxa"/>
          <w:right w:w="0" w:type="dxa"/>
        </w:tblCellMar>
      </w:tblPr>
      <w:tblGrid>
        <w:gridCol w:w="4370"/>
      </w:tblGrid>
      <w:tr>
        <w:trPr/>
        <w:tc>
          <w:tcPr>
            <w:tcW w:w="437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 Dirk Allison</w:t>
            </w:r>
          </w:p>
        </w:tc>
      </w:tr>
      <w:tr>
        <w:trPr/>
        <w:tc>
          <w:tcPr>
            <w:tcW w:w="437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 Dirk Allison</w:t>
            </w:r>
          </w:p>
        </w:tc>
      </w:tr>
      <w:tr>
        <w:trPr/>
        <w:tc>
          <w:tcPr>
            <w:tcW w:w="437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and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7" w:name="ex_931712.htm"/>
      <w:bookmarkStart w:id="8" w:name="ksex_931712"/>
      <w:bookmarkEnd w:id="7"/>
      <w:bookmarkEnd w:id="8"/>
      <w:r>
        <w:rPr>
          <w:rFonts w:ascii="Times New Roman" w:hAnsi="Times New Roman"/>
          <w:b/>
          <w:caps w:val="false"/>
          <w:smallCaps w:val="false"/>
          <w:sz w:val="20"/>
        </w:rPr>
        <w:t>Exhibit 31.4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Brian Poff, Chief Financial Officer of Addus HomeCare Corporation,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Amendment No. 1 to the annual report on Form 10-K of Addus HomeCare Corporation (the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12, 2026</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28" w:type="dxa"/>
          <w:right w:w="0" w:type="dxa"/>
        </w:tblCellMar>
      </w:tblPr>
      <w:tblGrid>
        <w:gridCol w:w="1970"/>
      </w:tblGrid>
      <w:tr>
        <w:trPr/>
        <w:tc>
          <w:tcPr>
            <w:tcW w:w="197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Brian Poff</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68328/000119312509238641/dex31.htm" TargetMode="External"/><Relationship Id="rId3" Type="http://schemas.openxmlformats.org/officeDocument/2006/relationships/hyperlink" Target="http://www.sec.gov/Archives/edgar/data/1468328/000119312509238641/dex31.htm" TargetMode="External"/><Relationship Id="rId4" Type="http://schemas.openxmlformats.org/officeDocument/2006/relationships/hyperlink" Target="http://www.sec.gov/Archives/edgar/data/1468328/000119312513211165/d535575dex32.htm" TargetMode="External"/><Relationship Id="rId5" Type="http://schemas.openxmlformats.org/officeDocument/2006/relationships/hyperlink" Target="http://www.sec.gov/Archives/edgar/data/1468328/000119312513211165/d535575dex32.htm" TargetMode="External"/><Relationship Id="rId6" Type="http://schemas.openxmlformats.org/officeDocument/2006/relationships/hyperlink" Target="http://www.sec.gov/Archives/edgar/data/1468328/000119312509202215/dex41.htm" TargetMode="External"/><Relationship Id="rId7" Type="http://schemas.openxmlformats.org/officeDocument/2006/relationships/hyperlink" Target="http://www.sec.gov/Archives/edgar/data/1468328/000119312509202215/dex41.htm" TargetMode="External"/><Relationship Id="rId8" Type="http://schemas.openxmlformats.org/officeDocument/2006/relationships/hyperlink" Target="http://www.sec.gov/Archives/edgar/data/1468328/000156459020038909/adus-ex42_1098.htm" TargetMode="External"/><Relationship Id="rId9" Type="http://schemas.openxmlformats.org/officeDocument/2006/relationships/hyperlink" Target="http://www.sec.gov/Archives/edgar/data/1468328/000156459020038909/adus-ex42_1098.htm" TargetMode="External"/><Relationship Id="rId10" Type="http://schemas.openxmlformats.org/officeDocument/2006/relationships/hyperlink" Target="http://www.sec.gov/Archives/edgar/data/1468328/000119312509150710/dex1012.htm" TargetMode="External"/><Relationship Id="rId11" Type="http://schemas.openxmlformats.org/officeDocument/2006/relationships/hyperlink" Target="http://www.sec.gov/Archives/edgar/data/1468328/000119312509150710/dex1012.htm" TargetMode="External"/><Relationship Id="rId12" Type="http://schemas.openxmlformats.org/officeDocument/2006/relationships/hyperlink" Target="http://www.sec.gov/Archives/edgar/data/1468328/000119312509150710/dex1013.htm" TargetMode="External"/><Relationship Id="rId13" Type="http://schemas.openxmlformats.org/officeDocument/2006/relationships/hyperlink" Target="http://www.sec.gov/Archives/edgar/data/1468328/000119312509150710/dex1013.htm" TargetMode="External"/><Relationship Id="rId14" Type="http://schemas.openxmlformats.org/officeDocument/2006/relationships/hyperlink" Target="http://www.sec.gov/Archives/edgar/data/1468328/000119312509150710/dex1014.htm" TargetMode="External"/><Relationship Id="rId15" Type="http://schemas.openxmlformats.org/officeDocument/2006/relationships/hyperlink" Target="http://www.sec.gov/Archives/edgar/data/1468328/000119312509150710/dex1014.htm" TargetMode="External"/><Relationship Id="rId16" Type="http://schemas.openxmlformats.org/officeDocument/2006/relationships/hyperlink" Target="http://www.sec.gov/Archives/edgar/data/1468328/000119312509150710/dex1016.htm" TargetMode="External"/><Relationship Id="rId17" Type="http://schemas.openxmlformats.org/officeDocument/2006/relationships/hyperlink" Target="http://www.sec.gov/Archives/edgar/data/1468328/000119312509150710/dex1016.htm" TargetMode="External"/><Relationship Id="rId18" Type="http://schemas.openxmlformats.org/officeDocument/2006/relationships/hyperlink" Target="http://www.sec.gov/Archives/edgar/data/1468328/000119312509194976/dex1020.htm" TargetMode="External"/><Relationship Id="rId19" Type="http://schemas.openxmlformats.org/officeDocument/2006/relationships/hyperlink" Target="http://www.sec.gov/Archives/edgar/data/1468328/000119312509194976/dex1020.htm" TargetMode="External"/><Relationship Id="rId20" Type="http://schemas.openxmlformats.org/officeDocument/2006/relationships/hyperlink" Target="http://www.sec.gov/Archives/edgar/data/1468328/000119312509194976/dex1020a.htm" TargetMode="External"/><Relationship Id="rId21" Type="http://schemas.openxmlformats.org/officeDocument/2006/relationships/hyperlink" Target="http://www.sec.gov/Archives/edgar/data/1468328/000119312509194976/dex1020a.htm" TargetMode="External"/><Relationship Id="rId22" Type="http://schemas.openxmlformats.org/officeDocument/2006/relationships/hyperlink" Target="http://www.sec.gov/Archives/edgar/data/1468328/000119312509194976/dex1020b.htm" TargetMode="External"/><Relationship Id="rId23" Type="http://schemas.openxmlformats.org/officeDocument/2006/relationships/hyperlink" Target="http://www.sec.gov/Archives/edgar/data/1468328/000119312509194976/dex1020b.htm" TargetMode="External"/><Relationship Id="rId24" Type="http://schemas.openxmlformats.org/officeDocument/2006/relationships/hyperlink" Target="http://www.sec.gov/Archives/edgar/data/1468328/000119312515179407/d915192dex101.htm" TargetMode="External"/><Relationship Id="rId25" Type="http://schemas.openxmlformats.org/officeDocument/2006/relationships/hyperlink" Target="http://www.sec.gov/Archives/edgar/data/1468328/000119312515179407/d915192dex101.htm" TargetMode="External"/><Relationship Id="rId26" Type="http://schemas.openxmlformats.org/officeDocument/2006/relationships/hyperlink" Target="http://www.sec.gov/Archives/edgar/data/1468328/000119312517164021/d382362dex103.htm" TargetMode="External"/><Relationship Id="rId27" Type="http://schemas.openxmlformats.org/officeDocument/2006/relationships/hyperlink" Target="http://www.sec.gov/Archives/edgar/data/1468328/000119312517164021/d382362dex103.htm" TargetMode="External"/><Relationship Id="rId28" Type="http://schemas.openxmlformats.org/officeDocument/2006/relationships/hyperlink" Target="http://www.sec.gov/Archives/edgar/data/1468328/000119312517205993/d397204dex101.htm" TargetMode="External"/><Relationship Id="rId29" Type="http://schemas.openxmlformats.org/officeDocument/2006/relationships/hyperlink" Target="http://www.sec.gov/Archives/edgar/data/1468328/000119312517205993/d397204dex101.htm" TargetMode="External"/><Relationship Id="rId30" Type="http://schemas.openxmlformats.org/officeDocument/2006/relationships/hyperlink" Target="http://www.sec.gov/Archives/edgar/data/1468328/000119312518082191/d453307dex1028.htm" TargetMode="External"/><Relationship Id="rId31" Type="http://schemas.openxmlformats.org/officeDocument/2006/relationships/hyperlink" Target="http://www.sec.gov/Archives/edgar/data/1468328/000119312518082191/d453307dex1028.htm" TargetMode="External"/><Relationship Id="rId32" Type="http://schemas.openxmlformats.org/officeDocument/2006/relationships/hyperlink" Target="http://www.sec.gov/Archives/edgar/data/1468328/000119312518082191/d453307dex1029.htm" TargetMode="External"/><Relationship Id="rId33" Type="http://schemas.openxmlformats.org/officeDocument/2006/relationships/hyperlink" Target="http://www.sec.gov/Archives/edgar/data/1468328/000119312518082191/d453307dex1029.htm" TargetMode="External"/><Relationship Id="rId34" Type="http://schemas.openxmlformats.org/officeDocument/2006/relationships/hyperlink" Target="http://www.sec.gov/Archives/edgar/data/1468328/000119312518070710/d536417dex101.htm" TargetMode="External"/><Relationship Id="rId35" Type="http://schemas.openxmlformats.org/officeDocument/2006/relationships/hyperlink" Target="http://www.sec.gov/Archives/edgar/data/1468328/000119312518070710/d536417dex101.htm" TargetMode="External"/><Relationship Id="rId36" Type="http://schemas.openxmlformats.org/officeDocument/2006/relationships/hyperlink" Target="http://www.sec.gov/Archives/edgar/data/1468328/000119312518322326/d581512dex102.htm" TargetMode="External"/><Relationship Id="rId37" Type="http://schemas.openxmlformats.org/officeDocument/2006/relationships/hyperlink" Target="http://www.sec.gov/Archives/edgar/data/1468328/000119312518322326/d581512dex102.htm" TargetMode="External"/><Relationship Id="rId38" Type="http://schemas.openxmlformats.org/officeDocument/2006/relationships/hyperlink" Target="http://www.sec.gov/Archives/edgar/data/1468328/000119312518322326/d581512dex103.htm" TargetMode="External"/><Relationship Id="rId39" Type="http://schemas.openxmlformats.org/officeDocument/2006/relationships/hyperlink" Target="http://www.sec.gov/Archives/edgar/data/1468328/000119312518322326/d581512dex103.htm" TargetMode="External"/><Relationship Id="rId40" Type="http://schemas.openxmlformats.org/officeDocument/2006/relationships/hyperlink" Target="http://www.sec.gov/Archives/edgar/data/1468328/000119312518322326/d581512dex104.htm" TargetMode="External"/><Relationship Id="rId41" Type="http://schemas.openxmlformats.org/officeDocument/2006/relationships/hyperlink" Target="http://www.sec.gov/Archives/edgar/data/1468328/000119312518322326/d581512dex104.htm" TargetMode="External"/><Relationship Id="rId42" Type="http://schemas.openxmlformats.org/officeDocument/2006/relationships/hyperlink" Target="http://www.sec.gov/Archives/edgar/data/1468328/000119312518322326/d581512dex106.htm" TargetMode="External"/><Relationship Id="rId43" Type="http://schemas.openxmlformats.org/officeDocument/2006/relationships/hyperlink" Target="http://www.sec.gov/Archives/edgar/data/1468328/000119312518322326/d581512dex106.htm" TargetMode="External"/><Relationship Id="rId44" Type="http://schemas.openxmlformats.org/officeDocument/2006/relationships/hyperlink" Target="http://www.sec.gov/Archives/edgar/data/1468328/000119312518322326/d581512dex107.htm" TargetMode="External"/><Relationship Id="rId45" Type="http://schemas.openxmlformats.org/officeDocument/2006/relationships/hyperlink" Target="http://www.sec.gov/Archives/edgar/data/1468328/000119312518322326/d581512dex107.htm" TargetMode="External"/><Relationship Id="rId46" Type="http://schemas.openxmlformats.org/officeDocument/2006/relationships/hyperlink" Target="http://www.sec.gov/Archives/edgar/data/1468328/000119312518322326/d581512dex102.htm" TargetMode="External"/><Relationship Id="rId47" Type="http://schemas.openxmlformats.org/officeDocument/2006/relationships/hyperlink" Target="http://www.sec.gov/Archives/edgar/data/1468328/000119312518322326/d581512dex102.htm" TargetMode="External"/><Relationship Id="rId48" Type="http://schemas.openxmlformats.org/officeDocument/2006/relationships/hyperlink" Target="http://www.sec.gov/Archives/edgar/data/1468328/000119312519100844/d732350dex992.htm" TargetMode="External"/><Relationship Id="rId49" Type="http://schemas.openxmlformats.org/officeDocument/2006/relationships/hyperlink" Target="http://www.sec.gov/Archives/edgar/data/1468328/000119312519100844/d732350dex992.htm" TargetMode="External"/><Relationship Id="rId50" Type="http://schemas.openxmlformats.org/officeDocument/2006/relationships/hyperlink" Target="http://www.sec.gov/Archives/edgar/data/1468328/000156459020038909/adus-ex1040_765.htm" TargetMode="External"/><Relationship Id="rId51" Type="http://schemas.openxmlformats.org/officeDocument/2006/relationships/hyperlink" Target="http://www.sec.gov/Archives/edgar/data/1468328/000156459020038909/adus-ex1040_765.htm" TargetMode="External"/><Relationship Id="rId52" Type="http://schemas.openxmlformats.org/officeDocument/2006/relationships/hyperlink" Target="http://www.sec.gov/Archives/edgar/data/1468328/000156459020038909/adus-ex1041_766.htm" TargetMode="External"/><Relationship Id="rId53" Type="http://schemas.openxmlformats.org/officeDocument/2006/relationships/hyperlink" Target="http://www.sec.gov/Archives/edgar/data/1468328/000156459020038909/adus-ex1041_766.htm" TargetMode="External"/><Relationship Id="rId54" Type="http://schemas.openxmlformats.org/officeDocument/2006/relationships/hyperlink" Target="http://www.sec.gov/Archives/edgar/data/1468328/000119312519236513/d24972dex21.htm" TargetMode="External"/><Relationship Id="rId55" Type="http://schemas.openxmlformats.org/officeDocument/2006/relationships/hyperlink" Target="http://www.sec.gov/Archives/edgar/data/1468328/000119312519236513/d24972dex21.htm" TargetMode="External"/><Relationship Id="rId56" Type="http://schemas.openxmlformats.org/officeDocument/2006/relationships/hyperlink" Target="http://www.sec.gov/Archives/edgar/data/1468328/000119312519244941/d801620dex101.htm" TargetMode="External"/><Relationship Id="rId57" Type="http://schemas.openxmlformats.org/officeDocument/2006/relationships/hyperlink" Target="http://www.sec.gov/Archives/edgar/data/1468328/000119312519244941/d801620dex101.htm" TargetMode="External"/><Relationship Id="rId58" Type="http://schemas.openxmlformats.org/officeDocument/2006/relationships/hyperlink" Target="http://www.sec.gov/Archives/edgar/data/1468328/000156459021009604/adus-ex1045_245.htm" TargetMode="External"/><Relationship Id="rId59" Type="http://schemas.openxmlformats.org/officeDocument/2006/relationships/hyperlink" Target="http://www.sec.gov/Archives/edgar/data/1468328/000156459021009604/adus-ex1045_245.htm" TargetMode="External"/><Relationship Id="rId60" Type="http://schemas.openxmlformats.org/officeDocument/2006/relationships/hyperlink" Target="http://www.sec.gov/Archives/edgar/data/1468328/000156459021009604/adus-ex1046_341.htm" TargetMode="External"/><Relationship Id="rId61" Type="http://schemas.openxmlformats.org/officeDocument/2006/relationships/hyperlink" Target="http://www.sec.gov/Archives/edgar/data/1468328/000156459021009604/adus-ex1046_341.htm" TargetMode="External"/><Relationship Id="rId62" Type="http://schemas.openxmlformats.org/officeDocument/2006/relationships/hyperlink" Target="http://www.sec.gov/Archives/edgar/data/1468328/000156459021040783/adus-ex102_269.htm" TargetMode="External"/><Relationship Id="rId63" Type="http://schemas.openxmlformats.org/officeDocument/2006/relationships/hyperlink" Target="http://www.sec.gov/Archives/edgar/data/1468328/000156459021040783/adus-ex102_269.htm" TargetMode="External"/><Relationship Id="rId64" Type="http://schemas.openxmlformats.org/officeDocument/2006/relationships/hyperlink" Target="http://www.sec.gov/Archives/edgar/data/1468328/000119312521236284/d213498dex101.htm" TargetMode="External"/><Relationship Id="rId65" Type="http://schemas.openxmlformats.org/officeDocument/2006/relationships/hyperlink" Target="http://www.sec.gov/Archives/edgar/data/1468328/000119312521236284/d213498dex101.htm" TargetMode="External"/><Relationship Id="rId66" Type="http://schemas.openxmlformats.org/officeDocument/2006/relationships/hyperlink" Target="http://www.sec.gov/Archives/edgar/data/1468328/000156459022007171/adus-ex1050_550.htm" TargetMode="External"/><Relationship Id="rId67" Type="http://schemas.openxmlformats.org/officeDocument/2006/relationships/hyperlink" Target="http://www.sec.gov/Archives/edgar/data/1468328/000156459022007171/adus-ex1050_550.htm" TargetMode="External"/><Relationship Id="rId68" Type="http://schemas.openxmlformats.org/officeDocument/2006/relationships/hyperlink" Target="http://www.sec.gov/Archives/edgar/data/1468328/000156459022017417/adus-ex101_138.htm" TargetMode="External"/><Relationship Id="rId69" Type="http://schemas.openxmlformats.org/officeDocument/2006/relationships/hyperlink" Target="http://www.sec.gov/Archives/edgar/data/1468328/000156459022017417/adus-ex101_138.htm" TargetMode="External"/><Relationship Id="rId70" Type="http://schemas.openxmlformats.org/officeDocument/2006/relationships/hyperlink" Target="http://www.sec.gov/Archives/edgar/data/1468328/000156459022027470/adus-ex101_6.htm" TargetMode="External"/><Relationship Id="rId71" Type="http://schemas.openxmlformats.org/officeDocument/2006/relationships/hyperlink" Target="http://www.sec.gov/Archives/edgar/data/1468328/000156459022027470/adus-ex101_6.htm" TargetMode="External"/><Relationship Id="rId72" Type="http://schemas.openxmlformats.org/officeDocument/2006/relationships/hyperlink" Target="http://www.sec.gov/Archives/edgar/data/1468328/000095017023016717/adus-ex10_1.htm" TargetMode="External"/><Relationship Id="rId73" Type="http://schemas.openxmlformats.org/officeDocument/2006/relationships/hyperlink" Target="http://www.sec.gov/Archives/edgar/data/1468328/000095017023016717/adus-ex10_1.htm" TargetMode="External"/><Relationship Id="rId74" Type="http://schemas.openxmlformats.org/officeDocument/2006/relationships/hyperlink" Target="http://www.sec.gov/Archives/edgar/data/1468328/000119312523167873/d523424dex101.htm" TargetMode="External"/><Relationship Id="rId75" Type="http://schemas.openxmlformats.org/officeDocument/2006/relationships/hyperlink" Target="http://www.sec.gov/Archives/edgar/data/1468328/000119312523167873/d523424dex101.htm" TargetMode="External"/><Relationship Id="rId76" Type="http://schemas.openxmlformats.org/officeDocument/2006/relationships/hyperlink" Target="http://www.sec.gov/Archives/edgar/data/1468328/000095017023036509/adus-ex10_2.htm" TargetMode="External"/><Relationship Id="rId77" Type="http://schemas.openxmlformats.org/officeDocument/2006/relationships/hyperlink" Target="http://www.sec.gov/Archives/edgar/data/1468328/000095017023036509/adus-ex10_2.htm" TargetMode="External"/><Relationship Id="rId78" Type="http://schemas.openxmlformats.org/officeDocument/2006/relationships/hyperlink" Target="http://www.sec.gov/Archives/edgar/data/1468328/000119312524169048/d818541dex101.htm" TargetMode="External"/><Relationship Id="rId79" Type="http://schemas.openxmlformats.org/officeDocument/2006/relationships/hyperlink" Target="http://www.sec.gov/Archives/edgar/data/1468328/000119312524169048/d818541dex101.htm" TargetMode="External"/><Relationship Id="rId80" Type="http://schemas.openxmlformats.org/officeDocument/2006/relationships/hyperlink" Target="http://www.sec.gov/Archives/edgar/data/1468328/000119312524241868/d883487dex101.htm" TargetMode="External"/><Relationship Id="rId81" Type="http://schemas.openxmlformats.org/officeDocument/2006/relationships/hyperlink" Target="http://www.sec.gov/Archives/edgar/data/1468328/000119312524241868/d883487dex101.htm" TargetMode="External"/><Relationship Id="rId82" Type="http://schemas.openxmlformats.org/officeDocument/2006/relationships/hyperlink" Target="http://www.sec.gov/Archives/edgar/data/1468328/000119312525051953/d895546dex101.htm" TargetMode="External"/><Relationship Id="rId83" Type="http://schemas.openxmlformats.org/officeDocument/2006/relationships/hyperlink" Target="http://www.sec.gov/Archives/edgar/data/1468328/000119312525051953/d895546dex101.htm" TargetMode="External"/><Relationship Id="rId84" Type="http://schemas.openxmlformats.org/officeDocument/2006/relationships/hyperlink" Target="http://www.sec.gov/Archives/edgar/data/1468328/000119312525051953/d895546dex102.htm" TargetMode="External"/><Relationship Id="rId85" Type="http://schemas.openxmlformats.org/officeDocument/2006/relationships/hyperlink" Target="http://www.sec.gov/Archives/edgar/data/1468328/000119312525051953/d895546dex102.htm" TargetMode="External"/><Relationship Id="rId86" Type="http://schemas.openxmlformats.org/officeDocument/2006/relationships/hyperlink" Target="http://www.sec.gov/Archives/edgar/data/1468328/000143774925025425/ex_848024.htm" TargetMode="External"/><Relationship Id="rId87" Type="http://schemas.openxmlformats.org/officeDocument/2006/relationships/hyperlink" Target="http://www.sec.gov/Archives/edgar/data/1468328/000143774925025425/ex_848024.htm" TargetMode="External"/><Relationship Id="rId88" Type="http://schemas.openxmlformats.org/officeDocument/2006/relationships/hyperlink" Target="http://www.sec.gov/Archives/edgar/data/1468328/000143774925025425/ex_848025.htm" TargetMode="External"/><Relationship Id="rId89" Type="http://schemas.openxmlformats.org/officeDocument/2006/relationships/hyperlink" Target="http://www.sec.gov/Archives/edgar/data/1468328/000143774925025425/ex_848025.htm" TargetMode="External"/><Relationship Id="rId90" Type="http://schemas.openxmlformats.org/officeDocument/2006/relationships/hyperlink" Target="http://www.sec.gov/Archives/edgar/data/1468328/000095017025026747/adus-ex19_1.htm" TargetMode="External"/><Relationship Id="rId91" Type="http://schemas.openxmlformats.org/officeDocument/2006/relationships/hyperlink" Target="http://www.sec.gov/Archives/edgar/data/1468328/000095017025026747/adus-ex19_1.htm" TargetMode="External"/><Relationship Id="rId92" Type="http://schemas.openxmlformats.org/officeDocument/2006/relationships/hyperlink" Target="http://www.sec.gov/Archives/edgar/data/1468328/000143774926005352/ex_838888.htm" TargetMode="External"/><Relationship Id="rId93" Type="http://schemas.openxmlformats.org/officeDocument/2006/relationships/hyperlink" Target="http://www.sec.gov/Archives/edgar/data/1468328/000143774926005352/ex_838888.htm" TargetMode="External"/><Relationship Id="rId94" Type="http://schemas.openxmlformats.org/officeDocument/2006/relationships/hyperlink" Target="http://www.sec.gov/Archives/edgar/data/1468328/000143774926005352/ex_838889.htm" TargetMode="External"/><Relationship Id="rId95" Type="http://schemas.openxmlformats.org/officeDocument/2006/relationships/hyperlink" Target="http://www.sec.gov/Archives/edgar/data/1468328/000143774926005352/ex_838889.htm" TargetMode="External"/><Relationship Id="rId96" Type="http://schemas.openxmlformats.org/officeDocument/2006/relationships/hyperlink" Target="http://www.sec.gov/Archives/edgar/data/1468328/000143774926005352/ex_838890.htm" TargetMode="External"/><Relationship Id="rId97" Type="http://schemas.openxmlformats.org/officeDocument/2006/relationships/hyperlink" Target="http://www.sec.gov/Archives/edgar/data/1468328/000143774926005352/ex_838890.htm" TargetMode="External"/><Relationship Id="rId98" Type="http://schemas.openxmlformats.org/officeDocument/2006/relationships/hyperlink" Target="http://www.sec.gov/Archives/edgar/data/1468328/000143774926005352/ex_838891.htm" TargetMode="External"/><Relationship Id="rId99" Type="http://schemas.openxmlformats.org/officeDocument/2006/relationships/hyperlink" Target="http://www.sec.gov/Archives/edgar/data/1468328/000143774926005352/ex_838891.htm" TargetMode="External"/><Relationship Id="rId100" Type="http://schemas.openxmlformats.org/officeDocument/2006/relationships/hyperlink" Target="http://www.sec.gov/Archives/edgar/data/1468328/000095017024021284/adus-ex97_1.htm" TargetMode="External"/><Relationship Id="rId101" Type="http://schemas.openxmlformats.org/officeDocument/2006/relationships/hyperlink" Target="http://www.sec.gov/Archives/edgar/data/1468328/000095017024021284/adus-ex97_1.htm" TargetMode="External"/><Relationship Id="rId102" Type="http://schemas.openxmlformats.org/officeDocument/2006/relationships/fontTable" Target="fontTable.xml"/><Relationship Id="rId1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2996</Words>
  <Characters>16663</Characters>
  <CharactersWithSpaces>20190</CharactersWithSpaces>
  <Paragraphs>1442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