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dus20260813_8k.htm"/>
      <w:bookmarkStart w:id="1" w:name="ksadus20260813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Date of Report (Date of earliest event reported): August 13, 2026 (August 7,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ADDUS HOMECARE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830"/>
        <w:gridCol w:w="60"/>
        <w:gridCol w:w="920"/>
        <w:gridCol w:w="60"/>
        <w:gridCol w:w="1025"/>
      </w:tblGrid>
      <w:tr>
        <w:trPr/>
        <w:tc>
          <w:tcPr>
            <w:tcW w:w="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001-34504</w:t>
            </w:r>
          </w:p>
        </w:tc>
        <w:tc>
          <w:tcPr>
            <w:tcW w:w="60"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20-5340172</w:t>
            </w:r>
          </w:p>
        </w:tc>
      </w:tr>
    </w:tbl>
    <w:tbl>
      <w:tblPr>
        <w:tblW w:w="4500" w:type="dxa"/>
        <w:jc w:val="left"/>
        <w:tblInd w:w="0" w:type="dxa"/>
        <w:tblLayout w:type="fixed"/>
        <w:tblCellMar>
          <w:top w:w="0" w:type="dxa"/>
          <w:left w:w="0" w:type="dxa"/>
          <w:bottom w:w="0" w:type="dxa"/>
          <w:right w:w="0" w:type="dxa"/>
        </w:tblCellMar>
      </w:tblPr>
      <w:tblGrid>
        <w:gridCol w:w="2045"/>
        <w:gridCol w:w="60"/>
        <w:gridCol w:w="980"/>
        <w:gridCol w:w="60"/>
        <w:gridCol w:w="1355"/>
      </w:tblGrid>
      <w:tr>
        <w:trPr/>
        <w:tc>
          <w:tcPr>
            <w:tcW w:w="204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of Incorporation)</w:t>
            </w:r>
          </w:p>
        </w:tc>
        <w:tc>
          <w:tcPr>
            <w:tcW w:w="60"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(Commission</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File Number)</w:t>
            </w:r>
          </w:p>
        </w:tc>
        <w:tc>
          <w:tcPr>
            <w:tcW w:w="60" w:type="dxa"/>
            <w:tcBorders/>
            <w:vAlign w:val="center"/>
          </w:tcPr>
          <w:p>
            <w:pPr>
              <w:pStyle w:val="TableContents"/>
              <w:bidi w:val="0"/>
              <w:spacing w:before="0" w:after="0"/>
              <w:ind w:left="0" w:right="0" w:hanging="0"/>
              <w:jc w:val="left"/>
              <w:rPr/>
            </w:pPr>
            <w:r>
              <w:rPr/>
              <w:t> </w:t>
            </w:r>
          </w:p>
        </w:tc>
        <w:tc>
          <w:tcPr>
            <w:tcW w:w="135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(I.R.S. Employer</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2570"/>
        <w:gridCol w:w="60"/>
        <w:gridCol w:w="545"/>
      </w:tblGrid>
      <w:tr>
        <w:trPr/>
        <w:tc>
          <w:tcPr>
            <w:tcW w:w="25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6303 Cowboys Way, Suite 600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Frisco, Texas</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75034</w:t>
            </w:r>
          </w:p>
        </w:tc>
      </w:tr>
    </w:tbl>
    <w:tbl>
      <w:tblPr>
        <w:tblW w:w="3685" w:type="dxa"/>
        <w:jc w:val="left"/>
        <w:tblInd w:w="0" w:type="dxa"/>
        <w:tblLayout w:type="fixed"/>
        <w:tblCellMar>
          <w:top w:w="0" w:type="dxa"/>
          <w:left w:w="0" w:type="dxa"/>
          <w:bottom w:w="0" w:type="dxa"/>
          <w:right w:w="0" w:type="dxa"/>
        </w:tblCellMar>
      </w:tblPr>
      <w:tblGrid>
        <w:gridCol w:w="2825"/>
        <w:gridCol w:w="60"/>
        <w:gridCol w:w="800"/>
      </w:tblGrid>
      <w:tr>
        <w:trPr/>
        <w:tc>
          <w:tcPr>
            <w:tcW w:w="282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(469) 535-8200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6"/>
        </w:rPr>
        <w:t>(Registrant</w:t>
      </w:r>
      <w:r>
        <w:rPr>
          <w:rFonts w:ascii="Times New Roman" w:hAnsi="Times New Roman"/>
          <w:caps w:val="false"/>
          <w:smallCaps w:val="false"/>
          <w:sz w:val="16"/>
        </w:rPr>
        <w:t>’</w:t>
      </w:r>
      <w:r>
        <w:rPr>
          <w:rFonts w:ascii="Times New Roman" w:hAnsi="Times New Roman"/>
          <w:b/>
          <w:caps w:val="false"/>
          <w:smallCaps w:val="false"/>
          <w:sz w:val="16"/>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6"/>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0"/>
              <w:ind w:left="0" w:right="0" w:hanging="0"/>
              <w:jc w:val="left"/>
              <w:rPr/>
            </w:pPr>
            <w:r>
              <w:rPr/>
              <w:t>☐</w:t>
            </w:r>
          </w:p>
        </w:tc>
        <w:tc>
          <w:tcPr>
            <w:tcW w:w="9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240.13e- 4(c))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28" w:type="dxa"/>
          <w:right w:w="0" w:type="dxa"/>
        </w:tblCellMar>
      </w:tblPr>
      <w:tblGrid>
        <w:gridCol w:w="1295"/>
        <w:gridCol w:w="60"/>
        <w:gridCol w:w="740"/>
        <w:gridCol w:w="60"/>
        <w:gridCol w:w="1730"/>
      </w:tblGrid>
      <w:tr>
        <w:trPr/>
        <w:tc>
          <w:tcPr>
            <w:tcW w:w="12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Trading</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Name of each exchange</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on which registered</w:t>
            </w:r>
          </w:p>
        </w:tc>
      </w:tr>
    </w:tbl>
    <w:tbl>
      <w:tblPr>
        <w:tblW w:w="7020" w:type="dxa"/>
        <w:jc w:val="left"/>
        <w:tblInd w:w="0" w:type="dxa"/>
        <w:tblLayout w:type="fixed"/>
        <w:tblCellMar>
          <w:top w:w="0" w:type="dxa"/>
          <w:left w:w="0" w:type="dxa"/>
          <w:bottom w:w="0" w:type="dxa"/>
          <w:right w:w="0" w:type="dxa"/>
        </w:tblCellMar>
      </w:tblPr>
      <w:tblGrid>
        <w:gridCol w:w="3665"/>
        <w:gridCol w:w="60"/>
        <w:gridCol w:w="530"/>
        <w:gridCol w:w="60"/>
        <w:gridCol w:w="2705"/>
      </w:tblGrid>
      <w:tr>
        <w:trPr/>
        <w:tc>
          <w:tcPr>
            <w:tcW w:w="3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$0.001 par value per share</w:t>
            </w:r>
          </w:p>
        </w:tc>
        <w:tc>
          <w:tcPr>
            <w:tcW w:w="6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ADUS</w:t>
            </w:r>
          </w:p>
        </w:tc>
        <w:tc>
          <w:tcPr>
            <w:tcW w:w="60" w:type="dxa"/>
            <w:tcBorders/>
            <w:vAlign w:val="center"/>
          </w:tcPr>
          <w:p>
            <w:pPr>
              <w:pStyle w:val="TableContents"/>
              <w:bidi w:val="0"/>
              <w:spacing w:before="0" w:after="0"/>
              <w:ind w:left="0" w:right="0" w:hanging="0"/>
              <w:jc w:val="left"/>
              <w:rPr/>
            </w:pPr>
            <w:r>
              <w:rPr/>
              <w:t> </w:t>
            </w:r>
          </w:p>
        </w:tc>
        <w:tc>
          <w:tcPr>
            <w:tcW w:w="27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Nasdaq</w:t>
            </w:r>
            <w:r>
              <w:rPr>
                <w:rFonts w:ascii="Times New Roman" w:hAnsi="Times New Roman"/>
                <w:caps w:val="false"/>
                <w:smallCaps w:val="false"/>
                <w:sz w:val="20"/>
              </w:rPr>
              <w:t> </w:t>
            </w:r>
            <w:r>
              <w:rPr>
                <w:rFonts w:ascii="Times New Roman" w:hAnsi="Times New Roman"/>
                <w:b/>
                <w:caps w:val="false"/>
                <w:smallCaps w:val="false"/>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916"/>
        <w:gridCol w:w="9289"/>
      </w:tblGrid>
      <w:tr>
        <w:trPr/>
        <w:tc>
          <w:tcPr>
            <w:tcW w:w="9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5.02</w:t>
            </w:r>
          </w:p>
        </w:tc>
        <w:tc>
          <w:tcPr>
            <w:tcW w:w="9289"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President and COO Departure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7, 2026, Heather Dixon, President and Chief Operating Officer of Addus HomeCare Corporation (the “Company”) left the Company. The Company thanks Ms. Dixon for her service and contributions and wishes her all the best in her future endeavors.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Interim COO Appointment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Also on August 7, 2026, the Company appointed W. Bradley Bickham, age 63, to serve as its Chief Operating Officer on an interim basis. Mr. Bickham served as Advisor to the Chief Executive Officer from September 2025 to the present and as President and Chief Operating Officer of the Company from March 2021 through September 2025. Mr. Bickham previously served as Executive Vice President and Chief Operating Officer of the Company from January 2017 through March 2021. Mr. Bickham will serve as Chief Operating Officer on an interim basis, subject to the terms and conditions of his Employment Agreement as further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arrangement or understanding with any person pursuant to which Mr. Bickham was appointed as Chief Operating Officer. There are no family relationships between Mr. Bickham and any director or executive officer of the Company. Other than the Amended and Restated Retention and Transition Agreement between Mr. Bickham and the Company, effective August 4, 2025, as disclosed in the Company’s Definitive Proxy Statement filed with the Securities and Exchange Commission on April 23, 2026, and pursuant to which Mr. Bickham served as Advisor to the Chief Executive Officer, Mr. Bickham is not a party to any transaction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10, 2026, in connection with Mr. Bickham’s appointment, Mr. Bickham entered into an Employment Agreement (the “Employment Agreement”) with the Company. The Employment Agreement provides that Mr. Bickham will serve as Chief Operating Officer for a period ending on July 31, 2027, or on such earlier date as provided pursuant to the terms and conditions of the Employment Agreement, unless the parties mutually agree in writing to extend the term of the Employment Agreement beyond July 31, 2027. Under the terms of the Employment Agreement, Mr. Bickham will receive an annualized base salary of $622,000 and fixed bonuses. The Employment Agreement also imposes confidentiality obligations and non-competition and non-solicitation restrictions on Mr. Bickham.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the Employment Agreement is included as Exhibit 10.1 to this Current Report on Form 8-K. The description of the Employment Agreement included in this Current Report on Form 8-K is a summary, is not complete and is qualified in its entirety by reference to the terms of the Employment Agreement filed as Exhibit 10.1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27" w:type="dxa"/>
        <w:jc w:val="left"/>
        <w:tblInd w:w="0" w:type="dxa"/>
        <w:tblLayout w:type="fixed"/>
        <w:tblCellMar>
          <w:top w:w="28" w:type="dxa"/>
          <w:left w:w="28" w:type="dxa"/>
          <w:bottom w:w="28" w:type="dxa"/>
          <w:right w:w="28" w:type="dxa"/>
        </w:tblCellMar>
      </w:tblPr>
      <w:tblGrid>
        <w:gridCol w:w="916"/>
        <w:gridCol w:w="2311"/>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7.01</w:t>
            </w:r>
          </w:p>
        </w:tc>
        <w:tc>
          <w:tcPr>
            <w:tcW w:w="231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 August 10, 2026, the Company issued the Press Release, announcing the matters discussed in Item 5.02, the text of which is set forth as </w:t>
      </w:r>
      <w:r>
        <w:rPr>
          <w:rFonts w:ascii="Times New Roman" w:hAnsi="Times New Roman"/>
          <w:caps w:val="false"/>
          <w:smallCaps w:val="false"/>
          <w:sz w:val="20"/>
          <w:u w:val="single"/>
        </w:rPr>
        <w:t>Exhibit 99.1</w:t>
      </w:r>
      <w:r>
        <w:rPr>
          <w:rFonts w:ascii="Times New Roman" w:hAnsi="Times New Roman"/>
          <w:caps w:val="false"/>
          <w:smallCaps w:val="false"/>
          <w:sz w:val="20"/>
        </w:rPr>
        <w:t>.</w:t>
        <w:b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530"/>
        <w:gridCol w:w="60"/>
        <w:gridCol w:w="815"/>
      </w:tblGrid>
      <w:tr>
        <w:trPr/>
        <w:tc>
          <w:tcPr>
            <w:tcW w:w="530"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Exhibit</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16"/>
              </w:rPr>
              <w:t>No.</w:t>
            </w:r>
          </w:p>
        </w:tc>
        <w:tc>
          <w:tcPr>
            <w:tcW w:w="60"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Description</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380"/>
        <w:gridCol w:w="60"/>
        <w:gridCol w:w="8345"/>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0"/>
              <w:ind w:left="0" w:right="0" w:hanging="0"/>
              <w:jc w:val="left"/>
              <w:rPr/>
            </w:pPr>
            <w:r>
              <w:rPr/>
              <w:t> </w:t>
            </w:r>
          </w:p>
        </w:tc>
        <w:tc>
          <w:tcPr>
            <w:tcW w:w="8345" w:type="dxa"/>
            <w:tcBorders/>
            <w:vAlign w:val="center"/>
          </w:tcPr>
          <w:p>
            <w:pPr>
              <w:pStyle w:val="TableContents"/>
              <w:bidi w:val="0"/>
              <w:spacing w:before="0" w:after="0"/>
              <w:ind w:left="0" w:right="0" w:hanging="0"/>
              <w:jc w:val="left"/>
              <w:rPr/>
            </w:pPr>
            <w:hyperlink w:anchor="ex_1004483.htm">
              <w:r>
                <w:rPr>
                  <w:rStyle w:val="InternetLink"/>
                  <w:rFonts w:ascii="Times New Roman" w:hAnsi="Times New Roman"/>
                  <w:caps w:val="false"/>
                  <w:smallCaps w:val="false"/>
                  <w:sz w:val="20"/>
                </w:rPr>
                <w:t>Employment Agreement dated as of August 10, 2026, between the Company and W. Bradley Bickham.</w:t>
              </w:r>
            </w:hyperlink>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380"/>
        <w:gridCol w:w="60"/>
        <w:gridCol w:w="5750"/>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5750" w:type="dxa"/>
            <w:tcBorders/>
            <w:vAlign w:val="center"/>
          </w:tcPr>
          <w:p>
            <w:pPr>
              <w:pStyle w:val="TableContents"/>
              <w:bidi w:val="0"/>
              <w:spacing w:before="0" w:after="0"/>
              <w:ind w:left="0" w:right="0" w:hanging="0"/>
              <w:jc w:val="left"/>
              <w:rPr/>
            </w:pPr>
            <w:hyperlink w:anchor="ex_1004662.htm">
              <w:r>
                <w:rPr>
                  <w:rStyle w:val="InternetLink"/>
                  <w:rFonts w:ascii="Times New Roman" w:hAnsi="Times New Roman"/>
                  <w:caps w:val="false"/>
                  <w:smallCaps w:val="false"/>
                  <w:sz w:val="20"/>
                </w:rPr>
                <w:t>Press Release of Addus HomeCare Corporation dated August 10, 2026.</w:t>
              </w:r>
            </w:hyperlink>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335"/>
        <w:gridCol w:w="60"/>
        <w:gridCol w:w="6215"/>
      </w:tblGrid>
      <w:tr>
        <w:trPr/>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14" w:type="dxa"/>
        <w:jc w:val="left"/>
        <w:tblInd w:w="0" w:type="dxa"/>
        <w:tblLayout w:type="fixed"/>
        <w:tblCellMar>
          <w:top w:w="0" w:type="dxa"/>
          <w:left w:w="0" w:type="dxa"/>
          <w:bottom w:w="0" w:type="dxa"/>
          <w:right w:w="0" w:type="dxa"/>
        </w:tblCellMar>
      </w:tblPr>
      <w:tblGrid>
        <w:gridCol w:w="1850"/>
        <w:gridCol w:w="489"/>
        <w:gridCol w:w="2875"/>
      </w:tblGrid>
      <w:tr>
        <w:trPr/>
        <w:tc>
          <w:tcPr>
            <w:tcW w:w="1850" w:type="dxa"/>
            <w:tcBorders/>
            <w:vAlign w:val="center"/>
          </w:tcPr>
          <w:p>
            <w:pPr>
              <w:pStyle w:val="TableContents"/>
              <w:bidi w:val="0"/>
              <w:spacing w:before="0" w:after="0"/>
              <w:ind w:left="0" w:right="0" w:hanging="0"/>
              <w:jc w:val="left"/>
              <w:rPr/>
            </w:pPr>
            <w:r>
              <w:rPr/>
              <w:t> </w:t>
            </w:r>
          </w:p>
        </w:tc>
        <w:tc>
          <w:tcPr>
            <w:tcW w:w="336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ADDUS HOMECARE CORPORATION</w:t>
            </w:r>
          </w:p>
        </w:tc>
      </w:tr>
      <w:tr>
        <w:trPr/>
        <w:tc>
          <w:tcPr>
            <w:tcW w:w="1850"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4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8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1850"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Poff</w:t>
            </w:r>
          </w:p>
        </w:tc>
      </w:tr>
      <w:tr>
        <w:trPr/>
        <w:tc>
          <w:tcPr>
            <w:tcW w:w="1850"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04483.htm"/>
      <w:bookmarkStart w:id="3" w:name="ksex_1004483"/>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EMPLOYMENT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EMPLOYMENT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effective as of August 10, 2026 (the “</w:t>
      </w:r>
      <w:r>
        <w:rPr>
          <w:rFonts w:ascii="Times New Roman" w:hAnsi="Times New Roman"/>
          <w:caps w:val="false"/>
          <w:smallCaps w:val="false"/>
          <w:sz w:val="20"/>
          <w:u w:val="single"/>
        </w:rPr>
        <w:t>Effective Date</w:t>
      </w:r>
      <w:r>
        <w:rPr>
          <w:rFonts w:ascii="Times New Roman" w:hAnsi="Times New Roman"/>
          <w:caps w:val="false"/>
          <w:smallCaps w:val="false"/>
          <w:sz w:val="20"/>
        </w:rPr>
        <w:t>”), by and between Addus HealthCare, Inc., an Illinois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W. Bradley Bickham, an individual domiciled in the State of Texas (the “</w:t>
      </w:r>
      <w:r>
        <w:rPr>
          <w:rFonts w:ascii="Times New Roman" w:hAnsi="Times New Roman"/>
          <w:caps w:val="false"/>
          <w:smallCaps w:val="false"/>
          <w:sz w:val="20"/>
          <w:u w:val="single"/>
        </w:rPr>
        <w:t>Executive</w:t>
      </w:r>
      <w:r>
        <w:rPr>
          <w:rFonts w:ascii="Times New Roman" w:hAnsi="Times New Roman"/>
          <w:caps w:val="false"/>
          <w:smallCaps w:val="false"/>
          <w:sz w:val="20"/>
        </w:rPr>
        <w:t>”). The Company and Executive are hereinafter sometimes referred to individually as a “Party” and collectively as the “</w:t>
      </w:r>
      <w:r>
        <w:rPr>
          <w:rFonts w:ascii="Times New Roman" w:hAnsi="Times New Roman"/>
          <w:caps w:val="false"/>
          <w:smallCaps w:val="false"/>
          <w:sz w:val="20"/>
          <w:u w:val="single"/>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Company, its parent and its subsidiaries (collectively, the “</w:t>
      </w:r>
      <w:r>
        <w:rPr>
          <w:rFonts w:ascii="Times New Roman" w:hAnsi="Times New Roman"/>
          <w:caps w:val="false"/>
          <w:smallCaps w:val="false"/>
          <w:sz w:val="20"/>
          <w:u w:val="single"/>
        </w:rPr>
        <w:t>Addus HealthCare Group</w:t>
      </w:r>
      <w:r>
        <w:rPr>
          <w:rFonts w:ascii="Times New Roman" w:hAnsi="Times New Roman"/>
          <w:caps w:val="false"/>
          <w:smallCaps w:val="false"/>
          <w:sz w:val="20"/>
        </w:rPr>
        <w:t>”) provide home care, home health and hospice services;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Company and the Executive desire to enter into this Agreement to set forth the terms and conditions of the Executive’s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xml:space="preserve"> in consideration of the mutual covenants and agreements set forth herein, the Parties, intending to be legally bound, agree as follows:</w:t>
      </w:r>
    </w:p>
    <w:p>
      <w:pPr>
        <w:pStyle w:val="TextBody"/>
        <w:bidi w:val="0"/>
        <w:spacing w:before="0" w:after="0"/>
        <w:ind w:left="0" w:right="0" w:hanging="0"/>
        <w:jc w:val="left"/>
        <w:rPr>
          <w:caps w:val="false"/>
          <w:smallCaps w:val="false"/>
        </w:rPr>
      </w:pPr>
      <w:r>
        <w:rPr>
          <w:caps w:val="false"/>
          <w:smallCaps w:val="false"/>
        </w:rPr>
        <w:t> </w:t>
      </w:r>
    </w:p>
    <w:tbl>
      <w:tblPr>
        <w:tblW w:w="3497" w:type="dxa"/>
        <w:jc w:val="left"/>
        <w:tblInd w:w="0" w:type="dxa"/>
        <w:tblLayout w:type="fixed"/>
        <w:tblCellMar>
          <w:top w:w="28" w:type="dxa"/>
          <w:left w:w="28" w:type="dxa"/>
          <w:bottom w:w="28" w:type="dxa"/>
          <w:right w:w="28" w:type="dxa"/>
        </w:tblCellMar>
      </w:tblPr>
      <w:tblGrid>
        <w:gridCol w:w="271"/>
        <w:gridCol w:w="3226"/>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322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Effectiveness; Term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6748" w:type="dxa"/>
        <w:jc w:val="left"/>
        <w:tblInd w:w="0" w:type="dxa"/>
        <w:tblLayout w:type="fixed"/>
        <w:tblCellMar>
          <w:top w:w="28" w:type="dxa"/>
          <w:left w:w="28" w:type="dxa"/>
          <w:bottom w:w="28" w:type="dxa"/>
          <w:right w:w="28" w:type="dxa"/>
        </w:tblCellMar>
      </w:tblPr>
      <w:tblGrid>
        <w:gridCol w:w="161"/>
        <w:gridCol w:w="316"/>
        <w:gridCol w:w="627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62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shall automatically become effective on the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5"/>
        <w:gridCol w:w="9769"/>
      </w:tblGrid>
      <w:tr>
        <w:trPr/>
        <w:tc>
          <w:tcPr>
            <w:tcW w:w="161"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hereby employs the Executive, and the Executive hereby accepts employment by the Company, for the period (the “</w:t>
            </w:r>
            <w:r>
              <w:rPr>
                <w:rFonts w:ascii="Times New Roman" w:hAnsi="Times New Roman"/>
                <w:caps w:val="false"/>
                <w:smallCaps w:val="false"/>
                <w:sz w:val="20"/>
                <w:u w:val="single"/>
              </w:rPr>
              <w:t>Employment Term</w:t>
            </w:r>
            <w:r>
              <w:rPr>
                <w:rFonts w:ascii="Times New Roman" w:hAnsi="Times New Roman"/>
                <w:caps w:val="false"/>
                <w:smallCaps w:val="false"/>
                <w:sz w:val="20"/>
              </w:rPr>
              <w:t>”) commencing as of the Effective Date and ending on July 31, 2027, or on such earlier date as provided pursuant to the terms and conditions of this Agreement, unless the Company and the Executive mutually agree in writing to extend the Employment Term beyond July 31, 2027. 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 To the extent it does not interfere with Executive’s duties hereunder in any material respect, the Parties agree that this provision should not be construed as limiting Executive’s right to serve on up to one (1) board of, or otherwise engage in activities on behalf of, charitable and civic organizations and, upon prior written approval of the Company, one (1) board of a for profit entity that does not compete with the business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132" w:type="dxa"/>
        <w:jc w:val="left"/>
        <w:tblInd w:w="0" w:type="dxa"/>
        <w:tblLayout w:type="fixed"/>
        <w:tblCellMar>
          <w:top w:w="28" w:type="dxa"/>
          <w:left w:w="28" w:type="dxa"/>
          <w:bottom w:w="28" w:type="dxa"/>
          <w:right w:w="28" w:type="dxa"/>
        </w:tblCellMar>
      </w:tblPr>
      <w:tblGrid>
        <w:gridCol w:w="271"/>
        <w:gridCol w:w="186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86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Employment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Employment Term, the Company will employ the Executive as its Chief Operating Officer, a senior executive position that reports directly to the Chief Executive Officer (“</w:t>
      </w:r>
      <w:r>
        <w:rPr>
          <w:rFonts w:ascii="Times New Roman" w:hAnsi="Times New Roman"/>
          <w:caps w:val="false"/>
          <w:smallCaps w:val="false"/>
          <w:sz w:val="20"/>
          <w:u w:val="single"/>
        </w:rPr>
        <w:t>CEO</w:t>
      </w:r>
      <w:r>
        <w:rPr>
          <w:rFonts w:ascii="Times New Roman" w:hAnsi="Times New Roman"/>
          <w:caps w:val="false"/>
          <w:smallCaps w:val="false"/>
          <w:sz w:val="20"/>
        </w:rPr>
        <w:t>”) of the Company. The Executive’s principal duties and responsibilities shall be to oversee and direct the operations of the Addus HealthCare Group including the management and delivery of home care and to perform such other executive duties and responsibilities as may be assigned to him by the CEO or the Board of Directors (as defined below) and are consistent with the Executive’s position as Chief Operating Officer of the Company on an interim basis.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682" w:type="dxa"/>
        <w:jc w:val="left"/>
        <w:tblInd w:w="0" w:type="dxa"/>
        <w:tblLayout w:type="fixed"/>
        <w:tblCellMar>
          <w:top w:w="28" w:type="dxa"/>
          <w:left w:w="28" w:type="dxa"/>
          <w:bottom w:w="28" w:type="dxa"/>
          <w:right w:w="28" w:type="dxa"/>
        </w:tblCellMar>
      </w:tblPr>
      <w:tblGrid>
        <w:gridCol w:w="271"/>
        <w:gridCol w:w="141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41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pay the Executive as follows during the Employment Term: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5"/>
        <w:gridCol w:w="9779"/>
      </w:tblGrid>
      <w:tr>
        <w:trPr/>
        <w:tc>
          <w:tcPr>
            <w:tcW w:w="161"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Base Salary</w:t>
            </w:r>
            <w:r>
              <w:rPr>
                <w:rFonts w:ascii="Times New Roman" w:hAnsi="Times New Roman"/>
                <w:b/>
                <w:caps w:val="false"/>
                <w:smallCaps w:val="false"/>
                <w:sz w:val="20"/>
              </w:rPr>
              <w:t>.</w:t>
            </w:r>
            <w:r>
              <w:rPr>
                <w:rFonts w:ascii="Times New Roman" w:hAnsi="Times New Roman"/>
                <w:caps w:val="false"/>
                <w:smallCaps w:val="false"/>
                <w:sz w:val="20"/>
              </w:rPr>
              <w:t xml:space="preserve"> The Company shall pay the Executive a base salary at the annual rate of Six Hundred Twenty-Two Thousand Dollars ($622,000),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Times New Roman" w:hAnsi="Times New Roman"/>
                <w:caps w:val="false"/>
                <w:smallCaps w:val="false"/>
                <w:sz w:val="20"/>
                <w:u w:val="single"/>
              </w:rPr>
              <w:t>Compensation Committee</w:t>
            </w:r>
            <w:r>
              <w:rPr>
                <w:rFonts w:ascii="Times New Roman" w:hAnsi="Times New Roman"/>
                <w:caps w:val="false"/>
                <w:smallCaps w:val="false"/>
                <w:sz w:val="20"/>
              </w:rPr>
              <w:t>”) of the board of directors of Addus HomeCare Corporation (“</w:t>
            </w:r>
            <w:r>
              <w:rPr>
                <w:rFonts w:ascii="Times New Roman" w:hAnsi="Times New Roman"/>
                <w:caps w:val="false"/>
                <w:smallCaps w:val="false"/>
                <w:sz w:val="20"/>
                <w:u w:val="single"/>
              </w:rPr>
              <w:t>Addus HomeCare</w:t>
            </w:r>
            <w:r>
              <w:rPr>
                <w:rFonts w:ascii="Times New Roman" w:hAnsi="Times New Roman"/>
                <w:caps w:val="false"/>
                <w:smallCaps w:val="false"/>
                <w:sz w:val="20"/>
              </w:rPr>
              <w:t>”) (the “</w:t>
            </w:r>
            <w:r>
              <w:rPr>
                <w:rFonts w:ascii="Times New Roman" w:hAnsi="Times New Roman"/>
                <w:caps w:val="false"/>
                <w:smallCaps w:val="false"/>
                <w:sz w:val="20"/>
                <w:u w:val="single"/>
              </w:rPr>
              <w:t>Board of Directors</w:t>
            </w:r>
            <w:r>
              <w:rPr>
                <w:rFonts w:ascii="Times New Roman" w:hAnsi="Times New Roman"/>
                <w:caps w:val="false"/>
                <w:smallCaps w:val="false"/>
                <w:sz w:val="20"/>
              </w:rPr>
              <w:t>”) on or about each anniversary of the Effective Date for each year during the Employment Term (as adjusted from time-to-time, the “</w:t>
            </w:r>
            <w:r>
              <w:rPr>
                <w:rFonts w:ascii="Times New Roman" w:hAnsi="Times New Roman"/>
                <w:caps w:val="false"/>
                <w:smallCaps w:val="false"/>
                <w:sz w:val="20"/>
                <w:u w:val="single"/>
              </w:rPr>
              <w:t>Base Salary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4"/>
        <w:gridCol w:w="9750"/>
      </w:tblGrid>
      <w:tr>
        <w:trPr/>
        <w:tc>
          <w:tcPr>
            <w:tcW w:w="161"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Bonus</w:t>
            </w:r>
            <w:r>
              <w:rPr>
                <w:rFonts w:ascii="Times New Roman" w:hAnsi="Times New Roman"/>
                <w:caps w:val="false"/>
                <w:smallCaps w:val="false"/>
                <w:sz w:val="20"/>
              </w:rPr>
              <w:t xml:space="preserve">. The Executive shall be entitled to a fixed bonus in the amounts and on the terms set forth on </w:t>
            </w:r>
            <w:r>
              <w:rPr>
                <w:rFonts w:ascii="Times New Roman" w:hAnsi="Times New Roman"/>
                <w:b/>
                <w:caps w:val="false"/>
                <w:smallCaps w:val="false"/>
                <w:sz w:val="20"/>
                <w:u w:val="single"/>
              </w:rPr>
              <w:t>Exhibit A</w:t>
            </w:r>
            <w:r>
              <w:rPr>
                <w:rFonts w:ascii="Times New Roman" w:hAnsi="Times New Roman"/>
                <w:caps w:val="false"/>
                <w:smallCaps w:val="false"/>
                <w:sz w:val="20"/>
              </w:rPr>
              <w:t xml:space="preserve"> hereto, subject to applicable withholdings and deductions. The Executive shall not be eligible for any other annual, discretionary, or other cash or equity bonus or award.</w:t>
            </w:r>
          </w:p>
        </w:tc>
      </w:tr>
    </w:tbl>
    <w:p>
      <w:pPr>
        <w:pStyle w:val="TextBody"/>
        <w:bidi w:val="0"/>
        <w:spacing w:before="0" w:after="0"/>
        <w:ind w:left="0" w:right="0" w:hanging="0"/>
        <w:jc w:val="left"/>
        <w:rPr>
          <w:caps w:val="false"/>
          <w:smallCaps w:val="false"/>
        </w:rPr>
      </w:pPr>
      <w:r>
        <w:rPr>
          <w:caps w:val="false"/>
          <w:smallCaps w:val="false"/>
        </w:rPr>
        <w:t> </w:t>
      </w:r>
    </w:p>
    <w:tbl>
      <w:tblPr>
        <w:tblW w:w="1247" w:type="dxa"/>
        <w:jc w:val="left"/>
        <w:tblInd w:w="0" w:type="dxa"/>
        <w:tblLayout w:type="fixed"/>
        <w:tblCellMar>
          <w:top w:w="28" w:type="dxa"/>
          <w:left w:w="28" w:type="dxa"/>
          <w:bottom w:w="28" w:type="dxa"/>
          <w:right w:w="28" w:type="dxa"/>
        </w:tblCellMar>
      </w:tblPr>
      <w:tblGrid>
        <w:gridCol w:w="271"/>
        <w:gridCol w:w="976"/>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7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pStyle w:val="TextBody"/>
        <w:bidi w:val="0"/>
        <w:spacing w:before="0" w:after="0"/>
        <w:ind w:left="0" w:right="0" w:hanging="0"/>
        <w:jc w:val="left"/>
        <w:rPr>
          <w:caps w:val="false"/>
          <w:smallCaps w:val="false"/>
        </w:rPr>
      </w:pPr>
      <w:r>
        <w:rPr>
          <w:caps w:val="false"/>
          <w:smallCaps w:val="false"/>
        </w:rPr>
        <w:t> </w:t>
      </w:r>
    </w:p>
    <w:tbl>
      <w:tblPr>
        <w:tblW w:w="1142" w:type="dxa"/>
        <w:jc w:val="left"/>
        <w:tblInd w:w="0" w:type="dxa"/>
        <w:tblLayout w:type="fixed"/>
        <w:tblCellMar>
          <w:top w:w="28" w:type="dxa"/>
          <w:left w:w="28" w:type="dxa"/>
          <w:bottom w:w="28" w:type="dxa"/>
          <w:right w:w="28" w:type="dxa"/>
        </w:tblCellMar>
      </w:tblPr>
      <w:tblGrid>
        <w:gridCol w:w="271"/>
        <w:gridCol w:w="87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87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Employment Term, the Executive shall be entitled to benefits consistent with those provided to the Company’s other executive officers, as such benefit plans, programs, and arrangements may be established, maintained, amended, or terminated by the Board of Directors from time to time.</w:t>
      </w:r>
    </w:p>
    <w:p>
      <w:pPr>
        <w:pStyle w:val="TextBody"/>
        <w:bidi w:val="0"/>
        <w:spacing w:before="0" w:after="0"/>
        <w:ind w:left="0" w:right="0" w:hanging="0"/>
        <w:jc w:val="left"/>
        <w:rPr>
          <w:caps w:val="false"/>
          <w:smallCaps w:val="false"/>
        </w:rPr>
      </w:pPr>
      <w:r>
        <w:rPr>
          <w:caps w:val="false"/>
          <w:smallCaps w:val="false"/>
        </w:rPr>
        <w:t> </w:t>
      </w:r>
    </w:p>
    <w:tbl>
      <w:tblPr>
        <w:tblW w:w="2972" w:type="dxa"/>
        <w:jc w:val="left"/>
        <w:tblInd w:w="0" w:type="dxa"/>
        <w:tblLayout w:type="fixed"/>
        <w:tblCellMar>
          <w:top w:w="28" w:type="dxa"/>
          <w:left w:w="28" w:type="dxa"/>
          <w:bottom w:w="28" w:type="dxa"/>
          <w:right w:w="28" w:type="dxa"/>
        </w:tblCellMar>
      </w:tblPr>
      <w:tblGrid>
        <w:gridCol w:w="271"/>
        <w:gridCol w:w="270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w:t>
            </w:r>
          </w:p>
        </w:tc>
        <w:tc>
          <w:tcPr>
            <w:tcW w:w="270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Termination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7"/>
        <w:gridCol w:w="9747"/>
      </w:tblGrid>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may terminate the Executive’s employment hereunder at any time for Reasonable Cause. The term “</w:t>
            </w:r>
            <w:r>
              <w:rPr>
                <w:rFonts w:ascii="Times New Roman" w:hAnsi="Times New Roman"/>
                <w:caps w:val="false"/>
                <w:smallCaps w:val="false"/>
                <w:sz w:val="20"/>
                <w:u w:val="single"/>
              </w:rPr>
              <w:t>Reasonable Cause</w:t>
            </w:r>
            <w:r>
              <w:rPr>
                <w:rFonts w:ascii="Times New Roman" w:hAnsi="Times New Roman"/>
                <w:caps w:val="false"/>
                <w:smallCaps w:val="false"/>
                <w:sz w:val="20"/>
              </w:rPr>
              <w:t>” shall be limited to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 A material breach or omission by the Executive of any of his duties or obligations under this Agreement (except due to Disability, as defined below) that the Executive shall fail to cure after receipt of written notice of such breach or omission from the CEO or Board of Directors, which notice shall designate a reasonable period of time, if curable at all, of not less than ten (10) business days within which the breach or omission must be cured to the reasonable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 Willfully engaging in any action that materially damages, or that may reasonably be expected to materially damage, the Addus HealthCare Group or the business or goodwill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(iii) Breaching the Executive’s fiduciary duty to the Addus HealthCare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(iv) Committing any act involving fraud, misusing or misappropriating money or other property of the Addus HealthCare Group, committing a felony, using illegal drugs, misusing or abusing prescriptive or over-the-counter drugs, habitually using other intoxicants, or chronic absenteeism;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(v) Gross negligence or willful misconduct by the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(vi) Committing acts constituting gross insubordination, such as, without limitation, the intentional disregard of any reasonable directive of the CEO or the Board of Directors;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(vii) Failing to perform any material duty in a timely and effective manner and failing to cure any such performance deficiency after receipt of written notice of the deficiency from the CEO or Board of Directors, which notice shall designate the reasonable period of time, if curable at all, of not less than ten (10) business days within which the performance deficiency must be cured to the reasonable satisfaction of the CEO or the Board of Directors, as applicable, in order to prevent a termination for reasonable cause; provided, however, that the Executive shall only be permitted the opportunity to cure such performance deficiencies a total of two times in any twelve (12)-month rolling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Executive’s employment hereunder shall be terminated in the event of his death, and the Company may terminate the Executive’s employment hereunder if the Executive suffers a physical or mental disability (a “</w:t>
            </w:r>
            <w:r>
              <w:rPr>
                <w:rFonts w:ascii="Times New Roman" w:hAnsi="Times New Roman"/>
                <w:caps w:val="false"/>
                <w:smallCaps w:val="false"/>
                <w:sz w:val="20"/>
                <w:u w:val="single"/>
              </w:rPr>
              <w:t>Disability</w:t>
            </w:r>
            <w:r>
              <w:rPr>
                <w:rFonts w:ascii="Times New Roman" w:hAnsi="Times New Roman"/>
                <w:caps w:val="false"/>
                <w:smallCaps w:val="false"/>
                <w:sz w:val="20"/>
              </w:rPr>
              <w:t>”)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tc>
      </w:tr>
    </w:tbl>
    <w:p>
      <w:pPr>
        <w:pStyle w:val="TextBody"/>
        <w:bidi w:val="0"/>
        <w:spacing w:before="0" w:after="0"/>
        <w:ind w:left="0" w:right="0" w:hanging="0"/>
        <w:jc w:val="left"/>
        <w:rPr>
          <w:caps w:val="false"/>
          <w:smallCaps w:val="false"/>
        </w:rPr>
      </w:pPr>
      <w:r>
        <w:rPr>
          <w:caps w:val="false"/>
          <w:smallCaps w:val="false"/>
        </w:rPr>
        <w:t> </w:t>
      </w:r>
    </w:p>
    <w:tbl>
      <w:tblPr>
        <w:tblW w:w="10198" w:type="dxa"/>
        <w:jc w:val="left"/>
        <w:tblInd w:w="0" w:type="dxa"/>
        <w:tblLayout w:type="fixed"/>
        <w:tblCellMar>
          <w:top w:w="28" w:type="dxa"/>
          <w:left w:w="28" w:type="dxa"/>
          <w:bottom w:w="28" w:type="dxa"/>
          <w:right w:w="28" w:type="dxa"/>
        </w:tblCellMar>
      </w:tblPr>
      <w:tblGrid>
        <w:gridCol w:w="161"/>
        <w:gridCol w:w="316"/>
        <w:gridCol w:w="972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may terminate the Executive’s employment hereunder at any time for any other reason, or for no reason.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Termination of the Executive’s employment for any reason shall terminate the Employment Term but shall not affect the Executive’s obligations pursuant to Section 9 hereof, which obligations shall remain in effect for the period therein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987" w:type="dxa"/>
        <w:jc w:val="left"/>
        <w:tblInd w:w="0" w:type="dxa"/>
        <w:tblLayout w:type="fixed"/>
        <w:tblCellMar>
          <w:top w:w="28" w:type="dxa"/>
          <w:left w:w="28" w:type="dxa"/>
          <w:bottom w:w="28" w:type="dxa"/>
          <w:right w:w="28" w:type="dxa"/>
        </w:tblCellMar>
      </w:tblPr>
      <w:tblGrid>
        <w:gridCol w:w="271"/>
        <w:gridCol w:w="2716"/>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w:t>
            </w:r>
          </w:p>
        </w:tc>
        <w:tc>
          <w:tcPr>
            <w:tcW w:w="271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Termination by the Executive.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Executive may terminate his employment with the Company (a) for Good Reason (as defined below) or (b) without Good Reason, in each case, upon not less than thirty (30) days prior written notice to the Company;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Times New Roman" w:hAnsi="Times New Roman"/>
          <w:caps w:val="false"/>
          <w:smallCaps w:val="false"/>
          <w:sz w:val="20"/>
          <w:u w:val="single"/>
        </w:rPr>
        <w:t>Good Reason</w:t>
      </w:r>
      <w:r>
        <w:rPr>
          <w:rFonts w:ascii="Times New Roman" w:hAnsi="Times New Roman"/>
          <w:caps w:val="false"/>
          <w:smallCaps w:val="false"/>
          <w:sz w:val="20"/>
        </w:rPr>
        <w:t>” means (i) any reduction in the Executive’s Base Salary, or (ii) any material breach by the Company of any material term of this Agreement, other than a breach which is remedied by the Company within 10 days after receipt of written notice given by the Executive.</w:t>
      </w:r>
    </w:p>
    <w:p>
      <w:pPr>
        <w:pStyle w:val="TextBody"/>
        <w:bidi w:val="0"/>
        <w:spacing w:before="0" w:after="0"/>
        <w:ind w:left="0" w:right="0" w:hanging="0"/>
        <w:jc w:val="left"/>
        <w:rPr>
          <w:caps w:val="false"/>
          <w:smallCaps w:val="false"/>
        </w:rPr>
      </w:pPr>
      <w:r>
        <w:rPr>
          <w:caps w:val="false"/>
          <w:smallCaps w:val="false"/>
        </w:rPr>
        <w:t> </w:t>
      </w:r>
    </w:p>
    <w:tbl>
      <w:tblPr>
        <w:tblW w:w="4022" w:type="dxa"/>
        <w:jc w:val="left"/>
        <w:tblInd w:w="0" w:type="dxa"/>
        <w:tblLayout w:type="fixed"/>
        <w:tblCellMar>
          <w:top w:w="28" w:type="dxa"/>
          <w:left w:w="28" w:type="dxa"/>
          <w:bottom w:w="28" w:type="dxa"/>
          <w:right w:w="28" w:type="dxa"/>
        </w:tblCellMar>
      </w:tblPr>
      <w:tblGrid>
        <w:gridCol w:w="271"/>
        <w:gridCol w:w="375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w:t>
            </w:r>
          </w:p>
        </w:tc>
        <w:tc>
          <w:tcPr>
            <w:tcW w:w="375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Rights and Obligations Upon Termination.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0"/>
        <w:gridCol w:w="9754"/>
      </w:tblGrid>
      <w:tr>
        <w:trPr/>
        <w:tc>
          <w:tcPr>
            <w:tcW w:w="161"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5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termination of the Executive’s employment for any reason, the Executive or his estate shall have no further rights against the Addus HealthCare Group hereunder, except for the right to receive: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 Any unpaid Base Salary under Section 3(a) hereof through the effective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 Any accrued but unpaid benefits under Section 5 hereof through the effective date of termination, in accordance with the terms of the applicable plan or arrangement;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(iii) Any unpaid portion of the fixed bonus under Section 3(b) hereof and Exhibit A hereto, to the extent the Executive remains entitled to it pursuant to the terms set forth on Exhibit A.</w:t>
      </w:r>
    </w:p>
    <w:p>
      <w:pPr>
        <w:pStyle w:val="TextBody"/>
        <w:bidi w:val="0"/>
        <w:spacing w:before="0" w:after="0"/>
        <w:ind w:left="0" w:right="0" w:hanging="0"/>
        <w:jc w:val="left"/>
        <w:rPr>
          <w:caps w:val="false"/>
          <w:smallCaps w:val="false"/>
        </w:rPr>
      </w:pPr>
      <w:r>
        <w:rPr>
          <w:caps w:val="false"/>
          <w:smallCaps w:val="false"/>
        </w:rPr>
        <w:t> </w:t>
      </w:r>
    </w:p>
    <w:tbl>
      <w:tblPr>
        <w:tblW w:w="2747" w:type="dxa"/>
        <w:jc w:val="left"/>
        <w:tblInd w:w="0" w:type="dxa"/>
        <w:tblLayout w:type="fixed"/>
        <w:tblCellMar>
          <w:top w:w="28" w:type="dxa"/>
          <w:left w:w="28" w:type="dxa"/>
          <w:bottom w:w="28" w:type="dxa"/>
          <w:right w:w="28" w:type="dxa"/>
        </w:tblCellMar>
      </w:tblPr>
      <w:tblGrid>
        <w:gridCol w:w="271"/>
        <w:gridCol w:w="2476"/>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w:t>
            </w:r>
          </w:p>
        </w:tc>
        <w:tc>
          <w:tcPr>
            <w:tcW w:w="247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Covenants of the Executive.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5"/>
        <w:gridCol w:w="9759"/>
      </w:tblGrid>
      <w:tr>
        <w:trPr/>
        <w:tc>
          <w:tcPr>
            <w:tcW w:w="161"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No Conflicts</w:t>
            </w:r>
            <w:r>
              <w:rPr>
                <w:rFonts w:ascii="Times New Roman" w:hAnsi="Times New Roman"/>
                <w:b/>
                <w:caps w:val="false"/>
                <w:smallCaps w:val="false"/>
                <w:sz w:val="20"/>
              </w:rPr>
              <w:t>.</w:t>
            </w:r>
            <w:r>
              <w:rPr>
                <w:rFonts w:ascii="Times New Roman" w:hAnsi="Times New Roman"/>
                <w:caps w:val="false"/>
                <w:smallCaps w:val="false"/>
                <w:sz w:val="20"/>
              </w:rPr>
              <w:t xml:space="preserve"> The Executive represents and warrants that he is not personally subject to any agreement, order, or decree that restricts his acceptance of this Agreement and performance of his duties with the Company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3"/>
        <w:gridCol w:w="9761"/>
      </w:tblGrid>
      <w:tr>
        <w:trPr/>
        <w:tc>
          <w:tcPr>
            <w:tcW w:w="161"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Non-Competition; Non-Solicitation</w:t>
            </w:r>
            <w:r>
              <w:rPr>
                <w:rFonts w:ascii="Times New Roman" w:hAnsi="Times New Roman"/>
                <w:b/>
                <w:caps w:val="false"/>
                <w:smallCaps w:val="false"/>
                <w:sz w:val="20"/>
              </w:rPr>
              <w:t>.</w:t>
            </w:r>
            <w:r>
              <w:rPr>
                <w:rFonts w:ascii="Times New Roman" w:hAnsi="Times New Roman"/>
                <w:caps w:val="false"/>
                <w:smallCaps w:val="false"/>
                <w:sz w:val="20"/>
              </w:rPr>
              <w:t xml:space="preserve"> During the Employment Term and during the Restrictive Period (as defined below), the Executive shall not, without the prior written consent of the Company, directly or indirectly, in any capacity whatsoever, either on his own behalf or on behalf of any other person or entity whom he may manage, control, participate in, consult with, render services for, or be employed by or associated with, compete with the Business (as defined below) in any of the following described manners: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 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 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(iii) Induce or attempt to induce any employee of the Addus HealthCare Group to terminate such employee’s relationship with the Addus HealthCare Group or in any way interfere with the relationship between the Addus HealthCare Group and any employee thereof;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(iv) 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For purposes hereof, the term “</w:t>
      </w:r>
      <w:r>
        <w:rPr>
          <w:rFonts w:ascii="Times New Roman" w:hAnsi="Times New Roman"/>
          <w:caps w:val="false"/>
          <w:smallCaps w:val="false"/>
          <w:sz w:val="20"/>
          <w:u w:val="single"/>
        </w:rPr>
        <w:t>Business</w:t>
      </w:r>
      <w:r>
        <w:rPr>
          <w:rFonts w:ascii="Times New Roman" w:hAnsi="Times New Roman"/>
          <w:caps w:val="false"/>
          <w:smallCaps w:val="false"/>
          <w:sz w:val="20"/>
        </w:rPr>
        <w:t>” means the business of providing home care services of the type and nature that the Addus HealthCare Group performs, any program or service under active development or proposed to be performed by the Addus HealthCare Group, and any other business activity in which the Addus HealthCare Group becomes engaged on or after the date hereof while the Executive is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For purposes hereof, the term “</w:t>
      </w:r>
      <w:r>
        <w:rPr>
          <w:rFonts w:ascii="Times New Roman" w:hAnsi="Times New Roman"/>
          <w:caps w:val="false"/>
          <w:smallCaps w:val="false"/>
          <w:sz w:val="20"/>
          <w:u w:val="single"/>
        </w:rPr>
        <w:t>Restrictive Period</w:t>
      </w:r>
      <w:r>
        <w:rPr>
          <w:rFonts w:ascii="Times New Roman" w:hAnsi="Times New Roman"/>
          <w:caps w:val="false"/>
          <w:smallCaps w:val="false"/>
          <w:sz w:val="20"/>
        </w:rPr>
        <w:t>” means, if the Employment Term ends before March 31, 2027, the period beginning on the date on which the Executive’s employment terminates and ending on March 31, 2027. If the Employment Term ends on or after March 31, 2027, there shall be no Restrictive Period under this Agreement, in which case, for the avoidance of doubt, the restrictions set forth in this Section 9(b) and Section 9(e) shall only apply during the Employment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foregoing provisions, nothing herein shall prohibit the Executive from owning one percent (1%) or less of any securities of an Addus HealthCare Group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7"/>
        <w:gridCol w:w="9787"/>
      </w:tblGrid>
      <w:tr>
        <w:trPr/>
        <w:tc>
          <w:tcPr>
            <w:tcW w:w="161"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8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Non-Disclosure</w:t>
            </w:r>
            <w:r>
              <w:rPr>
                <w:rFonts w:ascii="Times New Roman" w:hAnsi="Times New Roman"/>
                <w:i/>
                <w:caps w:val="false"/>
                <w:smallCaps w:val="false"/>
                <w:sz w:val="20"/>
              </w:rPr>
              <w:t>.</w:t>
            </w:r>
            <w:r>
              <w:rPr>
                <w:rFonts w:ascii="Times New Roman" w:hAnsi="Times New Roman"/>
                <w:caps w:val="false"/>
                <w:smallCaps w:val="false"/>
                <w:sz w:val="20"/>
              </w:rPr>
              <w:t xml:space="preserve"> The Executive recognizes and acknowledges that he will have access to certain confidential and proprietary information of 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This restriction shall not, however, prohibit the Executive from communicating with any government agency or otherwise participating in any investigation or proceeding that may be conducted by any government agency, including providing Company documents or other information, without consent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Covenant Regarding Confidential and Proprietary Information</w:t>
            </w:r>
            <w:r>
              <w:rPr>
                <w:rFonts w:ascii="Times New Roman" w:hAnsi="Times New Roman"/>
                <w:b/>
                <w:caps w:val="false"/>
                <w:smallCaps w:val="false"/>
                <w:sz w:val="20"/>
              </w:rPr>
              <w:t>.</w:t>
            </w:r>
            <w:r>
              <w:rPr>
                <w:rFonts w:ascii="Times New Roman" w:hAnsi="Times New Roman"/>
                <w:caps w:val="false"/>
                <w:smallCaps w:val="false"/>
                <w:sz w:val="20"/>
              </w:rPr>
              <w:t xml:space="preserve"> The Executive shall promptly disclose in writing to the Company each 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shall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shall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9"/>
        <w:gridCol w:w="9775"/>
      </w:tblGrid>
      <w:tr>
        <w:trPr/>
        <w:tc>
          <w:tcPr>
            <w:tcW w:w="161"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Non-Disparagement</w:t>
            </w:r>
            <w:r>
              <w:rPr>
                <w:rFonts w:ascii="Times New Roman" w:hAnsi="Times New Roman"/>
                <w:caps w:val="false"/>
                <w:smallCaps w:val="false"/>
                <w:sz w:val="20"/>
              </w:rPr>
              <w:t>. The Executive agrees that, during the Employment Term and the Restrictive Period, he will not make any statement, 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6"/>
        <w:gridCol w:w="9798"/>
      </w:tblGrid>
      <w:tr>
        <w:trPr/>
        <w:tc>
          <w:tcPr>
            <w:tcW w:w="16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7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Return of Documents and Other Property</w:t>
            </w:r>
            <w:r>
              <w:rPr>
                <w:rFonts w:ascii="Times New Roman" w:hAnsi="Times New Roman"/>
                <w:caps w:val="false"/>
                <w:smallCaps w:val="false"/>
                <w:sz w:val="20"/>
              </w:rPr>
              <w:t>. Upon termination of employment, the Executive shall return all originals and copies of books, records, documents, customer lists, sales materials, tapes, keys, credit cards and other tangible property of Addus HealthCare Group within the Executive’s possession or under his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6"/>
        <w:gridCol w:w="9768"/>
      </w:tblGrid>
      <w:tr>
        <w:trPr/>
        <w:tc>
          <w:tcPr>
            <w:tcW w:w="161"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7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Remedies for Breach</w:t>
            </w:r>
            <w:r>
              <w:rPr>
                <w:rFonts w:ascii="Times New Roman" w:hAnsi="Times New Roman"/>
                <w:caps w:val="false"/>
                <w:smallCaps w:val="false"/>
                <w:sz w:val="20"/>
              </w:rPr>
              <w:t>. In the event of a breach or threat of a breach of the provisions of this Section 9, the Executive hereby acknowledges that such breach or threat of a breach will cause the Company to suffer irreparable harm and that the Company shall be entitled to an injunction restraining the Executive from breaching such provisions. The foregoing shall not, however, be construed as prohibiting the Company from having available to it any other remedy, either at law or in equity, for such breach or threatened breach, including, but not limited to, the immediate cessation of employment, the recovery of damages from the Executive, and the notification of any employer or prospective employer of the Executive as to the limitations and restrictions contained in this Agreement (without limiting or affecting the Executive’s obligations under the other paragraphs of this Section 9). In addition, the Executive also expressly acknowledges and agrees that, in addition to the foregoing rights and remedies, the Executive shall reimburse the Company for all attorneys’ fees, costs, and expenses incurred by Company to enforce the provisions of this Section 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6"/>
        <w:gridCol w:w="9768"/>
      </w:tblGrid>
      <w:tr>
        <w:trPr/>
        <w:tc>
          <w:tcPr>
            <w:tcW w:w="161"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7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Acknowledgement</w:t>
            </w:r>
            <w:r>
              <w:rPr>
                <w:rFonts w:ascii="Times New Roman" w:hAnsi="Times New Roman"/>
                <w:b/>
                <w:caps w:val="false"/>
                <w:smallCaps w:val="false"/>
                <w:sz w:val="20"/>
              </w:rPr>
              <w:t>.</w:t>
            </w:r>
            <w:r>
              <w:rPr>
                <w:rFonts w:ascii="Times New Roman" w:hAnsi="Times New Roman"/>
                <w:caps w:val="false"/>
                <w:smallCaps w:val="false"/>
                <w:sz w:val="20"/>
              </w:rPr>
              <w:t xml:space="preserve"> The Executive acknowledges that he will be directly and materially involved as a senior executive in all important 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5"/>
        <w:gridCol w:w="9809"/>
      </w:tblGrid>
      <w:tr>
        <w:trPr/>
        <w:tc>
          <w:tcPr>
            <w:tcW w:w="161"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0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Right of Set Off</w:t>
            </w:r>
            <w:r>
              <w:rPr>
                <w:rFonts w:ascii="Times New Roman" w:hAnsi="Times New Roman"/>
                <w:b/>
                <w:caps w:val="false"/>
                <w:smallCaps w:val="false"/>
                <w:sz w:val="20"/>
              </w:rPr>
              <w:t>.</w:t>
            </w:r>
            <w:r>
              <w:rPr>
                <w:rFonts w:ascii="Times New Roman" w:hAnsi="Times New Roman"/>
                <w:caps w:val="false"/>
                <w:smallCaps w:val="false"/>
                <w:sz w:val="20"/>
              </w:rPr>
              <w:t xml:space="preserve"> In the event of a breach by the Executive of the provisions of this Agreement, the Company is hereby authorized at any 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tc>
      </w:tr>
    </w:tbl>
    <w:p>
      <w:pPr>
        <w:pStyle w:val="TextBody"/>
        <w:bidi w:val="0"/>
        <w:spacing w:before="0" w:after="0"/>
        <w:ind w:left="0" w:right="0" w:hanging="0"/>
        <w:jc w:val="left"/>
        <w:rPr>
          <w:caps w:val="false"/>
          <w:smallCaps w:val="false"/>
        </w:rPr>
      </w:pPr>
      <w:r>
        <w:rPr>
          <w:caps w:val="false"/>
          <w:smallCaps w:val="false"/>
        </w:rPr>
        <w:t> </w:t>
      </w:r>
    </w:p>
    <w:tbl>
      <w:tblPr>
        <w:tblW w:w="2087" w:type="dxa"/>
        <w:jc w:val="left"/>
        <w:tblInd w:w="0" w:type="dxa"/>
        <w:tblLayout w:type="fixed"/>
        <w:tblCellMar>
          <w:top w:w="28" w:type="dxa"/>
          <w:left w:w="28" w:type="dxa"/>
          <w:bottom w:w="28" w:type="dxa"/>
          <w:right w:w="28" w:type="dxa"/>
        </w:tblCellMar>
      </w:tblPr>
      <w:tblGrid>
        <w:gridCol w:w="376"/>
        <w:gridCol w:w="171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w:t>
            </w:r>
          </w:p>
        </w:tc>
        <w:tc>
          <w:tcPr>
            <w:tcW w:w="171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Entire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contains the entire understanding of the Parties with respect to the matters set forth herein. Each Party acknowledges that there are no warranties, representations, promises, covenants, or understandings of any kind except those that are expressly set forth in this Agreement. This Agreement supersedes and is in lieu of any and all other agreements between the Executive and the Company or its predecessor or any subsidiary, and any and all such employment agreements or arrangements are hereby terminated and deemed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547" w:type="dxa"/>
        <w:jc w:val="left"/>
        <w:tblInd w:w="0" w:type="dxa"/>
        <w:tblLayout w:type="fixed"/>
        <w:tblCellMar>
          <w:top w:w="28" w:type="dxa"/>
          <w:left w:w="28" w:type="dxa"/>
          <w:bottom w:w="28" w:type="dxa"/>
          <w:right w:w="28" w:type="dxa"/>
        </w:tblCellMar>
      </w:tblPr>
      <w:tblGrid>
        <w:gridCol w:w="376"/>
        <w:gridCol w:w="117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w:t>
            </w:r>
          </w:p>
        </w:tc>
        <w:tc>
          <w:tcPr>
            <w:tcW w:w="117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Assignment.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this Agreement, nor any rights or duties of the Executive hereunder shall be assignable by the Executive, and any such purported assignment by him shall be void. The Company may assign all or any of its rights hereunder.</w:t>
      </w:r>
    </w:p>
    <w:p>
      <w:pPr>
        <w:pStyle w:val="TextBody"/>
        <w:bidi w:val="0"/>
        <w:spacing w:before="0" w:after="0"/>
        <w:ind w:left="0" w:right="0" w:hanging="0"/>
        <w:jc w:val="left"/>
        <w:rPr>
          <w:caps w:val="false"/>
          <w:smallCaps w:val="false"/>
        </w:rPr>
      </w:pPr>
      <w:r>
        <w:rPr>
          <w:caps w:val="false"/>
          <w:smallCaps w:val="false"/>
        </w:rPr>
        <w:t> </w:t>
      </w:r>
    </w:p>
    <w:tbl>
      <w:tblPr>
        <w:tblW w:w="1187" w:type="dxa"/>
        <w:jc w:val="left"/>
        <w:tblInd w:w="0" w:type="dxa"/>
        <w:tblLayout w:type="fixed"/>
        <w:tblCellMar>
          <w:top w:w="28" w:type="dxa"/>
          <w:left w:w="28" w:type="dxa"/>
          <w:bottom w:w="28" w:type="dxa"/>
          <w:right w:w="28" w:type="dxa"/>
        </w:tblCellMar>
      </w:tblPr>
      <w:tblGrid>
        <w:gridCol w:w="376"/>
        <w:gridCol w:w="81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12.</w:t>
            </w:r>
          </w:p>
        </w:tc>
        <w:tc>
          <w:tcPr>
            <w:tcW w:w="81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(except that email shall not be deemed given upon refusal thereof). Notice to each Party, if mailed or sent by overnight courier service, shall be to the following addresses:</w:t>
      </w:r>
    </w:p>
    <w:p>
      <w:pPr>
        <w:pStyle w:val="TextBody"/>
        <w:bidi w:val="0"/>
        <w:spacing w:before="0" w:after="0"/>
        <w:ind w:left="0" w:right="0" w:hanging="0"/>
        <w:jc w:val="left"/>
        <w:rPr>
          <w:caps w:val="false"/>
          <w:smallCaps w:val="false"/>
        </w:rPr>
      </w:pPr>
      <w:r>
        <w:rPr>
          <w:caps w:val="false"/>
          <w:smallCaps w:val="false"/>
        </w:rPr>
        <w:t> </w:t>
      </w:r>
    </w:p>
    <w:tbl>
      <w:tblPr>
        <w:tblW w:w="2443" w:type="dxa"/>
        <w:jc w:val="left"/>
        <w:tblInd w:w="0" w:type="dxa"/>
        <w:tblLayout w:type="fixed"/>
        <w:tblCellMar>
          <w:top w:w="28" w:type="dxa"/>
          <w:left w:w="28" w:type="dxa"/>
          <w:bottom w:w="28" w:type="dxa"/>
          <w:right w:w="28" w:type="dxa"/>
        </w:tblCellMar>
      </w:tblPr>
      <w:tblGrid>
        <w:gridCol w:w="161"/>
        <w:gridCol w:w="316"/>
        <w:gridCol w:w="196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9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Executive,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W. Bradley Bickham</w:t>
      </w:r>
    </w:p>
    <w:p>
      <w:pPr>
        <w:pStyle w:val="TextBody"/>
        <w:bidi w:val="0"/>
        <w:spacing w:before="0" w:after="0"/>
        <w:ind w:left="720" w:right="0" w:firstLine="720"/>
        <w:jc w:val="left"/>
        <w:rPr>
          <w:caps w:val="false"/>
          <w:smallCaps w:val="false"/>
        </w:rPr>
      </w:pPr>
      <w:r>
        <w:rPr>
          <w:caps w:val="false"/>
          <w:smallCaps w:val="false"/>
        </w:rPr>
        <w:t> </w:t>
      </w:r>
      <w:r>
        <w:rPr>
          <w:rFonts w:ascii="Times New Roman" w:hAnsi="Times New Roman"/>
          <w:caps w:val="false"/>
          <w:smallCaps w:val="false"/>
          <w:sz w:val="20"/>
        </w:rPr>
        <w:t>[at the address on file with the Company]</w:t>
      </w:r>
    </w:p>
    <w:p>
      <w:pPr>
        <w:pStyle w:val="TextBody"/>
        <w:bidi w:val="0"/>
        <w:spacing w:before="0" w:after="0"/>
        <w:ind w:left="0" w:right="0" w:hanging="0"/>
        <w:jc w:val="left"/>
        <w:rPr>
          <w:caps w:val="false"/>
          <w:smallCaps w:val="false"/>
        </w:rPr>
      </w:pPr>
      <w:r>
        <w:rPr>
          <w:caps w:val="false"/>
          <w:smallCaps w:val="false"/>
        </w:rPr>
        <w:t> </w:t>
      </w:r>
    </w:p>
    <w:tbl>
      <w:tblPr>
        <w:tblW w:w="2428" w:type="dxa"/>
        <w:jc w:val="left"/>
        <w:tblInd w:w="0" w:type="dxa"/>
        <w:tblLayout w:type="fixed"/>
        <w:tblCellMar>
          <w:top w:w="28" w:type="dxa"/>
          <w:left w:w="28" w:type="dxa"/>
          <w:bottom w:w="28" w:type="dxa"/>
          <w:right w:w="28" w:type="dxa"/>
        </w:tblCellMar>
      </w:tblPr>
      <w:tblGrid>
        <w:gridCol w:w="161"/>
        <w:gridCol w:w="331"/>
        <w:gridCol w:w="1936"/>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19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the Company,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Addus HealthCare, Inc.</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6303 Cowboys Way, Suite 600</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Frisco, TX 75034</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Attention: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Bass Berry &amp; Sims PLC</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21 Platform Way South, Suite 3500</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Attention: David Cox, Esq.</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Telephone: (615) 742-6299</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E-mail: dcox@bassberry.com </w:t>
        <w:b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Party may change its address for notice by giving all other Parties notice of such change pursuant to this Section 12.</w:t>
      </w:r>
    </w:p>
    <w:p>
      <w:pPr>
        <w:pStyle w:val="TextBody"/>
        <w:bidi w:val="0"/>
        <w:spacing w:before="0" w:after="0"/>
        <w:ind w:left="0" w:right="0" w:hanging="0"/>
        <w:jc w:val="left"/>
        <w:rPr>
          <w:caps w:val="false"/>
          <w:smallCaps w:val="false"/>
        </w:rPr>
      </w:pPr>
      <w:r>
        <w:rPr>
          <w:caps w:val="false"/>
          <w:smallCaps w:val="false"/>
        </w:rPr>
        <w:t> </w:t>
      </w:r>
    </w:p>
    <w:tbl>
      <w:tblPr>
        <w:tblW w:w="1592" w:type="dxa"/>
        <w:jc w:val="left"/>
        <w:tblInd w:w="0" w:type="dxa"/>
        <w:tblLayout w:type="fixed"/>
        <w:tblCellMar>
          <w:top w:w="28" w:type="dxa"/>
          <w:left w:w="28" w:type="dxa"/>
          <w:bottom w:w="28" w:type="dxa"/>
          <w:right w:w="28" w:type="dxa"/>
        </w:tblCellMar>
      </w:tblPr>
      <w:tblGrid>
        <w:gridCol w:w="376"/>
        <w:gridCol w:w="1216"/>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13.</w:t>
            </w:r>
          </w:p>
        </w:tc>
        <w:tc>
          <w:tcPr>
            <w:tcW w:w="121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may not be changed, modified, or amended except in writing signed by both Parties to this Agreement.</w:t>
      </w:r>
    </w:p>
    <w:p>
      <w:pPr>
        <w:pStyle w:val="TextBody"/>
        <w:bidi w:val="0"/>
        <w:spacing w:before="0" w:after="0"/>
        <w:ind w:left="0" w:right="0" w:hanging="0"/>
        <w:jc w:val="left"/>
        <w:rPr>
          <w:caps w:val="false"/>
          <w:smallCaps w:val="false"/>
        </w:rPr>
      </w:pPr>
      <w:r>
        <w:rPr>
          <w:caps w:val="false"/>
          <w:smallCaps w:val="false"/>
        </w:rPr>
        <w:t> </w:t>
      </w:r>
    </w:p>
    <w:tbl>
      <w:tblPr>
        <w:tblW w:w="2087" w:type="dxa"/>
        <w:jc w:val="left"/>
        <w:tblInd w:w="0" w:type="dxa"/>
        <w:tblLayout w:type="fixed"/>
        <w:tblCellMar>
          <w:top w:w="28" w:type="dxa"/>
          <w:left w:w="28" w:type="dxa"/>
          <w:bottom w:w="28" w:type="dxa"/>
          <w:right w:w="28" w:type="dxa"/>
        </w:tblCellMar>
      </w:tblPr>
      <w:tblGrid>
        <w:gridCol w:w="376"/>
        <w:gridCol w:w="171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14.</w:t>
            </w:r>
          </w:p>
        </w:tc>
        <w:tc>
          <w:tcPr>
            <w:tcW w:w="171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Waiver of Breach.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waiver by either Party of the breach of any provision of this Agreement shall not operate or be construed as a waiver of any subsequent breach by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882" w:type="dxa"/>
        <w:jc w:val="left"/>
        <w:tblInd w:w="0" w:type="dxa"/>
        <w:tblLayout w:type="fixed"/>
        <w:tblCellMar>
          <w:top w:w="28" w:type="dxa"/>
          <w:left w:w="28" w:type="dxa"/>
          <w:bottom w:w="28" w:type="dxa"/>
          <w:right w:w="28" w:type="dxa"/>
        </w:tblCellMar>
      </w:tblPr>
      <w:tblGrid>
        <w:gridCol w:w="376"/>
        <w:gridCol w:w="2506"/>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15.</w:t>
            </w:r>
          </w:p>
        </w:tc>
        <w:tc>
          <w:tcPr>
            <w:tcW w:w="250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Invalidity of Any Provision.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pStyle w:val="TextBody"/>
        <w:bidi w:val="0"/>
        <w:spacing w:before="0" w:after="0"/>
        <w:ind w:left="0" w:right="0" w:hanging="0"/>
        <w:jc w:val="left"/>
        <w:rPr>
          <w:caps w:val="false"/>
          <w:smallCaps w:val="false"/>
        </w:rPr>
      </w:pPr>
      <w:r>
        <w:rPr>
          <w:caps w:val="false"/>
          <w:smallCaps w:val="false"/>
        </w:rPr>
        <w:t> </w:t>
      </w:r>
    </w:p>
    <w:tbl>
      <w:tblPr>
        <w:tblW w:w="2087" w:type="dxa"/>
        <w:jc w:val="left"/>
        <w:tblInd w:w="0" w:type="dxa"/>
        <w:tblLayout w:type="fixed"/>
        <w:tblCellMar>
          <w:top w:w="28" w:type="dxa"/>
          <w:left w:w="28" w:type="dxa"/>
          <w:bottom w:w="28" w:type="dxa"/>
          <w:right w:w="28" w:type="dxa"/>
        </w:tblCellMar>
      </w:tblPr>
      <w:tblGrid>
        <w:gridCol w:w="376"/>
        <w:gridCol w:w="171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16.</w:t>
            </w:r>
          </w:p>
        </w:tc>
        <w:tc>
          <w:tcPr>
            <w:tcW w:w="171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409A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Times New Roman" w:hAnsi="Times New Roman"/>
          <w:caps w:val="false"/>
          <w:smallCaps w:val="false"/>
          <w:sz w:val="20"/>
          <w:u w:val="single"/>
        </w:rPr>
        <w:t>Delay Period</w:t>
      </w:r>
      <w:r>
        <w:rPr>
          <w:rFonts w:ascii="Times New Roman" w:hAnsi="Times New Roman"/>
          <w:caps w:val="false"/>
          <w:smallCaps w:val="false"/>
          <w:sz w:val="20"/>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907" w:type="dxa"/>
        <w:jc w:val="left"/>
        <w:tblInd w:w="0" w:type="dxa"/>
        <w:tblLayout w:type="fixed"/>
        <w:tblCellMar>
          <w:top w:w="28" w:type="dxa"/>
          <w:left w:w="28" w:type="dxa"/>
          <w:bottom w:w="28" w:type="dxa"/>
          <w:right w:w="28" w:type="dxa"/>
        </w:tblCellMar>
      </w:tblPr>
      <w:tblGrid>
        <w:gridCol w:w="376"/>
        <w:gridCol w:w="153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17.</w:t>
            </w:r>
          </w:p>
        </w:tc>
        <w:tc>
          <w:tcPr>
            <w:tcW w:w="153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pStyle w:val="TextBody"/>
        <w:bidi w:val="0"/>
        <w:spacing w:before="0" w:after="0"/>
        <w:ind w:left="0" w:right="0" w:hanging="0"/>
        <w:jc w:val="left"/>
        <w:rPr>
          <w:caps w:val="false"/>
          <w:smallCaps w:val="false"/>
        </w:rPr>
      </w:pPr>
      <w:r>
        <w:rPr>
          <w:caps w:val="false"/>
          <w:smallCaps w:val="false"/>
        </w:rPr>
        <w:t> </w:t>
      </w:r>
    </w:p>
    <w:tbl>
      <w:tblPr>
        <w:tblW w:w="1307" w:type="dxa"/>
        <w:jc w:val="left"/>
        <w:tblInd w:w="0" w:type="dxa"/>
        <w:tblLayout w:type="fixed"/>
        <w:tblCellMar>
          <w:top w:w="28" w:type="dxa"/>
          <w:left w:w="28" w:type="dxa"/>
          <w:bottom w:w="28" w:type="dxa"/>
          <w:right w:w="28" w:type="dxa"/>
        </w:tblCellMar>
      </w:tblPr>
      <w:tblGrid>
        <w:gridCol w:w="376"/>
        <w:gridCol w:w="93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18.</w:t>
            </w:r>
          </w:p>
        </w:tc>
        <w:tc>
          <w:tcPr>
            <w:tcW w:w="93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Survival.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Obligations under this Agreement which by their nature would continue beyond the termination of this Agreement, including without limitation Sections 8 and 9, shall survive termination of this Agreement for any reason.</w:t>
      </w:r>
    </w:p>
    <w:p>
      <w:pPr>
        <w:pStyle w:val="TextBody"/>
        <w:bidi w:val="0"/>
        <w:spacing w:before="0" w:after="0"/>
        <w:ind w:left="0" w:right="0" w:hanging="0"/>
        <w:jc w:val="left"/>
        <w:rPr>
          <w:caps w:val="false"/>
          <w:smallCaps w:val="false"/>
        </w:rPr>
      </w:pPr>
      <w:r>
        <w:rPr>
          <w:caps w:val="false"/>
          <w:smallCaps w:val="false"/>
        </w:rPr>
        <w:t> </w:t>
      </w:r>
    </w:p>
    <w:tbl>
      <w:tblPr>
        <w:tblW w:w="1547" w:type="dxa"/>
        <w:jc w:val="left"/>
        <w:tblInd w:w="0" w:type="dxa"/>
        <w:tblLayout w:type="fixed"/>
        <w:tblCellMar>
          <w:top w:w="28" w:type="dxa"/>
          <w:left w:w="28" w:type="dxa"/>
          <w:bottom w:w="28" w:type="dxa"/>
          <w:right w:w="28" w:type="dxa"/>
        </w:tblCellMar>
      </w:tblPr>
      <w:tblGrid>
        <w:gridCol w:w="376"/>
        <w:gridCol w:w="117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19.</w:t>
            </w:r>
          </w:p>
        </w:tc>
        <w:tc>
          <w:tcPr>
            <w:tcW w:w="1171"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Arbitration.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Times New Roman" w:hAnsi="Times New Roman"/>
          <w:caps w:val="false"/>
          <w:smallCaps w:val="false"/>
          <w:sz w:val="20"/>
          <w:u w:val="single"/>
        </w:rPr>
        <w:t>Arbitrator</w:t>
      </w:r>
      <w:r>
        <w:rPr>
          <w:rFonts w:ascii="Times New Roman" w:hAnsi="Times New Roman"/>
          <w:caps w:val="false"/>
          <w:smallCaps w:val="false"/>
          <w:sz w:val="20"/>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912" w:type="dxa"/>
        <w:jc w:val="left"/>
        <w:tblInd w:w="0" w:type="dxa"/>
        <w:tblLayout w:type="fixed"/>
        <w:tblCellMar>
          <w:top w:w="28" w:type="dxa"/>
          <w:left w:w="28" w:type="dxa"/>
          <w:bottom w:w="28" w:type="dxa"/>
          <w:right w:w="28" w:type="dxa"/>
        </w:tblCellMar>
      </w:tblPr>
      <w:tblGrid>
        <w:gridCol w:w="376"/>
        <w:gridCol w:w="2536"/>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w:t>
            </w:r>
          </w:p>
        </w:tc>
        <w:tc>
          <w:tcPr>
            <w:tcW w:w="2536"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PARTY TO THIS AGREEMENT OR ANY ASSIGNEE, SUCCESSOR, HEIR OR PERSONAL REPRESENTATIVE OF A PARTY SHALL SEEK A JURY TRIAL IN ANY LAWSUIT, PROCEEDING, COUNTERCLAIM, OR ANY OTHER LITIGATION PROCEDURE BASED UPON OR ARISING OUT OF THIS AGREEMENT OR THE DEALINGS OR THE RELATIONSHIP BETWEEN THE PARTIES. NO PARTY WILL SEEK TO CONSOLIDATE ANY SUCH ACTION, IN WHICH A JURY TRIAL HAS BEEN WAIVED, WITH ANY OTHER ACTION IN WHICH A JURY TRIAL CANNOT OR HAS NOT BEEN WAIVED. THE PROVISIONS OF THIS SECTION 20 HAVE BEEN FULLY DISCUSSED BY THE PARTIES HERETO, AND THESE PROVISIONS SHALL BE SUBJECT TO NO EXCEPTIONS. NO PARTY HERETO HAS IN ANY WAY AGREED WITH OR REPRESENTED TO ANY OTHER PARTY HERETO THAT THE PROVISIONS OF THIS SECTION 20 WILL NOT BE FULLY ENFORCED IN ALL INSTANCES.</w:t>
      </w:r>
    </w:p>
    <w:p>
      <w:pPr>
        <w:pStyle w:val="TextBody"/>
        <w:bidi w:val="0"/>
        <w:spacing w:before="0" w:after="0"/>
        <w:ind w:left="0" w:right="0" w:hanging="0"/>
        <w:jc w:val="left"/>
        <w:rPr>
          <w:caps w:val="false"/>
          <w:smallCaps w:val="false"/>
        </w:rPr>
      </w:pPr>
      <w:r>
        <w:rPr>
          <w:caps w:val="false"/>
          <w:smallCaps w:val="false"/>
        </w:rPr>
        <w:t> </w:t>
      </w:r>
    </w:p>
    <w:tbl>
      <w:tblPr>
        <w:tblW w:w="1697" w:type="dxa"/>
        <w:jc w:val="left"/>
        <w:tblInd w:w="0" w:type="dxa"/>
        <w:tblLayout w:type="fixed"/>
        <w:tblCellMar>
          <w:top w:w="28" w:type="dxa"/>
          <w:left w:w="28" w:type="dxa"/>
          <w:bottom w:w="28" w:type="dxa"/>
          <w:right w:w="28" w:type="dxa"/>
        </w:tblCellMar>
      </w:tblPr>
      <w:tblGrid>
        <w:gridCol w:w="376"/>
        <w:gridCol w:w="1321"/>
      </w:tblGrid>
      <w:tr>
        <w:trPr/>
        <w:tc>
          <w:tcPr>
            <w:tcW w:w="3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21.</w:t>
            </w:r>
          </w:p>
        </w:tc>
        <w:tc>
          <w:tcPr>
            <w:tcW w:w="13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Counterparts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may be executed in one or more counterparts, each of which shall be deemed an original, but all of which together shall constitute one and the same instrument. Delivery of an executed counterpart of this Agreement by facsimile, electronic mail (including PDF), or other customary means of electronic transmission shall be as effective as delivery of a manually executed original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have executed this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098" w:type="dxa"/>
        <w:jc w:val="left"/>
        <w:tblInd w:w="0" w:type="dxa"/>
        <w:tblLayout w:type="fixed"/>
        <w:tblCellMar>
          <w:top w:w="28" w:type="dxa"/>
          <w:left w:w="28" w:type="dxa"/>
          <w:bottom w:w="28" w:type="dxa"/>
          <w:right w:w="28" w:type="dxa"/>
        </w:tblCellMar>
      </w:tblPr>
      <w:tblGrid>
        <w:gridCol w:w="161"/>
        <w:gridCol w:w="631"/>
        <w:gridCol w:w="4306"/>
      </w:tblGrid>
      <w:tr>
        <w:trPr/>
        <w:tc>
          <w:tcPr>
            <w:tcW w:w="161" w:type="dxa"/>
            <w:tcBorders/>
            <w:vAlign w:val="center"/>
          </w:tcPr>
          <w:p>
            <w:pPr>
              <w:pStyle w:val="TableContents"/>
              <w:bidi w:val="0"/>
              <w:spacing w:before="0" w:after="0"/>
              <w:ind w:left="0" w:right="0" w:hanging="0"/>
              <w:jc w:val="left"/>
              <w:rPr/>
            </w:pPr>
            <w:r>
              <w:rPr/>
              <w:t> </w:t>
            </w:r>
          </w:p>
        </w:tc>
        <w:tc>
          <w:tcPr>
            <w:tcW w:w="4937" w:type="dxa"/>
            <w:gridSpan w:val="2"/>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ADDUS HEALTHCARE, INC.</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pPr>
            <w:r>
              <w:rPr/>
              <w:t> </w:t>
            </w:r>
          </w:p>
        </w:tc>
        <w:tc>
          <w:tcPr>
            <w:tcW w:w="4306"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43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R. Dirk Allison</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43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 Dirk Allison</w:t>
            </w:r>
          </w:p>
        </w:tc>
      </w:tr>
      <w:tr>
        <w:trPr/>
        <w:tc>
          <w:tcPr>
            <w:tcW w:w="16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43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 and Chairman of the Board</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47" w:type="dxa"/>
        <w:jc w:val="left"/>
        <w:tblInd w:w="0" w:type="dxa"/>
        <w:tblLayout w:type="fixed"/>
        <w:tblCellMar>
          <w:top w:w="28" w:type="dxa"/>
          <w:left w:w="28" w:type="dxa"/>
          <w:bottom w:w="28" w:type="dxa"/>
          <w:right w:w="28" w:type="dxa"/>
        </w:tblCellMar>
      </w:tblPr>
      <w:tblGrid>
        <w:gridCol w:w="161"/>
        <w:gridCol w:w="2086"/>
      </w:tblGrid>
      <w:tr>
        <w:trPr/>
        <w:tc>
          <w:tcPr>
            <w:tcW w:w="161" w:type="dxa"/>
            <w:tcBorders/>
            <w:vAlign w:val="center"/>
          </w:tcPr>
          <w:p>
            <w:pPr>
              <w:pStyle w:val="TableContents"/>
              <w:bidi w:val="0"/>
              <w:spacing w:before="0" w:after="0"/>
              <w:ind w:left="0" w:right="0" w:hanging="0"/>
              <w:jc w:val="left"/>
              <w:rPr/>
            </w:pPr>
            <w:r>
              <w:rPr/>
              <w:t> </w:t>
            </w:r>
          </w:p>
        </w:tc>
        <w:tc>
          <w:tcPr>
            <w:tcW w:w="20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W. Bradley Bickham</w:t>
            </w:r>
          </w:p>
        </w:tc>
      </w:tr>
      <w:tr>
        <w:trPr/>
        <w:tc>
          <w:tcPr>
            <w:tcW w:w="161" w:type="dxa"/>
            <w:tcBorders/>
            <w:vAlign w:val="center"/>
          </w:tcPr>
          <w:p>
            <w:pPr>
              <w:pStyle w:val="TableContents"/>
              <w:bidi w:val="0"/>
              <w:spacing w:before="0" w:after="0"/>
              <w:ind w:left="0" w:right="0" w:hanging="0"/>
              <w:jc w:val="left"/>
              <w:rPr/>
            </w:pPr>
            <w:r>
              <w:rPr/>
              <w:t> </w:t>
            </w:r>
          </w:p>
        </w:tc>
        <w:tc>
          <w:tcPr>
            <w:tcW w:w="20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 Bradley Bickham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to Bickham Employment Agreement</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w:t>
      </w:r>
      <w:r>
        <w:rPr>
          <w:rFonts w:ascii="Times New Roman" w:hAnsi="Times New Roman"/>
          <w:caps w:val="false"/>
          <w:smallCaps w:val="false"/>
          <w:sz w:val="20"/>
        </w:rPr>
        <w:t xml:space="preserve"> </w:t>
        <w:br/>
      </w:r>
      <w:r>
        <w:rPr>
          <w:rFonts w:ascii="Times New Roman" w:hAnsi="Times New Roman"/>
          <w:b/>
          <w:caps w:val="false"/>
          <w:smallCaps w:val="false"/>
          <w:sz w:val="20"/>
          <w:u w:val="single"/>
        </w:rPr>
        <w:t>Bonus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Executive shall be entitled to a fixed bonus consisting of (i) Six Hundred Thousand Dollars ($600,000), payable in March 2027 when the Company’s other executives receive their annual bonuses, and (ii) Three Hundred Thousand Dollars ($300,000), payable within thirty (30) days following the end of the Employment Term, in each case subject to applicable withholdings and deductions. These fixed bonus payments shall remain payable to the Executive (or, in the event of his death, his estate) if his employment terminates for any reason (including, for the avoidance of doubt, (x) termination due to death or Disability, (y) termination by the Company without Reasonable Cause, and (z) termination by the Executive for Good Reason) other than (a) termination by the Company for Reasonable Cause or (b) termination by the Executive prior to the end of the Employment Term without Good Reason. If the Executive remains entitled to any unpaid portion of the fixed bonus following a qualifying termination, that unpaid portion shall be accelerated and paid on or promptly after the effective date of termination rather than on its originally scheduled payment date. Any unpaid portion of the fixed bonus shall be forfeited if the Company terminates the Executive’s employment for Reasonable Cause or if the Executive terminates his employment without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1004662.htm"/>
      <w:bookmarkStart w:id="5" w:name="ksex_1004662"/>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drawing>
          <wp:inline distT="0" distB="0" distL="0" distR="0">
            <wp:extent cx="3333750"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857250"/>
                    </a:xfrm>
                    <a:prstGeom prst="rect">
                      <a:avLst/>
                    </a:prstGeom>
                  </pic:spPr>
                </pic:pic>
              </a:graphicData>
            </a:graphic>
          </wp:inline>
        </w:drawing>
      </w: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344" w:type="dxa"/>
        <w:jc w:val="left"/>
        <w:tblInd w:w="0" w:type="dxa"/>
        <w:tblLayout w:type="fixed"/>
        <w:tblCellMar>
          <w:top w:w="28" w:type="dxa"/>
          <w:left w:w="28" w:type="dxa"/>
          <w:bottom w:w="28" w:type="dxa"/>
          <w:right w:w="28" w:type="dxa"/>
        </w:tblCellMar>
      </w:tblPr>
      <w:tblGrid>
        <w:gridCol w:w="916"/>
        <w:gridCol w:w="2566"/>
        <w:gridCol w:w="146"/>
        <w:gridCol w:w="271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Contacts:</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Brian W. Poff</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Teresa Moore</w:t>
            </w:r>
          </w:p>
        </w:tc>
      </w:tr>
      <w:tr>
        <w:trPr/>
        <w:tc>
          <w:tcPr>
            <w:tcW w:w="91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FINN Partners</w:t>
            </w:r>
          </w:p>
        </w:tc>
      </w:tr>
      <w:tr>
        <w:trPr/>
        <w:tc>
          <w:tcPr>
            <w:tcW w:w="91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(615) 324-7346</w:t>
            </w:r>
          </w:p>
        </w:tc>
      </w:tr>
      <w:tr>
        <w:trPr/>
        <w:tc>
          <w:tcPr>
            <w:tcW w:w="91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Addus HomeCare Corporation</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teresa.moore@finnpartners.com</w:t>
            </w:r>
          </w:p>
        </w:tc>
      </w:tr>
      <w:tr>
        <w:trPr/>
        <w:tc>
          <w:tcPr>
            <w:tcW w:w="91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(469) 535-8200</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pPr>
            <w:r>
              <w:rPr/>
              <w:t> </w:t>
            </w:r>
          </w:p>
        </w:tc>
      </w:tr>
      <w:tr>
        <w:trPr/>
        <w:tc>
          <w:tcPr>
            <w:tcW w:w="916" w:type="dxa"/>
            <w:tcBorders/>
            <w:vAlign w:val="center"/>
          </w:tcPr>
          <w:p>
            <w:pPr>
              <w:pStyle w:val="TableContents"/>
              <w:bidi w:val="0"/>
              <w:spacing w:before="0" w:after="0"/>
              <w:ind w:left="0" w:right="0" w:hanging="0"/>
              <w:jc w:val="left"/>
              <w:rPr/>
            </w:pPr>
            <w:r>
              <w:rPr/>
              <w:t> </w:t>
            </w:r>
          </w:p>
        </w:tc>
        <w:tc>
          <w:tcPr>
            <w:tcW w:w="2566"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investorrelations@addus.com</w:t>
            </w:r>
          </w:p>
        </w:tc>
        <w:tc>
          <w:tcPr>
            <w:tcW w:w="146" w:type="dxa"/>
            <w:tcBorders/>
            <w:vAlign w:val="center"/>
          </w:tcPr>
          <w:p>
            <w:pPr>
              <w:pStyle w:val="TableContents"/>
              <w:bidi w:val="0"/>
              <w:spacing w:before="0" w:after="0"/>
              <w:ind w:left="0" w:right="0" w:hanging="0"/>
              <w:jc w:val="left"/>
              <w:rPr/>
            </w:pPr>
            <w:r>
              <w:rPr/>
              <w:t> </w:t>
            </w:r>
          </w:p>
        </w:tc>
        <w:tc>
          <w:tcPr>
            <w:tcW w:w="271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ADDUS HOMECARE ANNOUNCES DEPARTURE OF HEATHER DIXON AND RETURN OF BRAD BICKHAM AS CHIEF OPERATING OFFICER ON AN INTERIM BASIS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Frisco, Texas </w:t>
      </w:r>
      <w:r>
        <w:rPr>
          <w:rFonts w:ascii="Times New Roman" w:hAnsi="Times New Roman"/>
          <w:caps w:val="false"/>
          <w:smallCaps w:val="false"/>
          <w:sz w:val="20"/>
        </w:rPr>
        <w:t>(August 10, 2026) – Addus HomeCare Corporation (Nasdaq: ADUS) (the “Company”), a provider of home care services, announced today that Heather Dixon, President and Chief Operating Officer, is no longer with the Company. Brad Bickham, former President and Chief Operating Officer at Addus, has agreed to return as Chief Operating Officer on an interim basis, effective immediately, for a period of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On behalf of the Board and the entire company, I want to thank Heather for her dedication and leadership, and for her contributions to Addus during her time with the Company both as a director and more recently as part of executive management. She has been an important member of the team, and we are grateful for her partnership. We also appreciate her commitment to our mission, which will continue in her absence. We wish her the best in her next chapter,” said Dirk Allison,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are pleased to welcome Brad Bickham back in an interim capacity as Chief Operating Officer. Brad's deep knowledge of our operations, his strong relationships across the organization, and his proven track record of execution make him the ideal leader to ensure seamless continuity and flexibility during this transition. Brad played a central role in building Addus into the company it is today — growing our personal care platform, expanding into hospice and home health, and driving the disciplined acquisition strategy that has been core to our growth. We are grateful for his willingness to step back in and continue serving the company and mission he cares so deeply about.”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Allison continued, “We are fortunate to have tremendous operating depth and experience on the Board and our executive team as we continue to focus on serving our consumers, supporting our employees and executing our growth strategy.”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3333750"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857250"/>
                    </a:xfrm>
                    <a:prstGeom prst="rect">
                      <a:avLst/>
                    </a:prstGeom>
                  </pic:spPr>
                </pic:pic>
              </a:graphicData>
            </a:graphic>
          </wp:inline>
        </w:drawing>
      </w: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Certain matters discussed in this press release constitute forward-looking statements within the meaning of the Private Securities Litigation Reform Act of 1995. Such forward-looking statements may be identified by words such as “preliminary,” “continue,” “expect,” and similar expressions. These forward-looking statements are based on our current expectations and beliefs concerning future developments and their potential effect on us. Forward-looking statements involve a number of risks and uncertainties that may cause actual results to differ materially from those expressed or implied by such forward-looking statements, including discretionary determinations by government officials, the consummation and integration of acquisitions, transition to managed care providers, our ability to successfully execute our growth strategy, unexpected increases in SG&amp;A and other expenses, expected benefits and unexpected costs of acquisitions and dispositions, management plans related to dispositions, the possibility that expected benefits may not materialize as expected, the failure of the business to perform as expected, changes in reimbursement, changes in government regulations, changes in Addus HomeCare’s relationships with referral sources, increased competition for Addus HomeCare’s services, changes in the interpretation of government regulations, the uncertainty regarding the outcome of discussions with managed care organizations, changes in tax rates, the impact of adverse weather, higher than anticipated costs, lower than anticipated cost savings, estimation inaccuracies in future revenues, margins, earnings and growth, whether any anticipated receipt of payments will materialize, any security breaches, cyber-attacks, loss of data or cybersecurity threats or incidents, and other risks set forth in the Risk Factors section in Addus HomeCare’s Annual Report on Form 10-K, as amended, filed with the Securities and Exchange Commission on February 24, 2026, which are available at </w:t>
      </w:r>
      <w:r>
        <w:rPr>
          <w:rFonts w:ascii="Times New Roman" w:hAnsi="Times New Roman"/>
          <w:caps w:val="false"/>
          <w:smallCaps w:val="false"/>
          <w:sz w:val="20"/>
          <w:u w:val="single"/>
        </w:rPr>
        <w:t>www.sec.gov.</w:t>
      </w:r>
      <w:r>
        <w:rPr>
          <w:rFonts w:ascii="Times New Roman" w:hAnsi="Times New Roman"/>
          <w:caps w:val="false"/>
          <w:smallCaps w:val="false"/>
          <w:sz w:val="20"/>
        </w:rPr>
        <w:t xml:space="preserve"> The financial information described herein and the periods to which they relate are preliminary estimates that are subject to change and finalization. There is no assurance that the final amounts and adjustments will not differ materially from the amounts described above, or that additional adjustments will not be identified, the impact of which may be material. Addus HomeCare undertakes no obligation to update or revise any forward-looking statements, whether as a result of new information, future events or otherwise. In addition, these forward-looking statements necessarily depend upon assumptions, estimates and dates that may be incorrect or imprecise and involve known and unknown risks, uncertainties, and other factors. Accordingly, any forward-looking statements included in this press release do not purport to be predictions of future events or circumstances and may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Addus HomeCare</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Addus HomeCare is a provider of home care services that primarily include personal care services that assist with activities of daily living, as well as hospice and home health services. Addus HomeCare’s consumers are primarily persons who, without these services, are at risk of hospitalization or institutionalization, such as the elderly, chronically ill and disabled. Addus HomeCare’s payor clients include federal, state and local governmental agencies, managed care organizations, commercial insurers and private individuals. Addus HomeCare currently provides home care services to approximately 62,500 consumers through 264 locations across 24 states. For more information, please visit </w:t>
      </w:r>
      <w:r>
        <w:rPr>
          <w:rFonts w:ascii="Times New Roman" w:hAnsi="Times New Roman"/>
          <w:caps w:val="false"/>
          <w:smallCaps w:val="false"/>
          <w:sz w:val="20"/>
          <w:u w:val="single"/>
        </w:rPr>
        <w:t>www.addus.com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-END-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7246</Words>
  <Characters>39472</Characters>
  <CharactersWithSpaces>46731</CharactersWithSpaces>
  <Paragraphs>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